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7904F" w14:textId="1C16013E" w:rsidR="00DB6A0E" w:rsidRDefault="00DB6A0E" w:rsidP="00DB6A0E">
      <w:pPr>
        <w:pStyle w:val="Heading1"/>
        <w:pageBreakBefore/>
        <w:numPr>
          <w:ilvl w:val="0"/>
          <w:numId w:val="0"/>
        </w:numPr>
      </w:pPr>
      <w:bookmarkStart w:id="0" w:name="_Toc476041065"/>
      <w:bookmarkStart w:id="1" w:name="_Ref475954513"/>
      <w:bookmarkStart w:id="2" w:name="_GoBack"/>
      <w:bookmarkEnd w:id="2"/>
      <w:r>
        <w:t>Mapping</w:t>
      </w:r>
      <w:r w:rsidRPr="0085027E">
        <w:t xml:space="preserve"> the </w:t>
      </w:r>
      <w:r>
        <w:t xml:space="preserve">Paediatric Quality of Life </w:t>
      </w:r>
      <w:r w:rsidRPr="0085027E">
        <w:t>Generic Core Scales</w:t>
      </w:r>
      <w:r>
        <w:t xml:space="preserve"> (</w:t>
      </w:r>
      <w:r w:rsidRPr="0085027E">
        <w:t>PedsQL™</w:t>
      </w:r>
      <w:r>
        <w:t>)</w:t>
      </w:r>
      <w:r w:rsidRPr="0085027E">
        <w:t xml:space="preserve"> </w:t>
      </w:r>
      <w:r>
        <w:t>on</w:t>
      </w:r>
      <w:r w:rsidRPr="0085027E">
        <w:t xml:space="preserve">to </w:t>
      </w:r>
      <w:r w:rsidR="00B83400">
        <w:t xml:space="preserve">the </w:t>
      </w:r>
      <w:r w:rsidRPr="0085027E">
        <w:t xml:space="preserve">Child Health Utility 9D (CHU-9D) index </w:t>
      </w:r>
      <w:r w:rsidRPr="00CE08C5">
        <w:t>score for economic evaluation in children</w:t>
      </w:r>
    </w:p>
    <w:p w14:paraId="229FF871" w14:textId="55A30535" w:rsidR="006821B5" w:rsidRDefault="006821B5" w:rsidP="006821B5">
      <w:pPr>
        <w:pStyle w:val="Heading1"/>
        <w:numPr>
          <w:ilvl w:val="0"/>
          <w:numId w:val="0"/>
        </w:numPr>
      </w:pPr>
      <w:r>
        <w:t xml:space="preserve">Short </w:t>
      </w:r>
      <w:r w:rsidR="009D288D">
        <w:rPr>
          <w:noProof/>
        </w:rPr>
        <w:t>T</w:t>
      </w:r>
      <w:r w:rsidRPr="009D288D">
        <w:rPr>
          <w:noProof/>
        </w:rPr>
        <w:t>itle</w:t>
      </w:r>
      <w:r>
        <w:t>: Mapping</w:t>
      </w:r>
      <w:r w:rsidRPr="0085027E">
        <w:t xml:space="preserve"> PedsQL™ </w:t>
      </w:r>
      <w:r>
        <w:t>on</w:t>
      </w:r>
      <w:r w:rsidRPr="0085027E">
        <w:t xml:space="preserve">to </w:t>
      </w:r>
      <w:r>
        <w:t>the CHU-9D</w:t>
      </w:r>
      <w:r w:rsidRPr="0085027E">
        <w:t xml:space="preserve"> index </w:t>
      </w:r>
      <w:r w:rsidRPr="00CE08C5">
        <w:t>score for economic evaluation in children</w:t>
      </w:r>
    </w:p>
    <w:p w14:paraId="32751348" w14:textId="77777777" w:rsidR="006821B5" w:rsidRDefault="006821B5" w:rsidP="006821B5"/>
    <w:p w14:paraId="50718EF7" w14:textId="77777777" w:rsidR="006821B5" w:rsidRPr="006821B5" w:rsidRDefault="006821B5" w:rsidP="006821B5"/>
    <w:p w14:paraId="099B743E" w14:textId="43C02091" w:rsidR="00DB6A0E" w:rsidRPr="00A16D0A" w:rsidRDefault="00DB6A0E" w:rsidP="00DB6A0E">
      <w:pPr>
        <w:spacing w:after="240" w:line="480" w:lineRule="auto"/>
        <w:rPr>
          <w:b/>
          <w:bCs/>
        </w:rPr>
      </w:pPr>
      <w:r w:rsidRPr="00CE08C5">
        <w:rPr>
          <w:b/>
        </w:rPr>
        <w:t>Tosin Lambe</w:t>
      </w:r>
      <w:r w:rsidRPr="00CE08C5">
        <w:rPr>
          <w:b/>
          <w:vertAlign w:val="superscript"/>
        </w:rPr>
        <w:t>1</w:t>
      </w:r>
      <w:r w:rsidRPr="00CE08C5">
        <w:rPr>
          <w:b/>
        </w:rPr>
        <w:t>, Emma Frew</w:t>
      </w:r>
      <w:r w:rsidRPr="00CE08C5">
        <w:rPr>
          <w:b/>
          <w:vertAlign w:val="superscript"/>
        </w:rPr>
        <w:t>1</w:t>
      </w:r>
      <w:r w:rsidRPr="009D288D">
        <w:rPr>
          <w:b/>
          <w:noProof/>
        </w:rPr>
        <w:t>,</w:t>
      </w:r>
      <w:r w:rsidRPr="00CE08C5">
        <w:rPr>
          <w:b/>
        </w:rPr>
        <w:t xml:space="preserve"> Natalie</w:t>
      </w:r>
      <w:r w:rsidR="00067D4B">
        <w:rPr>
          <w:b/>
        </w:rPr>
        <w:t xml:space="preserve"> J</w:t>
      </w:r>
      <w:r w:rsidRPr="00CE08C5">
        <w:rPr>
          <w:b/>
        </w:rPr>
        <w:t xml:space="preserve"> Ives</w:t>
      </w:r>
      <w:r w:rsidRPr="00CE08C5">
        <w:rPr>
          <w:b/>
          <w:vertAlign w:val="superscript"/>
        </w:rPr>
        <w:t>4</w:t>
      </w:r>
      <w:r w:rsidRPr="00CE08C5">
        <w:rPr>
          <w:b/>
        </w:rPr>
        <w:t>, Rebecca</w:t>
      </w:r>
      <w:r w:rsidR="00067D4B">
        <w:rPr>
          <w:b/>
        </w:rPr>
        <w:t xml:space="preserve"> L</w:t>
      </w:r>
      <w:r w:rsidRPr="00CE08C5">
        <w:rPr>
          <w:b/>
        </w:rPr>
        <w:t xml:space="preserve"> Woolley</w:t>
      </w:r>
      <w:r w:rsidRPr="00CE08C5">
        <w:rPr>
          <w:b/>
          <w:vertAlign w:val="superscript"/>
        </w:rPr>
        <w:t>4</w:t>
      </w:r>
      <w:r w:rsidRPr="00CE08C5">
        <w:rPr>
          <w:b/>
        </w:rPr>
        <w:t>, Carole Cummins</w:t>
      </w:r>
      <w:r w:rsidRPr="00CE08C5">
        <w:rPr>
          <w:b/>
          <w:vertAlign w:val="superscript"/>
        </w:rPr>
        <w:t>5</w:t>
      </w:r>
      <w:r w:rsidRPr="00CE08C5">
        <w:rPr>
          <w:b/>
        </w:rPr>
        <w:t xml:space="preserve">, </w:t>
      </w:r>
      <w:r w:rsidR="008C63D5" w:rsidRPr="00CE08C5">
        <w:rPr>
          <w:b/>
        </w:rPr>
        <w:t xml:space="preserve">Elizabeth </w:t>
      </w:r>
      <w:r w:rsidR="00067D4B">
        <w:rPr>
          <w:b/>
        </w:rPr>
        <w:t xml:space="preserve">A </w:t>
      </w:r>
      <w:r w:rsidR="008C63D5" w:rsidRPr="00CE08C5">
        <w:rPr>
          <w:b/>
        </w:rPr>
        <w:t>Brettell</w:t>
      </w:r>
      <w:r w:rsidR="008C63D5" w:rsidRPr="00CE08C5">
        <w:rPr>
          <w:b/>
          <w:vertAlign w:val="superscript"/>
        </w:rPr>
        <w:t>4</w:t>
      </w:r>
      <w:r w:rsidR="008C63D5" w:rsidRPr="00CE08C5">
        <w:rPr>
          <w:b/>
        </w:rPr>
        <w:t xml:space="preserve">, </w:t>
      </w:r>
      <w:r w:rsidRPr="00CE08C5">
        <w:rPr>
          <w:b/>
        </w:rPr>
        <w:t>Emma</w:t>
      </w:r>
      <w:r w:rsidR="00067D4B">
        <w:rPr>
          <w:b/>
        </w:rPr>
        <w:t xml:space="preserve"> N</w:t>
      </w:r>
      <w:r w:rsidRPr="00CE08C5">
        <w:rPr>
          <w:b/>
        </w:rPr>
        <w:t xml:space="preserve"> Barsoum</w:t>
      </w:r>
      <w:r w:rsidRPr="00CE08C5">
        <w:rPr>
          <w:b/>
          <w:vertAlign w:val="superscript"/>
        </w:rPr>
        <w:t>4</w:t>
      </w:r>
      <w:r>
        <w:rPr>
          <w:b/>
        </w:rPr>
        <w:t xml:space="preserve">, </w:t>
      </w:r>
      <w:r w:rsidR="003F6286" w:rsidRPr="00CE08C5">
        <w:rPr>
          <w:b/>
        </w:rPr>
        <w:t>Nicholas J A Webb</w:t>
      </w:r>
      <w:r w:rsidR="003F6286" w:rsidRPr="00CE08C5">
        <w:rPr>
          <w:b/>
          <w:vertAlign w:val="superscript"/>
        </w:rPr>
        <w:t xml:space="preserve">2, </w:t>
      </w:r>
      <w:r w:rsidR="003F6286" w:rsidRPr="009D288D">
        <w:rPr>
          <w:b/>
          <w:noProof/>
          <w:vertAlign w:val="superscript"/>
        </w:rPr>
        <w:t>3</w:t>
      </w:r>
      <w:r w:rsidR="003F6286">
        <w:rPr>
          <w:b/>
          <w:noProof/>
          <w:vertAlign w:val="superscript"/>
        </w:rPr>
        <w:t xml:space="preserve"> </w:t>
      </w:r>
      <w:r>
        <w:rPr>
          <w:b/>
          <w:bCs/>
        </w:rPr>
        <w:t>on behalf of the PREDNOS trial team</w:t>
      </w:r>
    </w:p>
    <w:p w14:paraId="2BC72F6A" w14:textId="77777777" w:rsidR="00DB6A0E" w:rsidRPr="006B7C4C" w:rsidRDefault="00DB6A0E" w:rsidP="00DB6A0E">
      <w:pPr>
        <w:pStyle w:val="ListParagraph"/>
        <w:numPr>
          <w:ilvl w:val="0"/>
          <w:numId w:val="2"/>
        </w:numPr>
        <w:spacing w:after="0" w:line="276" w:lineRule="auto"/>
        <w:ind w:left="360"/>
        <w:rPr>
          <w:sz w:val="20"/>
          <w:szCs w:val="20"/>
        </w:rPr>
      </w:pPr>
      <w:r w:rsidRPr="006B7C4C">
        <w:rPr>
          <w:sz w:val="20"/>
          <w:szCs w:val="20"/>
        </w:rPr>
        <w:t>Health Economics Unit, University of Birmingham, Birmingham, UK</w:t>
      </w:r>
    </w:p>
    <w:p w14:paraId="1372B487" w14:textId="77777777" w:rsidR="00DB6A0E" w:rsidRPr="006B7C4C" w:rsidRDefault="00DB6A0E" w:rsidP="00DB6A0E">
      <w:pPr>
        <w:pStyle w:val="ListParagraph"/>
        <w:numPr>
          <w:ilvl w:val="0"/>
          <w:numId w:val="2"/>
        </w:numPr>
        <w:spacing w:after="0" w:line="276" w:lineRule="auto"/>
        <w:ind w:left="360"/>
        <w:rPr>
          <w:sz w:val="20"/>
          <w:szCs w:val="20"/>
        </w:rPr>
      </w:pPr>
      <w:r w:rsidRPr="006B7C4C">
        <w:rPr>
          <w:sz w:val="20"/>
          <w:szCs w:val="20"/>
        </w:rPr>
        <w:t>National Institute for Health Research Medicines for Children Research Network, Nephrology Clinical Studies Group, UK.</w:t>
      </w:r>
    </w:p>
    <w:p w14:paraId="3EE1A958" w14:textId="4A0E0797" w:rsidR="00DB6A0E" w:rsidRDefault="00DB6A0E" w:rsidP="00DB6A0E">
      <w:pPr>
        <w:pStyle w:val="ListParagraph"/>
        <w:numPr>
          <w:ilvl w:val="0"/>
          <w:numId w:val="2"/>
        </w:numPr>
        <w:spacing w:after="0" w:line="276" w:lineRule="auto"/>
        <w:ind w:left="360"/>
        <w:rPr>
          <w:sz w:val="20"/>
          <w:szCs w:val="20"/>
        </w:rPr>
      </w:pPr>
      <w:r w:rsidRPr="006B7C4C">
        <w:rPr>
          <w:sz w:val="20"/>
          <w:szCs w:val="20"/>
        </w:rPr>
        <w:t>Department of Paediatric Nephrology and NIHR/Wellcome Trust Children's Clinical Research Facility, University of Manchester, Manchester Academic Health Science Centre, Royal Manchester Children's Hospital, Manchester, UK</w:t>
      </w:r>
    </w:p>
    <w:p w14:paraId="53EFF1D9" w14:textId="6FC93D42" w:rsidR="00DB6A0E" w:rsidRDefault="00DB6A0E" w:rsidP="00DB6A0E">
      <w:pPr>
        <w:pStyle w:val="ListParagraph"/>
        <w:numPr>
          <w:ilvl w:val="0"/>
          <w:numId w:val="2"/>
        </w:numPr>
        <w:spacing w:after="0" w:line="276" w:lineRule="auto"/>
        <w:ind w:left="360"/>
        <w:rPr>
          <w:sz w:val="20"/>
          <w:szCs w:val="20"/>
        </w:rPr>
      </w:pPr>
      <w:r>
        <w:rPr>
          <w:sz w:val="20"/>
          <w:szCs w:val="20"/>
        </w:rPr>
        <w:t xml:space="preserve">Birmingham Clinical Trials Unit, </w:t>
      </w:r>
      <w:r w:rsidRPr="00DB6A0E">
        <w:rPr>
          <w:sz w:val="20"/>
          <w:szCs w:val="20"/>
        </w:rPr>
        <w:t>University of Birmingham</w:t>
      </w:r>
      <w:r>
        <w:rPr>
          <w:sz w:val="20"/>
          <w:szCs w:val="20"/>
        </w:rPr>
        <w:t>, Birmingham, UK</w:t>
      </w:r>
    </w:p>
    <w:p w14:paraId="7814D926" w14:textId="1BE8AFE9" w:rsidR="006A6FB6" w:rsidRPr="009D288D" w:rsidRDefault="00DB6A0E" w:rsidP="00DB6A0E">
      <w:pPr>
        <w:pStyle w:val="ListParagraph"/>
        <w:numPr>
          <w:ilvl w:val="0"/>
          <w:numId w:val="2"/>
        </w:numPr>
        <w:spacing w:after="0" w:line="480" w:lineRule="auto"/>
        <w:ind w:left="360"/>
        <w:rPr>
          <w:sz w:val="20"/>
          <w:szCs w:val="20"/>
        </w:rPr>
      </w:pPr>
      <w:r>
        <w:rPr>
          <w:sz w:val="20"/>
          <w:szCs w:val="20"/>
        </w:rPr>
        <w:t xml:space="preserve">Institute </w:t>
      </w:r>
      <w:r w:rsidRPr="009D288D">
        <w:rPr>
          <w:noProof/>
          <w:sz w:val="20"/>
          <w:szCs w:val="20"/>
        </w:rPr>
        <w:t>of</w:t>
      </w:r>
      <w:r>
        <w:rPr>
          <w:sz w:val="20"/>
          <w:szCs w:val="20"/>
        </w:rPr>
        <w:t xml:space="preserve"> Applied Health Research, </w:t>
      </w:r>
      <w:r w:rsidRPr="00DB6A0E">
        <w:rPr>
          <w:sz w:val="20"/>
          <w:szCs w:val="20"/>
        </w:rPr>
        <w:t>University of Birmingham</w:t>
      </w:r>
      <w:r>
        <w:rPr>
          <w:sz w:val="20"/>
          <w:szCs w:val="20"/>
        </w:rPr>
        <w:t>, Birmingham, UK</w:t>
      </w:r>
    </w:p>
    <w:p w14:paraId="34166C98" w14:textId="77777777" w:rsidR="006A6FB6" w:rsidRDefault="006A6FB6" w:rsidP="00DB6A0E"/>
    <w:p w14:paraId="48B1431A" w14:textId="77777777" w:rsidR="009D288D" w:rsidRDefault="009D288D" w:rsidP="00DB6A0E"/>
    <w:p w14:paraId="536824E5" w14:textId="77777777" w:rsidR="009D288D" w:rsidRDefault="009D288D" w:rsidP="00DB6A0E"/>
    <w:p w14:paraId="7CCE311B" w14:textId="77777777" w:rsidR="00DB6A0E" w:rsidRPr="00DB6A0E" w:rsidRDefault="00DB6A0E" w:rsidP="006A6FB6">
      <w:pPr>
        <w:spacing w:line="240" w:lineRule="auto"/>
        <w:rPr>
          <w:b/>
        </w:rPr>
      </w:pPr>
      <w:r w:rsidRPr="00DB6A0E">
        <w:rPr>
          <w:b/>
        </w:rPr>
        <w:t>Correspondence to</w:t>
      </w:r>
    </w:p>
    <w:p w14:paraId="0D3ED21F" w14:textId="18E99852" w:rsidR="00DB6A0E" w:rsidRPr="00DB6A0E" w:rsidRDefault="00067D4B" w:rsidP="00DB6A0E">
      <w:pPr>
        <w:spacing w:after="0" w:line="240" w:lineRule="auto"/>
      </w:pPr>
      <w:r>
        <w:t>Emma Frew</w:t>
      </w:r>
    </w:p>
    <w:p w14:paraId="3E0FA5BC" w14:textId="77777777" w:rsidR="00DB6A0E" w:rsidRPr="00DB6A0E" w:rsidRDefault="00DB6A0E" w:rsidP="00DB6A0E">
      <w:pPr>
        <w:spacing w:after="0" w:line="240" w:lineRule="auto"/>
      </w:pPr>
      <w:r w:rsidRPr="00DB6A0E">
        <w:t>Health Economics Unit</w:t>
      </w:r>
    </w:p>
    <w:p w14:paraId="7955F928" w14:textId="77777777" w:rsidR="00DB6A0E" w:rsidRPr="00DB6A0E" w:rsidRDefault="00DB6A0E" w:rsidP="00DB6A0E">
      <w:pPr>
        <w:spacing w:after="0" w:line="240" w:lineRule="auto"/>
      </w:pPr>
      <w:r w:rsidRPr="00DB6A0E">
        <w:t>Occupational Health Building (Y16)</w:t>
      </w:r>
    </w:p>
    <w:p w14:paraId="724467E4" w14:textId="77777777" w:rsidR="00DB6A0E" w:rsidRPr="00DB6A0E" w:rsidRDefault="00DB6A0E" w:rsidP="00DB6A0E">
      <w:pPr>
        <w:spacing w:after="0" w:line="240" w:lineRule="auto"/>
      </w:pPr>
      <w:r w:rsidRPr="00DB6A0E">
        <w:t>School of Health and Population Sciences</w:t>
      </w:r>
    </w:p>
    <w:p w14:paraId="4552997A" w14:textId="77777777" w:rsidR="00DB6A0E" w:rsidRPr="00DB6A0E" w:rsidRDefault="00DB6A0E" w:rsidP="00DB6A0E">
      <w:pPr>
        <w:spacing w:after="0" w:line="240" w:lineRule="auto"/>
      </w:pPr>
      <w:r w:rsidRPr="00DB6A0E">
        <w:t>University of Birmingham</w:t>
      </w:r>
    </w:p>
    <w:p w14:paraId="0CD6BCB5" w14:textId="77777777" w:rsidR="00DB6A0E" w:rsidRPr="00DB6A0E" w:rsidRDefault="00DB6A0E" w:rsidP="00DB6A0E">
      <w:pPr>
        <w:spacing w:after="0" w:line="240" w:lineRule="auto"/>
      </w:pPr>
      <w:r w:rsidRPr="00DB6A0E">
        <w:t>Edgbaston</w:t>
      </w:r>
    </w:p>
    <w:p w14:paraId="25122800" w14:textId="77777777" w:rsidR="00DB6A0E" w:rsidRPr="00DB6A0E" w:rsidRDefault="00DB6A0E" w:rsidP="00DB6A0E">
      <w:pPr>
        <w:spacing w:after="0" w:line="240" w:lineRule="auto"/>
      </w:pPr>
      <w:r w:rsidRPr="00DB6A0E">
        <w:t>Birmingham B15 2TT</w:t>
      </w:r>
    </w:p>
    <w:p w14:paraId="44953CF9" w14:textId="548541B4" w:rsidR="00DB6A0E" w:rsidRPr="00DB6A0E" w:rsidRDefault="00DB6A0E" w:rsidP="00DB6A0E">
      <w:pPr>
        <w:spacing w:after="0" w:line="240" w:lineRule="auto"/>
      </w:pPr>
      <w:r w:rsidRPr="00DB6A0E">
        <w:t xml:space="preserve">Email: </w:t>
      </w:r>
      <w:hyperlink r:id="rId9" w:history="1">
        <w:r w:rsidR="00067D4B" w:rsidRPr="00067D4B">
          <w:rPr>
            <w:rStyle w:val="Hyperlink"/>
          </w:rPr>
          <w:t>e.frew@bham.ac.uk</w:t>
        </w:r>
      </w:hyperlink>
    </w:p>
    <w:p w14:paraId="4312F90A" w14:textId="17366DE9" w:rsidR="00DB6A0E" w:rsidRDefault="00DB6A0E" w:rsidP="006A6FB6">
      <w:pPr>
        <w:spacing w:after="0" w:line="240" w:lineRule="auto"/>
        <w:rPr>
          <w:rStyle w:val="Hyperlink"/>
          <w:bdr w:val="none" w:sz="0" w:space="0" w:color="auto" w:frame="1"/>
          <w:shd w:val="clear" w:color="auto" w:fill="FFFFFF"/>
        </w:rPr>
      </w:pPr>
      <w:r w:rsidRPr="00DB6A0E">
        <w:t xml:space="preserve">Tel: </w:t>
      </w:r>
      <w:r w:rsidRPr="00DB6A0E">
        <w:rPr>
          <w:bdr w:val="none" w:sz="0" w:space="0" w:color="auto" w:frame="1"/>
          <w:shd w:val="clear" w:color="auto" w:fill="FFFFFF"/>
        </w:rPr>
        <w:t xml:space="preserve">+44 (0)121 414 </w:t>
      </w:r>
      <w:r w:rsidR="00067D4B">
        <w:rPr>
          <w:bdr w:val="none" w:sz="0" w:space="0" w:color="auto" w:frame="1"/>
          <w:shd w:val="clear" w:color="auto" w:fill="FFFFFF"/>
        </w:rPr>
        <w:t>3199</w:t>
      </w:r>
    </w:p>
    <w:p w14:paraId="4879B768" w14:textId="77777777" w:rsidR="006A6FB6" w:rsidRPr="006A6FB6" w:rsidRDefault="006A6FB6" w:rsidP="006A6FB6">
      <w:pPr>
        <w:spacing w:after="0" w:line="240" w:lineRule="auto"/>
        <w:rPr>
          <w:color w:val="0000FF"/>
          <w:u w:val="single"/>
          <w:bdr w:val="none" w:sz="0" w:space="0" w:color="auto" w:frame="1"/>
          <w:shd w:val="clear" w:color="auto" w:fill="FFFFFF"/>
        </w:rPr>
      </w:pPr>
    </w:p>
    <w:p w14:paraId="72A1A737" w14:textId="2CEC0E16" w:rsidR="00DB6A0E" w:rsidRPr="00DB6A0E" w:rsidRDefault="00DB6A0E" w:rsidP="00DB6A0E">
      <w:pPr>
        <w:spacing w:line="480" w:lineRule="auto"/>
        <w:rPr>
          <w:bCs/>
        </w:rPr>
      </w:pPr>
      <w:r w:rsidRPr="009D288D">
        <w:rPr>
          <w:b/>
          <w:bCs/>
          <w:noProof/>
        </w:rPr>
        <w:t>Key words</w:t>
      </w:r>
      <w:r>
        <w:rPr>
          <w:bCs/>
        </w:rPr>
        <w:t xml:space="preserve">: HRQoL; </w:t>
      </w:r>
      <w:r w:rsidR="0043182C">
        <w:rPr>
          <w:bCs/>
        </w:rPr>
        <w:t xml:space="preserve">Peds-QL; </w:t>
      </w:r>
      <w:r>
        <w:rPr>
          <w:bCs/>
        </w:rPr>
        <w:t>CHU-9D; Mapping; Economic evaluation; Utility</w:t>
      </w:r>
    </w:p>
    <w:p w14:paraId="5D4B4016" w14:textId="0E1CF217" w:rsidR="00102970" w:rsidRDefault="00DB6A0E" w:rsidP="00DB6A0E">
      <w:pPr>
        <w:pStyle w:val="Heading2"/>
        <w:numPr>
          <w:ilvl w:val="0"/>
          <w:numId w:val="0"/>
        </w:numPr>
      </w:pPr>
      <w:bookmarkStart w:id="3" w:name="_Toc478982334"/>
      <w:r>
        <w:lastRenderedPageBreak/>
        <w:t>A</w:t>
      </w:r>
      <w:r w:rsidR="006A6FB6">
        <w:t>bstract</w:t>
      </w:r>
    </w:p>
    <w:p w14:paraId="7C6C3025" w14:textId="61B946B1" w:rsidR="00DB6A0E" w:rsidRDefault="00DB6A0E" w:rsidP="00DB6A0E">
      <w:pPr>
        <w:spacing w:after="240"/>
      </w:pPr>
      <w:r w:rsidRPr="00DB6A0E">
        <w:rPr>
          <w:i/>
        </w:rPr>
        <w:t>Background</w:t>
      </w:r>
      <w:r>
        <w:t xml:space="preserve">   The paediatric Quality of life Inventory (PedsQL™ ) questionnaire is a widely used, generic instrument designed for measuring health-related quality of life (HRQoL); however, it is not preference-based and therefore not su</w:t>
      </w:r>
      <w:r w:rsidR="00B83400">
        <w:t>itable for cost-utility analysis</w:t>
      </w:r>
      <w:r>
        <w:t xml:space="preserve">. The </w:t>
      </w:r>
      <w:r w:rsidR="0043182C">
        <w:t>Child Health Utility Index</w:t>
      </w:r>
      <w:r>
        <w:t xml:space="preserve">-9 dimension (CHU-9D) </w:t>
      </w:r>
      <w:r w:rsidR="00B83400">
        <w:t xml:space="preserve">however </w:t>
      </w:r>
      <w:r>
        <w:t>is a preference-based instrument that has been primarily developed to s</w:t>
      </w:r>
      <w:r w:rsidR="00B83400">
        <w:t>upport cost-utility analysis</w:t>
      </w:r>
      <w:r>
        <w:t>.</w:t>
      </w:r>
    </w:p>
    <w:p w14:paraId="5FFCDE17" w14:textId="10790BB3" w:rsidR="00DB6A0E" w:rsidRDefault="00DB6A0E" w:rsidP="00DB6A0E">
      <w:pPr>
        <w:spacing w:after="240"/>
      </w:pPr>
      <w:r w:rsidRPr="00DB6A0E">
        <w:rPr>
          <w:i/>
        </w:rPr>
        <w:t>Objective</w:t>
      </w:r>
      <w:r>
        <w:t xml:space="preserve">   This paper presents a method for estimating CHU-9D index score</w:t>
      </w:r>
      <w:r w:rsidR="00E93AE6">
        <w:t>s</w:t>
      </w:r>
      <w:r>
        <w:t xml:space="preserve"> from respon</w:t>
      </w:r>
      <w:r w:rsidR="00B83400">
        <w:t>ses to the PedsQL™</w:t>
      </w:r>
      <w:r w:rsidR="006A6FB6">
        <w:t xml:space="preserve"> using data from a randomised controlled trial of prednisolone therapy for treatment of </w:t>
      </w:r>
      <w:r w:rsidR="00F94D11">
        <w:t xml:space="preserve">childhood </w:t>
      </w:r>
      <w:r w:rsidR="006A6FB6" w:rsidRPr="00D41833">
        <w:rPr>
          <w:noProof/>
        </w:rPr>
        <w:t>steroid-sensitive</w:t>
      </w:r>
      <w:r w:rsidR="006A6FB6">
        <w:t xml:space="preserve"> nephrotic syndrome</w:t>
      </w:r>
      <w:r>
        <w:t>.</w:t>
      </w:r>
    </w:p>
    <w:p w14:paraId="56CF1A98" w14:textId="70827699" w:rsidR="006A6FB6" w:rsidRDefault="00DB6A0E" w:rsidP="00DB6A0E">
      <w:pPr>
        <w:spacing w:after="240"/>
      </w:pPr>
      <w:r>
        <w:rPr>
          <w:i/>
        </w:rPr>
        <w:t>Methods</w:t>
      </w:r>
      <w:r>
        <w:rPr>
          <w:b/>
        </w:rPr>
        <w:t xml:space="preserve">  </w:t>
      </w:r>
      <w:r>
        <w:t xml:space="preserve"> </w:t>
      </w:r>
      <w:r w:rsidR="006A6FB6">
        <w:t xml:space="preserve">HRQoL data </w:t>
      </w:r>
      <w:r w:rsidR="006A6FB6" w:rsidRPr="009D288D">
        <w:rPr>
          <w:noProof/>
        </w:rPr>
        <w:t>was</w:t>
      </w:r>
      <w:r w:rsidR="006A6FB6" w:rsidRPr="00D41833">
        <w:rPr>
          <w:noProof/>
        </w:rPr>
        <w:t xml:space="preserve"> collected</w:t>
      </w:r>
      <w:r w:rsidR="006A6FB6">
        <w:t xml:space="preserve"> from children at </w:t>
      </w:r>
      <w:r w:rsidR="006A6FB6" w:rsidRPr="009D288D">
        <w:rPr>
          <w:noProof/>
        </w:rPr>
        <w:t>randomisation</w:t>
      </w:r>
      <w:r w:rsidR="00B83400">
        <w:t>,</w:t>
      </w:r>
      <w:r w:rsidR="006A6FB6">
        <w:t xml:space="preserve"> week 16, and month</w:t>
      </w:r>
      <w:r w:rsidR="00B83400">
        <w:t>s</w:t>
      </w:r>
      <w:r w:rsidR="006A6FB6">
        <w:t xml:space="preserve"> 12, 18, 24, 36 and 48. Observations on children aged </w:t>
      </w:r>
      <w:r w:rsidR="006A6FB6" w:rsidRPr="009D288D">
        <w:rPr>
          <w:noProof/>
        </w:rPr>
        <w:t>5</w:t>
      </w:r>
      <w:r w:rsidR="006A6FB6">
        <w:t xml:space="preserve"> years and older were pooled across all data collection </w:t>
      </w:r>
      <w:r w:rsidR="006A6FB6" w:rsidRPr="009D288D">
        <w:rPr>
          <w:noProof/>
        </w:rPr>
        <w:t>time-points</w:t>
      </w:r>
      <w:r w:rsidR="006A6FB6" w:rsidRPr="006A6FB6">
        <w:rPr>
          <w:noProof/>
        </w:rPr>
        <w:t>,</w:t>
      </w:r>
      <w:r w:rsidR="006A6FB6">
        <w:t xml:space="preserve"> and were then randomised into </w:t>
      </w:r>
      <w:r w:rsidR="00B83400">
        <w:t xml:space="preserve">an </w:t>
      </w:r>
      <w:r w:rsidR="006A6FB6">
        <w:t xml:space="preserve">estimation (n=279) and validation (n=284) sample. </w:t>
      </w:r>
      <w:r w:rsidR="006A6FB6" w:rsidRPr="009D288D">
        <w:rPr>
          <w:noProof/>
        </w:rPr>
        <w:t>A number of</w:t>
      </w:r>
      <w:r w:rsidR="006A6FB6">
        <w:t xml:space="preserve"> models </w:t>
      </w:r>
      <w:r w:rsidR="006A6FB6" w:rsidRPr="006A6FB6">
        <w:rPr>
          <w:noProof/>
        </w:rPr>
        <w:t>were developed</w:t>
      </w:r>
      <w:r w:rsidR="00B83400">
        <w:t xml:space="preserve"> using</w:t>
      </w:r>
      <w:r w:rsidR="006A6FB6">
        <w:t xml:space="preserve"> the estimation data before </w:t>
      </w:r>
      <w:r w:rsidR="006A6FB6" w:rsidRPr="006A6FB6">
        <w:rPr>
          <w:noProof/>
        </w:rPr>
        <w:t>internal</w:t>
      </w:r>
      <w:r w:rsidR="006A6FB6">
        <w:t xml:space="preserve"> </w:t>
      </w:r>
      <w:r w:rsidR="00B83400">
        <w:t>validat</w:t>
      </w:r>
      <w:r w:rsidR="0043182C">
        <w:t>ion</w:t>
      </w:r>
      <w:r w:rsidR="006A6FB6">
        <w:t>. The best model was chosen using multi-stage selection criteria</w:t>
      </w:r>
      <w:r w:rsidR="0043182C">
        <w:t>.</w:t>
      </w:r>
    </w:p>
    <w:p w14:paraId="11FE3E1F" w14:textId="76CDA38E" w:rsidR="00DB6A0E" w:rsidRDefault="00DB6A0E" w:rsidP="00DB6A0E">
      <w:pPr>
        <w:spacing w:after="240"/>
      </w:pPr>
      <w:r>
        <w:rPr>
          <w:i/>
        </w:rPr>
        <w:t>Results</w:t>
      </w:r>
      <w:r>
        <w:t xml:space="preserve">   </w:t>
      </w:r>
      <w:r w:rsidR="006A6FB6">
        <w:t>Most of the models developed accurately predict</w:t>
      </w:r>
      <w:r w:rsidR="00B83400">
        <w:t>ed the CHU-9D mean index</w:t>
      </w:r>
      <w:r w:rsidR="006A6FB6">
        <w:t xml:space="preserve"> score. The best perfo</w:t>
      </w:r>
      <w:r w:rsidR="00B83400">
        <w:t xml:space="preserve">rming model </w:t>
      </w:r>
      <w:r w:rsidR="006A6FB6">
        <w:t>was a generalised linear model (MAE=0.0408; MSE=0.0035</w:t>
      </w:r>
      <w:r>
        <w:t xml:space="preserve">). The </w:t>
      </w:r>
      <w:r w:rsidR="00B83400">
        <w:t>proportion of index scores</w:t>
      </w:r>
      <w:r w:rsidR="006A6FB6">
        <w:t xml:space="preserve"> deviat</w:t>
      </w:r>
      <w:r w:rsidR="00B83400">
        <w:t>ing from the observed scores</w:t>
      </w:r>
      <w:r w:rsidR="006A6FB6">
        <w:t xml:space="preserve"> by &lt;0.03 was 53%</w:t>
      </w:r>
      <w:r>
        <w:t>.</w:t>
      </w:r>
    </w:p>
    <w:p w14:paraId="3A0F96E0" w14:textId="4CD0930D" w:rsidR="00DB6A0E" w:rsidRDefault="00DB6A0E" w:rsidP="00102970">
      <w:pPr>
        <w:spacing w:after="240"/>
      </w:pPr>
      <w:r w:rsidRPr="00DB6A0E">
        <w:rPr>
          <w:i/>
        </w:rPr>
        <w:t>Conclusion</w:t>
      </w:r>
      <w:r>
        <w:rPr>
          <w:i/>
        </w:rPr>
        <w:t>s</w:t>
      </w:r>
      <w:r>
        <w:t xml:space="preserve">   The mapping algorithm provides an empirical tool for estimating </w:t>
      </w:r>
      <w:r w:rsidR="00B83400">
        <w:t>CHU-9D index scores and for conducting cost-utility analyses within clinical studies that have only collected PedsQL™ data</w:t>
      </w:r>
      <w:r>
        <w:t>.</w:t>
      </w:r>
      <w:r w:rsidR="00B83400">
        <w:t xml:space="preserve"> </w:t>
      </w:r>
      <w:r>
        <w:t xml:space="preserve"> It is valid for children aged </w:t>
      </w:r>
      <w:r w:rsidRPr="009D288D">
        <w:rPr>
          <w:noProof/>
        </w:rPr>
        <w:t>5</w:t>
      </w:r>
      <w:r>
        <w:t xml:space="preserve"> years o</w:t>
      </w:r>
      <w:r w:rsidR="00DE1B98">
        <w:t xml:space="preserve">r older. </w:t>
      </w:r>
      <w:r w:rsidR="00F94D11">
        <w:t xml:space="preserve">Caution should </w:t>
      </w:r>
      <w:r w:rsidR="00F94D11" w:rsidRPr="009D288D">
        <w:rPr>
          <w:noProof/>
        </w:rPr>
        <w:t>be exercised</w:t>
      </w:r>
      <w:r w:rsidR="00F94D11">
        <w:t xml:space="preserve"> when using this with</w:t>
      </w:r>
      <w:r w:rsidR="00CE08C5">
        <w:t xml:space="preserve"> </w:t>
      </w:r>
      <w:r w:rsidR="00F94D11">
        <w:t>children</w:t>
      </w:r>
      <w:r w:rsidR="00CE08C5">
        <w:t xml:space="preserve"> younger than </w:t>
      </w:r>
      <w:r w:rsidR="00CE08C5" w:rsidRPr="009D288D">
        <w:rPr>
          <w:noProof/>
        </w:rPr>
        <w:t>5</w:t>
      </w:r>
      <w:r w:rsidR="00CE08C5">
        <w:t xml:space="preserve"> years</w:t>
      </w:r>
      <w:r w:rsidR="0043182C">
        <w:t>, older adolescents</w:t>
      </w:r>
      <w:r w:rsidR="00CE08C5">
        <w:t xml:space="preserve"> (&gt;13 years)</w:t>
      </w:r>
      <w:r w:rsidR="00F94D11">
        <w:t xml:space="preserve"> </w:t>
      </w:r>
      <w:r w:rsidR="00E93AE6">
        <w:t>or patient</w:t>
      </w:r>
      <w:r w:rsidR="0043182C">
        <w:t xml:space="preserve"> groups with </w:t>
      </w:r>
      <w:r w:rsidR="0043182C" w:rsidRPr="009D288D">
        <w:rPr>
          <w:noProof/>
        </w:rPr>
        <w:t>particularly</w:t>
      </w:r>
      <w:r w:rsidR="0043182C">
        <w:t xml:space="preserve"> poor quality of life.</w:t>
      </w:r>
    </w:p>
    <w:p w14:paraId="7952DDEA" w14:textId="77777777" w:rsidR="003F707B" w:rsidRDefault="003F707B" w:rsidP="00102970">
      <w:pPr>
        <w:spacing w:after="240"/>
      </w:pPr>
    </w:p>
    <w:p w14:paraId="7B185483" w14:textId="77777777" w:rsidR="003F707B" w:rsidRDefault="003F707B" w:rsidP="00102970">
      <w:pPr>
        <w:spacing w:after="240"/>
      </w:pPr>
    </w:p>
    <w:p w14:paraId="6F6F2531" w14:textId="77777777" w:rsidR="003F707B" w:rsidRDefault="003F707B" w:rsidP="00102970">
      <w:pPr>
        <w:spacing w:after="240"/>
      </w:pPr>
    </w:p>
    <w:p w14:paraId="571758B4" w14:textId="77777777" w:rsidR="003F707B" w:rsidRDefault="003F707B" w:rsidP="00102970">
      <w:pPr>
        <w:spacing w:after="240"/>
      </w:pPr>
    </w:p>
    <w:p w14:paraId="2E5BD22B" w14:textId="77777777" w:rsidR="003F707B" w:rsidRDefault="003F707B" w:rsidP="00102970">
      <w:pPr>
        <w:spacing w:after="240"/>
      </w:pPr>
    </w:p>
    <w:p w14:paraId="06A50FCA" w14:textId="139A81D5" w:rsidR="003F707B" w:rsidRDefault="003F707B" w:rsidP="00102970">
      <w:pPr>
        <w:spacing w:after="240"/>
      </w:pPr>
      <w:r w:rsidRPr="003F707B">
        <w:rPr>
          <w:b/>
        </w:rPr>
        <w:t>ISRCTN</w:t>
      </w:r>
      <w:r w:rsidRPr="003F707B">
        <w:t xml:space="preserve"> 16645249</w:t>
      </w:r>
    </w:p>
    <w:p w14:paraId="2C1BF80C" w14:textId="0CED2F2E" w:rsidR="009D288D" w:rsidRPr="009D288D" w:rsidRDefault="006821B5" w:rsidP="009D288D">
      <w:pPr>
        <w:pageBreakBefore/>
        <w:spacing w:after="240"/>
        <w:rPr>
          <w:b/>
        </w:rPr>
      </w:pPr>
      <w:r w:rsidRPr="006821B5">
        <w:rPr>
          <w:b/>
        </w:rPr>
        <w:lastRenderedPageBreak/>
        <w:t>Key Points</w:t>
      </w:r>
    </w:p>
    <w:p w14:paraId="5DC3E6D6" w14:textId="04508A10" w:rsidR="009D288D" w:rsidRDefault="009D288D" w:rsidP="009D288D">
      <w:pPr>
        <w:spacing w:after="240"/>
      </w:pPr>
      <w:r>
        <w:t xml:space="preserve">PedsQL™ is a widely used tool/questionnaire for measuring health-related quality of life in children and adolescents but it is unsuitable for calculating quality-adjusted life-years (QALY), which </w:t>
      </w:r>
      <w:r w:rsidRPr="001F0125">
        <w:rPr>
          <w:noProof/>
        </w:rPr>
        <w:t>is often required</w:t>
      </w:r>
      <w:r>
        <w:t xml:space="preserve"> for use in economic evaluation.</w:t>
      </w:r>
    </w:p>
    <w:p w14:paraId="03B1243B" w14:textId="396C1B2C" w:rsidR="009D288D" w:rsidRDefault="009D288D" w:rsidP="009D288D">
      <w:pPr>
        <w:spacing w:after="240"/>
      </w:pPr>
      <w:r>
        <w:t xml:space="preserve">CHU-9D </w:t>
      </w:r>
      <w:r w:rsidRPr="001F0125">
        <w:rPr>
          <w:noProof/>
        </w:rPr>
        <w:t>is not as widely used</w:t>
      </w:r>
      <w:r>
        <w:t xml:space="preserve"> as </w:t>
      </w:r>
      <w:r w:rsidRPr="001F0125">
        <w:rPr>
          <w:noProof/>
        </w:rPr>
        <w:t>PedsQL™</w:t>
      </w:r>
      <w:r>
        <w:t xml:space="preserve"> but its scores can generate QALYs. One study has shown that CHU-9D scores can be produced from responses to the PedsQL™ questionnaire in 15-17-year-olds but not for younger children.</w:t>
      </w:r>
    </w:p>
    <w:p w14:paraId="4807AB8B" w14:textId="3DC791B9" w:rsidR="009D288D" w:rsidRDefault="009D288D" w:rsidP="009D288D">
      <w:pPr>
        <w:spacing w:after="240"/>
      </w:pPr>
      <w:r>
        <w:t xml:space="preserve">The algorithm produced in this study now permits the estimation of </w:t>
      </w:r>
      <w:r w:rsidRPr="001F0125">
        <w:rPr>
          <w:noProof/>
        </w:rPr>
        <w:t>CHU-9D</w:t>
      </w:r>
      <w:r>
        <w:t xml:space="preserve"> score from PedsQL™ responses in children as young as </w:t>
      </w:r>
      <w:r w:rsidRPr="001F0125">
        <w:rPr>
          <w:noProof/>
        </w:rPr>
        <w:t>5</w:t>
      </w:r>
      <w:r>
        <w:t xml:space="preserve"> years.</w:t>
      </w:r>
    </w:p>
    <w:p w14:paraId="68443B5A" w14:textId="05901BD0" w:rsidR="00102970" w:rsidRPr="009B11B6" w:rsidRDefault="00DB6A0E" w:rsidP="00DB6A0E">
      <w:pPr>
        <w:pStyle w:val="Heading2"/>
        <w:numPr>
          <w:ilvl w:val="0"/>
          <w:numId w:val="5"/>
        </w:numPr>
      </w:pPr>
      <w:r>
        <w:lastRenderedPageBreak/>
        <w:t>Introduction</w:t>
      </w:r>
    </w:p>
    <w:p w14:paraId="0E479BB3" w14:textId="49DB240B" w:rsidR="00DB6A0E" w:rsidRPr="003D5D24" w:rsidRDefault="00102970" w:rsidP="00102970">
      <w:pPr>
        <w:spacing w:after="240"/>
        <w:rPr>
          <w:rFonts w:eastAsiaTheme="minorEastAsia"/>
        </w:rPr>
      </w:pPr>
      <w:r w:rsidRPr="003D5D24">
        <w:rPr>
          <w:rFonts w:eastAsiaTheme="minorEastAsia"/>
        </w:rPr>
        <w:t>Cost-effectiveness analysis is a comparative asses</w:t>
      </w:r>
      <w:r w:rsidR="00DE1B98" w:rsidRPr="003D5D24">
        <w:rPr>
          <w:rFonts w:eastAsiaTheme="minorEastAsia"/>
        </w:rPr>
        <w:t>sment of both costs and outcomes</w:t>
      </w:r>
      <w:r w:rsidRPr="003D5D24">
        <w:rPr>
          <w:rFonts w:eastAsiaTheme="minorEastAsia"/>
        </w:rPr>
        <w:t xml:space="preserve"> linked to healthcare</w:t>
      </w:r>
      <w:r w:rsidR="00B83400" w:rsidRPr="003D5D24">
        <w:rPr>
          <w:rFonts w:eastAsiaTheme="minorEastAsia"/>
        </w:rPr>
        <w:t xml:space="preserve"> interventions. Evidence of health care </w:t>
      </w:r>
      <w:r w:rsidRPr="003D5D24">
        <w:rPr>
          <w:rFonts w:eastAsiaTheme="minorEastAsia"/>
        </w:rPr>
        <w:t xml:space="preserve">benefits </w:t>
      </w:r>
      <w:r w:rsidRPr="003D5D24">
        <w:rPr>
          <w:rFonts w:eastAsiaTheme="minorEastAsia"/>
          <w:noProof/>
        </w:rPr>
        <w:t>are often synthesised</w:t>
      </w:r>
      <w:r w:rsidRPr="003D5D24">
        <w:rPr>
          <w:rFonts w:eastAsiaTheme="minorEastAsia"/>
        </w:rPr>
        <w:t xml:space="preserve"> from clinical </w:t>
      </w:r>
      <w:r w:rsidRPr="003D5D24">
        <w:rPr>
          <w:rFonts w:eastAsiaTheme="minorEastAsia"/>
          <w:noProof/>
        </w:rPr>
        <w:t>trials</w:t>
      </w:r>
      <w:r w:rsidR="00DB6A0E" w:rsidRPr="003D5D24">
        <w:rPr>
          <w:rFonts w:eastAsiaTheme="minorEastAsia"/>
          <w:noProof/>
        </w:rPr>
        <w:t xml:space="preserve">, public health </w:t>
      </w:r>
      <w:r w:rsidR="00B83400" w:rsidRPr="003D5D24">
        <w:rPr>
          <w:rFonts w:eastAsiaTheme="minorEastAsia"/>
          <w:noProof/>
        </w:rPr>
        <w:t xml:space="preserve">studies </w:t>
      </w:r>
      <w:r w:rsidR="00DB6A0E" w:rsidRPr="003D5D24">
        <w:rPr>
          <w:rFonts w:eastAsiaTheme="minorEastAsia"/>
          <w:noProof/>
        </w:rPr>
        <w:t xml:space="preserve">or </w:t>
      </w:r>
      <w:r w:rsidR="00B83400" w:rsidRPr="003D5D24">
        <w:rPr>
          <w:rFonts w:eastAsiaTheme="minorEastAsia"/>
          <w:noProof/>
        </w:rPr>
        <w:t xml:space="preserve">from </w:t>
      </w:r>
      <w:r w:rsidR="00DB6A0E" w:rsidRPr="003D5D24">
        <w:rPr>
          <w:rFonts w:eastAsiaTheme="minorEastAsia"/>
          <w:noProof/>
        </w:rPr>
        <w:t>other forms of health research. These health benefits are increasingly</w:t>
      </w:r>
      <w:r w:rsidR="006A6FB6" w:rsidRPr="003D5D24">
        <w:rPr>
          <w:rFonts w:eastAsiaTheme="minorEastAsia"/>
          <w:noProof/>
        </w:rPr>
        <w:t xml:space="preserve"> been</w:t>
      </w:r>
      <w:r w:rsidR="006A6FB6" w:rsidRPr="003D5D24">
        <w:rPr>
          <w:rFonts w:eastAsiaTheme="minorEastAsia"/>
        </w:rPr>
        <w:t xml:space="preserve"> </w:t>
      </w:r>
      <w:r w:rsidR="00DB6A0E" w:rsidRPr="003D5D24">
        <w:rPr>
          <w:rFonts w:eastAsiaTheme="minorEastAsia"/>
        </w:rPr>
        <w:t>captured as</w:t>
      </w:r>
      <w:r w:rsidRPr="003D5D24">
        <w:rPr>
          <w:rFonts w:eastAsiaTheme="minorEastAsia"/>
        </w:rPr>
        <w:t xml:space="preserve"> </w:t>
      </w:r>
      <w:r w:rsidR="00DB6A0E" w:rsidRPr="003D5D24">
        <w:rPr>
          <w:rFonts w:eastAsiaTheme="minorEastAsia"/>
        </w:rPr>
        <w:t>HRQoL (Health-related quality of life)</w:t>
      </w:r>
      <w:r w:rsidRPr="003D5D24">
        <w:rPr>
          <w:rFonts w:eastAsiaTheme="minorEastAsia"/>
        </w:rPr>
        <w:t xml:space="preserve"> using either ‘condition-specific’ or ‘generic’ survey instruments. Condition-specific instruments focus on health dimensions relevant to a particular disease whereas generic instruments assess core dimensions of health that are relevant to all conditions </w:t>
      </w:r>
      <w:r w:rsidRPr="003D5D24">
        <w:rPr>
          <w:rFonts w:eastAsiaTheme="minorEastAsia"/>
        </w:rPr>
        <w:fldChar w:fldCharType="begin"/>
      </w:r>
      <w:r w:rsidRPr="003D5D24">
        <w:rPr>
          <w:rFonts w:eastAsiaTheme="minorEastAsia"/>
        </w:rPr>
        <w:instrText>ADDIN RW.CITE{{997 Patrick, Donald L 1989}}</w:instrText>
      </w:r>
      <w:r w:rsidRPr="003D5D24">
        <w:rPr>
          <w:rFonts w:eastAsiaTheme="minorEastAsia"/>
        </w:rPr>
        <w:fldChar w:fldCharType="separate"/>
      </w:r>
      <w:r w:rsidR="00250A10">
        <w:rPr>
          <w:rFonts w:eastAsia="Times New Roman"/>
        </w:rPr>
        <w:t>[1]</w:t>
      </w:r>
      <w:r w:rsidRPr="003D5D24">
        <w:rPr>
          <w:rFonts w:eastAsiaTheme="minorEastAsia"/>
        </w:rPr>
        <w:fldChar w:fldCharType="end"/>
      </w:r>
      <w:r w:rsidRPr="003D5D24">
        <w:rPr>
          <w:rFonts w:eastAsiaTheme="minorEastAsia"/>
        </w:rPr>
        <w:t xml:space="preserve">. Clinical trials tend to use condition-specific instruments as a primary or secondary measure of benefit because these instruments are focused on the specific domains of quality of life that are affected by a condition and are therefore sensitive to treatment effect in these domains. On the other hand, generic instruments measure a broader </w:t>
      </w:r>
      <w:r w:rsidR="005A705A" w:rsidRPr="003D5D24">
        <w:rPr>
          <w:rFonts w:eastAsiaTheme="minorEastAsia"/>
        </w:rPr>
        <w:t>HRQoL</w:t>
      </w:r>
      <w:r w:rsidRPr="003D5D24">
        <w:rPr>
          <w:rFonts w:eastAsiaTheme="minorEastAsia"/>
        </w:rPr>
        <w:t xml:space="preserve"> construct </w:t>
      </w:r>
      <w:r w:rsidRPr="003D5D24">
        <w:rPr>
          <w:rFonts w:eastAsiaTheme="minorEastAsia"/>
        </w:rPr>
        <w:fldChar w:fldCharType="begin"/>
      </w:r>
      <w:r w:rsidRPr="003D5D24">
        <w:rPr>
          <w:rFonts w:eastAsiaTheme="minorEastAsia"/>
        </w:rPr>
        <w:instrText>ADDIN RW.CITE{{996 Coons, Stephen Joel 2000}}</w:instrText>
      </w:r>
      <w:r w:rsidRPr="003D5D24">
        <w:rPr>
          <w:rFonts w:eastAsiaTheme="minorEastAsia"/>
        </w:rPr>
        <w:fldChar w:fldCharType="separate"/>
      </w:r>
      <w:r w:rsidR="00250A10">
        <w:rPr>
          <w:rFonts w:eastAsia="Times New Roman"/>
        </w:rPr>
        <w:t>[2]</w:t>
      </w:r>
      <w:r w:rsidRPr="003D5D24">
        <w:rPr>
          <w:rFonts w:eastAsiaTheme="minorEastAsia"/>
        </w:rPr>
        <w:fldChar w:fldCharType="end"/>
      </w:r>
      <w:r w:rsidRPr="003D5D24">
        <w:rPr>
          <w:rFonts w:eastAsiaTheme="minorEastAsia"/>
        </w:rPr>
        <w:t>; therefore, they allow comparisons of treatment benefit across a wide range of interventions across multi</w:t>
      </w:r>
      <w:r w:rsidR="00B83400" w:rsidRPr="003D5D24">
        <w:rPr>
          <w:rFonts w:eastAsiaTheme="minorEastAsia"/>
        </w:rPr>
        <w:t>ple conditions</w:t>
      </w:r>
      <w:r w:rsidR="00DB6A0E" w:rsidRPr="003D5D24">
        <w:rPr>
          <w:rFonts w:eastAsiaTheme="minorEastAsia"/>
        </w:rPr>
        <w:t xml:space="preserve">. </w:t>
      </w:r>
    </w:p>
    <w:p w14:paraId="2A7F4698" w14:textId="1F06F690" w:rsidR="00102970" w:rsidRPr="003D5D24" w:rsidRDefault="00DB6A0E" w:rsidP="00DB6A0E">
      <w:pPr>
        <w:spacing w:after="240"/>
        <w:rPr>
          <w:rFonts w:eastAsiaTheme="minorEastAsia"/>
        </w:rPr>
      </w:pPr>
      <w:r w:rsidRPr="003D5D24">
        <w:rPr>
          <w:rFonts w:eastAsiaTheme="minorEastAsia"/>
        </w:rPr>
        <w:t>G</w:t>
      </w:r>
      <w:r w:rsidR="00102970" w:rsidRPr="003D5D24">
        <w:rPr>
          <w:rFonts w:eastAsiaTheme="minorEastAsia"/>
        </w:rPr>
        <w:t xml:space="preserve">eneric instruments </w:t>
      </w:r>
      <w:r w:rsidR="00E82B90" w:rsidRPr="003D5D24">
        <w:rPr>
          <w:rFonts w:eastAsiaTheme="minorEastAsia"/>
        </w:rPr>
        <w:t xml:space="preserve">can </w:t>
      </w:r>
      <w:r w:rsidR="00E82B90" w:rsidRPr="003D5D24">
        <w:rPr>
          <w:rFonts w:eastAsiaTheme="minorEastAsia"/>
          <w:noProof/>
        </w:rPr>
        <w:t>be</w:t>
      </w:r>
      <w:r w:rsidRPr="003D5D24">
        <w:rPr>
          <w:rFonts w:eastAsiaTheme="minorEastAsia"/>
          <w:noProof/>
        </w:rPr>
        <w:t xml:space="preserve"> further</w:t>
      </w:r>
      <w:r w:rsidR="00102970" w:rsidRPr="003D5D24">
        <w:rPr>
          <w:rFonts w:eastAsiaTheme="minorEastAsia"/>
          <w:noProof/>
        </w:rPr>
        <w:t xml:space="preserve"> classed</w:t>
      </w:r>
      <w:r w:rsidR="00102970" w:rsidRPr="003D5D24">
        <w:rPr>
          <w:rFonts w:eastAsiaTheme="minorEastAsia"/>
        </w:rPr>
        <w:t xml:space="preserve"> as either ‘preference’ or ‘non-preference-based’.</w:t>
      </w:r>
      <w:r w:rsidRPr="003D5D24">
        <w:rPr>
          <w:rFonts w:eastAsiaTheme="minorEastAsia"/>
        </w:rPr>
        <w:t xml:space="preserve"> </w:t>
      </w:r>
      <w:r w:rsidR="00102970" w:rsidRPr="003D5D24">
        <w:rPr>
          <w:rFonts w:eastAsiaTheme="minorEastAsia"/>
        </w:rPr>
        <w:t xml:space="preserve">Preference-based generic instruments attach weights to the domains of health to reflect a stronger preference for one aspect of </w:t>
      </w:r>
      <w:r w:rsidR="005A705A" w:rsidRPr="003D5D24">
        <w:rPr>
          <w:rFonts w:eastAsiaTheme="minorEastAsia"/>
        </w:rPr>
        <w:t>HRQoL</w:t>
      </w:r>
      <w:r w:rsidR="00102970" w:rsidRPr="003D5D24">
        <w:rPr>
          <w:rFonts w:eastAsiaTheme="minorEastAsia"/>
        </w:rPr>
        <w:t xml:space="preserve"> over another, </w:t>
      </w:r>
      <w:r w:rsidR="00102970" w:rsidRPr="003D5D24">
        <w:rPr>
          <w:rFonts w:eastAsiaTheme="minorEastAsia"/>
          <w:noProof/>
        </w:rPr>
        <w:t>in order to</w:t>
      </w:r>
      <w:r w:rsidR="00102970" w:rsidRPr="003D5D24">
        <w:rPr>
          <w:rFonts w:eastAsiaTheme="minorEastAsia"/>
        </w:rPr>
        <w:t xml:space="preserve"> generate a single index/score of </w:t>
      </w:r>
      <w:r w:rsidR="005A705A" w:rsidRPr="003D5D24">
        <w:rPr>
          <w:rFonts w:eastAsiaTheme="minorEastAsia"/>
        </w:rPr>
        <w:t>HRQoL</w:t>
      </w:r>
      <w:r w:rsidR="00102970" w:rsidRPr="003D5D24">
        <w:rPr>
          <w:rFonts w:eastAsiaTheme="minorEastAsia"/>
        </w:rPr>
        <w:t xml:space="preserve"> (also termed a utility score) </w:t>
      </w:r>
      <w:r w:rsidR="00102970" w:rsidRPr="003D5D24">
        <w:rPr>
          <w:rFonts w:eastAsiaTheme="minorEastAsia"/>
        </w:rPr>
        <w:fldChar w:fldCharType="begin"/>
      </w:r>
      <w:r w:rsidR="00102970" w:rsidRPr="003D5D24">
        <w:rPr>
          <w:rFonts w:eastAsiaTheme="minorEastAsia"/>
        </w:rPr>
        <w:instrText>ADDIN RW.CITE{{998 Mehrez,A. 1989}}</w:instrText>
      </w:r>
      <w:r w:rsidR="00102970" w:rsidRPr="003D5D24">
        <w:rPr>
          <w:rFonts w:eastAsiaTheme="minorEastAsia"/>
        </w:rPr>
        <w:fldChar w:fldCharType="separate"/>
      </w:r>
      <w:r w:rsidR="00250A10">
        <w:rPr>
          <w:rFonts w:eastAsia="Times New Roman"/>
        </w:rPr>
        <w:t>[3]</w:t>
      </w:r>
      <w:r w:rsidR="00102970" w:rsidRPr="003D5D24">
        <w:rPr>
          <w:rFonts w:eastAsiaTheme="minorEastAsia"/>
        </w:rPr>
        <w:fldChar w:fldCharType="end"/>
      </w:r>
      <w:r w:rsidR="00102970" w:rsidRPr="003D5D24">
        <w:rPr>
          <w:rFonts w:eastAsiaTheme="minorEastAsia"/>
        </w:rPr>
        <w:t xml:space="preserve">. </w:t>
      </w:r>
      <w:r w:rsidR="002475FC" w:rsidRPr="003D5D24">
        <w:rPr>
          <w:rFonts w:eastAsiaTheme="minorEastAsia"/>
        </w:rPr>
        <w:t>In contrast, most non-preference-based instruments simply sum the scores from all the health domains and thus assume an equal weighting. Some non-preference-based instruments may apply complex weighting systems, but these weights are not preference-based.</w:t>
      </w:r>
      <w:r w:rsidR="005A705A" w:rsidRPr="003D5D24">
        <w:rPr>
          <w:rFonts w:eastAsiaTheme="minorEastAsia"/>
        </w:rPr>
        <w:t xml:space="preserve"> </w:t>
      </w:r>
      <w:r w:rsidR="005A705A" w:rsidRPr="003D5D24">
        <w:rPr>
          <w:rFonts w:eastAsiaTheme="minorEastAsia"/>
        </w:rPr>
        <w:fldChar w:fldCharType="begin"/>
      </w:r>
      <w:r w:rsidR="005A705A" w:rsidRPr="003D5D24">
        <w:rPr>
          <w:rFonts w:eastAsiaTheme="minorEastAsia"/>
        </w:rPr>
        <w:instrText>ADDIN RW.CITE{{1256 Jones, Paul W 1991}}</w:instrText>
      </w:r>
      <w:r w:rsidR="005A705A" w:rsidRPr="003D5D24">
        <w:rPr>
          <w:rFonts w:eastAsiaTheme="minorEastAsia"/>
        </w:rPr>
        <w:fldChar w:fldCharType="separate"/>
      </w:r>
      <w:r w:rsidR="00250A10">
        <w:rPr>
          <w:rFonts w:eastAsiaTheme="minorEastAsia"/>
        </w:rPr>
        <w:t>[4]</w:t>
      </w:r>
      <w:r w:rsidR="005A705A" w:rsidRPr="003D5D24">
        <w:rPr>
          <w:rFonts w:eastAsiaTheme="minorEastAsia"/>
        </w:rPr>
        <w:fldChar w:fldCharType="end"/>
      </w:r>
      <w:r w:rsidR="00C81EE7" w:rsidRPr="003D5D24">
        <w:rPr>
          <w:rFonts w:eastAsiaTheme="minorEastAsia"/>
        </w:rPr>
        <w:t>.</w:t>
      </w:r>
      <w:r w:rsidR="00102970" w:rsidRPr="003D5D24">
        <w:rPr>
          <w:rFonts w:eastAsiaTheme="minorEastAsia"/>
        </w:rPr>
        <w:t xml:space="preserve">  For cost-utility analysis, preference-based generic instruments are required to measure </w:t>
      </w:r>
      <w:r w:rsidR="00102970" w:rsidRPr="003D5D24">
        <w:rPr>
          <w:rFonts w:eastAsiaTheme="minorEastAsia"/>
          <w:noProof/>
        </w:rPr>
        <w:t>utility-based</w:t>
      </w:r>
      <w:r w:rsidR="00102970" w:rsidRPr="003D5D24">
        <w:rPr>
          <w:rFonts w:eastAsiaTheme="minorEastAsia"/>
        </w:rPr>
        <w:t xml:space="preserve"> quality of life scores </w:t>
      </w:r>
      <w:r w:rsidR="00102970" w:rsidRPr="003D5D24">
        <w:rPr>
          <w:rFonts w:eastAsiaTheme="minorEastAsia"/>
          <w:noProof/>
        </w:rPr>
        <w:t>and unfortunately</w:t>
      </w:r>
      <w:r w:rsidR="00102970" w:rsidRPr="003D5D24">
        <w:rPr>
          <w:rFonts w:eastAsiaTheme="minorEastAsia"/>
        </w:rPr>
        <w:t>, the majority of generic instruments used in clinical trials are non-preference-</w:t>
      </w:r>
      <w:r w:rsidR="00102970" w:rsidRPr="003D5D24">
        <w:rPr>
          <w:rFonts w:eastAsiaTheme="minorEastAsia"/>
          <w:noProof/>
        </w:rPr>
        <w:t xml:space="preserve">based </w:t>
      </w:r>
      <w:r w:rsidR="00102970" w:rsidRPr="003D5D24">
        <w:rPr>
          <w:rFonts w:eastAsiaTheme="minorEastAsia"/>
          <w:noProof/>
        </w:rPr>
        <w:fldChar w:fldCharType="begin"/>
      </w:r>
      <w:r w:rsidR="00102970" w:rsidRPr="003D5D24">
        <w:rPr>
          <w:rFonts w:eastAsiaTheme="minorEastAsia"/>
          <w:noProof/>
        </w:rPr>
        <w:instrText>ADDIN RW.CITE{{987 Brazier, John E 2010}}</w:instrText>
      </w:r>
      <w:r w:rsidR="00102970" w:rsidRPr="003D5D24">
        <w:rPr>
          <w:rFonts w:eastAsiaTheme="minorEastAsia"/>
          <w:noProof/>
        </w:rPr>
        <w:fldChar w:fldCharType="separate"/>
      </w:r>
      <w:r w:rsidR="00250A10">
        <w:rPr>
          <w:rFonts w:eastAsia="Times New Roman"/>
        </w:rPr>
        <w:t>[5]</w:t>
      </w:r>
      <w:r w:rsidR="00102970" w:rsidRPr="003D5D24">
        <w:rPr>
          <w:rFonts w:eastAsiaTheme="minorEastAsia"/>
          <w:noProof/>
        </w:rPr>
        <w:fldChar w:fldCharType="end"/>
      </w:r>
      <w:r w:rsidR="00102970" w:rsidRPr="003D5D24">
        <w:rPr>
          <w:rFonts w:eastAsiaTheme="minorEastAsia"/>
        </w:rPr>
        <w:t xml:space="preserve"> and are consequently of limited use for measuring and comparing the cost-effectiveness of diverse interventions on a common scale</w:t>
      </w:r>
      <w:r w:rsidR="006A6FB6" w:rsidRPr="003D5D24">
        <w:rPr>
          <w:rFonts w:eastAsiaTheme="minorEastAsia"/>
        </w:rPr>
        <w:fldChar w:fldCharType="begin"/>
      </w:r>
      <w:r w:rsidR="006A6FB6" w:rsidRPr="003D5D24">
        <w:rPr>
          <w:rFonts w:eastAsiaTheme="minorEastAsia"/>
        </w:rPr>
        <w:instrText>ADDIN RW.CITE{{1160 Feeny, David. 2017; 1161 Brazier, John E. 2016}}</w:instrText>
      </w:r>
      <w:r w:rsidR="006A6FB6" w:rsidRPr="003D5D24">
        <w:rPr>
          <w:rFonts w:eastAsiaTheme="minorEastAsia"/>
        </w:rPr>
        <w:fldChar w:fldCharType="separate"/>
      </w:r>
      <w:r w:rsidR="00250A10">
        <w:rPr>
          <w:rFonts w:eastAsiaTheme="minorEastAsia"/>
        </w:rPr>
        <w:t>[6, 7]</w:t>
      </w:r>
      <w:r w:rsidR="006A6FB6" w:rsidRPr="003D5D24">
        <w:rPr>
          <w:rFonts w:eastAsiaTheme="minorEastAsia"/>
        </w:rPr>
        <w:fldChar w:fldCharType="end"/>
      </w:r>
      <w:r w:rsidR="00102970" w:rsidRPr="003D5D24">
        <w:rPr>
          <w:rFonts w:eastAsiaTheme="minorEastAsia"/>
        </w:rPr>
        <w:t>.</w:t>
      </w:r>
    </w:p>
    <w:p w14:paraId="6FC40CCF" w14:textId="57C32597" w:rsidR="00102970" w:rsidRPr="003D5D24" w:rsidRDefault="00102970" w:rsidP="00102970">
      <w:pPr>
        <w:spacing w:after="240"/>
        <w:rPr>
          <w:rFonts w:eastAsiaTheme="minorEastAsia"/>
          <w:color w:val="1F497D" w:themeColor="text2"/>
        </w:rPr>
      </w:pPr>
      <w:r w:rsidRPr="003D5D24">
        <w:rPr>
          <w:rFonts w:eastAsiaTheme="minorEastAsia"/>
          <w:noProof/>
        </w:rPr>
        <w:t xml:space="preserve">To capture both length and quality of </w:t>
      </w:r>
      <w:r w:rsidR="00DB6A0E" w:rsidRPr="003D5D24">
        <w:rPr>
          <w:rFonts w:eastAsiaTheme="minorEastAsia"/>
          <w:noProof/>
        </w:rPr>
        <w:t>life from treatment</w:t>
      </w:r>
      <w:r w:rsidR="00B83400" w:rsidRPr="003D5D24">
        <w:rPr>
          <w:rFonts w:eastAsiaTheme="minorEastAsia"/>
        </w:rPr>
        <w:t xml:space="preserve">, </w:t>
      </w:r>
      <w:r w:rsidRPr="003D5D24">
        <w:rPr>
          <w:rFonts w:eastAsiaTheme="minorEastAsia"/>
        </w:rPr>
        <w:t>Q</w:t>
      </w:r>
      <w:r w:rsidR="00B83400" w:rsidRPr="003D5D24">
        <w:rPr>
          <w:rFonts w:eastAsiaTheme="minorEastAsia"/>
        </w:rPr>
        <w:t xml:space="preserve">uality </w:t>
      </w:r>
      <w:r w:rsidRPr="003D5D24">
        <w:rPr>
          <w:rFonts w:eastAsiaTheme="minorEastAsia"/>
        </w:rPr>
        <w:t>A</w:t>
      </w:r>
      <w:r w:rsidR="00B83400" w:rsidRPr="003D5D24">
        <w:rPr>
          <w:rFonts w:eastAsiaTheme="minorEastAsia"/>
        </w:rPr>
        <w:t xml:space="preserve">djusted </w:t>
      </w:r>
      <w:r w:rsidRPr="003D5D24">
        <w:rPr>
          <w:rFonts w:eastAsiaTheme="minorEastAsia"/>
        </w:rPr>
        <w:t>L</w:t>
      </w:r>
      <w:r w:rsidR="00B83400" w:rsidRPr="003D5D24">
        <w:rPr>
          <w:rFonts w:eastAsiaTheme="minorEastAsia"/>
        </w:rPr>
        <w:t xml:space="preserve">ife </w:t>
      </w:r>
      <w:r w:rsidRPr="003D5D24">
        <w:rPr>
          <w:rFonts w:eastAsiaTheme="minorEastAsia"/>
        </w:rPr>
        <w:t>Y</w:t>
      </w:r>
      <w:r w:rsidR="00B83400" w:rsidRPr="003D5D24">
        <w:rPr>
          <w:rFonts w:eastAsiaTheme="minorEastAsia"/>
        </w:rPr>
        <w:t>ear</w:t>
      </w:r>
      <w:r w:rsidRPr="003D5D24">
        <w:rPr>
          <w:rFonts w:eastAsiaTheme="minorEastAsia"/>
        </w:rPr>
        <w:t>s</w:t>
      </w:r>
      <w:r w:rsidR="00B83400" w:rsidRPr="003D5D24">
        <w:rPr>
          <w:rFonts w:eastAsiaTheme="minorEastAsia"/>
        </w:rPr>
        <w:t xml:space="preserve"> (QALYs) are often applied,</w:t>
      </w:r>
      <w:r w:rsidRPr="003D5D24">
        <w:rPr>
          <w:rFonts w:eastAsiaTheme="minorEastAsia"/>
        </w:rPr>
        <w:t xml:space="preserve"> </w:t>
      </w:r>
      <w:r w:rsidRPr="003D5D24">
        <w:rPr>
          <w:rFonts w:eastAsiaTheme="minorEastAsia"/>
        </w:rPr>
        <w:fldChar w:fldCharType="begin"/>
      </w:r>
      <w:r w:rsidRPr="003D5D24">
        <w:rPr>
          <w:rFonts w:eastAsiaTheme="minorEastAsia"/>
        </w:rPr>
        <w:instrText>ADDIN RW.CITE{{995 Gerard, Karen 1993; 994 Nord, Erik 1994}}</w:instrText>
      </w:r>
      <w:r w:rsidRPr="003D5D24">
        <w:rPr>
          <w:rFonts w:eastAsiaTheme="minorEastAsia"/>
        </w:rPr>
        <w:fldChar w:fldCharType="separate"/>
      </w:r>
      <w:r w:rsidR="00250A10">
        <w:rPr>
          <w:rFonts w:eastAsia="Times New Roman"/>
        </w:rPr>
        <w:t>[8, 9]</w:t>
      </w:r>
      <w:r w:rsidRPr="003D5D24">
        <w:rPr>
          <w:rFonts w:eastAsiaTheme="minorEastAsia"/>
        </w:rPr>
        <w:fldChar w:fldCharType="end"/>
      </w:r>
      <w:r w:rsidRPr="003D5D24">
        <w:rPr>
          <w:rFonts w:eastAsiaTheme="minorEastAsia"/>
        </w:rPr>
        <w:t xml:space="preserve"> whereby cost-effectiveness </w:t>
      </w:r>
      <w:r w:rsidRPr="003D5D24">
        <w:rPr>
          <w:rFonts w:eastAsiaTheme="minorEastAsia"/>
          <w:noProof/>
        </w:rPr>
        <w:t>is expressed</w:t>
      </w:r>
      <w:r w:rsidRPr="003D5D24">
        <w:rPr>
          <w:rFonts w:eastAsiaTheme="minorEastAsia"/>
        </w:rPr>
        <w:t xml:space="preserve"> as </w:t>
      </w:r>
      <w:r w:rsidRPr="003D5D24">
        <w:rPr>
          <w:rFonts w:eastAsiaTheme="minorEastAsia"/>
          <w:noProof/>
        </w:rPr>
        <w:t>cost-per</w:t>
      </w:r>
      <w:r w:rsidRPr="003D5D24">
        <w:rPr>
          <w:rFonts w:eastAsiaTheme="minorEastAsia"/>
        </w:rPr>
        <w:t xml:space="preserve"> additional QALY gained. Within paediatric </w:t>
      </w:r>
      <w:r w:rsidRPr="003D5D24">
        <w:rPr>
          <w:rFonts w:eastAsiaTheme="minorEastAsia"/>
          <w:noProof/>
        </w:rPr>
        <w:t>medicine,</w:t>
      </w:r>
      <w:r w:rsidRPr="003D5D24">
        <w:rPr>
          <w:rFonts w:eastAsiaTheme="minorEastAsia"/>
        </w:rPr>
        <w:t xml:space="preserve"> </w:t>
      </w:r>
      <w:r w:rsidRPr="003D5D24">
        <w:rPr>
          <w:rFonts w:eastAsiaTheme="minorEastAsia"/>
          <w:noProof/>
        </w:rPr>
        <w:t xml:space="preserve">however, </w:t>
      </w:r>
      <w:r w:rsidRPr="003D5D24">
        <w:rPr>
          <w:rFonts w:eastAsiaTheme="minorEastAsia"/>
        </w:rPr>
        <w:t xml:space="preserve">most </w:t>
      </w:r>
      <w:r w:rsidR="005A705A" w:rsidRPr="003D5D24">
        <w:rPr>
          <w:rFonts w:eastAsiaTheme="minorEastAsia"/>
        </w:rPr>
        <w:t>HRQoL</w:t>
      </w:r>
      <w:r w:rsidRPr="003D5D24">
        <w:rPr>
          <w:rFonts w:eastAsiaTheme="minorEastAsia"/>
        </w:rPr>
        <w:t xml:space="preserve"> instruments developed for children and adolescents are non-preference-based </w:t>
      </w:r>
      <w:r w:rsidRPr="003D5D24">
        <w:rPr>
          <w:rFonts w:eastAsiaTheme="minorEastAsia"/>
        </w:rPr>
        <w:fldChar w:fldCharType="begin"/>
      </w:r>
      <w:r w:rsidRPr="003D5D24">
        <w:rPr>
          <w:rFonts w:eastAsiaTheme="minorEastAsia"/>
        </w:rPr>
        <w:instrText>ADDIN RW.CITE{{988 Stevens,K.J. 2010}}</w:instrText>
      </w:r>
      <w:r w:rsidRPr="003D5D24">
        <w:rPr>
          <w:rFonts w:eastAsiaTheme="minorEastAsia"/>
        </w:rPr>
        <w:fldChar w:fldCharType="separate"/>
      </w:r>
      <w:r w:rsidR="00250A10">
        <w:rPr>
          <w:rFonts w:eastAsia="Times New Roman"/>
        </w:rPr>
        <w:t>[10]</w:t>
      </w:r>
      <w:r w:rsidRPr="003D5D24">
        <w:rPr>
          <w:rFonts w:eastAsiaTheme="minorEastAsia"/>
        </w:rPr>
        <w:fldChar w:fldCharType="end"/>
      </w:r>
      <w:r w:rsidRPr="003D5D24">
        <w:rPr>
          <w:rFonts w:eastAsiaTheme="minorEastAsia"/>
        </w:rPr>
        <w:t xml:space="preserve"> and can therefore not be used for economic evaluation </w:t>
      </w:r>
      <w:r w:rsidRPr="003D5D24">
        <w:rPr>
          <w:rFonts w:eastAsiaTheme="minorEastAsia"/>
        </w:rPr>
        <w:fldChar w:fldCharType="begin"/>
      </w:r>
      <w:r w:rsidRPr="003D5D24">
        <w:rPr>
          <w:rFonts w:eastAsiaTheme="minorEastAsia"/>
        </w:rPr>
        <w:instrText>ADDIN RW.CITE{{999 Griebsch,I. 2005}}</w:instrText>
      </w:r>
      <w:r w:rsidRPr="003D5D24">
        <w:rPr>
          <w:rFonts w:eastAsiaTheme="minorEastAsia"/>
        </w:rPr>
        <w:fldChar w:fldCharType="separate"/>
      </w:r>
      <w:r w:rsidR="00250A10">
        <w:rPr>
          <w:rFonts w:eastAsia="Times New Roman"/>
        </w:rPr>
        <w:t>[11]</w:t>
      </w:r>
      <w:r w:rsidRPr="003D5D24">
        <w:rPr>
          <w:rFonts w:eastAsiaTheme="minorEastAsia"/>
        </w:rPr>
        <w:fldChar w:fldCharType="end"/>
      </w:r>
      <w:r w:rsidRPr="003D5D24">
        <w:rPr>
          <w:rFonts w:eastAsiaTheme="minorEastAsia"/>
        </w:rPr>
        <w:t xml:space="preserve"> whe</w:t>
      </w:r>
      <w:r w:rsidR="00E82B90" w:rsidRPr="003D5D24">
        <w:rPr>
          <w:rFonts w:eastAsiaTheme="minorEastAsia"/>
        </w:rPr>
        <w:t>re QALY’s are</w:t>
      </w:r>
      <w:r w:rsidRPr="003D5D24">
        <w:rPr>
          <w:rFonts w:eastAsiaTheme="minorEastAsia"/>
        </w:rPr>
        <w:t xml:space="preserve"> the desired outcome. A prediction algorithm/mapping function </w:t>
      </w:r>
      <w:r w:rsidRPr="003D5D24">
        <w:rPr>
          <w:rFonts w:eastAsiaTheme="minorEastAsia"/>
          <w:noProof/>
        </w:rPr>
        <w:t>can however</w:t>
      </w:r>
      <w:r w:rsidRPr="003D5D24">
        <w:rPr>
          <w:rFonts w:eastAsiaTheme="minorEastAsia"/>
        </w:rPr>
        <w:t xml:space="preserve"> be used to predict utility scores from responses to a non-preference-based </w:t>
      </w:r>
      <w:r w:rsidRPr="003D5D24">
        <w:rPr>
          <w:rFonts w:eastAsiaTheme="minorEastAsia"/>
          <w:noProof/>
        </w:rPr>
        <w:t>instrument</w:t>
      </w:r>
      <w:r w:rsidR="006A6FB6" w:rsidRPr="003D5D24">
        <w:rPr>
          <w:rFonts w:eastAsiaTheme="minorEastAsia"/>
          <w:noProof/>
        </w:rPr>
        <w:fldChar w:fldCharType="begin"/>
      </w:r>
      <w:r w:rsidR="006A6FB6" w:rsidRPr="003D5D24">
        <w:rPr>
          <w:rFonts w:eastAsiaTheme="minorEastAsia"/>
          <w:noProof/>
        </w:rPr>
        <w:instrText>ADDIN RW.CITE{{987 Brazier, John E 2010}}</w:instrText>
      </w:r>
      <w:r w:rsidR="006A6FB6" w:rsidRPr="003D5D24">
        <w:rPr>
          <w:rFonts w:eastAsiaTheme="minorEastAsia"/>
          <w:noProof/>
        </w:rPr>
        <w:fldChar w:fldCharType="separate"/>
      </w:r>
      <w:r w:rsidR="00250A10">
        <w:rPr>
          <w:rFonts w:eastAsiaTheme="minorEastAsia"/>
          <w:noProof/>
        </w:rPr>
        <w:t>[5]</w:t>
      </w:r>
      <w:r w:rsidR="006A6FB6" w:rsidRPr="003D5D24">
        <w:rPr>
          <w:rFonts w:eastAsiaTheme="minorEastAsia"/>
          <w:noProof/>
        </w:rPr>
        <w:fldChar w:fldCharType="end"/>
      </w:r>
      <w:r w:rsidRPr="003D5D24">
        <w:rPr>
          <w:rFonts w:eastAsiaTheme="minorEastAsia"/>
          <w:noProof/>
        </w:rPr>
        <w:t>.</w:t>
      </w:r>
      <w:r w:rsidRPr="003D5D24">
        <w:rPr>
          <w:rFonts w:eastAsiaTheme="minorEastAsia"/>
        </w:rPr>
        <w:t xml:space="preserve"> Th</w:t>
      </w:r>
      <w:r w:rsidR="00B83400" w:rsidRPr="003D5D24">
        <w:rPr>
          <w:rFonts w:eastAsiaTheme="minorEastAsia"/>
        </w:rPr>
        <w:t>is</w:t>
      </w:r>
      <w:r w:rsidRPr="003D5D24">
        <w:rPr>
          <w:rFonts w:eastAsiaTheme="minorEastAsia"/>
        </w:rPr>
        <w:t xml:space="preserve"> algorithm reflects the</w:t>
      </w:r>
      <w:r w:rsidR="00DB6A0E" w:rsidRPr="003D5D24">
        <w:rPr>
          <w:rFonts w:eastAsiaTheme="minorEastAsia"/>
        </w:rPr>
        <w:t xml:space="preserve"> statistical</w:t>
      </w:r>
      <w:r w:rsidRPr="003D5D24">
        <w:rPr>
          <w:rFonts w:eastAsiaTheme="minorEastAsia"/>
        </w:rPr>
        <w:t xml:space="preserve"> relationship between the preference and the non-preference-based instrument, using responses from a prior population</w:t>
      </w:r>
      <w:r w:rsidR="00DB6A0E" w:rsidRPr="003D5D24">
        <w:rPr>
          <w:rFonts w:eastAsiaTheme="minorEastAsia"/>
        </w:rPr>
        <w:t xml:space="preserve"> </w:t>
      </w:r>
      <w:r w:rsidR="0043182C" w:rsidRPr="003D5D24">
        <w:rPr>
          <w:rFonts w:eastAsiaTheme="minorEastAsia"/>
        </w:rPr>
        <w:t>whose</w:t>
      </w:r>
      <w:r w:rsidR="00DB6A0E" w:rsidRPr="003D5D24">
        <w:rPr>
          <w:rFonts w:eastAsiaTheme="minorEastAsia"/>
        </w:rPr>
        <w:t xml:space="preserve"> responses to both instruments have </w:t>
      </w:r>
      <w:r w:rsidR="00DB6A0E" w:rsidRPr="003D5D24">
        <w:rPr>
          <w:rFonts w:eastAsiaTheme="minorEastAsia"/>
          <w:noProof/>
        </w:rPr>
        <w:t>been collected</w:t>
      </w:r>
      <w:r w:rsidRPr="003D5D24">
        <w:rPr>
          <w:rFonts w:eastAsiaTheme="minorEastAsia"/>
        </w:rPr>
        <w:t>.</w:t>
      </w:r>
    </w:p>
    <w:p w14:paraId="4F2C4800" w14:textId="718F5DAB" w:rsidR="00102970" w:rsidRPr="003D5D24" w:rsidRDefault="002475FC" w:rsidP="00102970">
      <w:pPr>
        <w:spacing w:after="240"/>
        <w:rPr>
          <w:rFonts w:eastAsiaTheme="minorEastAsia"/>
        </w:rPr>
      </w:pPr>
      <w:r w:rsidRPr="003D5D24">
        <w:rPr>
          <w:rFonts w:eastAsiaTheme="minorEastAsia"/>
        </w:rPr>
        <w:t>The Paediatric Quality of Life Inventory (PedsQL™) is a generic non-preference based instrument, which provides a modular approach for measuring HRQoL in healthy children and adolescents and those with acute or chronic health conditions</w:t>
      </w:r>
      <w:r w:rsidR="00102970" w:rsidRPr="003D5D24">
        <w:rPr>
          <w:rFonts w:eastAsiaTheme="minorEastAsia"/>
        </w:rPr>
        <w:t xml:space="preserve">.  PedsQL™ is commonly used due to its simple computational system and its validity for a wide age range of 2 to </w:t>
      </w:r>
      <w:r w:rsidR="00102970" w:rsidRPr="003D5D24">
        <w:rPr>
          <w:rFonts w:eastAsiaTheme="minorEastAsia"/>
          <w:noProof/>
        </w:rPr>
        <w:t>18-year-olds</w:t>
      </w:r>
      <w:r w:rsidR="00102970" w:rsidRPr="003D5D24">
        <w:rPr>
          <w:rFonts w:eastAsiaTheme="minorEastAsia"/>
        </w:rPr>
        <w:t xml:space="preserve"> </w:t>
      </w:r>
      <w:r w:rsidR="00102970" w:rsidRPr="003D5D24">
        <w:rPr>
          <w:rFonts w:eastAsiaTheme="minorEastAsia"/>
        </w:rPr>
        <w:fldChar w:fldCharType="begin"/>
      </w:r>
      <w:r w:rsidR="00102970" w:rsidRPr="003D5D24">
        <w:rPr>
          <w:rFonts w:eastAsiaTheme="minorEastAsia"/>
        </w:rPr>
        <w:instrText>ADDIN RW.CITE{{989 Varni, James W 2001}}</w:instrText>
      </w:r>
      <w:r w:rsidR="00102970" w:rsidRPr="003D5D24">
        <w:rPr>
          <w:rFonts w:eastAsiaTheme="minorEastAsia"/>
        </w:rPr>
        <w:fldChar w:fldCharType="separate"/>
      </w:r>
      <w:r w:rsidR="00250A10">
        <w:rPr>
          <w:rFonts w:eastAsia="Times New Roman"/>
        </w:rPr>
        <w:t>[12]</w:t>
      </w:r>
      <w:r w:rsidR="00102970" w:rsidRPr="003D5D24">
        <w:rPr>
          <w:rFonts w:eastAsiaTheme="minorEastAsia"/>
        </w:rPr>
        <w:fldChar w:fldCharType="end"/>
      </w:r>
      <w:r w:rsidR="005A705A" w:rsidRPr="003D5D24">
        <w:rPr>
          <w:rFonts w:eastAsiaTheme="minorEastAsia"/>
        </w:rPr>
        <w:t>. I</w:t>
      </w:r>
      <w:r w:rsidR="000F6DC5" w:rsidRPr="003D5D24">
        <w:rPr>
          <w:rFonts w:eastAsiaTheme="minorEastAsia"/>
        </w:rPr>
        <w:t xml:space="preserve">n a review of </w:t>
      </w:r>
      <w:r w:rsidR="000F6DC5" w:rsidRPr="003D5D24">
        <w:rPr>
          <w:rFonts w:eastAsiaTheme="minorEastAsia"/>
        </w:rPr>
        <w:lastRenderedPageBreak/>
        <w:t>paediatric quality of life measures</w:t>
      </w:r>
      <w:r w:rsidR="005A705A" w:rsidRPr="003D5D24">
        <w:rPr>
          <w:rFonts w:eastAsiaTheme="minorEastAsia"/>
        </w:rPr>
        <w:t>, PedsQL™</w:t>
      </w:r>
      <w:r w:rsidR="000F6DC5" w:rsidRPr="003D5D24">
        <w:rPr>
          <w:rFonts w:eastAsiaTheme="minorEastAsia"/>
        </w:rPr>
        <w:t xml:space="preserve"> fulfilled basic psychometric criteria, was suitable for completion in the clinic and could be recommended for</w:t>
      </w:r>
      <w:r w:rsidR="005A705A" w:rsidRPr="003D5D24">
        <w:rPr>
          <w:rFonts w:eastAsiaTheme="minorEastAsia"/>
        </w:rPr>
        <w:t xml:space="preserve"> use in</w:t>
      </w:r>
      <w:r w:rsidR="000F6DC5" w:rsidRPr="003D5D24">
        <w:rPr>
          <w:rFonts w:eastAsiaTheme="minorEastAsia"/>
        </w:rPr>
        <w:t xml:space="preserve"> clinical trials </w:t>
      </w:r>
      <w:r w:rsidR="00844AB2" w:rsidRPr="003D5D24">
        <w:rPr>
          <w:rFonts w:eastAsiaTheme="minorEastAsia"/>
        </w:rPr>
        <w:fldChar w:fldCharType="begin"/>
      </w:r>
      <w:r w:rsidR="00844AB2" w:rsidRPr="003D5D24">
        <w:rPr>
          <w:rFonts w:eastAsiaTheme="minorEastAsia"/>
        </w:rPr>
        <w:instrText>ADDIN RW.CITE{{1196 Eiser,C. 2001}}</w:instrText>
      </w:r>
      <w:r w:rsidR="00844AB2" w:rsidRPr="003D5D24">
        <w:rPr>
          <w:rFonts w:eastAsiaTheme="minorEastAsia"/>
        </w:rPr>
        <w:fldChar w:fldCharType="separate"/>
      </w:r>
      <w:r w:rsidR="00250A10">
        <w:rPr>
          <w:rFonts w:eastAsiaTheme="minorEastAsia"/>
        </w:rPr>
        <w:t>[13]</w:t>
      </w:r>
      <w:r w:rsidR="00844AB2" w:rsidRPr="003D5D24">
        <w:rPr>
          <w:rFonts w:eastAsiaTheme="minorEastAsia"/>
        </w:rPr>
        <w:fldChar w:fldCharType="end"/>
      </w:r>
      <w:r w:rsidR="00102970" w:rsidRPr="003D5D24">
        <w:rPr>
          <w:rFonts w:eastAsiaTheme="minorEastAsia"/>
        </w:rPr>
        <w:t xml:space="preserve">. </w:t>
      </w:r>
      <w:r w:rsidR="005A705A" w:rsidRPr="003D5D24">
        <w:rPr>
          <w:rFonts w:eastAsiaTheme="minorEastAsia"/>
        </w:rPr>
        <w:t xml:space="preserve">It also </w:t>
      </w:r>
      <w:r w:rsidR="000F6DC5" w:rsidRPr="003D5D24">
        <w:rPr>
          <w:rFonts w:eastAsiaTheme="minorEastAsia"/>
        </w:rPr>
        <w:t>has the advantage</w:t>
      </w:r>
      <w:r w:rsidR="00844AB2" w:rsidRPr="003D5D24">
        <w:rPr>
          <w:rFonts w:eastAsiaTheme="minorEastAsia"/>
        </w:rPr>
        <w:t xml:space="preserve"> of </w:t>
      </w:r>
      <w:r w:rsidR="005A705A" w:rsidRPr="003D5D24">
        <w:rPr>
          <w:rFonts w:eastAsiaTheme="minorEastAsia"/>
        </w:rPr>
        <w:t xml:space="preserve">having both proxy and patient-completed </w:t>
      </w:r>
      <w:r w:rsidR="005A705A" w:rsidRPr="003D5D24">
        <w:rPr>
          <w:rFonts w:eastAsiaTheme="minorEastAsia"/>
          <w:noProof/>
        </w:rPr>
        <w:t>versions</w:t>
      </w:r>
      <w:r w:rsidR="000F6DC5" w:rsidRPr="003D5D24">
        <w:rPr>
          <w:rFonts w:eastAsiaTheme="minorEastAsia"/>
          <w:noProof/>
        </w:rPr>
        <w:t>,</w:t>
      </w:r>
      <w:r w:rsidR="000F6DC5" w:rsidRPr="003D5D24">
        <w:rPr>
          <w:rFonts w:eastAsiaTheme="minorEastAsia"/>
        </w:rPr>
        <w:t xml:space="preserve"> and </w:t>
      </w:r>
      <w:r w:rsidR="00844AB2" w:rsidRPr="003D5D24">
        <w:rPr>
          <w:rFonts w:eastAsiaTheme="minorEastAsia"/>
        </w:rPr>
        <w:t xml:space="preserve">has </w:t>
      </w:r>
      <w:r w:rsidR="000F6DC5" w:rsidRPr="003D5D24">
        <w:rPr>
          <w:rFonts w:eastAsiaTheme="minorEastAsia"/>
        </w:rPr>
        <w:t xml:space="preserve">additional modules measuring </w:t>
      </w:r>
      <w:r w:rsidR="00844AB2" w:rsidRPr="003D5D24">
        <w:rPr>
          <w:rFonts w:eastAsiaTheme="minorEastAsia"/>
        </w:rPr>
        <w:t xml:space="preserve">some </w:t>
      </w:r>
      <w:r w:rsidR="000F6DC5" w:rsidRPr="003D5D24">
        <w:rPr>
          <w:rFonts w:eastAsiaTheme="minorEastAsia"/>
          <w:noProof/>
        </w:rPr>
        <w:t>disease</w:t>
      </w:r>
      <w:r w:rsidR="001F0125" w:rsidRPr="003D5D24">
        <w:rPr>
          <w:rFonts w:eastAsiaTheme="minorEastAsia"/>
          <w:noProof/>
        </w:rPr>
        <w:t>-</w:t>
      </w:r>
      <w:r w:rsidR="000F6DC5" w:rsidRPr="003D5D24">
        <w:rPr>
          <w:rFonts w:eastAsiaTheme="minorEastAsia"/>
          <w:noProof/>
        </w:rPr>
        <w:t>specific</w:t>
      </w:r>
      <w:r w:rsidR="000F6DC5" w:rsidRPr="003D5D24">
        <w:rPr>
          <w:rFonts w:eastAsiaTheme="minorEastAsia"/>
        </w:rPr>
        <w:t xml:space="preserve"> quality of life</w:t>
      </w:r>
      <w:r w:rsidR="005655B2" w:rsidRPr="003D5D24">
        <w:rPr>
          <w:rFonts w:eastAsiaTheme="minorEastAsia"/>
        </w:rPr>
        <w:t>.</w:t>
      </w:r>
      <w:r w:rsidR="000F6DC5" w:rsidRPr="003D5D24">
        <w:rPr>
          <w:rFonts w:eastAsiaTheme="minorEastAsia"/>
        </w:rPr>
        <w:t xml:space="preserve"> </w:t>
      </w:r>
      <w:r w:rsidR="00102970" w:rsidRPr="003D5D24">
        <w:rPr>
          <w:rFonts w:eastAsiaTheme="minorEastAsia"/>
        </w:rPr>
        <w:t>A viable</w:t>
      </w:r>
      <w:r w:rsidR="00DB6A0E" w:rsidRPr="003D5D24">
        <w:rPr>
          <w:rFonts w:eastAsiaTheme="minorEastAsia"/>
        </w:rPr>
        <w:t xml:space="preserve"> preference-based</w:t>
      </w:r>
      <w:r w:rsidR="00102970" w:rsidRPr="003D5D24">
        <w:rPr>
          <w:rFonts w:eastAsiaTheme="minorEastAsia"/>
        </w:rPr>
        <w:t xml:space="preserve"> alternative to the PedsQL</w:t>
      </w:r>
      <w:r w:rsidR="00396C4B" w:rsidRPr="003D5D24">
        <w:rPr>
          <w:rFonts w:eastAsiaTheme="minorEastAsia"/>
        </w:rPr>
        <w:t>™ is</w:t>
      </w:r>
      <w:r w:rsidR="00102970" w:rsidRPr="003D5D24">
        <w:rPr>
          <w:rFonts w:eastAsiaTheme="minorEastAsia"/>
        </w:rPr>
        <w:t xml:space="preserve"> the Child Health Utility 9D (CHU-9D), which has </w:t>
      </w:r>
      <w:r w:rsidR="00102970" w:rsidRPr="003D5D24">
        <w:rPr>
          <w:rFonts w:eastAsiaTheme="minorEastAsia"/>
          <w:noProof/>
        </w:rPr>
        <w:t>been specifically developed</w:t>
      </w:r>
      <w:r w:rsidR="00102970" w:rsidRPr="003D5D24">
        <w:rPr>
          <w:rFonts w:eastAsiaTheme="minorEastAsia"/>
        </w:rPr>
        <w:t xml:space="preserve"> for economic evaluation in children aged </w:t>
      </w:r>
      <w:r w:rsidR="00102970" w:rsidRPr="003D5D24">
        <w:rPr>
          <w:rFonts w:eastAsiaTheme="minorEastAsia"/>
          <w:noProof/>
        </w:rPr>
        <w:t>5</w:t>
      </w:r>
      <w:r w:rsidR="00102970" w:rsidRPr="003D5D24">
        <w:rPr>
          <w:rFonts w:eastAsiaTheme="minorEastAsia"/>
        </w:rPr>
        <w:t xml:space="preserve"> years and older </w:t>
      </w:r>
      <w:r w:rsidR="00102970" w:rsidRPr="003D5D24">
        <w:rPr>
          <w:rFonts w:eastAsiaTheme="minorEastAsia"/>
        </w:rPr>
        <w:fldChar w:fldCharType="begin"/>
      </w:r>
      <w:r w:rsidR="00102970" w:rsidRPr="003D5D24">
        <w:rPr>
          <w:rFonts w:eastAsiaTheme="minorEastAsia"/>
        </w:rPr>
        <w:instrText>ADDIN RW.CITE{{990 Stevens, K 2010}}</w:instrText>
      </w:r>
      <w:r w:rsidR="00102970" w:rsidRPr="003D5D24">
        <w:rPr>
          <w:rFonts w:eastAsiaTheme="minorEastAsia"/>
        </w:rPr>
        <w:fldChar w:fldCharType="separate"/>
      </w:r>
      <w:r w:rsidR="00250A10">
        <w:rPr>
          <w:rFonts w:eastAsia="Times New Roman"/>
        </w:rPr>
        <w:t>[14]</w:t>
      </w:r>
      <w:r w:rsidR="00102970" w:rsidRPr="003D5D24">
        <w:rPr>
          <w:rFonts w:eastAsiaTheme="minorEastAsia"/>
        </w:rPr>
        <w:fldChar w:fldCharType="end"/>
      </w:r>
      <w:r w:rsidR="00102970" w:rsidRPr="003D5D24">
        <w:rPr>
          <w:rFonts w:eastAsiaTheme="minorEastAsia"/>
        </w:rPr>
        <w:t xml:space="preserve">. </w:t>
      </w:r>
      <w:r w:rsidR="00DB6A0E" w:rsidRPr="003D5D24">
        <w:rPr>
          <w:rFonts w:eastAsiaTheme="minorEastAsia"/>
        </w:rPr>
        <w:t xml:space="preserve">In situations where PedsQL™ data </w:t>
      </w:r>
      <w:r w:rsidR="0032458C" w:rsidRPr="003D5D24">
        <w:rPr>
          <w:rFonts w:eastAsiaTheme="minorEastAsia"/>
        </w:rPr>
        <w:t xml:space="preserve">are </w:t>
      </w:r>
      <w:r w:rsidR="00B83400" w:rsidRPr="003D5D24">
        <w:rPr>
          <w:rFonts w:eastAsiaTheme="minorEastAsia"/>
        </w:rPr>
        <w:t xml:space="preserve">only </w:t>
      </w:r>
      <w:r w:rsidR="00DB6A0E" w:rsidRPr="003D5D24">
        <w:rPr>
          <w:rFonts w:eastAsiaTheme="minorEastAsia"/>
        </w:rPr>
        <w:t>available</w:t>
      </w:r>
      <w:r w:rsidR="005A705A" w:rsidRPr="003D5D24">
        <w:rPr>
          <w:rFonts w:eastAsiaTheme="minorEastAsia"/>
        </w:rPr>
        <w:t>, CHU</w:t>
      </w:r>
      <w:r w:rsidR="00DB6A0E" w:rsidRPr="003D5D24">
        <w:rPr>
          <w:rFonts w:eastAsiaTheme="minorEastAsia"/>
        </w:rPr>
        <w:t>-9D utility score</w:t>
      </w:r>
      <w:r w:rsidR="00B83400" w:rsidRPr="003D5D24">
        <w:rPr>
          <w:rFonts w:eastAsiaTheme="minorEastAsia"/>
        </w:rPr>
        <w:t>s</w:t>
      </w:r>
      <w:r w:rsidR="00DB6A0E" w:rsidRPr="003D5D24">
        <w:rPr>
          <w:rFonts w:eastAsiaTheme="minorEastAsia"/>
        </w:rPr>
        <w:t xml:space="preserve"> can be predicted from </w:t>
      </w:r>
      <w:r w:rsidR="005A705A" w:rsidRPr="003D5D24">
        <w:rPr>
          <w:rFonts w:eastAsiaTheme="minorEastAsia"/>
        </w:rPr>
        <w:t xml:space="preserve">the </w:t>
      </w:r>
      <w:r w:rsidR="00DB6A0E" w:rsidRPr="003D5D24">
        <w:rPr>
          <w:rFonts w:eastAsiaTheme="minorEastAsia"/>
        </w:rPr>
        <w:t>PedsQL™</w:t>
      </w:r>
      <w:r w:rsidR="00B83400" w:rsidRPr="003D5D24">
        <w:rPr>
          <w:rFonts w:eastAsiaTheme="minorEastAsia"/>
        </w:rPr>
        <w:t xml:space="preserve"> using a mapping algorithm</w:t>
      </w:r>
      <w:r w:rsidR="00DB6A0E" w:rsidRPr="003D5D24">
        <w:rPr>
          <w:rFonts w:eastAsiaTheme="minorEastAsia"/>
        </w:rPr>
        <w:t>. Onl</w:t>
      </w:r>
      <w:r w:rsidR="00B83400" w:rsidRPr="003D5D24">
        <w:rPr>
          <w:rFonts w:eastAsiaTheme="minorEastAsia"/>
        </w:rPr>
        <w:t>y one study has mapped</w:t>
      </w:r>
      <w:r w:rsidR="005A705A" w:rsidRPr="003D5D24">
        <w:rPr>
          <w:rFonts w:eastAsiaTheme="minorEastAsia"/>
        </w:rPr>
        <w:t xml:space="preserve"> the</w:t>
      </w:r>
      <w:r w:rsidR="00B83400" w:rsidRPr="003D5D24">
        <w:rPr>
          <w:rFonts w:eastAsiaTheme="minorEastAsia"/>
        </w:rPr>
        <w:t xml:space="preserve"> PedsQL™ </w:t>
      </w:r>
      <w:r w:rsidR="00B83400" w:rsidRPr="003D5D24">
        <w:rPr>
          <w:rFonts w:eastAsiaTheme="minorEastAsia"/>
          <w:noProof/>
        </w:rPr>
        <w:t>o</w:t>
      </w:r>
      <w:r w:rsidR="00DB6A0E" w:rsidRPr="003D5D24">
        <w:rPr>
          <w:rFonts w:eastAsiaTheme="minorEastAsia"/>
          <w:noProof/>
        </w:rPr>
        <w:t>nto</w:t>
      </w:r>
      <w:r w:rsidR="00DB6A0E" w:rsidRPr="003D5D24">
        <w:rPr>
          <w:rFonts w:eastAsiaTheme="minorEastAsia"/>
        </w:rPr>
        <w:t xml:space="preserve"> CHU-9D </w:t>
      </w:r>
      <w:r w:rsidR="00DB6A0E" w:rsidRPr="003D5D24">
        <w:rPr>
          <w:rFonts w:eastAsiaTheme="minorEastAsia"/>
        </w:rPr>
        <w:fldChar w:fldCharType="begin"/>
      </w:r>
      <w:r w:rsidR="00DB6A0E" w:rsidRPr="003D5D24">
        <w:rPr>
          <w:rFonts w:eastAsiaTheme="minorEastAsia"/>
        </w:rPr>
        <w:instrText>ADDIN RW.CITE{{1159 Mpundu-Kaambwa, Christine 2016}}</w:instrText>
      </w:r>
      <w:r w:rsidR="00DB6A0E" w:rsidRPr="003D5D24">
        <w:rPr>
          <w:rFonts w:eastAsiaTheme="minorEastAsia"/>
        </w:rPr>
        <w:fldChar w:fldCharType="separate"/>
      </w:r>
      <w:r w:rsidR="00250A10">
        <w:rPr>
          <w:rFonts w:eastAsiaTheme="minorEastAsia"/>
        </w:rPr>
        <w:t>[15]</w:t>
      </w:r>
      <w:r w:rsidR="00DB6A0E" w:rsidRPr="003D5D24">
        <w:rPr>
          <w:rFonts w:eastAsiaTheme="minorEastAsia"/>
        </w:rPr>
        <w:fldChar w:fldCharType="end"/>
      </w:r>
      <w:r w:rsidR="00DB6A0E" w:rsidRPr="003D5D24">
        <w:rPr>
          <w:rFonts w:eastAsiaTheme="minorEastAsia"/>
        </w:rPr>
        <w:t xml:space="preserve">, in which the Short Form 15-item (SF-15) version of the PedsQL™ </w:t>
      </w:r>
      <w:r w:rsidR="00DB6A0E" w:rsidRPr="003D5D24">
        <w:rPr>
          <w:rFonts w:eastAsiaTheme="minorEastAsia"/>
          <w:noProof/>
        </w:rPr>
        <w:t>was used</w:t>
      </w:r>
      <w:r w:rsidR="00DB6A0E" w:rsidRPr="003D5D24">
        <w:rPr>
          <w:rFonts w:eastAsiaTheme="minorEastAsia"/>
        </w:rPr>
        <w:t xml:space="preserve"> in place of the standard 23-item questionnaire. Data for that study </w:t>
      </w:r>
      <w:r w:rsidR="00DB6A0E" w:rsidRPr="003D5D24">
        <w:rPr>
          <w:rFonts w:eastAsiaTheme="minorEastAsia"/>
        </w:rPr>
        <w:fldChar w:fldCharType="begin"/>
      </w:r>
      <w:r w:rsidR="00DB6A0E" w:rsidRPr="003D5D24">
        <w:rPr>
          <w:rFonts w:eastAsiaTheme="minorEastAsia"/>
        </w:rPr>
        <w:instrText>ADDIN RW.CITE{{1159 Mpundu-Kaambwa, Christine 2016}}</w:instrText>
      </w:r>
      <w:r w:rsidR="00DB6A0E" w:rsidRPr="003D5D24">
        <w:rPr>
          <w:rFonts w:eastAsiaTheme="minorEastAsia"/>
        </w:rPr>
        <w:fldChar w:fldCharType="separate"/>
      </w:r>
      <w:r w:rsidR="00250A10">
        <w:rPr>
          <w:rFonts w:eastAsiaTheme="minorEastAsia"/>
        </w:rPr>
        <w:t>[15]</w:t>
      </w:r>
      <w:r w:rsidR="00DB6A0E" w:rsidRPr="003D5D24">
        <w:rPr>
          <w:rFonts w:eastAsiaTheme="minorEastAsia"/>
        </w:rPr>
        <w:fldChar w:fldCharType="end"/>
      </w:r>
      <w:r w:rsidR="00DB6A0E" w:rsidRPr="003D5D24">
        <w:rPr>
          <w:rFonts w:eastAsiaTheme="minorEastAsia"/>
        </w:rPr>
        <w:t xml:space="preserve"> </w:t>
      </w:r>
      <w:r w:rsidR="0032458C" w:rsidRPr="003D5D24">
        <w:rPr>
          <w:rFonts w:eastAsiaTheme="minorEastAsia"/>
          <w:noProof/>
        </w:rPr>
        <w:t xml:space="preserve">were </w:t>
      </w:r>
      <w:r w:rsidR="00DB6A0E" w:rsidRPr="003D5D24">
        <w:rPr>
          <w:rFonts w:eastAsiaTheme="minorEastAsia"/>
          <w:noProof/>
        </w:rPr>
        <w:t>obtained</w:t>
      </w:r>
      <w:r w:rsidR="00DB6A0E" w:rsidRPr="003D5D24">
        <w:rPr>
          <w:rFonts w:eastAsiaTheme="minorEastAsia"/>
        </w:rPr>
        <w:t xml:space="preserve"> from Australian </w:t>
      </w:r>
      <w:r w:rsidR="005655B2" w:rsidRPr="003D5D24">
        <w:rPr>
          <w:rFonts w:eastAsiaTheme="minorEastAsia"/>
        </w:rPr>
        <w:t xml:space="preserve">older </w:t>
      </w:r>
      <w:r w:rsidR="00DB6A0E" w:rsidRPr="003D5D24">
        <w:rPr>
          <w:rFonts w:eastAsiaTheme="minorEastAsia"/>
        </w:rPr>
        <w:t xml:space="preserve">adolescents </w:t>
      </w:r>
      <w:r w:rsidR="005655B2" w:rsidRPr="003D5D24">
        <w:rPr>
          <w:rFonts w:eastAsiaTheme="minorEastAsia"/>
        </w:rPr>
        <w:t xml:space="preserve">only </w:t>
      </w:r>
      <w:r w:rsidR="00DB6A0E" w:rsidRPr="003D5D24">
        <w:rPr>
          <w:rFonts w:eastAsiaTheme="minorEastAsia"/>
        </w:rPr>
        <w:t>(15-17-year-old), and the CHU-9D responses were scored using the Australian value set</w:t>
      </w:r>
      <w:r w:rsidRPr="003D5D24">
        <w:rPr>
          <w:rFonts w:eastAsiaTheme="minorEastAsia"/>
        </w:rPr>
        <w:t xml:space="preserve"> </w:t>
      </w:r>
      <w:r w:rsidRPr="003D5D24">
        <w:rPr>
          <w:rFonts w:eastAsiaTheme="minorEastAsia"/>
        </w:rPr>
        <w:fldChar w:fldCharType="begin"/>
      </w:r>
      <w:r w:rsidRPr="003D5D24">
        <w:rPr>
          <w:rFonts w:eastAsiaTheme="minorEastAsia"/>
        </w:rPr>
        <w:instrText>ADDIN RW.CITE{{352 Adab, Peymané 2011}}</w:instrText>
      </w:r>
      <w:r w:rsidRPr="003D5D24">
        <w:rPr>
          <w:rFonts w:eastAsiaTheme="minorEastAsia"/>
        </w:rPr>
        <w:fldChar w:fldCharType="separate"/>
      </w:r>
      <w:r w:rsidR="00250A10">
        <w:rPr>
          <w:rFonts w:eastAsiaTheme="minorEastAsia"/>
        </w:rPr>
        <w:t>[16]</w:t>
      </w:r>
      <w:r w:rsidRPr="003D5D24">
        <w:rPr>
          <w:rFonts w:eastAsiaTheme="minorEastAsia"/>
        </w:rPr>
        <w:fldChar w:fldCharType="end"/>
      </w:r>
      <w:r w:rsidR="00DB6A0E" w:rsidRPr="003D5D24">
        <w:rPr>
          <w:rFonts w:eastAsiaTheme="minorEastAsia"/>
        </w:rPr>
        <w:t>.</w:t>
      </w:r>
    </w:p>
    <w:p w14:paraId="1D61E8A3" w14:textId="0BFDCE54" w:rsidR="00DB6A0E" w:rsidRPr="003D5D24" w:rsidRDefault="00B83400" w:rsidP="00102970">
      <w:pPr>
        <w:spacing w:after="240"/>
        <w:rPr>
          <w:rFonts w:eastAsiaTheme="minorEastAsia"/>
        </w:rPr>
      </w:pPr>
      <w:r w:rsidRPr="003D5D24">
        <w:rPr>
          <w:rFonts w:eastAsiaTheme="minorEastAsia"/>
        </w:rPr>
        <w:t>This study</w:t>
      </w:r>
      <w:r w:rsidR="00DB6A0E" w:rsidRPr="003D5D24">
        <w:rPr>
          <w:rFonts w:eastAsiaTheme="minorEastAsia"/>
        </w:rPr>
        <w:t xml:space="preserve"> </w:t>
      </w:r>
      <w:r w:rsidRPr="003D5D24">
        <w:rPr>
          <w:rFonts w:eastAsiaTheme="minorEastAsia"/>
        </w:rPr>
        <w:t>mapped responses from</w:t>
      </w:r>
      <w:r w:rsidR="00DB6A0E" w:rsidRPr="003D5D24">
        <w:rPr>
          <w:rFonts w:eastAsiaTheme="minorEastAsia"/>
        </w:rPr>
        <w:t xml:space="preserve"> the 23-item generic core scale version of the PedsQL™ onto CHU-9D </w:t>
      </w:r>
      <w:r w:rsidRPr="003D5D24">
        <w:rPr>
          <w:rFonts w:eastAsiaTheme="minorEastAsia"/>
        </w:rPr>
        <w:t xml:space="preserve">index scores </w:t>
      </w:r>
      <w:r w:rsidR="00DB6A0E" w:rsidRPr="003D5D24">
        <w:rPr>
          <w:rFonts w:eastAsiaTheme="minorEastAsia"/>
        </w:rPr>
        <w:t>in</w:t>
      </w:r>
      <w:r w:rsidR="005A705A" w:rsidRPr="003D5D24">
        <w:rPr>
          <w:rFonts w:eastAsiaTheme="minorEastAsia"/>
        </w:rPr>
        <w:t xml:space="preserve"> children aged 5 to 13 years</w:t>
      </w:r>
      <w:r w:rsidR="00712ACF" w:rsidRPr="003D5D24">
        <w:rPr>
          <w:rFonts w:eastAsiaTheme="minorEastAsia"/>
        </w:rPr>
        <w:t xml:space="preserve"> who were participants in a randomised control trial of different steroid regimes in childhood </w:t>
      </w:r>
      <w:r w:rsidR="00712ACF" w:rsidRPr="003D5D24">
        <w:rPr>
          <w:rFonts w:eastAsiaTheme="minorEastAsia"/>
          <w:noProof/>
        </w:rPr>
        <w:t>steroid</w:t>
      </w:r>
      <w:r w:rsidR="001F0125" w:rsidRPr="003D5D24">
        <w:rPr>
          <w:rFonts w:eastAsiaTheme="minorEastAsia"/>
          <w:noProof/>
        </w:rPr>
        <w:t>-</w:t>
      </w:r>
      <w:r w:rsidR="00712ACF" w:rsidRPr="003D5D24">
        <w:rPr>
          <w:rFonts w:eastAsiaTheme="minorEastAsia"/>
          <w:noProof/>
        </w:rPr>
        <w:t>sensitive</w:t>
      </w:r>
      <w:r w:rsidR="00712ACF" w:rsidRPr="003D5D24">
        <w:rPr>
          <w:rFonts w:eastAsiaTheme="minorEastAsia"/>
        </w:rPr>
        <w:t xml:space="preserve"> nephrotic syndrome</w:t>
      </w:r>
      <w:r w:rsidRPr="003D5D24">
        <w:rPr>
          <w:rFonts w:eastAsiaTheme="minorEastAsia"/>
        </w:rPr>
        <w:t xml:space="preserve"> </w:t>
      </w:r>
      <w:r w:rsidR="00067D4B" w:rsidRPr="004B18E9">
        <w:fldChar w:fldCharType="begin"/>
      </w:r>
      <w:r w:rsidR="00067D4B" w:rsidRPr="004B18E9">
        <w:instrText>ADDIN RW.CITE{{957 Webb, Nicholas 2014}}</w:instrText>
      </w:r>
      <w:r w:rsidR="00067D4B" w:rsidRPr="004B18E9">
        <w:fldChar w:fldCharType="separate"/>
      </w:r>
      <w:r w:rsidR="00250A10">
        <w:t>[17]</w:t>
      </w:r>
      <w:r w:rsidR="00067D4B" w:rsidRPr="004B18E9">
        <w:fldChar w:fldCharType="end"/>
      </w:r>
      <w:r w:rsidR="00067D4B">
        <w:t>.</w:t>
      </w:r>
    </w:p>
    <w:p w14:paraId="4BFA65E0" w14:textId="53B24C29" w:rsidR="00102970" w:rsidRPr="004B18E9" w:rsidRDefault="00DB6A0E" w:rsidP="00DB6A0E">
      <w:pPr>
        <w:pStyle w:val="Heading2"/>
        <w:numPr>
          <w:ilvl w:val="0"/>
          <w:numId w:val="5"/>
        </w:numPr>
      </w:pPr>
      <w:bookmarkStart w:id="4" w:name="_Toc476041056"/>
      <w:bookmarkStart w:id="5" w:name="_Toc478982325"/>
      <w:r w:rsidRPr="004B18E9">
        <w:lastRenderedPageBreak/>
        <w:t>Methods</w:t>
      </w:r>
      <w:bookmarkEnd w:id="4"/>
      <w:bookmarkEnd w:id="5"/>
    </w:p>
    <w:p w14:paraId="5AAD4720" w14:textId="2E8DD2A3" w:rsidR="00102970" w:rsidRPr="004B18E9" w:rsidRDefault="00DB6A0E" w:rsidP="00DB6A0E">
      <w:pPr>
        <w:pStyle w:val="Heading3"/>
      </w:pPr>
      <w:r w:rsidRPr="004B18E9">
        <w:t>Data</w:t>
      </w:r>
    </w:p>
    <w:p w14:paraId="78F78402" w14:textId="5A41409B" w:rsidR="00851EFA" w:rsidRPr="004B18E9" w:rsidRDefault="00DB6A0E" w:rsidP="00102970">
      <w:pPr>
        <w:spacing w:after="240"/>
      </w:pPr>
      <w:r w:rsidRPr="004B18E9">
        <w:t>The data</w:t>
      </w:r>
      <w:r w:rsidR="006A6FB6" w:rsidRPr="004B18E9">
        <w:t xml:space="preserve"> for this study</w:t>
      </w:r>
      <w:r w:rsidRPr="004B18E9">
        <w:t xml:space="preserve"> </w:t>
      </w:r>
      <w:r w:rsidRPr="004B18E9">
        <w:rPr>
          <w:noProof/>
        </w:rPr>
        <w:t>was obtained</w:t>
      </w:r>
      <w:r w:rsidRPr="004B18E9">
        <w:t xml:space="preserve"> </w:t>
      </w:r>
      <w:r w:rsidRPr="004B18E9">
        <w:rPr>
          <w:noProof/>
        </w:rPr>
        <w:t>fr</w:t>
      </w:r>
      <w:r w:rsidR="006A6FB6" w:rsidRPr="004B18E9">
        <w:rPr>
          <w:noProof/>
        </w:rPr>
        <w:t>om</w:t>
      </w:r>
      <w:r w:rsidRPr="004B18E9">
        <w:rPr>
          <w:noProof/>
        </w:rPr>
        <w:t xml:space="preserve"> </w:t>
      </w:r>
      <w:r w:rsidR="00B83400" w:rsidRPr="004B18E9">
        <w:rPr>
          <w:noProof/>
        </w:rPr>
        <w:t xml:space="preserve">the </w:t>
      </w:r>
      <w:r w:rsidRPr="004B18E9">
        <w:rPr>
          <w:noProof/>
        </w:rPr>
        <w:t>PREDNOS</w:t>
      </w:r>
      <w:r w:rsidRPr="004B18E9">
        <w:t xml:space="preserve"> </w:t>
      </w:r>
      <w:r w:rsidR="00CE08C5" w:rsidRPr="004B18E9">
        <w:t>study</w:t>
      </w:r>
      <w:r w:rsidR="00B83400" w:rsidRPr="004B18E9">
        <w:t>, a UK-based</w:t>
      </w:r>
      <w:r w:rsidRPr="004B18E9">
        <w:t xml:space="preserve"> double-blind</w:t>
      </w:r>
      <w:r w:rsidR="0032458C" w:rsidRPr="004B18E9">
        <w:t xml:space="preserve"> </w:t>
      </w:r>
      <w:r w:rsidR="0032458C" w:rsidRPr="004B18E9">
        <w:rPr>
          <w:noProof/>
        </w:rPr>
        <w:t>placebo controlled</w:t>
      </w:r>
      <w:r w:rsidRPr="004B18E9">
        <w:rPr>
          <w:noProof/>
        </w:rPr>
        <w:t xml:space="preserve"> randomised</w:t>
      </w:r>
      <w:r w:rsidRPr="004B18E9">
        <w:t xml:space="preserve"> controlled trial (RCT) designed to evaluate th</w:t>
      </w:r>
      <w:r w:rsidR="00B83400" w:rsidRPr="004B18E9">
        <w:t>e clinical and</w:t>
      </w:r>
      <w:r w:rsidRPr="004B18E9">
        <w:t xml:space="preserve"> cost-effectiveness of an extended steroid (prednisolone) treatment over 16 weeks compared with the standard </w:t>
      </w:r>
      <w:r w:rsidRPr="004B18E9">
        <w:rPr>
          <w:noProof/>
        </w:rPr>
        <w:t>8</w:t>
      </w:r>
      <w:r w:rsidR="001F0125" w:rsidRPr="004B18E9">
        <w:rPr>
          <w:noProof/>
        </w:rPr>
        <w:t>-</w:t>
      </w:r>
      <w:r w:rsidRPr="004B18E9">
        <w:rPr>
          <w:noProof/>
        </w:rPr>
        <w:t>week</w:t>
      </w:r>
      <w:r w:rsidRPr="004B18E9">
        <w:t xml:space="preserve"> treatment</w:t>
      </w:r>
      <w:r w:rsidR="0032458C" w:rsidRPr="004B18E9">
        <w:t xml:space="preserve"> regimen</w:t>
      </w:r>
      <w:r w:rsidR="00851EFA" w:rsidRPr="004B18E9">
        <w:t xml:space="preserve"> in</w:t>
      </w:r>
      <w:r w:rsidRPr="004B18E9">
        <w:t xml:space="preserve"> children with </w:t>
      </w:r>
      <w:r w:rsidRPr="004B18E9">
        <w:rPr>
          <w:noProof/>
        </w:rPr>
        <w:t>steroid-sensitive</w:t>
      </w:r>
      <w:r w:rsidRPr="004B18E9">
        <w:t xml:space="preserve"> nephrotic syndrome</w:t>
      </w:r>
      <w:r w:rsidR="00851EFA" w:rsidRPr="004B18E9">
        <w:t xml:space="preserve">. </w:t>
      </w:r>
      <w:r w:rsidR="0032458C" w:rsidRPr="004B18E9">
        <w:t>Participants</w:t>
      </w:r>
      <w:r w:rsidR="00851EFA" w:rsidRPr="004B18E9">
        <w:t xml:space="preserve"> were </w:t>
      </w:r>
      <w:r w:rsidR="006A6FB6" w:rsidRPr="004B18E9">
        <w:t>recruited from general hospitals and tertiary paediatric nephrology unit</w:t>
      </w:r>
      <w:r w:rsidR="00B83400" w:rsidRPr="004B18E9">
        <w:t>s</w:t>
      </w:r>
      <w:r w:rsidR="006A6FB6" w:rsidRPr="004B18E9">
        <w:t xml:space="preserve"> across the </w:t>
      </w:r>
      <w:r w:rsidR="006A6FB6" w:rsidRPr="004B18E9">
        <w:rPr>
          <w:noProof/>
        </w:rPr>
        <w:t>UK,</w:t>
      </w:r>
      <w:r w:rsidR="006A6FB6" w:rsidRPr="004B18E9">
        <w:t xml:space="preserve"> and were </w:t>
      </w:r>
      <w:r w:rsidR="00851EFA" w:rsidRPr="004B18E9">
        <w:t>followed-up for a</w:t>
      </w:r>
      <w:r w:rsidR="00DE1B98" w:rsidRPr="004B18E9">
        <w:t>t least 24 months</w:t>
      </w:r>
      <w:r w:rsidR="0032458C" w:rsidRPr="004B18E9">
        <w:t xml:space="preserve"> </w:t>
      </w:r>
      <w:r w:rsidR="00CE08C5" w:rsidRPr="004B18E9">
        <w:t>up to</w:t>
      </w:r>
      <w:r w:rsidR="0032458C" w:rsidRPr="004B18E9">
        <w:t xml:space="preserve"> a maximum of 48 months; the st</w:t>
      </w:r>
      <w:r w:rsidR="00CE08C5" w:rsidRPr="004B18E9">
        <w:t>u</w:t>
      </w:r>
      <w:r w:rsidR="0032458C" w:rsidRPr="004B18E9">
        <w:t>dy closed when the last participant had completed 24 months of follow-up</w:t>
      </w:r>
      <w:r w:rsidR="00DE1B98" w:rsidRPr="004B18E9">
        <w:t xml:space="preserve">. </w:t>
      </w:r>
    </w:p>
    <w:p w14:paraId="6BC88B1D" w14:textId="3441462B" w:rsidR="002475FC" w:rsidRPr="004B18E9" w:rsidRDefault="00102970" w:rsidP="00102970">
      <w:pPr>
        <w:spacing w:after="240"/>
      </w:pPr>
      <w:r w:rsidRPr="004B18E9">
        <w:rPr>
          <w:noProof/>
        </w:rPr>
        <w:t>In accordance with</w:t>
      </w:r>
      <w:r w:rsidRPr="004B18E9">
        <w:t xml:space="preserve"> the study protocol, the proxy-reported version of the PedsQL™ and the</w:t>
      </w:r>
      <w:r w:rsidR="00B83400" w:rsidRPr="004B18E9">
        <w:t xml:space="preserve"> CHU-9D were</w:t>
      </w:r>
      <w:r w:rsidRPr="004B18E9">
        <w:t xml:space="preserve"> used to collect </w:t>
      </w:r>
      <w:r w:rsidR="005A705A" w:rsidRPr="004B18E9">
        <w:t>HRQoL</w:t>
      </w:r>
      <w:r w:rsidRPr="004B18E9">
        <w:t xml:space="preserve"> data </w:t>
      </w:r>
      <w:r w:rsidR="00851EFA" w:rsidRPr="004B18E9">
        <w:t>at baseline,</w:t>
      </w:r>
      <w:r w:rsidRPr="004B18E9">
        <w:t xml:space="preserve"> </w:t>
      </w:r>
      <w:r w:rsidR="00851EFA" w:rsidRPr="004B18E9">
        <w:t xml:space="preserve">week </w:t>
      </w:r>
      <w:r w:rsidRPr="004B18E9">
        <w:t>16, and at month</w:t>
      </w:r>
      <w:r w:rsidR="0032458C" w:rsidRPr="004B18E9">
        <w:t>s</w:t>
      </w:r>
      <w:r w:rsidRPr="004B18E9">
        <w:t xml:space="preserve"> 12, 24, 36 and 48 for ch</w:t>
      </w:r>
      <w:r w:rsidR="00CE08C5" w:rsidRPr="004B18E9">
        <w:t xml:space="preserve">ildren in both study </w:t>
      </w:r>
      <w:r w:rsidRPr="004B18E9">
        <w:t>arm</w:t>
      </w:r>
      <w:r w:rsidR="00DB6A0E" w:rsidRPr="004B18E9">
        <w:t>s</w:t>
      </w:r>
      <w:r w:rsidRPr="004B18E9">
        <w:t xml:space="preserve">. PedsQL™ </w:t>
      </w:r>
      <w:r w:rsidRPr="004B18E9">
        <w:rPr>
          <w:noProof/>
        </w:rPr>
        <w:t>was completed</w:t>
      </w:r>
      <w:r w:rsidRPr="004B18E9">
        <w:t xml:space="preserve"> for children across all </w:t>
      </w:r>
      <w:r w:rsidR="00DB6A0E" w:rsidRPr="004B18E9">
        <w:t>age groups</w:t>
      </w:r>
      <w:r w:rsidRPr="004B18E9">
        <w:t xml:space="preserve"> (2 to 18 years) </w:t>
      </w:r>
      <w:r w:rsidR="0032458C" w:rsidRPr="004B18E9">
        <w:t xml:space="preserve">using </w:t>
      </w:r>
      <w:r w:rsidRPr="004B18E9">
        <w:t>the appropriate age-sp</w:t>
      </w:r>
      <w:r w:rsidR="00DB6A0E" w:rsidRPr="004B18E9">
        <w:t>ecific module</w:t>
      </w:r>
      <w:r w:rsidRPr="004B18E9">
        <w:t xml:space="preserve">, </w:t>
      </w:r>
      <w:r w:rsidRPr="004B18E9">
        <w:rPr>
          <w:noProof/>
        </w:rPr>
        <w:t>whil</w:t>
      </w:r>
      <w:r w:rsidR="0032458C" w:rsidRPr="004B18E9">
        <w:rPr>
          <w:noProof/>
        </w:rPr>
        <w:t>st</w:t>
      </w:r>
      <w:r w:rsidRPr="004B18E9">
        <w:t xml:space="preserve"> the</w:t>
      </w:r>
      <w:r w:rsidR="00DB6A0E" w:rsidRPr="004B18E9">
        <w:t xml:space="preserve"> CHU-9D </w:t>
      </w:r>
      <w:r w:rsidR="00DB6A0E" w:rsidRPr="004B18E9">
        <w:rPr>
          <w:noProof/>
        </w:rPr>
        <w:t>was</w:t>
      </w:r>
      <w:r w:rsidRPr="004B18E9">
        <w:rPr>
          <w:noProof/>
        </w:rPr>
        <w:t xml:space="preserve"> completed</w:t>
      </w:r>
      <w:r w:rsidRPr="004B18E9">
        <w:t xml:space="preserve"> for children who were </w:t>
      </w:r>
      <w:r w:rsidRPr="004B18E9">
        <w:rPr>
          <w:noProof/>
        </w:rPr>
        <w:t>5</w:t>
      </w:r>
      <w:r w:rsidRPr="004B18E9">
        <w:t xml:space="preserve"> years and </w:t>
      </w:r>
      <w:r w:rsidR="006A6FB6" w:rsidRPr="004B18E9">
        <w:t xml:space="preserve">older </w:t>
      </w:r>
      <w:r w:rsidR="006A6FB6" w:rsidRPr="004B18E9">
        <w:fldChar w:fldCharType="begin"/>
      </w:r>
      <w:r w:rsidR="006A6FB6" w:rsidRPr="004B18E9">
        <w:instrText>ADDIN RW.CITE{{957 Webb, Nicholas 2014}}</w:instrText>
      </w:r>
      <w:r w:rsidR="006A6FB6" w:rsidRPr="004B18E9">
        <w:fldChar w:fldCharType="separate"/>
      </w:r>
      <w:r w:rsidR="00250A10">
        <w:t>[17]</w:t>
      </w:r>
      <w:r w:rsidR="006A6FB6" w:rsidRPr="004B18E9">
        <w:fldChar w:fldCharType="end"/>
      </w:r>
      <w:r w:rsidRPr="004B18E9">
        <w:t xml:space="preserve">. </w:t>
      </w:r>
      <w:r w:rsidR="002475FC" w:rsidRPr="004B18E9">
        <w:t>In order to optimise the sample size, data on children who had completed both instruments across all the time-points were considered relevant for the mapping exercise. The sample was split into either an estimation or a validation sample. The estimation sample was used to develop the models while the validation sample was used for internal cross-validation of the mapping models.</w:t>
      </w:r>
    </w:p>
    <w:p w14:paraId="27A4C09C" w14:textId="2646D8E3" w:rsidR="00D61CA8" w:rsidRPr="004B18E9" w:rsidRDefault="002475FC" w:rsidP="00102970">
      <w:pPr>
        <w:spacing w:after="240"/>
      </w:pPr>
      <w:r w:rsidRPr="004B18E9">
        <w:t>Two approaches were available for selecting the estimation and the validation sample. The first was to randomise children at baseline into either the estimation or validation sample, and then account for the panel nature of the data in the regression equations. This approach results in a dataset that ensures all observations from individual children are either contained within the estimation or the validation sample and never within both. This, however, also results in the variation being reduced, as fewer children are contained within each sample. Therefore, an alternative approach was chosen for this mapping study whereby the entire sample of time-variant observations were randomised into either the estimation or the validation sample; and a clustering variable included to account for having multiple observations from the same child</w:t>
      </w:r>
      <w:r w:rsidR="00067D4B">
        <w:t>. A preliminary analysis was conducted to explore the impact of having the same participants, but different observation</w:t>
      </w:r>
      <w:r w:rsidR="0022093B">
        <w:t>s</w:t>
      </w:r>
      <w:r w:rsidR="00067D4B">
        <w:t>, in the estimation and validation sample on the predicted CHU-9D index score. See supplementary appendix</w:t>
      </w:r>
      <w:r w:rsidR="001F0125" w:rsidRPr="004B18E9">
        <w:t xml:space="preserve">. Randomising the entire sample into estimation and a validation sample limits the issue overfitting when selecting the final model. A 3:1 split between has been used </w:t>
      </w:r>
      <w:r w:rsidR="001F0125" w:rsidRPr="004B18E9">
        <w:fldChar w:fldCharType="begin"/>
      </w:r>
      <w:r w:rsidR="001F0125" w:rsidRPr="004B18E9">
        <w:instrText>ADDIN RW.CITE{{1001 Dakin, Helen 2013}}</w:instrText>
      </w:r>
      <w:r w:rsidR="001F0125" w:rsidRPr="004B18E9">
        <w:fldChar w:fldCharType="separate"/>
      </w:r>
      <w:r w:rsidR="00250A10">
        <w:t>[18]</w:t>
      </w:r>
      <w:r w:rsidR="001F0125" w:rsidRPr="004B18E9">
        <w:fldChar w:fldCharType="end"/>
      </w:r>
      <w:r w:rsidR="001F0125" w:rsidRPr="004B18E9">
        <w:t xml:space="preserve">. Here, 50% of the entire sample </w:t>
      </w:r>
      <w:r w:rsidR="001F0125" w:rsidRPr="004B18E9">
        <w:rPr>
          <w:noProof/>
        </w:rPr>
        <w:t>was randomised</w:t>
      </w:r>
      <w:r w:rsidR="001F0125" w:rsidRPr="004B18E9">
        <w:t xml:space="preserve"> to the validation sample in an attempt to rigorously avoid overfitting. </w:t>
      </w:r>
      <w:r w:rsidR="00D61CA8" w:rsidRPr="004B18E9">
        <w:t xml:space="preserve">The estimation and validation samples contained only </w:t>
      </w:r>
      <w:r w:rsidR="00B83400" w:rsidRPr="004B18E9">
        <w:t>o</w:t>
      </w:r>
      <w:r w:rsidR="00102970" w:rsidRPr="004B18E9">
        <w:t xml:space="preserve">bservations with valid CHU-9D and PedsQL™ index </w:t>
      </w:r>
      <w:r w:rsidR="00102970" w:rsidRPr="004B18E9">
        <w:rPr>
          <w:noProof/>
        </w:rPr>
        <w:t>scores,</w:t>
      </w:r>
      <w:r w:rsidR="00102970" w:rsidRPr="004B18E9">
        <w:t xml:space="preserve"> that is after exc</w:t>
      </w:r>
      <w:r w:rsidR="000C7C82" w:rsidRPr="004B18E9">
        <w:t>luding</w:t>
      </w:r>
      <w:r w:rsidR="00B83400" w:rsidRPr="004B18E9">
        <w:t xml:space="preserve"> missing items</w:t>
      </w:r>
      <w:r w:rsidR="00102970" w:rsidRPr="004B18E9">
        <w:t xml:space="preserve">. </w:t>
      </w:r>
    </w:p>
    <w:p w14:paraId="01ECCEA1" w14:textId="77777777" w:rsidR="001F0125" w:rsidRPr="001F0125" w:rsidRDefault="001F0125" w:rsidP="00102970">
      <w:pPr>
        <w:spacing w:after="240"/>
      </w:pPr>
    </w:p>
    <w:p w14:paraId="20A32F0A" w14:textId="77777777" w:rsidR="00851EFA" w:rsidRPr="009B11B6" w:rsidRDefault="00851EFA" w:rsidP="00851EFA">
      <w:pPr>
        <w:pStyle w:val="Heading3"/>
      </w:pPr>
      <w:bookmarkStart w:id="6" w:name="_Toc476041057"/>
      <w:bookmarkStart w:id="7" w:name="_Toc478982326"/>
      <w:r w:rsidRPr="009B11B6">
        <w:t>Outcome measures</w:t>
      </w:r>
      <w:bookmarkEnd w:id="6"/>
      <w:bookmarkEnd w:id="7"/>
    </w:p>
    <w:p w14:paraId="2F5065E1" w14:textId="1A20746B" w:rsidR="00851EFA" w:rsidRPr="004B18E9" w:rsidRDefault="00851EFA" w:rsidP="00851EFA">
      <w:r w:rsidRPr="004B18E9">
        <w:t xml:space="preserve">The CHU-9D </w:t>
      </w:r>
      <w:r w:rsidRPr="004B18E9">
        <w:rPr>
          <w:noProof/>
        </w:rPr>
        <w:t>was initially designed</w:t>
      </w:r>
      <w:r w:rsidRPr="004B18E9">
        <w:t xml:space="preserve"> for children aged 7 to 11 </w:t>
      </w:r>
      <w:r w:rsidRPr="004B18E9">
        <w:rPr>
          <w:noProof/>
        </w:rPr>
        <w:t>years; however,</w:t>
      </w:r>
      <w:r w:rsidRPr="004B18E9">
        <w:t xml:space="preserve"> further research has</w:t>
      </w:r>
      <w:r w:rsidR="001F0125" w:rsidRPr="004B18E9">
        <w:t xml:space="preserve"> now extended its use</w:t>
      </w:r>
      <w:r w:rsidRPr="004B18E9">
        <w:t xml:space="preserve"> </w:t>
      </w:r>
      <w:r w:rsidR="0032458C" w:rsidRPr="004B18E9">
        <w:t xml:space="preserve">to </w:t>
      </w:r>
      <w:r w:rsidRPr="004B18E9">
        <w:t xml:space="preserve">children as young as </w:t>
      </w:r>
      <w:r w:rsidR="001F0125" w:rsidRPr="004B18E9">
        <w:rPr>
          <w:noProof/>
        </w:rPr>
        <w:t>5</w:t>
      </w:r>
      <w:r w:rsidRPr="004B18E9">
        <w:t xml:space="preserve"> </w:t>
      </w:r>
      <w:r w:rsidRPr="004B18E9">
        <w:rPr>
          <w:noProof/>
        </w:rPr>
        <w:t xml:space="preserve">years </w:t>
      </w:r>
      <w:r w:rsidR="001F0125" w:rsidRPr="004B18E9">
        <w:rPr>
          <w:noProof/>
        </w:rPr>
        <w:fldChar w:fldCharType="begin"/>
      </w:r>
      <w:r w:rsidR="001F0125" w:rsidRPr="004B18E9">
        <w:rPr>
          <w:noProof/>
        </w:rPr>
        <w:instrText>ADDIN RW.CITE{{1260 Frew, Emma J 2015; 1261 Adab, Peymane 2015; 208 Canaway, Alastair G 2013}}</w:instrText>
      </w:r>
      <w:r w:rsidR="001F0125" w:rsidRPr="004B18E9">
        <w:rPr>
          <w:noProof/>
        </w:rPr>
        <w:fldChar w:fldCharType="separate"/>
      </w:r>
      <w:r w:rsidR="00250A10">
        <w:rPr>
          <w:noProof/>
        </w:rPr>
        <w:t>[19-21]</w:t>
      </w:r>
      <w:r w:rsidR="001F0125" w:rsidRPr="004B18E9">
        <w:rPr>
          <w:noProof/>
        </w:rPr>
        <w:fldChar w:fldCharType="end"/>
      </w:r>
      <w:r w:rsidRPr="004B18E9">
        <w:rPr>
          <w:noProof/>
        </w:rPr>
        <w:t xml:space="preserve"> and</w:t>
      </w:r>
      <w:r w:rsidRPr="004B18E9">
        <w:t xml:space="preserve"> </w:t>
      </w:r>
      <w:r w:rsidR="0032458C" w:rsidRPr="004B18E9">
        <w:t xml:space="preserve">to </w:t>
      </w:r>
      <w:r w:rsidRPr="004B18E9">
        <w:t xml:space="preserve">adolescents up to age 17 </w:t>
      </w:r>
      <w:r w:rsidR="002475FC" w:rsidRPr="004B18E9">
        <w:t xml:space="preserve">years </w:t>
      </w:r>
      <w:r w:rsidRPr="004B18E9">
        <w:fldChar w:fldCharType="begin"/>
      </w:r>
      <w:r w:rsidRPr="004B18E9">
        <w:instrText>ADDIN RW.CITE{{1157 Stevens, Katherine 2012}}</w:instrText>
      </w:r>
      <w:r w:rsidRPr="004B18E9">
        <w:fldChar w:fldCharType="separate"/>
      </w:r>
      <w:r w:rsidR="00250A10">
        <w:rPr>
          <w:rFonts w:eastAsia="Times New Roman"/>
        </w:rPr>
        <w:t>[22]</w:t>
      </w:r>
      <w:r w:rsidRPr="004B18E9">
        <w:fldChar w:fldCharType="end"/>
      </w:r>
      <w:r w:rsidRPr="004B18E9">
        <w:t>.</w:t>
      </w:r>
      <w:r w:rsidR="005A705A" w:rsidRPr="004B18E9">
        <w:t xml:space="preserve"> The use of the instrument in 5-year-olds is currently being trialled </w:t>
      </w:r>
      <w:r w:rsidR="005A705A" w:rsidRPr="004B18E9">
        <w:fldChar w:fldCharType="begin"/>
      </w:r>
      <w:r w:rsidR="005A705A" w:rsidRPr="004B18E9">
        <w:instrText>ADDIN RW.CITE{{1257 ScHARR 2017}}</w:instrText>
      </w:r>
      <w:r w:rsidR="005A705A" w:rsidRPr="004B18E9">
        <w:fldChar w:fldCharType="separate"/>
      </w:r>
      <w:r w:rsidR="00250A10">
        <w:t>[23]</w:t>
      </w:r>
      <w:r w:rsidR="005A705A" w:rsidRPr="004B18E9">
        <w:fldChar w:fldCharType="end"/>
      </w:r>
      <w:r w:rsidR="005A705A" w:rsidRPr="004B18E9">
        <w:t>.</w:t>
      </w:r>
      <w:r w:rsidRPr="004B18E9">
        <w:t xml:space="preserve"> The self-reported and proxy-reported versions of the CHU-9D questionnaire each consist of nine </w:t>
      </w:r>
      <w:r w:rsidRPr="004B18E9">
        <w:rPr>
          <w:noProof/>
        </w:rPr>
        <w:t>dimensions:</w:t>
      </w:r>
      <w:r w:rsidRPr="004B18E9">
        <w:t xml:space="preserve"> sad, worried, annoyed, tired, sleep, pain, school, routine, and activity.   Each dimension contains five severity levels, resulting in a possible 1,953,125 unique health states associated with the measure. Responses from the CHU-9D instrument were transformed into quality of life (utility) weights derived from a UK general population sample using an algorithm developed by Stevens et al. </w:t>
      </w:r>
      <w:r w:rsidRPr="004B18E9">
        <w:fldChar w:fldCharType="begin"/>
      </w:r>
      <w:r w:rsidRPr="004B18E9">
        <w:instrText>ADDIN RW.CITE{{990 Stevens, K 2010}}</w:instrText>
      </w:r>
      <w:r w:rsidRPr="004B18E9">
        <w:fldChar w:fldCharType="separate"/>
      </w:r>
      <w:r w:rsidR="00250A10">
        <w:rPr>
          <w:rFonts w:eastAsia="Times New Roman"/>
        </w:rPr>
        <w:t>[14]</w:t>
      </w:r>
      <w:r w:rsidRPr="004B18E9">
        <w:fldChar w:fldCharType="end"/>
      </w:r>
      <w:r w:rsidR="006A6FB6" w:rsidRPr="004B18E9">
        <w:t>.  Applying the</w:t>
      </w:r>
      <w:r w:rsidR="000D7F00" w:rsidRPr="004B18E9">
        <w:t>se</w:t>
      </w:r>
      <w:r w:rsidR="006A6FB6" w:rsidRPr="004B18E9">
        <w:t xml:space="preserve"> weights produce</w:t>
      </w:r>
      <w:r w:rsidR="000D7F00" w:rsidRPr="004B18E9">
        <w:t xml:space="preserve">s a </w:t>
      </w:r>
      <w:r w:rsidRPr="004B18E9">
        <w:t>utility value set of between 0.33 (worst health state) and 1 (best health state)</w:t>
      </w:r>
      <w:r w:rsidR="001F0125" w:rsidRPr="004B18E9">
        <w:t>, and a</w:t>
      </w:r>
      <w:r w:rsidR="005A705A" w:rsidRPr="004B18E9">
        <w:t xml:space="preserve"> utility score of zero denotes death on the CHU-9D scale</w:t>
      </w:r>
      <w:r w:rsidRPr="004B18E9">
        <w:t>.</w:t>
      </w:r>
    </w:p>
    <w:p w14:paraId="6DB05469" w14:textId="1260B91D" w:rsidR="00851EFA" w:rsidRPr="004B18E9" w:rsidRDefault="00851EFA" w:rsidP="00102970">
      <w:pPr>
        <w:spacing w:after="240"/>
      </w:pPr>
      <w:r w:rsidRPr="004B18E9">
        <w:t>The PedsQL™ generic core scale is a well-validated non-preference-based measure developed for toddlers, school-age children and adolescents. The self-reported version of the questionnaire has been validated in 5 to 18-year-olds while the parent or proxy-reported version is valid for use in 2 to 18-year-</w:t>
      </w:r>
      <w:r w:rsidR="005A705A" w:rsidRPr="004B18E9">
        <w:t xml:space="preserve">olds </w:t>
      </w:r>
      <w:r w:rsidR="006A6FB6" w:rsidRPr="004B18E9">
        <w:fldChar w:fldCharType="begin"/>
      </w:r>
      <w:r w:rsidR="006A6FB6" w:rsidRPr="004B18E9">
        <w:instrText>ADDIN RW.CITE{{1162 Varni, James W 2003; 989 Varni, James W 2001}}</w:instrText>
      </w:r>
      <w:r w:rsidR="006A6FB6" w:rsidRPr="004B18E9">
        <w:fldChar w:fldCharType="separate"/>
      </w:r>
      <w:r w:rsidR="00250A10">
        <w:t>[12, 24]</w:t>
      </w:r>
      <w:r w:rsidR="006A6FB6" w:rsidRPr="004B18E9">
        <w:fldChar w:fldCharType="end"/>
      </w:r>
      <w:r w:rsidRPr="004B18E9">
        <w:t xml:space="preserve">. </w:t>
      </w:r>
      <w:r w:rsidR="002475FC" w:rsidRPr="004B18E9">
        <w:t>Both versions of the instrument have the same number of items across the four sub-scales or domains of health for each age-specific module: For toddlers (2-4 years), young children (5-7 years), older children (8-12 years) and adolescents (13-18 years). The number of items within the health domain varies for some modules. The physical functioning (PF) domain has eight items, and both the emotional functioning (EF) and the social functioning (SF) domains have five items each. School functioning (FU) has five items for all age groups except toddlers where there are three items.</w:t>
      </w:r>
      <w:r w:rsidRPr="004B18E9">
        <w:t xml:space="preserve"> Similar to the CHU-9D instrument, responses to each of the twenty-three items are on a five-point scale of increasing severity from 0 to 4: never a problem; almost never a problem; sometimes a problem; often a problem; and almost always a problem.</w:t>
      </w:r>
      <w:r w:rsidR="005A705A" w:rsidRPr="004B18E9">
        <w:t xml:space="preserve"> Responses are then reverse scored</w:t>
      </w:r>
      <w:r w:rsidRPr="004B18E9">
        <w:t xml:space="preserve"> and linearly transformed (0=100, 1=75, 2=50, 3=25 and 4=0). The total PedsQL™ score is the mean of the transformed score from all items answered. The total score </w:t>
      </w:r>
      <w:r w:rsidRPr="004B18E9">
        <w:rPr>
          <w:noProof/>
        </w:rPr>
        <w:t>is expressed</w:t>
      </w:r>
      <w:r w:rsidRPr="004B18E9">
        <w:t xml:space="preserve"> </w:t>
      </w:r>
      <w:r w:rsidR="000D7F00" w:rsidRPr="004B18E9">
        <w:t xml:space="preserve">on </w:t>
      </w:r>
      <w:r w:rsidRPr="004B18E9">
        <w:t>a 0 to 100 scale with 100 reflecting best possible health state.</w:t>
      </w:r>
    </w:p>
    <w:p w14:paraId="68795355" w14:textId="77777777" w:rsidR="001F0125" w:rsidRPr="004B18E9" w:rsidRDefault="001F0125" w:rsidP="00102970">
      <w:pPr>
        <w:spacing w:after="240"/>
      </w:pPr>
    </w:p>
    <w:p w14:paraId="5D8F74B2" w14:textId="439ABDAD" w:rsidR="00DB6A0E" w:rsidRPr="004B18E9" w:rsidRDefault="00DB6A0E" w:rsidP="001F0125">
      <w:pPr>
        <w:pStyle w:val="Heading3"/>
        <w:spacing w:after="0"/>
      </w:pPr>
      <w:r w:rsidRPr="004B18E9">
        <w:t>Analysis</w:t>
      </w:r>
    </w:p>
    <w:p w14:paraId="3982646C" w14:textId="76C024D5" w:rsidR="006A6FB6" w:rsidRPr="004B18E9" w:rsidRDefault="00CE08C5" w:rsidP="00102970">
      <w:pPr>
        <w:spacing w:after="240"/>
      </w:pPr>
      <w:r w:rsidRPr="004B18E9">
        <w:t>Characteristics of participants in the study</w:t>
      </w:r>
      <w:r w:rsidR="00851EFA" w:rsidRPr="004B18E9">
        <w:t xml:space="preserve"> </w:t>
      </w:r>
      <w:r w:rsidR="00851EFA" w:rsidRPr="004B18E9">
        <w:rPr>
          <w:noProof/>
        </w:rPr>
        <w:t>were summarised</w:t>
      </w:r>
      <w:r w:rsidR="00851EFA" w:rsidRPr="004B18E9">
        <w:t xml:space="preserve"> as means and standard deviation for continuous variables</w:t>
      </w:r>
      <w:r w:rsidR="000D7F00" w:rsidRPr="004B18E9">
        <w:t>,</w:t>
      </w:r>
      <w:r w:rsidR="00851EFA" w:rsidRPr="004B18E9">
        <w:t xml:space="preserve"> and frequency (%) for categorical variables. T</w:t>
      </w:r>
      <w:r w:rsidR="00102970" w:rsidRPr="004B18E9">
        <w:t>he conceptual overlap between the two instruments across the w</w:t>
      </w:r>
      <w:r w:rsidR="00A663AF" w:rsidRPr="004B18E9">
        <w:t xml:space="preserve">hole sample </w:t>
      </w:r>
      <w:r w:rsidR="00102970" w:rsidRPr="004B18E9">
        <w:rPr>
          <w:noProof/>
        </w:rPr>
        <w:t>were</w:t>
      </w:r>
      <w:r w:rsidR="00102970" w:rsidRPr="004B18E9">
        <w:t xml:space="preserve"> explored using Spearman correlation</w:t>
      </w:r>
      <w:r w:rsidR="00851EFA" w:rsidRPr="004B18E9">
        <w:t xml:space="preserve"> coefficients</w:t>
      </w:r>
      <w:r w:rsidR="00102970" w:rsidRPr="004B18E9">
        <w:t xml:space="preserve">. </w:t>
      </w:r>
      <w:r w:rsidR="006A6FB6" w:rsidRPr="004B18E9">
        <w:t xml:space="preserve"> </w:t>
      </w:r>
    </w:p>
    <w:p w14:paraId="6190ACF2" w14:textId="5E0E3B05" w:rsidR="005A705A" w:rsidRPr="004B18E9" w:rsidRDefault="00851EFA" w:rsidP="00102970">
      <w:pPr>
        <w:spacing w:after="240"/>
      </w:pPr>
      <w:r w:rsidRPr="004B18E9">
        <w:lastRenderedPageBreak/>
        <w:t>T</w:t>
      </w:r>
      <w:r w:rsidR="00102970" w:rsidRPr="004B18E9">
        <w:t>he prediction mapping exercise</w:t>
      </w:r>
      <w:r w:rsidR="000D7F00" w:rsidRPr="004B18E9">
        <w:t xml:space="preserve"> regressed</w:t>
      </w:r>
      <w:r w:rsidR="00DE1B98" w:rsidRPr="004B18E9">
        <w:t xml:space="preserve"> the CHU-9D utility scores (</w:t>
      </w:r>
      <w:r w:rsidR="00102970" w:rsidRPr="004B18E9">
        <w:t>dependent variable) against the PedsQL™ total, sub-scale or item scores (</w:t>
      </w:r>
      <w:r w:rsidR="00DE1B98" w:rsidRPr="004B18E9">
        <w:t>in</w:t>
      </w:r>
      <w:r w:rsidR="00102970" w:rsidRPr="004B18E9">
        <w:t xml:space="preserve">dependent variables) to generate an algorithm that could then be subsequently used to </w:t>
      </w:r>
      <w:r w:rsidRPr="004B18E9">
        <w:t xml:space="preserve">predict the CHU-9D values. </w:t>
      </w:r>
      <w:r w:rsidR="00102970" w:rsidRPr="004B18E9">
        <w:rPr>
          <w:noProof/>
        </w:rPr>
        <w:t>In order to</w:t>
      </w:r>
      <w:r w:rsidR="00102970" w:rsidRPr="004B18E9">
        <w:t xml:space="preserve"> </w:t>
      </w:r>
      <w:r w:rsidR="001F0125" w:rsidRPr="004B18E9">
        <w:t>select the model with a good prediction accuracy</w:t>
      </w:r>
      <w:r w:rsidR="00102970" w:rsidRPr="004B18E9">
        <w:t>, three ‘functional forms’</w:t>
      </w:r>
      <w:r w:rsidR="005A705A" w:rsidRPr="004B18E9">
        <w:t xml:space="preserve"> or estimators</w:t>
      </w:r>
      <w:r w:rsidR="00102970" w:rsidRPr="004B18E9">
        <w:t xml:space="preserve"> </w:t>
      </w:r>
      <w:r w:rsidR="00102970" w:rsidRPr="004B18E9">
        <w:rPr>
          <w:noProof/>
        </w:rPr>
        <w:t>were explored</w:t>
      </w:r>
      <w:r w:rsidR="00D61CA8" w:rsidRPr="004B18E9">
        <w:rPr>
          <w:noProof/>
        </w:rPr>
        <w:t xml:space="preserve"> since it was not pragmatic to compare all mapping functions that </w:t>
      </w:r>
      <w:r w:rsidR="001F0125" w:rsidRPr="004B18E9">
        <w:rPr>
          <w:noProof/>
        </w:rPr>
        <w:t>are</w:t>
      </w:r>
      <w:r w:rsidR="00D61CA8" w:rsidRPr="004B18E9">
        <w:rPr>
          <w:noProof/>
        </w:rPr>
        <w:t xml:space="preserve"> available</w:t>
      </w:r>
      <w:r w:rsidR="00102970" w:rsidRPr="004B18E9">
        <w:t xml:space="preserve">. </w:t>
      </w:r>
      <w:r w:rsidR="00D61CA8" w:rsidRPr="004B18E9">
        <w:t>The estimators were chosen based on their perceived theoretical advantage and their performance in previous mapping studies.</w:t>
      </w:r>
    </w:p>
    <w:p w14:paraId="5DA796F1" w14:textId="1AF8FD2E" w:rsidR="00D61CA8" w:rsidRPr="004B18E9" w:rsidRDefault="00102970" w:rsidP="00102970">
      <w:pPr>
        <w:spacing w:after="240"/>
      </w:pPr>
      <w:r w:rsidRPr="004B18E9">
        <w:t xml:space="preserve">The first was the ordinary least squares (OLS) regression with predicted utility scores censored at the value of 1.  </w:t>
      </w:r>
      <w:r w:rsidRPr="004B18E9">
        <w:rPr>
          <w:noProof/>
        </w:rPr>
        <w:t>Whilst</w:t>
      </w:r>
      <w:r w:rsidRPr="004B18E9">
        <w:t xml:space="preserve"> the OLS regression minimises the sum of squared </w:t>
      </w:r>
      <w:r w:rsidRPr="004B18E9">
        <w:rPr>
          <w:noProof/>
        </w:rPr>
        <w:t>errors,</w:t>
      </w:r>
      <w:r w:rsidRPr="004B18E9">
        <w:t xml:space="preserve"> and represents the most common method within mapping studies </w:t>
      </w:r>
      <w:r w:rsidRPr="004B18E9">
        <w:fldChar w:fldCharType="begin"/>
      </w:r>
      <w:r w:rsidRPr="004B18E9">
        <w:instrText>ADDIN RW.CITE{{1001 Dakin, Helen 2013}}</w:instrText>
      </w:r>
      <w:r w:rsidRPr="004B18E9">
        <w:fldChar w:fldCharType="separate"/>
      </w:r>
      <w:r w:rsidR="00250A10">
        <w:t>[18]</w:t>
      </w:r>
      <w:r w:rsidRPr="004B18E9">
        <w:fldChar w:fldCharType="end"/>
      </w:r>
      <w:r w:rsidRPr="004B18E9">
        <w:t xml:space="preserve"> it has been shown not to cope well with multi-modal distributions </w:t>
      </w:r>
      <w:r w:rsidRPr="004B18E9">
        <w:fldChar w:fldCharType="begin"/>
      </w:r>
      <w:r w:rsidRPr="004B18E9">
        <w:instrText>ADDIN RW.CITE{{1000 Golub, Gene H 1980}}</w:instrText>
      </w:r>
      <w:r w:rsidRPr="004B18E9">
        <w:fldChar w:fldCharType="separate"/>
      </w:r>
      <w:r w:rsidR="00250A10">
        <w:t>[25]</w:t>
      </w:r>
      <w:r w:rsidRPr="004B18E9">
        <w:fldChar w:fldCharType="end"/>
      </w:r>
      <w:r w:rsidRPr="004B18E9">
        <w:t xml:space="preserve"> and does not always predict a perfect health.  </w:t>
      </w:r>
      <w:r w:rsidR="005A705A" w:rsidRPr="004B18E9">
        <w:t xml:space="preserve">Despite its </w:t>
      </w:r>
      <w:r w:rsidR="005A705A" w:rsidRPr="004B18E9">
        <w:rPr>
          <w:noProof/>
        </w:rPr>
        <w:t>limitation</w:t>
      </w:r>
      <w:r w:rsidR="005A705A" w:rsidRPr="004B18E9">
        <w:t>, the OLS often gives good prediction accuracy in mapping.</w:t>
      </w:r>
    </w:p>
    <w:p w14:paraId="7E89E627" w14:textId="001946F6" w:rsidR="00102970" w:rsidRPr="004B18E9" w:rsidRDefault="00D61CA8" w:rsidP="00102970">
      <w:pPr>
        <w:spacing w:after="240"/>
      </w:pPr>
      <w:r w:rsidRPr="004B18E9">
        <w:t>T</w:t>
      </w:r>
      <w:r w:rsidR="00102970" w:rsidRPr="004B18E9">
        <w:t xml:space="preserve">he generalised linear model (GLM) </w:t>
      </w:r>
      <w:r w:rsidR="00102970" w:rsidRPr="004B18E9">
        <w:fldChar w:fldCharType="begin"/>
      </w:r>
      <w:r w:rsidR="00102970" w:rsidRPr="004B18E9">
        <w:instrText>ADDIN RW.CITE{{1002 Crawley, Michael J 2007}}</w:instrText>
      </w:r>
      <w:r w:rsidR="00102970" w:rsidRPr="004B18E9">
        <w:fldChar w:fldCharType="separate"/>
      </w:r>
      <w:r w:rsidR="00250A10">
        <w:t>[26]</w:t>
      </w:r>
      <w:r w:rsidR="00102970" w:rsidRPr="004B18E9">
        <w:fldChar w:fldCharType="end"/>
      </w:r>
      <w:r w:rsidR="00102970" w:rsidRPr="004B18E9">
        <w:t xml:space="preserve"> chosen as the second functional form </w:t>
      </w:r>
      <w:r w:rsidRPr="004B18E9">
        <w:t xml:space="preserve">chosen </w:t>
      </w:r>
      <w:r w:rsidR="00102970" w:rsidRPr="004B18E9">
        <w:t>because it accommodates skewness</w:t>
      </w:r>
      <w:r w:rsidRPr="004B18E9">
        <w:t xml:space="preserve"> and heteroscedasticity</w:t>
      </w:r>
      <w:r w:rsidR="00102970" w:rsidRPr="004B18E9">
        <w:t xml:space="preserve"> in the estimation sample.</w:t>
      </w:r>
      <w:r w:rsidRPr="004B18E9">
        <w:t xml:space="preserve"> </w:t>
      </w:r>
      <w:r w:rsidR="00102970" w:rsidRPr="004B18E9">
        <w:t xml:space="preserve">The GLM requires specification of </w:t>
      </w:r>
      <w:r w:rsidR="00102970" w:rsidRPr="004B18E9">
        <w:rPr>
          <w:noProof/>
        </w:rPr>
        <w:t>a distribution</w:t>
      </w:r>
      <w:r w:rsidR="00102970" w:rsidRPr="004B18E9">
        <w:t xml:space="preserve"> ‘family’ that captures the relationship between the mean and variance, and a link function between the linear part and the mean. The Modified Park test was applied to identify the preferred ‘family’ based on the lowest χ2 value, and the Hosmer-Lemeshow and Pearson correlation tests </w:t>
      </w:r>
      <w:r w:rsidR="00102970" w:rsidRPr="004B18E9">
        <w:fldChar w:fldCharType="begin"/>
      </w:r>
      <w:r w:rsidR="00102970" w:rsidRPr="004B18E9">
        <w:instrText>ADDIN RW.CITE{{1005 Kramer,A.A. 2007; 1006 Hosmer Jr, David W 2004}}</w:instrText>
      </w:r>
      <w:r w:rsidR="00102970" w:rsidRPr="004B18E9">
        <w:fldChar w:fldCharType="separate"/>
      </w:r>
      <w:r w:rsidR="00250A10">
        <w:t>[27, 28]</w:t>
      </w:r>
      <w:r w:rsidR="00102970" w:rsidRPr="004B18E9">
        <w:fldChar w:fldCharType="end"/>
      </w:r>
      <w:r w:rsidR="00102970" w:rsidRPr="004B18E9">
        <w:t xml:space="preserve"> were used to select the link function, defined as fitting well if both tests yielded non-significant p-values</w:t>
      </w:r>
      <w:r w:rsidRPr="004B18E9">
        <w:t>.</w:t>
      </w:r>
      <w:r w:rsidR="001F0125" w:rsidRPr="004B18E9">
        <w:t xml:space="preserve"> </w:t>
      </w:r>
      <w:r w:rsidR="00102970" w:rsidRPr="004B18E9">
        <w:t>The third form chosen for the prediction function was the Tobit model, a censored regression that accommodates both the lower and upper limit utility scores</w:t>
      </w:r>
      <w:r w:rsidR="00102970" w:rsidRPr="004B18E9">
        <w:fldChar w:fldCharType="begin"/>
      </w:r>
      <w:r w:rsidR="00102970" w:rsidRPr="004B18E9">
        <w:instrText>ADDIN RW.CITE{{1003 Tobin, James 1958}}</w:instrText>
      </w:r>
      <w:r w:rsidR="00102970" w:rsidRPr="004B18E9">
        <w:fldChar w:fldCharType="separate"/>
      </w:r>
      <w:r w:rsidR="00250A10">
        <w:t>[29]</w:t>
      </w:r>
      <w:r w:rsidR="00102970" w:rsidRPr="004B18E9">
        <w:fldChar w:fldCharType="end"/>
      </w:r>
      <w:r w:rsidR="00102970" w:rsidRPr="004B18E9">
        <w:t xml:space="preserve">. Tobit models have </w:t>
      </w:r>
      <w:r w:rsidR="00102970" w:rsidRPr="004B18E9">
        <w:rPr>
          <w:noProof/>
        </w:rPr>
        <w:t>been suggested</w:t>
      </w:r>
      <w:r w:rsidR="00102970" w:rsidRPr="004B18E9">
        <w:t xml:space="preserve"> for mapping despite concerns about inconsistencies in the presence of non-normality and heteroscedasticity </w:t>
      </w:r>
      <w:r w:rsidR="00102970" w:rsidRPr="004B18E9">
        <w:fldChar w:fldCharType="begin"/>
      </w:r>
      <w:r w:rsidR="00102970" w:rsidRPr="004B18E9">
        <w:instrText>ADDIN RW.CITE{{1004 Reynolds, Anderson 1991}}</w:instrText>
      </w:r>
      <w:r w:rsidR="00102970" w:rsidRPr="004B18E9">
        <w:fldChar w:fldCharType="separate"/>
      </w:r>
      <w:r w:rsidR="00250A10">
        <w:t>[30]</w:t>
      </w:r>
      <w:r w:rsidR="00102970" w:rsidRPr="004B18E9">
        <w:fldChar w:fldCharType="end"/>
      </w:r>
      <w:r w:rsidRPr="004B18E9">
        <w:t xml:space="preserve">. </w:t>
      </w:r>
    </w:p>
    <w:p w14:paraId="79BC6F0E" w14:textId="70813D3A" w:rsidR="001F0125" w:rsidRPr="004B18E9" w:rsidRDefault="002475FC" w:rsidP="00102970">
      <w:pPr>
        <w:spacing w:after="240"/>
      </w:pPr>
      <w:r w:rsidRPr="004B18E9">
        <w:t xml:space="preserve">As well as the three functional forms chosen, other models have been used for mapping such as the beta-binomial estimator and finite mixture models used to accommodate skewed distributions </w:t>
      </w:r>
      <w:r w:rsidR="001F0125" w:rsidRPr="004B18E9">
        <w:fldChar w:fldCharType="begin"/>
      </w:r>
      <w:r w:rsidR="001F0125" w:rsidRPr="004B18E9">
        <w:instrText>ADDIN RW.CITE{{1159 Mpundu-Kaambwa, Christine 2016}}</w:instrText>
      </w:r>
      <w:r w:rsidR="001F0125" w:rsidRPr="004B18E9">
        <w:fldChar w:fldCharType="separate"/>
      </w:r>
      <w:r w:rsidR="00250A10">
        <w:t>[15]</w:t>
      </w:r>
      <w:r w:rsidR="001F0125" w:rsidRPr="004B18E9">
        <w:fldChar w:fldCharType="end"/>
      </w:r>
      <w:r w:rsidRPr="004B18E9">
        <w:t>.</w:t>
      </w:r>
      <w:r w:rsidR="001F0125" w:rsidRPr="004B18E9">
        <w:t xml:space="preserve"> </w:t>
      </w:r>
      <w:r w:rsidRPr="004B18E9">
        <w:t xml:space="preserve">However, neither of these models have been shown to be better than GLM or OLS when predicting utility value at near perfect health state </w:t>
      </w:r>
      <w:r w:rsidRPr="004B18E9">
        <w:fldChar w:fldCharType="begin"/>
      </w:r>
      <w:r w:rsidRPr="004B18E9">
        <w:instrText>ADDIN RW.CITE{{1262 Khan, Iftekhar 2014; 1263 Crott, Ralph 2016}}</w:instrText>
      </w:r>
      <w:r w:rsidRPr="004B18E9">
        <w:fldChar w:fldCharType="separate"/>
      </w:r>
      <w:r w:rsidR="00250A10">
        <w:t>[31, 32]</w:t>
      </w:r>
      <w:r w:rsidRPr="004B18E9">
        <w:fldChar w:fldCharType="end"/>
      </w:r>
      <w:r w:rsidR="001F0125" w:rsidRPr="004B18E9">
        <w:t xml:space="preserve">. </w:t>
      </w:r>
      <w:r w:rsidRPr="004B18E9">
        <w:t>Furthermore, the MM-estimator</w:t>
      </w:r>
      <w:r w:rsidR="001F0125" w:rsidRPr="004B18E9">
        <w:t xml:space="preserve"> </w:t>
      </w:r>
      <w:r w:rsidR="001F0125" w:rsidRPr="004B18E9">
        <w:fldChar w:fldCharType="begin"/>
      </w:r>
      <w:r w:rsidR="001F0125" w:rsidRPr="004B18E9">
        <w:instrText>ADDIN RW.CITE{{1259 Chen, Gang 2016}}</w:instrText>
      </w:r>
      <w:r w:rsidR="001F0125" w:rsidRPr="004B18E9">
        <w:fldChar w:fldCharType="separate"/>
      </w:r>
      <w:r w:rsidR="00250A10">
        <w:t>[33]</w:t>
      </w:r>
      <w:r w:rsidR="001F0125" w:rsidRPr="004B18E9">
        <w:fldChar w:fldCharType="end"/>
      </w:r>
      <w:r w:rsidR="001F0125" w:rsidRPr="004B18E9">
        <w:t xml:space="preserve"> </w:t>
      </w:r>
      <w:r w:rsidRPr="004B18E9">
        <w:t xml:space="preserve">has the potential to cope with heteroscedasticity and the undesired effect of outliers within the estimation sample, and has been shown to have the lowest predictive error in a previous paper that mapped PedsQL™ onto CHU-9D in an older population </w:t>
      </w:r>
      <w:r w:rsidRPr="004B18E9">
        <w:fldChar w:fldCharType="begin"/>
      </w:r>
      <w:r w:rsidRPr="004B18E9">
        <w:instrText>ADDIN RW.CITE{{1159 Mpundu-Kaambwa, Christine 2016}}</w:instrText>
      </w:r>
      <w:r w:rsidRPr="004B18E9">
        <w:fldChar w:fldCharType="separate"/>
      </w:r>
      <w:r w:rsidR="00250A10">
        <w:t>[15]</w:t>
      </w:r>
      <w:r w:rsidRPr="004B18E9">
        <w:fldChar w:fldCharType="end"/>
      </w:r>
      <w:r w:rsidR="001F0125" w:rsidRPr="004B18E9">
        <w:t xml:space="preserve">. </w:t>
      </w:r>
      <w:r w:rsidRPr="004B18E9">
        <w:t xml:space="preserve">Unfortunately however, the MM-estimator does not permit the use of cluster variables, which are required given the nature of this mapping sample. In addition, there are alternatives to the Tobit estimator for handling ceiling effects such as the multivariable fractional polynomials (MFP) and the censored least absolute deviation (CLAD) but again, neither of these estimators have been convincingly shown to be better than OLS </w:t>
      </w:r>
      <w:r w:rsidRPr="004B18E9">
        <w:fldChar w:fldCharType="begin"/>
      </w:r>
      <w:r w:rsidRPr="004B18E9">
        <w:instrText>ADDIN RW.CITE{{1264 Payakachat, Nalin 2009}}</w:instrText>
      </w:r>
      <w:r w:rsidRPr="004B18E9">
        <w:fldChar w:fldCharType="separate"/>
      </w:r>
      <w:r w:rsidR="00250A10">
        <w:t>[34]</w:t>
      </w:r>
      <w:r w:rsidRPr="004B18E9">
        <w:fldChar w:fldCharType="end"/>
      </w:r>
      <w:r w:rsidR="001F0125" w:rsidRPr="004B18E9">
        <w:t>.</w:t>
      </w:r>
    </w:p>
    <w:p w14:paraId="3DA4B3A7" w14:textId="468AC3FA" w:rsidR="001F0125" w:rsidRPr="004B18E9" w:rsidRDefault="001F0125" w:rsidP="00102970">
      <w:pPr>
        <w:spacing w:after="240"/>
      </w:pPr>
      <w:r w:rsidRPr="004B18E9">
        <w:t>In summary, six model-specifications (covariates) were developed based on the OLS, Tobit and the GLM ‘functional forms’, thus generating eighteen models in total.</w:t>
      </w:r>
    </w:p>
    <w:p w14:paraId="79EE5DA3" w14:textId="77777777" w:rsidR="001F0125" w:rsidRPr="004B18E9" w:rsidRDefault="001F0125" w:rsidP="00102970">
      <w:pPr>
        <w:spacing w:after="240"/>
      </w:pPr>
    </w:p>
    <w:p w14:paraId="0B4F5A9C" w14:textId="77777777" w:rsidR="00102970" w:rsidRPr="00686851" w:rsidRDefault="00102970" w:rsidP="00102970">
      <w:pPr>
        <w:spacing w:line="240" w:lineRule="auto"/>
      </w:pPr>
      <w:r w:rsidRPr="00686851">
        <w:t>Modes specification/covariates</w:t>
      </w:r>
    </w:p>
    <w:p w14:paraId="7E53D07C" w14:textId="77777777" w:rsidR="00102970" w:rsidRPr="00686851" w:rsidRDefault="00102970" w:rsidP="00102970">
      <w:pPr>
        <w:spacing w:after="0"/>
      </w:pPr>
      <w:r w:rsidRPr="00686851">
        <w:t>Model-1     PedsQL™ total scale score</w:t>
      </w:r>
    </w:p>
    <w:p w14:paraId="70721FA0" w14:textId="77777777" w:rsidR="00102970" w:rsidRPr="00686851" w:rsidRDefault="00102970" w:rsidP="00102970">
      <w:pPr>
        <w:spacing w:after="0"/>
      </w:pPr>
      <w:r w:rsidRPr="00686851">
        <w:t>Model-2     Model-1, age, and sex</w:t>
      </w:r>
    </w:p>
    <w:p w14:paraId="6534439F" w14:textId="77777777" w:rsidR="00102970" w:rsidRPr="00686851" w:rsidRDefault="00102970" w:rsidP="00102970">
      <w:pPr>
        <w:spacing w:after="0"/>
      </w:pPr>
      <w:r w:rsidRPr="00686851">
        <w:t>Model-3     PedsQL™ sub-scale scores</w:t>
      </w:r>
    </w:p>
    <w:p w14:paraId="21130667" w14:textId="77777777" w:rsidR="00102970" w:rsidRPr="00686851" w:rsidRDefault="00102970" w:rsidP="00102970">
      <w:pPr>
        <w:spacing w:after="0"/>
      </w:pPr>
      <w:r w:rsidRPr="00686851">
        <w:t>Model-4     Model-3, age and sex</w:t>
      </w:r>
    </w:p>
    <w:p w14:paraId="71E95683" w14:textId="77777777" w:rsidR="00102970" w:rsidRPr="00686851" w:rsidRDefault="00102970" w:rsidP="00102970">
      <w:pPr>
        <w:spacing w:after="0"/>
      </w:pPr>
      <w:r w:rsidRPr="00686851">
        <w:t>Model-5     PedsQL™ sub-scale score square terms and interaction terms</w:t>
      </w:r>
    </w:p>
    <w:p w14:paraId="293A278D" w14:textId="4F4F5FCA" w:rsidR="00102970" w:rsidRPr="001F0125" w:rsidRDefault="00102970" w:rsidP="001F0125">
      <w:pPr>
        <w:spacing w:after="0"/>
      </w:pPr>
      <w:r w:rsidRPr="00686851">
        <w:t>Model-6     Model-5, age and sex</w:t>
      </w:r>
    </w:p>
    <w:p w14:paraId="370C1727" w14:textId="0F42CFC2" w:rsidR="00102970" w:rsidRPr="00BB73FF" w:rsidRDefault="00102970" w:rsidP="00102970">
      <w:r>
        <w:t xml:space="preserve">The PREDNOS </w:t>
      </w:r>
      <w:r w:rsidRPr="00BB73FF">
        <w:t>data is a longitudinal</w:t>
      </w:r>
      <w:r>
        <w:t xml:space="preserve"> dataset</w:t>
      </w:r>
      <w:r w:rsidRPr="00BB73FF">
        <w:t xml:space="preserve"> that can </w:t>
      </w:r>
      <w:r w:rsidRPr="001F0125">
        <w:rPr>
          <w:noProof/>
        </w:rPr>
        <w:t>be viewed</w:t>
      </w:r>
      <w:r>
        <w:t xml:space="preserve"> as having</w:t>
      </w:r>
      <w:r w:rsidRPr="00BB73FF">
        <w:t xml:space="preserve"> a two-stage structure, where the data collection time-points (level 1 units) </w:t>
      </w:r>
      <w:r w:rsidRPr="001F0125">
        <w:rPr>
          <w:noProof/>
        </w:rPr>
        <w:t>are nested</w:t>
      </w:r>
      <w:r w:rsidRPr="00BB73FF">
        <w:t xml:space="preserve"> within subjects/patients (level 2 unit). </w:t>
      </w:r>
      <w:r w:rsidR="007A1616">
        <w:t>A r</w:t>
      </w:r>
      <w:r w:rsidR="007A1616" w:rsidRPr="00BB73FF">
        <w:t>and</w:t>
      </w:r>
      <w:r w:rsidR="007A1616">
        <w:t>om</w:t>
      </w:r>
      <w:r w:rsidR="006A6FB6">
        <w:t>-intercept mixed-effect model is often used to account for multilevel</w:t>
      </w:r>
      <w:r w:rsidRPr="00BB73FF">
        <w:t xml:space="preserve"> hierarc</w:t>
      </w:r>
      <w:r>
        <w:t xml:space="preserve">hical data </w:t>
      </w:r>
      <w:r w:rsidRPr="001F0125">
        <w:rPr>
          <w:noProof/>
        </w:rPr>
        <w:t>structure</w:t>
      </w:r>
      <w:r w:rsidR="006A6FB6" w:rsidRPr="001F0125">
        <w:rPr>
          <w:noProof/>
        </w:rPr>
        <w:t>s,</w:t>
      </w:r>
      <w:r w:rsidR="006A6FB6">
        <w:t xml:space="preserve"> but</w:t>
      </w:r>
      <w:r w:rsidRPr="00BB73FF">
        <w:t xml:space="preserve"> was</w:t>
      </w:r>
      <w:r>
        <w:t xml:space="preserve"> no</w:t>
      </w:r>
      <w:r w:rsidR="006A6FB6">
        <w:t>t considered appropriate in our mapping</w:t>
      </w:r>
      <w:r>
        <w:t xml:space="preserve"> context</w:t>
      </w:r>
      <w:r w:rsidRPr="00BB73FF">
        <w:t xml:space="preserve"> because</w:t>
      </w:r>
      <w:r w:rsidR="006A6FB6">
        <w:t xml:space="preserve"> the relationship between CHU-9D and PedsQL™ should be the same regardless of when the questionnaire </w:t>
      </w:r>
      <w:r w:rsidR="006A6FB6" w:rsidRPr="001F0125">
        <w:rPr>
          <w:noProof/>
        </w:rPr>
        <w:t>was administered</w:t>
      </w:r>
      <w:r w:rsidR="00D61CA8">
        <w:t xml:space="preserve">. In </w:t>
      </w:r>
      <w:r w:rsidR="00D61CA8" w:rsidRPr="001F0125">
        <w:rPr>
          <w:noProof/>
        </w:rPr>
        <w:t>practice</w:t>
      </w:r>
      <w:r w:rsidR="006A6FB6">
        <w:t xml:space="preserve"> neither CHU-9D utility score nor PedsQL™ total score computation </w:t>
      </w:r>
      <w:r w:rsidR="006A6FB6" w:rsidRPr="001F0125">
        <w:rPr>
          <w:noProof/>
        </w:rPr>
        <w:t>depend</w:t>
      </w:r>
      <w:r w:rsidR="006A6FB6">
        <w:t xml:space="preserve"> </w:t>
      </w:r>
      <w:r w:rsidR="007A1616">
        <w:t>up</w:t>
      </w:r>
      <w:r w:rsidR="006A6FB6">
        <w:t xml:space="preserve">on follow-up </w:t>
      </w:r>
      <w:r w:rsidR="00CE08C5">
        <w:t>time-points within studies</w:t>
      </w:r>
      <w:r w:rsidR="006A6FB6">
        <w:t xml:space="preserve">. Therefore, </w:t>
      </w:r>
      <w:r w:rsidRPr="00BB73FF">
        <w:t xml:space="preserve">the PREDNOS data was considered to have only one </w:t>
      </w:r>
      <w:r w:rsidRPr="00E72753">
        <w:rPr>
          <w:noProof/>
        </w:rPr>
        <w:t>h</w:t>
      </w:r>
      <w:r>
        <w:rPr>
          <w:noProof/>
        </w:rPr>
        <w:t>ie</w:t>
      </w:r>
      <w:r w:rsidRPr="00E72753">
        <w:rPr>
          <w:noProof/>
        </w:rPr>
        <w:t>rarchical</w:t>
      </w:r>
      <w:r w:rsidRPr="00BB73FF">
        <w:t xml:space="preserve"> level, which is at the </w:t>
      </w:r>
      <w:r w:rsidRPr="001F0125">
        <w:rPr>
          <w:noProof/>
        </w:rPr>
        <w:t>patient-level</w:t>
      </w:r>
      <w:r w:rsidRPr="00BB73FF">
        <w:t xml:space="preserve">. The within-patient correlation </w:t>
      </w:r>
      <w:r w:rsidRPr="001F0125">
        <w:rPr>
          <w:noProof/>
        </w:rPr>
        <w:t>was taken</w:t>
      </w:r>
      <w:r w:rsidRPr="00BB73FF">
        <w:t xml:space="preserve"> into account by including the ‘clustering’ option for each of the </w:t>
      </w:r>
      <w:r>
        <w:t>eighteen</w:t>
      </w:r>
      <w:r w:rsidRPr="00BB73FF">
        <w:t xml:space="preserve"> model </w:t>
      </w:r>
      <w:r w:rsidRPr="00E72753">
        <w:rPr>
          <w:noProof/>
        </w:rPr>
        <w:t>specification</w:t>
      </w:r>
      <w:r>
        <w:rPr>
          <w:noProof/>
        </w:rPr>
        <w:t>s</w:t>
      </w:r>
      <w:r w:rsidRPr="00BB73FF">
        <w:t>.</w:t>
      </w:r>
    </w:p>
    <w:p w14:paraId="65E0FF38" w14:textId="77777777" w:rsidR="00102970" w:rsidRPr="00AD6208" w:rsidRDefault="00102970" w:rsidP="00102970">
      <w:pPr>
        <w:spacing w:after="120"/>
      </w:pPr>
      <w:r w:rsidRPr="00AD6208">
        <w:t>e.g. Model-1 specification:</w:t>
      </w:r>
    </w:p>
    <w:p w14:paraId="03ABEF33" w14:textId="77777777" w:rsidR="00102970" w:rsidRDefault="00102970" w:rsidP="00102970">
      <w:pPr>
        <w:spacing w:after="120"/>
        <w:ind w:left="720"/>
        <w:rPr>
          <w:rFonts w:eastAsiaTheme="minorEastAsia"/>
          <w:noProof/>
          <w:sz w:val="24"/>
          <w:szCs w:val="24"/>
        </w:rPr>
      </w:pPr>
      <w:r>
        <w:rPr>
          <w:rFonts w:eastAsiaTheme="minorEastAsia"/>
          <w:noProof/>
          <w:sz w:val="24"/>
          <w:szCs w:val="24"/>
        </w:rPr>
        <w:t xml:space="preserve"> regress </w:t>
      </w:r>
      <w:r w:rsidRPr="00BB73FF">
        <w:rPr>
          <w:b/>
          <w:i/>
          <w:sz w:val="18"/>
          <w:szCs w:val="18"/>
        </w:rPr>
        <w:t>[</w:t>
      </w:r>
      <w:r w:rsidRPr="00BB73FF">
        <w:rPr>
          <w:b/>
          <w:i/>
          <w:sz w:val="16"/>
          <w:szCs w:val="16"/>
        </w:rPr>
        <w:t>CHU-9D score</w:t>
      </w:r>
      <w:r w:rsidRPr="00BB73FF">
        <w:rPr>
          <w:b/>
          <w:i/>
          <w:sz w:val="18"/>
          <w:szCs w:val="18"/>
        </w:rPr>
        <w:t>]</w:t>
      </w:r>
      <w:r w:rsidRPr="00BB73FF">
        <w:t xml:space="preserve"> </w:t>
      </w:r>
      <w:r w:rsidRPr="00BB73FF">
        <w:rPr>
          <w:b/>
          <w:i/>
          <w:sz w:val="18"/>
          <w:szCs w:val="18"/>
        </w:rPr>
        <w:t>[</w:t>
      </w:r>
      <w:r w:rsidRPr="00BB73FF">
        <w:rPr>
          <w:b/>
          <w:i/>
          <w:sz w:val="16"/>
          <w:szCs w:val="16"/>
        </w:rPr>
        <w:t>PedsQL™</w:t>
      </w:r>
      <w:r>
        <w:rPr>
          <w:b/>
          <w:i/>
          <w:sz w:val="16"/>
          <w:szCs w:val="16"/>
        </w:rPr>
        <w:t xml:space="preserve"> score</w:t>
      </w:r>
      <w:r w:rsidRPr="00BB73FF">
        <w:rPr>
          <w:rFonts w:eastAsiaTheme="minorEastAsia"/>
          <w:b/>
          <w:i/>
          <w:noProof/>
          <w:sz w:val="18"/>
          <w:szCs w:val="18"/>
        </w:rPr>
        <w:t>]</w:t>
      </w:r>
      <w:r>
        <w:rPr>
          <w:rFonts w:eastAsiaTheme="minorEastAsia"/>
          <w:noProof/>
          <w:sz w:val="24"/>
          <w:szCs w:val="24"/>
        </w:rPr>
        <w:t xml:space="preserve">, </w:t>
      </w:r>
      <w:r w:rsidRPr="001F0125">
        <w:rPr>
          <w:rFonts w:eastAsiaTheme="minorEastAsia"/>
          <w:noProof/>
          <w:sz w:val="24"/>
          <w:szCs w:val="24"/>
        </w:rPr>
        <w:t>vce</w:t>
      </w:r>
      <w:r>
        <w:rPr>
          <w:rFonts w:eastAsiaTheme="minorEastAsia"/>
          <w:noProof/>
          <w:sz w:val="24"/>
          <w:szCs w:val="24"/>
        </w:rPr>
        <w:t xml:space="preserve"> (cluster, </w:t>
      </w:r>
      <w:r w:rsidRPr="00BB73FF">
        <w:rPr>
          <w:b/>
          <w:i/>
          <w:sz w:val="18"/>
          <w:szCs w:val="18"/>
        </w:rPr>
        <w:t>[</w:t>
      </w:r>
      <w:r w:rsidRPr="00BB73FF">
        <w:rPr>
          <w:b/>
          <w:i/>
          <w:sz w:val="16"/>
          <w:szCs w:val="16"/>
        </w:rPr>
        <w:t>patient ID</w:t>
      </w:r>
      <w:r w:rsidRPr="00BB73FF">
        <w:rPr>
          <w:b/>
          <w:i/>
          <w:sz w:val="18"/>
          <w:szCs w:val="18"/>
        </w:rPr>
        <w:t>]</w:t>
      </w:r>
      <w:r>
        <w:rPr>
          <w:rFonts w:eastAsiaTheme="minorEastAsia"/>
          <w:noProof/>
          <w:sz w:val="24"/>
          <w:szCs w:val="24"/>
        </w:rPr>
        <w:t xml:space="preserve"> )</w:t>
      </w:r>
    </w:p>
    <w:p w14:paraId="7604218F" w14:textId="77777777" w:rsidR="00102970" w:rsidRPr="00AE6EB7" w:rsidRDefault="00102970" w:rsidP="00102970">
      <w:pPr>
        <w:spacing w:after="120"/>
        <w:rPr>
          <w:rFonts w:eastAsiaTheme="minorEastAsia"/>
          <w:noProof/>
          <w:sz w:val="24"/>
          <w:szCs w:val="24"/>
        </w:rPr>
      </w:pPr>
      <w:r w:rsidRPr="00AD6208">
        <w:t>Where</w:t>
      </w:r>
      <w:r>
        <w:rPr>
          <w:rFonts w:eastAsiaTheme="minorEastAsia"/>
          <w:noProof/>
          <w:sz w:val="24"/>
          <w:szCs w:val="24"/>
        </w:rPr>
        <w:t xml:space="preserve"> </w:t>
      </w:r>
      <w:r w:rsidRPr="00AE6EB7">
        <w:rPr>
          <w:b/>
          <w:i/>
          <w:sz w:val="16"/>
          <w:szCs w:val="16"/>
        </w:rPr>
        <w:t>[</w:t>
      </w:r>
      <w:r w:rsidRPr="00BB73FF">
        <w:rPr>
          <w:b/>
          <w:i/>
          <w:sz w:val="16"/>
          <w:szCs w:val="16"/>
        </w:rPr>
        <w:t>patient ID</w:t>
      </w:r>
      <w:r>
        <w:rPr>
          <w:b/>
          <w:i/>
          <w:sz w:val="16"/>
          <w:szCs w:val="16"/>
        </w:rPr>
        <w:t xml:space="preserve">]  </w:t>
      </w:r>
      <w:r w:rsidRPr="00AE6EB7">
        <w:t>was</w:t>
      </w:r>
      <w:r w:rsidRPr="00AD6208">
        <w:t xml:space="preserve"> a unique patient identifier.</w:t>
      </w:r>
    </w:p>
    <w:p w14:paraId="17886755" w14:textId="77777777" w:rsidR="00102970" w:rsidRPr="00E93AE6" w:rsidRDefault="00102970" w:rsidP="00DB6A0E">
      <w:pPr>
        <w:pStyle w:val="Heading3"/>
      </w:pPr>
      <w:bookmarkStart w:id="8" w:name="_Toc476041060"/>
      <w:bookmarkStart w:id="9" w:name="_Toc478982329"/>
      <w:r w:rsidRPr="00E93AE6">
        <w:t>Assessing model performance</w:t>
      </w:r>
      <w:bookmarkEnd w:id="8"/>
      <w:bookmarkEnd w:id="9"/>
    </w:p>
    <w:p w14:paraId="4F47B80F" w14:textId="2F0AE982" w:rsidR="00844AB2" w:rsidRPr="004B18E9" w:rsidRDefault="00844AB2" w:rsidP="00D61CA8">
      <w:pPr>
        <w:spacing w:after="240" w:line="480" w:lineRule="auto"/>
      </w:pPr>
      <w:r w:rsidRPr="004B18E9">
        <w:t xml:space="preserve">The following selection criteria </w:t>
      </w:r>
      <w:r w:rsidRPr="004B18E9">
        <w:rPr>
          <w:noProof/>
        </w:rPr>
        <w:t>were</w:t>
      </w:r>
      <w:r w:rsidRPr="004B18E9">
        <w:t xml:space="preserve"> applied to shortlist the models.</w:t>
      </w:r>
    </w:p>
    <w:p w14:paraId="49C85231" w14:textId="6AB83882" w:rsidR="00844AB2" w:rsidRPr="004B18E9" w:rsidRDefault="00844AB2" w:rsidP="00102970">
      <w:pPr>
        <w:spacing w:after="240"/>
      </w:pPr>
      <w:r w:rsidRPr="004B18E9">
        <w:t xml:space="preserve">Step 1: The models </w:t>
      </w:r>
      <w:r w:rsidRPr="004B18E9">
        <w:rPr>
          <w:noProof/>
        </w:rPr>
        <w:t>were assessed</w:t>
      </w:r>
      <w:r w:rsidRPr="004B18E9">
        <w:t xml:space="preserve"> on the exact</w:t>
      </w:r>
      <w:r w:rsidR="001F0125" w:rsidRPr="004B18E9">
        <w:t xml:space="preserve">ness </w:t>
      </w:r>
      <w:r w:rsidR="00615A04" w:rsidRPr="004B18E9">
        <w:t xml:space="preserve">of </w:t>
      </w:r>
      <w:r w:rsidR="001F0125" w:rsidRPr="004B18E9">
        <w:t>their mean prediction</w:t>
      </w:r>
      <w:r w:rsidRPr="004B18E9">
        <w:t xml:space="preserve"> in the estimation sample </w:t>
      </w:r>
      <w:r w:rsidRPr="004B18E9">
        <w:fldChar w:fldCharType="begin"/>
      </w:r>
      <w:r w:rsidRPr="004B18E9">
        <w:instrText>ADDIN RW.CITE{{992 Khan, Kamran A 2014}}</w:instrText>
      </w:r>
      <w:r w:rsidRPr="004B18E9">
        <w:fldChar w:fldCharType="separate"/>
      </w:r>
      <w:r w:rsidR="00250A10">
        <w:t>[35]</w:t>
      </w:r>
      <w:r w:rsidRPr="004B18E9">
        <w:fldChar w:fldCharType="end"/>
      </w:r>
      <w:r w:rsidRPr="004B18E9">
        <w:t>.</w:t>
      </w:r>
      <w:r w:rsidR="001F0125" w:rsidRPr="004B18E9">
        <w:t xml:space="preserve"> Models that accurately predicted the mean CHU-9D score up to </w:t>
      </w:r>
      <w:r w:rsidR="001F0125" w:rsidRPr="004B18E9">
        <w:rPr>
          <w:noProof/>
        </w:rPr>
        <w:t>one-ten thousandth</w:t>
      </w:r>
      <w:r w:rsidR="001F0125" w:rsidRPr="004B18E9">
        <w:t xml:space="preserve"> of a QALY </w:t>
      </w:r>
      <w:r w:rsidR="001F0125" w:rsidRPr="004B18E9">
        <w:rPr>
          <w:noProof/>
        </w:rPr>
        <w:t>were shortlisted</w:t>
      </w:r>
      <w:r w:rsidR="001F0125" w:rsidRPr="004B18E9">
        <w:t xml:space="preserve"> for the next step.</w:t>
      </w:r>
    </w:p>
    <w:p w14:paraId="5C7ED105" w14:textId="58E37A44" w:rsidR="00102970" w:rsidRPr="004B18E9" w:rsidRDefault="00844AB2" w:rsidP="00102970">
      <w:pPr>
        <w:spacing w:after="240"/>
      </w:pPr>
      <w:r w:rsidRPr="004B18E9">
        <w:t>Step 2: One model from each functional form were selected</w:t>
      </w:r>
      <w:r w:rsidR="00102970" w:rsidRPr="004B18E9">
        <w:t xml:space="preserve"> </w:t>
      </w:r>
      <w:r w:rsidRPr="004B18E9">
        <w:t>based on</w:t>
      </w:r>
      <w:r w:rsidR="00102970" w:rsidRPr="004B18E9">
        <w:t xml:space="preserve"> t</w:t>
      </w:r>
      <w:r w:rsidRPr="004B18E9">
        <w:t>heir</w:t>
      </w:r>
      <w:r w:rsidR="001F0125" w:rsidRPr="004B18E9">
        <w:t xml:space="preserve"> combined</w:t>
      </w:r>
      <w:r w:rsidRPr="004B18E9">
        <w:t xml:space="preserve"> prediction accuracy in</w:t>
      </w:r>
      <w:r w:rsidR="00102970" w:rsidRPr="004B18E9">
        <w:t xml:space="preserve"> the estimation</w:t>
      </w:r>
      <w:r w:rsidRPr="004B18E9">
        <w:t xml:space="preserve"> and validation</w:t>
      </w:r>
      <w:r w:rsidR="00102970" w:rsidRPr="004B18E9">
        <w:t xml:space="preserve"> sample</w:t>
      </w:r>
      <w:r w:rsidRPr="004B18E9">
        <w:t xml:space="preserve">. The indicators of prediction accuracy were </w:t>
      </w:r>
      <w:r w:rsidR="00102970" w:rsidRPr="004B18E9">
        <w:t>the mean absolute error (MAE)</w:t>
      </w:r>
      <w:r w:rsidRPr="004B18E9">
        <w:t xml:space="preserve"> and the mean square error (MSE). The MAE is the</w:t>
      </w:r>
      <w:r w:rsidR="00102970" w:rsidRPr="004B18E9">
        <w:t xml:space="preserve"> mean absolute difference between the observed and the predicted values, while MSE is the mean squared difference between the observed and the predicted CHU-9D utility score. Larger MAE and MSE indicate poorer fit and vice versa. </w:t>
      </w:r>
      <w:r w:rsidRPr="004B18E9">
        <w:t>MAE was prioritised over MSE</w:t>
      </w:r>
      <w:r w:rsidR="00D61CA8" w:rsidRPr="004B18E9">
        <w:t xml:space="preserve"> as the primary criteria</w:t>
      </w:r>
      <w:r w:rsidRPr="004B18E9">
        <w:t xml:space="preserve"> because it has been shown to be less sensitive </w:t>
      </w:r>
      <w:r w:rsidR="00CB1A00" w:rsidRPr="004B18E9">
        <w:t xml:space="preserve">to </w:t>
      </w:r>
      <w:r w:rsidRPr="004B18E9">
        <w:t>outlier</w:t>
      </w:r>
      <w:r w:rsidR="00CB1A00" w:rsidRPr="004B18E9">
        <w:t>s</w:t>
      </w:r>
      <w:r w:rsidRPr="004B18E9">
        <w:t xml:space="preserve"> </w:t>
      </w:r>
      <w:r w:rsidRPr="004B18E9">
        <w:fldChar w:fldCharType="begin"/>
      </w:r>
      <w:r w:rsidRPr="004B18E9">
        <w:instrText>ADDIN RW.CITE{{1195 Hyndman, Rob J 2006}}</w:instrText>
      </w:r>
      <w:r w:rsidRPr="004B18E9">
        <w:fldChar w:fldCharType="separate"/>
      </w:r>
      <w:r w:rsidR="00250A10">
        <w:t>[36]</w:t>
      </w:r>
      <w:r w:rsidRPr="004B18E9">
        <w:fldChar w:fldCharType="end"/>
      </w:r>
      <w:r w:rsidRPr="004B18E9">
        <w:t xml:space="preserve">, which </w:t>
      </w:r>
      <w:r w:rsidR="00CB1A00" w:rsidRPr="004B18E9">
        <w:rPr>
          <w:noProof/>
        </w:rPr>
        <w:t xml:space="preserve">are </w:t>
      </w:r>
      <w:r w:rsidRPr="004B18E9">
        <w:rPr>
          <w:noProof/>
        </w:rPr>
        <w:t xml:space="preserve">often </w:t>
      </w:r>
      <w:r w:rsidR="00CB1A00" w:rsidRPr="004B18E9">
        <w:rPr>
          <w:noProof/>
        </w:rPr>
        <w:t>found</w:t>
      </w:r>
      <w:r w:rsidRPr="004B18E9">
        <w:t xml:space="preserve"> with utility data.</w:t>
      </w:r>
    </w:p>
    <w:p w14:paraId="082592B9" w14:textId="211621BF" w:rsidR="00102970" w:rsidRPr="004B18E9" w:rsidRDefault="00844AB2" w:rsidP="00102970">
      <w:pPr>
        <w:spacing w:after="240"/>
      </w:pPr>
      <w:r w:rsidRPr="004B18E9">
        <w:lastRenderedPageBreak/>
        <w:t>Step 3</w:t>
      </w:r>
      <w:r w:rsidR="00102970" w:rsidRPr="004B18E9">
        <w:t xml:space="preserve">: </w:t>
      </w:r>
      <w:r w:rsidR="00102970" w:rsidRPr="004B18E9">
        <w:rPr>
          <w:noProof/>
        </w:rPr>
        <w:t xml:space="preserve">To assess and compare </w:t>
      </w:r>
      <w:r w:rsidRPr="004B18E9">
        <w:rPr>
          <w:noProof/>
        </w:rPr>
        <w:t>the shortlist</w:t>
      </w:r>
      <w:r w:rsidR="00CB1A00" w:rsidRPr="004B18E9">
        <w:rPr>
          <w:noProof/>
        </w:rPr>
        <w:t>ed</w:t>
      </w:r>
      <w:r w:rsidR="00102970" w:rsidRPr="004B18E9">
        <w:rPr>
          <w:noProof/>
        </w:rPr>
        <w:t xml:space="preserve"> models</w:t>
      </w:r>
      <w:r w:rsidRPr="004B18E9">
        <w:rPr>
          <w:noProof/>
        </w:rPr>
        <w:t xml:space="preserve"> from step 2</w:t>
      </w:r>
      <w:r w:rsidR="00102970" w:rsidRPr="004B18E9">
        <w:t xml:space="preserve">, a series of assessments were applied.  First, the distribution of the predicted and the observed CHU-9D scores </w:t>
      </w:r>
      <w:r w:rsidR="00102970" w:rsidRPr="004B18E9">
        <w:rPr>
          <w:noProof/>
        </w:rPr>
        <w:t>were</w:t>
      </w:r>
      <w:r w:rsidR="00102970" w:rsidRPr="004B18E9">
        <w:t xml:space="preserve"> plotted to examine how well the predicted scores matched the observed</w:t>
      </w:r>
      <w:r w:rsidR="000D7F00" w:rsidRPr="004B18E9">
        <w:t>.</w:t>
      </w:r>
      <w:r w:rsidR="00102970" w:rsidRPr="004B18E9">
        <w:t xml:space="preserve"> </w:t>
      </w:r>
      <w:r w:rsidR="000D7F00" w:rsidRPr="004B18E9">
        <w:t xml:space="preserve"> S</w:t>
      </w:r>
      <w:r w:rsidR="00102970" w:rsidRPr="004B18E9">
        <w:t xml:space="preserve">econd, the proportion of predictions deviating from observed values by &lt;0.03, 0.05 and &lt;0.1 </w:t>
      </w:r>
      <w:r w:rsidR="00102970" w:rsidRPr="004B18E9">
        <w:rPr>
          <w:noProof/>
        </w:rPr>
        <w:t>were calculated</w:t>
      </w:r>
      <w:r w:rsidR="00102970" w:rsidRPr="004B18E9">
        <w:t xml:space="preserve"> as a representation of how often the models produce reliable predictions. Lastly, the MAEs were presented for different CHU-9D ranges to assess how well the models perform at the top and lower ranges</w:t>
      </w:r>
      <w:r w:rsidR="000D7F00" w:rsidRPr="004B18E9">
        <w:t xml:space="preserve"> of index scores</w:t>
      </w:r>
      <w:r w:rsidR="00102970" w:rsidRPr="004B18E9">
        <w:t xml:space="preserve">. </w:t>
      </w:r>
      <w:r w:rsidR="00851EFA" w:rsidRPr="004B18E9">
        <w:t>All analysis described above follows the ‘</w:t>
      </w:r>
      <w:r w:rsidR="00E93AE6" w:rsidRPr="004B18E9">
        <w:rPr>
          <w:noProof/>
        </w:rPr>
        <w:t>Ma</w:t>
      </w:r>
      <w:r w:rsidR="00851EFA" w:rsidRPr="004B18E9">
        <w:rPr>
          <w:noProof/>
        </w:rPr>
        <w:t>pping</w:t>
      </w:r>
      <w:r w:rsidR="00851EFA" w:rsidRPr="004B18E9">
        <w:t xml:space="preserve"> onto Preference-based measures </w:t>
      </w:r>
      <w:r w:rsidR="00DE1B98" w:rsidRPr="004B18E9">
        <w:rPr>
          <w:noProof/>
        </w:rPr>
        <w:t>r</w:t>
      </w:r>
      <w:r w:rsidR="00851EFA" w:rsidRPr="004B18E9">
        <w:rPr>
          <w:noProof/>
        </w:rPr>
        <w:t>eporting</w:t>
      </w:r>
      <w:r w:rsidR="00851EFA" w:rsidRPr="004B18E9">
        <w:t xml:space="preserve"> Standards’ (MAPS) </w:t>
      </w:r>
      <w:r w:rsidR="00851EFA" w:rsidRPr="004B18E9">
        <w:fldChar w:fldCharType="begin"/>
      </w:r>
      <w:r w:rsidR="00851EFA" w:rsidRPr="004B18E9">
        <w:instrText>ADDIN RW.CITE{{993 Petrou, Stavros 2015}}</w:instrText>
      </w:r>
      <w:r w:rsidR="00851EFA" w:rsidRPr="004B18E9">
        <w:fldChar w:fldCharType="separate"/>
      </w:r>
      <w:r w:rsidR="00250A10">
        <w:t>[37]</w:t>
      </w:r>
      <w:r w:rsidR="00851EFA" w:rsidRPr="004B18E9">
        <w:fldChar w:fldCharType="end"/>
      </w:r>
      <w:r w:rsidR="00851EFA" w:rsidRPr="004B18E9">
        <w:t>.</w:t>
      </w:r>
      <w:r w:rsidR="00D61CA8" w:rsidRPr="004B18E9">
        <w:t xml:space="preserve"> The Akaike information criterion (AIC)</w:t>
      </w:r>
      <w:r w:rsidR="001F0125" w:rsidRPr="004B18E9">
        <w:t>,</w:t>
      </w:r>
      <w:r w:rsidR="00D61CA8" w:rsidRPr="004B18E9">
        <w:t xml:space="preserve"> Bayesian information criterion (BIC</w:t>
      </w:r>
      <w:r w:rsidR="001F0125" w:rsidRPr="004B18E9">
        <w:t xml:space="preserve">) and R-square </w:t>
      </w:r>
      <w:r w:rsidR="00D61CA8" w:rsidRPr="004B18E9">
        <w:t xml:space="preserve">for selected models </w:t>
      </w:r>
      <w:r w:rsidR="00D61CA8" w:rsidRPr="004B18E9">
        <w:rPr>
          <w:noProof/>
        </w:rPr>
        <w:t>were presented</w:t>
      </w:r>
      <w:r w:rsidR="00D61CA8" w:rsidRPr="004B18E9">
        <w:t xml:space="preserve"> for the final </w:t>
      </w:r>
      <w:r w:rsidR="00D61CA8" w:rsidRPr="004B18E9">
        <w:rPr>
          <w:noProof/>
        </w:rPr>
        <w:t>model</w:t>
      </w:r>
      <w:r w:rsidR="00D61CA8" w:rsidRPr="004B18E9">
        <w:t xml:space="preserve"> but these </w:t>
      </w:r>
      <w:r w:rsidR="00D61CA8" w:rsidRPr="004B18E9">
        <w:rPr>
          <w:noProof/>
        </w:rPr>
        <w:t>were not used</w:t>
      </w:r>
      <w:r w:rsidR="00D61CA8" w:rsidRPr="004B18E9">
        <w:t xml:space="preserve"> as model-selection criteri</w:t>
      </w:r>
      <w:r w:rsidR="001F0125" w:rsidRPr="004B18E9">
        <w:t xml:space="preserve">a. The purpose of </w:t>
      </w:r>
      <w:r w:rsidR="00615A04" w:rsidRPr="004B18E9">
        <w:t xml:space="preserve">a </w:t>
      </w:r>
      <w:r w:rsidR="001F0125" w:rsidRPr="004B18E9">
        <w:t>mapping function is to predict utility values, not on explanatory power or fit of the function.</w:t>
      </w:r>
    </w:p>
    <w:p w14:paraId="247A77E2" w14:textId="69623CFD" w:rsidR="00102970" w:rsidRPr="004F7D0B" w:rsidRDefault="00DB6A0E" w:rsidP="006A6FB6">
      <w:pPr>
        <w:pStyle w:val="Heading2"/>
        <w:numPr>
          <w:ilvl w:val="0"/>
          <w:numId w:val="5"/>
        </w:numPr>
        <w:spacing w:line="276" w:lineRule="auto"/>
      </w:pPr>
      <w:bookmarkStart w:id="10" w:name="_Toc476041061"/>
      <w:bookmarkStart w:id="11" w:name="_Toc478982330"/>
      <w:r w:rsidRPr="004F7D0B">
        <w:lastRenderedPageBreak/>
        <w:t>Results</w:t>
      </w:r>
      <w:bookmarkEnd w:id="10"/>
      <w:bookmarkEnd w:id="11"/>
    </w:p>
    <w:p w14:paraId="0955E72E" w14:textId="77777777" w:rsidR="00102970" w:rsidRPr="004F7D0B" w:rsidRDefault="00102970" w:rsidP="006A6FB6">
      <w:pPr>
        <w:pStyle w:val="Heading3"/>
        <w:spacing w:after="0"/>
      </w:pPr>
      <w:bookmarkStart w:id="12" w:name="_Toc476041062"/>
      <w:bookmarkStart w:id="13" w:name="_Toc478982331"/>
      <w:r w:rsidRPr="004F7D0B">
        <w:t>Sample characteristics</w:t>
      </w:r>
      <w:bookmarkEnd w:id="12"/>
      <w:bookmarkEnd w:id="13"/>
    </w:p>
    <w:p w14:paraId="3F928D87" w14:textId="1E9266F4" w:rsidR="00102970" w:rsidRDefault="00102970" w:rsidP="00102970">
      <w:pPr>
        <w:spacing w:after="240"/>
      </w:pPr>
      <w:r w:rsidRPr="00AD6208">
        <w:t xml:space="preserve">There were 643 observations across the five data collection time-points from children who were aged </w:t>
      </w:r>
      <w:r w:rsidRPr="001F0125">
        <w:rPr>
          <w:noProof/>
        </w:rPr>
        <w:t>5</w:t>
      </w:r>
      <w:r w:rsidRPr="00AD6208">
        <w:t xml:space="preserve"> years or older</w:t>
      </w:r>
      <w:r w:rsidR="00712ACF">
        <w:t xml:space="preserve"> presenting with first episode </w:t>
      </w:r>
      <w:r w:rsidR="00712ACF" w:rsidRPr="001F0125">
        <w:rPr>
          <w:noProof/>
        </w:rPr>
        <w:t>steroid sensitive</w:t>
      </w:r>
      <w:r w:rsidR="00712ACF">
        <w:t xml:space="preserve"> nephrotic syndrome</w:t>
      </w:r>
      <w:r w:rsidRPr="00AD6208">
        <w:t>. These observati</w:t>
      </w:r>
      <w:r w:rsidR="000C7C82">
        <w:t xml:space="preserve">ons </w:t>
      </w:r>
      <w:r w:rsidR="000C7C82" w:rsidRPr="001F0125">
        <w:rPr>
          <w:noProof/>
        </w:rPr>
        <w:t>were randomised</w:t>
      </w:r>
      <w:r w:rsidR="000C7C82">
        <w:t xml:space="preserve"> into group A (n=321) and B</w:t>
      </w:r>
      <w:r w:rsidRPr="00AD6208">
        <w:t xml:space="preserve"> (n=322). The longitudinal nature of the study meant that the number of missing </w:t>
      </w:r>
      <w:r w:rsidR="00CE08C5">
        <w:t>items in the two</w:t>
      </w:r>
      <w:r w:rsidRPr="00AD6208">
        <w:t xml:space="preserve"> gr</w:t>
      </w:r>
      <w:r w:rsidR="00CE08C5">
        <w:t>oups varied across the</w:t>
      </w:r>
      <w:r w:rsidRPr="00AD6208">
        <w:t xml:space="preserve"> data collection time-points. </w:t>
      </w:r>
      <w:r>
        <w:t>A</w:t>
      </w:r>
      <w:r w:rsidR="00CE08C5">
        <w:t xml:space="preserve">fter removing observations </w:t>
      </w:r>
      <w:r w:rsidR="00CE08C5" w:rsidRPr="001F0125">
        <w:rPr>
          <w:noProof/>
        </w:rPr>
        <w:t>w</w:t>
      </w:r>
      <w:r w:rsidR="00CB1A00" w:rsidRPr="001F0125">
        <w:rPr>
          <w:noProof/>
        </w:rPr>
        <w:t>h</w:t>
      </w:r>
      <w:r w:rsidR="00CE08C5" w:rsidRPr="001F0125">
        <w:rPr>
          <w:noProof/>
        </w:rPr>
        <w:t>ere</w:t>
      </w:r>
      <w:r w:rsidR="00CE08C5">
        <w:t xml:space="preserve"> either CHU-9D or PedsQL™ index score could not be computed</w:t>
      </w:r>
      <w:r>
        <w:t>, the</w:t>
      </w:r>
      <w:r w:rsidRPr="00AD6208">
        <w:t xml:space="preserve"> </w:t>
      </w:r>
      <w:r w:rsidR="00CE08C5">
        <w:t xml:space="preserve">remaining </w:t>
      </w:r>
      <w:r w:rsidRPr="00AD6208">
        <w:t>279 observations with pairs of valid PedsQL™ and CHU-9D index scores in the first group formed the estimation sample</w:t>
      </w:r>
      <w:r w:rsidR="000D7F00">
        <w:t>,</w:t>
      </w:r>
      <w:r w:rsidRPr="00AD6208">
        <w:t xml:space="preserve"> while the 284 observations in the second group formed the validation sample. The estimation and validation samples constitute</w:t>
      </w:r>
      <w:r w:rsidR="00CE08C5">
        <w:t>d</w:t>
      </w:r>
      <w:r w:rsidRPr="00AD6208">
        <w:t xml:space="preserve"> the total mapping sample (N=563).</w:t>
      </w:r>
    </w:p>
    <w:tbl>
      <w:tblPr>
        <w:tblStyle w:val="TableGrid"/>
        <w:tblW w:w="5551" w:type="pc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1260"/>
        <w:gridCol w:w="1441"/>
        <w:gridCol w:w="1393"/>
        <w:gridCol w:w="1488"/>
        <w:gridCol w:w="1438"/>
        <w:gridCol w:w="1441"/>
      </w:tblGrid>
      <w:tr w:rsidR="006A6FB6" w14:paraId="0066FE62" w14:textId="77777777" w:rsidTr="00B83400">
        <w:tc>
          <w:tcPr>
            <w:tcW w:w="5000" w:type="pct"/>
            <w:gridSpan w:val="7"/>
            <w:shd w:val="clear" w:color="auto" w:fill="000000" w:themeFill="text1"/>
          </w:tcPr>
          <w:p w14:paraId="2C31751F" w14:textId="0C13E246" w:rsidR="006A6FB6" w:rsidRPr="006A6FB6" w:rsidRDefault="006A6FB6" w:rsidP="00B83400">
            <w:pPr>
              <w:pStyle w:val="CaptionTable"/>
              <w:rPr>
                <w:color w:val="FFFFFF" w:themeColor="background1"/>
              </w:rPr>
            </w:pPr>
            <w:r w:rsidRPr="00355303">
              <w:t> </w:t>
            </w:r>
            <w:bookmarkStart w:id="14" w:name="_Ref474766118"/>
            <w:bookmarkStart w:id="15" w:name="_Toc479177276"/>
            <w:r w:rsidRPr="00355303">
              <w:t xml:space="preserve">Table </w:t>
            </w:r>
            <w:fldSimple w:instr=" SEQ Table \* ARABIC ">
              <w:r w:rsidR="00BF04FD">
                <w:rPr>
                  <w:noProof/>
                </w:rPr>
                <w:t>1</w:t>
              </w:r>
            </w:fldSimple>
            <w:bookmarkEnd w:id="14"/>
            <w:r w:rsidRPr="00355303">
              <w:t xml:space="preserve"> </w:t>
            </w:r>
            <w:r w:rsidRPr="003F54E5">
              <w:rPr>
                <w:b w:val="0"/>
              </w:rPr>
              <w:t>Demographic characteristics of estimation and validation sample by data collection time-point</w:t>
            </w:r>
            <w:bookmarkEnd w:id="15"/>
          </w:p>
        </w:tc>
      </w:tr>
      <w:tr w:rsidR="006A6FB6" w14:paraId="16C23457" w14:textId="77777777" w:rsidTr="006A6FB6">
        <w:tc>
          <w:tcPr>
            <w:tcW w:w="877" w:type="pct"/>
            <w:shd w:val="clear" w:color="auto" w:fill="F2F2F2" w:themeFill="background1" w:themeFillShade="F2"/>
            <w:vAlign w:val="bottom"/>
          </w:tcPr>
          <w:p w14:paraId="0A399A18" w14:textId="77777777" w:rsidR="006A6FB6" w:rsidRDefault="006A6FB6" w:rsidP="006A6FB6">
            <w:pPr>
              <w:spacing w:line="280" w:lineRule="exact"/>
            </w:pPr>
            <w:r w:rsidRPr="00355303">
              <w:rPr>
                <w:rFonts w:eastAsia="Times New Roman"/>
                <w:b/>
                <w:bCs/>
                <w:color w:val="000000"/>
                <w:sz w:val="18"/>
                <w:szCs w:val="18"/>
                <w:lang w:eastAsia="en-GB"/>
              </w:rPr>
              <w:t> </w:t>
            </w:r>
          </w:p>
        </w:tc>
        <w:tc>
          <w:tcPr>
            <w:tcW w:w="614" w:type="pct"/>
            <w:shd w:val="clear" w:color="auto" w:fill="F2F2F2" w:themeFill="background1" w:themeFillShade="F2"/>
            <w:vAlign w:val="bottom"/>
          </w:tcPr>
          <w:p w14:paraId="5ED94FCD" w14:textId="77777777" w:rsidR="006A6FB6" w:rsidRDefault="006A6FB6" w:rsidP="006A6FB6">
            <w:pPr>
              <w:spacing w:line="280" w:lineRule="exact"/>
              <w:jc w:val="right"/>
            </w:pPr>
            <w:r w:rsidRPr="00355303">
              <w:rPr>
                <w:rFonts w:eastAsia="Times New Roman"/>
                <w:b/>
                <w:bCs/>
                <w:color w:val="000000"/>
                <w:sz w:val="18"/>
                <w:szCs w:val="18"/>
                <w:lang w:eastAsia="en-GB"/>
              </w:rPr>
              <w:t>Baseline</w:t>
            </w:r>
          </w:p>
        </w:tc>
        <w:tc>
          <w:tcPr>
            <w:tcW w:w="702" w:type="pct"/>
            <w:shd w:val="clear" w:color="auto" w:fill="F2F2F2" w:themeFill="background1" w:themeFillShade="F2"/>
            <w:vAlign w:val="bottom"/>
          </w:tcPr>
          <w:p w14:paraId="51D765D2" w14:textId="77777777" w:rsidR="006A6FB6" w:rsidRDefault="006A6FB6" w:rsidP="006A6FB6">
            <w:pPr>
              <w:spacing w:line="280" w:lineRule="exact"/>
              <w:jc w:val="right"/>
            </w:pPr>
            <w:r w:rsidRPr="00355303">
              <w:rPr>
                <w:rFonts w:eastAsia="Times New Roman"/>
                <w:b/>
                <w:bCs/>
                <w:color w:val="000000"/>
                <w:sz w:val="18"/>
                <w:szCs w:val="18"/>
                <w:lang w:eastAsia="en-GB"/>
              </w:rPr>
              <w:t>4 months</w:t>
            </w:r>
          </w:p>
        </w:tc>
        <w:tc>
          <w:tcPr>
            <w:tcW w:w="679" w:type="pct"/>
            <w:shd w:val="clear" w:color="auto" w:fill="F2F2F2" w:themeFill="background1" w:themeFillShade="F2"/>
            <w:vAlign w:val="bottom"/>
          </w:tcPr>
          <w:p w14:paraId="4F6A0B98" w14:textId="77777777" w:rsidR="006A6FB6" w:rsidRDefault="006A6FB6" w:rsidP="006A6FB6">
            <w:pPr>
              <w:spacing w:line="280" w:lineRule="exact"/>
              <w:jc w:val="right"/>
            </w:pPr>
            <w:r w:rsidRPr="00355303">
              <w:rPr>
                <w:rFonts w:eastAsia="Times New Roman"/>
                <w:b/>
                <w:bCs/>
                <w:color w:val="000000"/>
                <w:sz w:val="18"/>
                <w:szCs w:val="18"/>
                <w:lang w:eastAsia="en-GB"/>
              </w:rPr>
              <w:t>12 months</w:t>
            </w:r>
          </w:p>
        </w:tc>
        <w:tc>
          <w:tcPr>
            <w:tcW w:w="725" w:type="pct"/>
            <w:shd w:val="clear" w:color="auto" w:fill="F2F2F2" w:themeFill="background1" w:themeFillShade="F2"/>
            <w:vAlign w:val="bottom"/>
          </w:tcPr>
          <w:p w14:paraId="324BAC0C" w14:textId="77777777" w:rsidR="006A6FB6" w:rsidRDefault="006A6FB6" w:rsidP="006A6FB6">
            <w:pPr>
              <w:spacing w:line="280" w:lineRule="exact"/>
              <w:jc w:val="right"/>
            </w:pPr>
            <w:r w:rsidRPr="00355303">
              <w:rPr>
                <w:rFonts w:eastAsia="Times New Roman"/>
                <w:b/>
                <w:bCs/>
                <w:color w:val="000000"/>
                <w:sz w:val="18"/>
                <w:szCs w:val="18"/>
                <w:lang w:eastAsia="en-GB"/>
              </w:rPr>
              <w:t>24 months</w:t>
            </w:r>
          </w:p>
        </w:tc>
        <w:tc>
          <w:tcPr>
            <w:tcW w:w="701" w:type="pct"/>
            <w:shd w:val="clear" w:color="auto" w:fill="F2F2F2" w:themeFill="background1" w:themeFillShade="F2"/>
            <w:vAlign w:val="bottom"/>
          </w:tcPr>
          <w:p w14:paraId="1C141C6E" w14:textId="77777777" w:rsidR="006A6FB6" w:rsidRDefault="006A6FB6" w:rsidP="006A6FB6">
            <w:pPr>
              <w:spacing w:line="280" w:lineRule="exact"/>
              <w:jc w:val="right"/>
            </w:pPr>
            <w:r w:rsidRPr="00355303">
              <w:rPr>
                <w:rFonts w:eastAsia="Times New Roman"/>
                <w:b/>
                <w:bCs/>
                <w:color w:val="000000"/>
                <w:sz w:val="18"/>
                <w:szCs w:val="18"/>
                <w:lang w:eastAsia="en-GB"/>
              </w:rPr>
              <w:t>36 months</w:t>
            </w:r>
          </w:p>
        </w:tc>
        <w:tc>
          <w:tcPr>
            <w:tcW w:w="702" w:type="pct"/>
            <w:shd w:val="clear" w:color="auto" w:fill="F2F2F2" w:themeFill="background1" w:themeFillShade="F2"/>
            <w:vAlign w:val="bottom"/>
          </w:tcPr>
          <w:p w14:paraId="4A937A28" w14:textId="77777777" w:rsidR="006A6FB6" w:rsidRDefault="006A6FB6" w:rsidP="006A6FB6">
            <w:pPr>
              <w:spacing w:line="280" w:lineRule="exact"/>
              <w:jc w:val="right"/>
            </w:pPr>
            <w:r w:rsidRPr="00355303">
              <w:rPr>
                <w:rFonts w:eastAsia="Times New Roman"/>
                <w:b/>
                <w:bCs/>
                <w:color w:val="000000"/>
                <w:sz w:val="18"/>
                <w:szCs w:val="18"/>
                <w:lang w:eastAsia="en-GB"/>
              </w:rPr>
              <w:t>48 months</w:t>
            </w:r>
          </w:p>
        </w:tc>
      </w:tr>
      <w:tr w:rsidR="006A6FB6" w14:paraId="7631F547" w14:textId="77777777" w:rsidTr="006A6FB6">
        <w:tc>
          <w:tcPr>
            <w:tcW w:w="877" w:type="pct"/>
            <w:shd w:val="clear" w:color="auto" w:fill="F2F2F2" w:themeFill="background1" w:themeFillShade="F2"/>
            <w:vAlign w:val="bottom"/>
          </w:tcPr>
          <w:p w14:paraId="335E9EFC" w14:textId="77777777" w:rsidR="006A6FB6" w:rsidRDefault="006A6FB6" w:rsidP="006A6FB6">
            <w:pPr>
              <w:spacing w:line="280" w:lineRule="exact"/>
            </w:pPr>
            <w:r w:rsidRPr="00355303">
              <w:rPr>
                <w:rFonts w:eastAsia="Times New Roman"/>
                <w:b/>
                <w:bCs/>
                <w:color w:val="000000"/>
                <w:sz w:val="18"/>
                <w:szCs w:val="18"/>
                <w:lang w:eastAsia="en-GB"/>
              </w:rPr>
              <w:t>Estimation sample</w:t>
            </w:r>
          </w:p>
        </w:tc>
        <w:tc>
          <w:tcPr>
            <w:tcW w:w="614" w:type="pct"/>
            <w:shd w:val="clear" w:color="auto" w:fill="F2F2F2" w:themeFill="background1" w:themeFillShade="F2"/>
            <w:vAlign w:val="center"/>
          </w:tcPr>
          <w:p w14:paraId="5005F7EC" w14:textId="77777777" w:rsidR="006A6FB6" w:rsidRDefault="006A6FB6" w:rsidP="006A6FB6">
            <w:pPr>
              <w:spacing w:line="280" w:lineRule="exact"/>
              <w:jc w:val="right"/>
            </w:pPr>
            <w:r w:rsidRPr="008804F0">
              <w:rPr>
                <w:rFonts w:eastAsia="Times New Roman"/>
                <w:color w:val="000000"/>
                <w:sz w:val="18"/>
                <w:szCs w:val="18"/>
                <w:lang w:eastAsia="en-GB"/>
              </w:rPr>
              <w:t>n=55</w:t>
            </w:r>
          </w:p>
        </w:tc>
        <w:tc>
          <w:tcPr>
            <w:tcW w:w="702" w:type="pct"/>
            <w:shd w:val="clear" w:color="auto" w:fill="F2F2F2" w:themeFill="background1" w:themeFillShade="F2"/>
            <w:vAlign w:val="center"/>
          </w:tcPr>
          <w:p w14:paraId="1004F26D" w14:textId="77777777" w:rsidR="006A6FB6" w:rsidRDefault="006A6FB6" w:rsidP="006A6FB6">
            <w:pPr>
              <w:spacing w:line="280" w:lineRule="exact"/>
              <w:jc w:val="right"/>
            </w:pPr>
            <w:r w:rsidRPr="008804F0">
              <w:rPr>
                <w:rFonts w:eastAsia="Times New Roman"/>
                <w:color w:val="000000"/>
                <w:sz w:val="18"/>
                <w:szCs w:val="18"/>
                <w:lang w:eastAsia="en-GB"/>
              </w:rPr>
              <w:t>n=47</w:t>
            </w:r>
          </w:p>
        </w:tc>
        <w:tc>
          <w:tcPr>
            <w:tcW w:w="679" w:type="pct"/>
            <w:shd w:val="clear" w:color="auto" w:fill="F2F2F2" w:themeFill="background1" w:themeFillShade="F2"/>
            <w:vAlign w:val="center"/>
          </w:tcPr>
          <w:p w14:paraId="28D50356" w14:textId="77777777" w:rsidR="006A6FB6" w:rsidRDefault="006A6FB6" w:rsidP="006A6FB6">
            <w:pPr>
              <w:spacing w:line="280" w:lineRule="exact"/>
              <w:jc w:val="right"/>
            </w:pPr>
            <w:r w:rsidRPr="008804F0">
              <w:rPr>
                <w:rFonts w:eastAsia="Times New Roman"/>
                <w:color w:val="000000"/>
                <w:sz w:val="18"/>
                <w:szCs w:val="18"/>
                <w:lang w:eastAsia="en-GB"/>
              </w:rPr>
              <w:t>n=58</w:t>
            </w:r>
          </w:p>
        </w:tc>
        <w:tc>
          <w:tcPr>
            <w:tcW w:w="725" w:type="pct"/>
            <w:shd w:val="clear" w:color="auto" w:fill="F2F2F2" w:themeFill="background1" w:themeFillShade="F2"/>
            <w:vAlign w:val="center"/>
          </w:tcPr>
          <w:p w14:paraId="0EEDB584" w14:textId="77777777" w:rsidR="006A6FB6" w:rsidRDefault="006A6FB6" w:rsidP="006A6FB6">
            <w:pPr>
              <w:spacing w:line="280" w:lineRule="exact"/>
              <w:jc w:val="right"/>
            </w:pPr>
            <w:r w:rsidRPr="008804F0">
              <w:rPr>
                <w:rFonts w:eastAsia="Times New Roman"/>
                <w:color w:val="000000"/>
                <w:sz w:val="18"/>
                <w:szCs w:val="18"/>
                <w:lang w:eastAsia="en-GB"/>
              </w:rPr>
              <w:t>n=54</w:t>
            </w:r>
          </w:p>
        </w:tc>
        <w:tc>
          <w:tcPr>
            <w:tcW w:w="701" w:type="pct"/>
            <w:shd w:val="clear" w:color="auto" w:fill="F2F2F2" w:themeFill="background1" w:themeFillShade="F2"/>
            <w:vAlign w:val="center"/>
          </w:tcPr>
          <w:p w14:paraId="50593011" w14:textId="77777777" w:rsidR="006A6FB6" w:rsidRDefault="006A6FB6" w:rsidP="006A6FB6">
            <w:pPr>
              <w:spacing w:line="280" w:lineRule="exact"/>
              <w:jc w:val="right"/>
            </w:pPr>
            <w:r w:rsidRPr="008804F0">
              <w:rPr>
                <w:rFonts w:eastAsia="Times New Roman"/>
                <w:color w:val="000000"/>
                <w:sz w:val="18"/>
                <w:szCs w:val="18"/>
                <w:lang w:eastAsia="en-GB"/>
              </w:rPr>
              <w:t>n=39</w:t>
            </w:r>
          </w:p>
        </w:tc>
        <w:tc>
          <w:tcPr>
            <w:tcW w:w="702" w:type="pct"/>
            <w:shd w:val="clear" w:color="auto" w:fill="F2F2F2" w:themeFill="background1" w:themeFillShade="F2"/>
            <w:vAlign w:val="center"/>
          </w:tcPr>
          <w:p w14:paraId="0895CEFA" w14:textId="77777777" w:rsidR="006A6FB6" w:rsidRDefault="006A6FB6" w:rsidP="006A6FB6">
            <w:pPr>
              <w:spacing w:line="280" w:lineRule="exact"/>
              <w:jc w:val="right"/>
            </w:pPr>
            <w:r w:rsidRPr="008804F0">
              <w:rPr>
                <w:rFonts w:eastAsia="Times New Roman"/>
                <w:color w:val="000000"/>
                <w:sz w:val="18"/>
                <w:szCs w:val="18"/>
                <w:lang w:eastAsia="en-GB"/>
              </w:rPr>
              <w:t>n=26</w:t>
            </w:r>
          </w:p>
        </w:tc>
      </w:tr>
      <w:tr w:rsidR="006A6FB6" w14:paraId="0EECFA60" w14:textId="77777777" w:rsidTr="006A6FB6">
        <w:tc>
          <w:tcPr>
            <w:tcW w:w="877" w:type="pct"/>
            <w:shd w:val="clear" w:color="auto" w:fill="F2F2F2" w:themeFill="background1" w:themeFillShade="F2"/>
            <w:vAlign w:val="bottom"/>
          </w:tcPr>
          <w:p w14:paraId="759BA84A" w14:textId="77777777" w:rsidR="006A6FB6" w:rsidRDefault="006A6FB6" w:rsidP="006A6FB6">
            <w:pPr>
              <w:spacing w:line="280" w:lineRule="exact"/>
            </w:pPr>
            <w:r w:rsidRPr="00355303">
              <w:rPr>
                <w:rFonts w:eastAsia="Times New Roman"/>
                <w:b/>
                <w:bCs/>
                <w:color w:val="000000"/>
                <w:sz w:val="18"/>
                <w:szCs w:val="18"/>
                <w:lang w:eastAsia="en-GB"/>
              </w:rPr>
              <w:t>Gender</w:t>
            </w:r>
          </w:p>
        </w:tc>
        <w:tc>
          <w:tcPr>
            <w:tcW w:w="614" w:type="pct"/>
            <w:shd w:val="clear" w:color="auto" w:fill="F2F2F2" w:themeFill="background1" w:themeFillShade="F2"/>
            <w:vAlign w:val="center"/>
          </w:tcPr>
          <w:p w14:paraId="6F9416B1" w14:textId="77777777" w:rsidR="006A6FB6" w:rsidRDefault="006A6FB6" w:rsidP="006A6FB6">
            <w:pPr>
              <w:spacing w:line="280" w:lineRule="exac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1F376F3A" w14:textId="77777777" w:rsidR="006A6FB6" w:rsidRDefault="006A6FB6" w:rsidP="006A6FB6">
            <w:pPr>
              <w:spacing w:line="280" w:lineRule="exact"/>
            </w:pPr>
            <w:r w:rsidRPr="008804F0">
              <w:rPr>
                <w:rFonts w:eastAsia="Times New Roman"/>
                <w:color w:val="000000"/>
                <w:sz w:val="18"/>
                <w:szCs w:val="18"/>
                <w:lang w:eastAsia="en-GB"/>
              </w:rPr>
              <w:t> </w:t>
            </w:r>
          </w:p>
        </w:tc>
        <w:tc>
          <w:tcPr>
            <w:tcW w:w="679" w:type="pct"/>
            <w:shd w:val="clear" w:color="auto" w:fill="F2F2F2" w:themeFill="background1" w:themeFillShade="F2"/>
            <w:vAlign w:val="center"/>
          </w:tcPr>
          <w:p w14:paraId="2CB2BF57" w14:textId="77777777" w:rsidR="006A6FB6" w:rsidRDefault="006A6FB6" w:rsidP="006A6FB6">
            <w:pPr>
              <w:spacing w:line="280" w:lineRule="exact"/>
            </w:pPr>
            <w:r w:rsidRPr="008804F0">
              <w:rPr>
                <w:rFonts w:eastAsia="Times New Roman"/>
                <w:color w:val="000000"/>
                <w:sz w:val="18"/>
                <w:szCs w:val="18"/>
                <w:lang w:eastAsia="en-GB"/>
              </w:rPr>
              <w:t> </w:t>
            </w:r>
          </w:p>
        </w:tc>
        <w:tc>
          <w:tcPr>
            <w:tcW w:w="725" w:type="pct"/>
            <w:shd w:val="clear" w:color="auto" w:fill="F2F2F2" w:themeFill="background1" w:themeFillShade="F2"/>
            <w:vAlign w:val="center"/>
          </w:tcPr>
          <w:p w14:paraId="60633A14" w14:textId="77777777" w:rsidR="006A6FB6" w:rsidRDefault="006A6FB6" w:rsidP="006A6FB6">
            <w:pPr>
              <w:spacing w:line="280" w:lineRule="exact"/>
            </w:pPr>
            <w:r w:rsidRPr="008804F0">
              <w:rPr>
                <w:rFonts w:eastAsia="Times New Roman"/>
                <w:color w:val="000000"/>
                <w:sz w:val="18"/>
                <w:szCs w:val="18"/>
                <w:lang w:eastAsia="en-GB"/>
              </w:rPr>
              <w:t> </w:t>
            </w:r>
          </w:p>
        </w:tc>
        <w:tc>
          <w:tcPr>
            <w:tcW w:w="701" w:type="pct"/>
            <w:shd w:val="clear" w:color="auto" w:fill="F2F2F2" w:themeFill="background1" w:themeFillShade="F2"/>
            <w:vAlign w:val="center"/>
          </w:tcPr>
          <w:p w14:paraId="59B80A6C" w14:textId="77777777" w:rsidR="006A6FB6" w:rsidRDefault="006A6FB6" w:rsidP="006A6FB6">
            <w:pPr>
              <w:spacing w:line="280" w:lineRule="exac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0474C66D" w14:textId="77777777" w:rsidR="006A6FB6" w:rsidRDefault="006A6FB6" w:rsidP="006A6FB6">
            <w:pPr>
              <w:spacing w:line="280" w:lineRule="exact"/>
            </w:pPr>
            <w:r w:rsidRPr="008804F0">
              <w:rPr>
                <w:rFonts w:eastAsia="Times New Roman"/>
                <w:color w:val="000000"/>
                <w:sz w:val="18"/>
                <w:szCs w:val="18"/>
                <w:lang w:eastAsia="en-GB"/>
              </w:rPr>
              <w:t> </w:t>
            </w:r>
          </w:p>
        </w:tc>
      </w:tr>
      <w:tr w:rsidR="006A6FB6" w14:paraId="241CAE7B" w14:textId="77777777" w:rsidTr="006A6FB6">
        <w:tc>
          <w:tcPr>
            <w:tcW w:w="877" w:type="pct"/>
            <w:shd w:val="clear" w:color="auto" w:fill="F2F2F2" w:themeFill="background1" w:themeFillShade="F2"/>
            <w:vAlign w:val="bottom"/>
          </w:tcPr>
          <w:p w14:paraId="344DDFE3"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Male, n (%)</w:t>
            </w:r>
          </w:p>
        </w:tc>
        <w:tc>
          <w:tcPr>
            <w:tcW w:w="614" w:type="pct"/>
            <w:shd w:val="clear" w:color="auto" w:fill="F2F2F2" w:themeFill="background1" w:themeFillShade="F2"/>
            <w:vAlign w:val="center"/>
          </w:tcPr>
          <w:p w14:paraId="2A92C4FC" w14:textId="77777777" w:rsidR="006A6FB6" w:rsidRDefault="006A6FB6" w:rsidP="006A6FB6">
            <w:pPr>
              <w:spacing w:line="280" w:lineRule="exact"/>
              <w:jc w:val="right"/>
            </w:pPr>
            <w:r w:rsidRPr="008804F0">
              <w:rPr>
                <w:rFonts w:eastAsia="Times New Roman"/>
                <w:color w:val="000000"/>
                <w:sz w:val="18"/>
                <w:szCs w:val="18"/>
                <w:lang w:eastAsia="en-GB"/>
              </w:rPr>
              <w:t>35 (63.6)</w:t>
            </w:r>
          </w:p>
        </w:tc>
        <w:tc>
          <w:tcPr>
            <w:tcW w:w="702" w:type="pct"/>
            <w:shd w:val="clear" w:color="auto" w:fill="F2F2F2" w:themeFill="background1" w:themeFillShade="F2"/>
            <w:vAlign w:val="center"/>
          </w:tcPr>
          <w:p w14:paraId="5B9BAFE4" w14:textId="77777777" w:rsidR="006A6FB6" w:rsidRDefault="006A6FB6" w:rsidP="006A6FB6">
            <w:pPr>
              <w:spacing w:line="280" w:lineRule="exact"/>
              <w:jc w:val="right"/>
            </w:pPr>
            <w:r w:rsidRPr="008804F0">
              <w:rPr>
                <w:rFonts w:eastAsia="Times New Roman"/>
                <w:color w:val="000000"/>
                <w:sz w:val="18"/>
                <w:szCs w:val="18"/>
                <w:lang w:eastAsia="en-GB"/>
              </w:rPr>
              <w:t>33 (70.2)</w:t>
            </w:r>
          </w:p>
        </w:tc>
        <w:tc>
          <w:tcPr>
            <w:tcW w:w="679" w:type="pct"/>
            <w:shd w:val="clear" w:color="auto" w:fill="F2F2F2" w:themeFill="background1" w:themeFillShade="F2"/>
            <w:vAlign w:val="center"/>
          </w:tcPr>
          <w:p w14:paraId="7EB7AE71" w14:textId="77777777" w:rsidR="006A6FB6" w:rsidRDefault="006A6FB6" w:rsidP="006A6FB6">
            <w:pPr>
              <w:spacing w:line="280" w:lineRule="exact"/>
              <w:jc w:val="right"/>
            </w:pPr>
            <w:r w:rsidRPr="008804F0">
              <w:rPr>
                <w:rFonts w:eastAsia="Times New Roman"/>
                <w:color w:val="000000"/>
                <w:sz w:val="18"/>
                <w:szCs w:val="18"/>
                <w:lang w:eastAsia="en-GB"/>
              </w:rPr>
              <w:t>36 (62.1)</w:t>
            </w:r>
          </w:p>
        </w:tc>
        <w:tc>
          <w:tcPr>
            <w:tcW w:w="725" w:type="pct"/>
            <w:shd w:val="clear" w:color="auto" w:fill="F2F2F2" w:themeFill="background1" w:themeFillShade="F2"/>
            <w:vAlign w:val="center"/>
          </w:tcPr>
          <w:p w14:paraId="67AC257A" w14:textId="77777777" w:rsidR="006A6FB6" w:rsidRDefault="006A6FB6" w:rsidP="006A6FB6">
            <w:pPr>
              <w:spacing w:line="280" w:lineRule="exact"/>
              <w:jc w:val="right"/>
            </w:pPr>
            <w:r w:rsidRPr="008804F0">
              <w:rPr>
                <w:rFonts w:eastAsia="Times New Roman"/>
                <w:color w:val="000000"/>
                <w:sz w:val="18"/>
                <w:szCs w:val="18"/>
                <w:lang w:eastAsia="en-GB"/>
              </w:rPr>
              <w:t>32 (59.2)</w:t>
            </w:r>
          </w:p>
        </w:tc>
        <w:tc>
          <w:tcPr>
            <w:tcW w:w="701" w:type="pct"/>
            <w:shd w:val="clear" w:color="auto" w:fill="F2F2F2" w:themeFill="background1" w:themeFillShade="F2"/>
            <w:vAlign w:val="center"/>
          </w:tcPr>
          <w:p w14:paraId="52269FE5" w14:textId="77777777" w:rsidR="006A6FB6" w:rsidRDefault="006A6FB6" w:rsidP="006A6FB6">
            <w:pPr>
              <w:spacing w:line="280" w:lineRule="exact"/>
              <w:jc w:val="right"/>
            </w:pPr>
            <w:r w:rsidRPr="008804F0">
              <w:rPr>
                <w:rFonts w:eastAsia="Times New Roman"/>
                <w:color w:val="000000"/>
                <w:sz w:val="18"/>
                <w:szCs w:val="18"/>
                <w:lang w:eastAsia="en-GB"/>
              </w:rPr>
              <w:t>23 (58.9)</w:t>
            </w:r>
          </w:p>
        </w:tc>
        <w:tc>
          <w:tcPr>
            <w:tcW w:w="702" w:type="pct"/>
            <w:shd w:val="clear" w:color="auto" w:fill="F2F2F2" w:themeFill="background1" w:themeFillShade="F2"/>
            <w:vAlign w:val="center"/>
          </w:tcPr>
          <w:p w14:paraId="2ED10795" w14:textId="77777777" w:rsidR="006A6FB6" w:rsidRDefault="006A6FB6" w:rsidP="006A6FB6">
            <w:pPr>
              <w:spacing w:line="280" w:lineRule="exact"/>
              <w:jc w:val="right"/>
            </w:pPr>
            <w:r w:rsidRPr="008804F0">
              <w:rPr>
                <w:rFonts w:eastAsia="Times New Roman"/>
                <w:color w:val="000000"/>
                <w:sz w:val="18"/>
                <w:szCs w:val="18"/>
                <w:lang w:eastAsia="en-GB"/>
              </w:rPr>
              <w:t>18 (69.2)</w:t>
            </w:r>
          </w:p>
        </w:tc>
      </w:tr>
      <w:tr w:rsidR="006A6FB6" w14:paraId="329DC6F9" w14:textId="77777777" w:rsidTr="006A6FB6">
        <w:tc>
          <w:tcPr>
            <w:tcW w:w="877" w:type="pct"/>
            <w:shd w:val="clear" w:color="auto" w:fill="F2F2F2" w:themeFill="background1" w:themeFillShade="F2"/>
            <w:vAlign w:val="bottom"/>
          </w:tcPr>
          <w:p w14:paraId="7B5E65DE" w14:textId="77777777" w:rsidR="006A6FB6" w:rsidRDefault="006A6FB6" w:rsidP="006A6FB6">
            <w:pPr>
              <w:spacing w:line="280" w:lineRule="exact"/>
            </w:pPr>
            <w:r w:rsidRPr="00355303">
              <w:rPr>
                <w:rFonts w:eastAsia="Times New Roman"/>
                <w:b/>
                <w:bCs/>
                <w:color w:val="000000"/>
                <w:sz w:val="18"/>
                <w:szCs w:val="18"/>
                <w:lang w:eastAsia="en-GB"/>
              </w:rPr>
              <w:t>Age</w:t>
            </w:r>
            <w:r>
              <w:rPr>
                <w:rFonts w:eastAsia="Times New Roman"/>
                <w:b/>
                <w:bCs/>
                <w:color w:val="000000"/>
                <w:sz w:val="18"/>
                <w:szCs w:val="18"/>
                <w:lang w:eastAsia="en-GB"/>
              </w:rPr>
              <w:t>, year</w:t>
            </w:r>
          </w:p>
        </w:tc>
        <w:tc>
          <w:tcPr>
            <w:tcW w:w="614" w:type="pct"/>
            <w:shd w:val="clear" w:color="auto" w:fill="F2F2F2" w:themeFill="background1" w:themeFillShade="F2"/>
            <w:vAlign w:val="center"/>
          </w:tcPr>
          <w:p w14:paraId="6F76F6E6"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41EABC22"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679" w:type="pct"/>
            <w:shd w:val="clear" w:color="auto" w:fill="F2F2F2" w:themeFill="background1" w:themeFillShade="F2"/>
            <w:vAlign w:val="center"/>
          </w:tcPr>
          <w:p w14:paraId="65403173"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25" w:type="pct"/>
            <w:shd w:val="clear" w:color="auto" w:fill="F2F2F2" w:themeFill="background1" w:themeFillShade="F2"/>
            <w:vAlign w:val="center"/>
          </w:tcPr>
          <w:p w14:paraId="6AB60575"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1" w:type="pct"/>
            <w:shd w:val="clear" w:color="auto" w:fill="F2F2F2" w:themeFill="background1" w:themeFillShade="F2"/>
            <w:vAlign w:val="center"/>
          </w:tcPr>
          <w:p w14:paraId="63FC3CEF"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5EBA7816" w14:textId="77777777" w:rsidR="006A6FB6" w:rsidRDefault="006A6FB6" w:rsidP="006A6FB6">
            <w:pPr>
              <w:spacing w:line="280" w:lineRule="exact"/>
              <w:jc w:val="right"/>
            </w:pPr>
            <w:r w:rsidRPr="008804F0">
              <w:rPr>
                <w:rFonts w:eastAsia="Times New Roman"/>
                <w:color w:val="000000"/>
                <w:sz w:val="18"/>
                <w:szCs w:val="18"/>
                <w:lang w:eastAsia="en-GB"/>
              </w:rPr>
              <w:t> </w:t>
            </w:r>
          </w:p>
        </w:tc>
      </w:tr>
      <w:tr w:rsidR="006A6FB6" w14:paraId="41BD62B7" w14:textId="77777777" w:rsidTr="006A6FB6">
        <w:tc>
          <w:tcPr>
            <w:tcW w:w="877" w:type="pct"/>
            <w:shd w:val="clear" w:color="auto" w:fill="F2F2F2" w:themeFill="background1" w:themeFillShade="F2"/>
            <w:vAlign w:val="bottom"/>
          </w:tcPr>
          <w:p w14:paraId="69E71645"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Mean (SD)</w:t>
            </w:r>
          </w:p>
        </w:tc>
        <w:tc>
          <w:tcPr>
            <w:tcW w:w="614" w:type="pct"/>
            <w:shd w:val="clear" w:color="auto" w:fill="F2F2F2" w:themeFill="background1" w:themeFillShade="F2"/>
            <w:vAlign w:val="center"/>
          </w:tcPr>
          <w:p w14:paraId="614E50C5" w14:textId="77777777" w:rsidR="006A6FB6" w:rsidRDefault="006A6FB6" w:rsidP="006A6FB6">
            <w:pPr>
              <w:spacing w:line="280" w:lineRule="exact"/>
              <w:jc w:val="right"/>
            </w:pPr>
            <w:r w:rsidRPr="008804F0">
              <w:rPr>
                <w:rFonts w:eastAsia="Times New Roman"/>
                <w:color w:val="000000"/>
                <w:sz w:val="18"/>
                <w:szCs w:val="18"/>
                <w:lang w:eastAsia="en-GB"/>
              </w:rPr>
              <w:t>7 (2.1)</w:t>
            </w:r>
          </w:p>
        </w:tc>
        <w:tc>
          <w:tcPr>
            <w:tcW w:w="702" w:type="pct"/>
            <w:shd w:val="clear" w:color="auto" w:fill="F2F2F2" w:themeFill="background1" w:themeFillShade="F2"/>
            <w:vAlign w:val="center"/>
          </w:tcPr>
          <w:p w14:paraId="147D9180" w14:textId="77777777" w:rsidR="006A6FB6" w:rsidRDefault="006A6FB6" w:rsidP="006A6FB6">
            <w:pPr>
              <w:spacing w:line="280" w:lineRule="exact"/>
              <w:jc w:val="right"/>
            </w:pPr>
            <w:r w:rsidRPr="008804F0">
              <w:rPr>
                <w:rFonts w:eastAsia="Times New Roman"/>
                <w:color w:val="000000"/>
                <w:sz w:val="18"/>
                <w:szCs w:val="18"/>
                <w:lang w:eastAsia="en-GB"/>
              </w:rPr>
              <w:t>7.6 (2.1)</w:t>
            </w:r>
          </w:p>
        </w:tc>
        <w:tc>
          <w:tcPr>
            <w:tcW w:w="679" w:type="pct"/>
            <w:shd w:val="clear" w:color="auto" w:fill="F2F2F2" w:themeFill="background1" w:themeFillShade="F2"/>
            <w:vAlign w:val="center"/>
          </w:tcPr>
          <w:p w14:paraId="30439F9C" w14:textId="77777777" w:rsidR="006A6FB6" w:rsidRDefault="006A6FB6" w:rsidP="006A6FB6">
            <w:pPr>
              <w:spacing w:line="280" w:lineRule="exact"/>
              <w:jc w:val="right"/>
            </w:pPr>
            <w:r w:rsidRPr="008804F0">
              <w:rPr>
                <w:rFonts w:eastAsia="Times New Roman"/>
                <w:color w:val="000000"/>
                <w:sz w:val="18"/>
                <w:szCs w:val="18"/>
                <w:lang w:eastAsia="en-GB"/>
              </w:rPr>
              <w:t>7.4 (2.1)</w:t>
            </w:r>
          </w:p>
        </w:tc>
        <w:tc>
          <w:tcPr>
            <w:tcW w:w="725" w:type="pct"/>
            <w:shd w:val="clear" w:color="auto" w:fill="F2F2F2" w:themeFill="background1" w:themeFillShade="F2"/>
            <w:vAlign w:val="center"/>
          </w:tcPr>
          <w:p w14:paraId="2D4F01C9" w14:textId="77777777" w:rsidR="006A6FB6" w:rsidRDefault="006A6FB6" w:rsidP="006A6FB6">
            <w:pPr>
              <w:spacing w:line="280" w:lineRule="exact"/>
              <w:jc w:val="right"/>
            </w:pPr>
            <w:r w:rsidRPr="008804F0">
              <w:rPr>
                <w:rFonts w:eastAsia="Times New Roman"/>
                <w:color w:val="000000"/>
                <w:sz w:val="18"/>
                <w:szCs w:val="18"/>
                <w:lang w:eastAsia="en-GB"/>
              </w:rPr>
              <w:t>7.2 (1.9)</w:t>
            </w:r>
          </w:p>
        </w:tc>
        <w:tc>
          <w:tcPr>
            <w:tcW w:w="701" w:type="pct"/>
            <w:shd w:val="clear" w:color="auto" w:fill="F2F2F2" w:themeFill="background1" w:themeFillShade="F2"/>
            <w:vAlign w:val="center"/>
          </w:tcPr>
          <w:p w14:paraId="4B0434E4" w14:textId="77777777" w:rsidR="006A6FB6" w:rsidRDefault="006A6FB6" w:rsidP="006A6FB6">
            <w:pPr>
              <w:spacing w:line="280" w:lineRule="exact"/>
              <w:jc w:val="right"/>
            </w:pPr>
            <w:r w:rsidRPr="008804F0">
              <w:rPr>
                <w:rFonts w:eastAsia="Times New Roman"/>
                <w:color w:val="000000"/>
                <w:sz w:val="18"/>
                <w:szCs w:val="18"/>
                <w:lang w:eastAsia="en-GB"/>
              </w:rPr>
              <w:t>7.3 (1.9)</w:t>
            </w:r>
          </w:p>
        </w:tc>
        <w:tc>
          <w:tcPr>
            <w:tcW w:w="702" w:type="pct"/>
            <w:shd w:val="clear" w:color="auto" w:fill="F2F2F2" w:themeFill="background1" w:themeFillShade="F2"/>
            <w:vAlign w:val="center"/>
          </w:tcPr>
          <w:p w14:paraId="7B6DE37E" w14:textId="77777777" w:rsidR="006A6FB6" w:rsidRDefault="006A6FB6" w:rsidP="006A6FB6">
            <w:pPr>
              <w:spacing w:line="280" w:lineRule="exact"/>
              <w:jc w:val="right"/>
            </w:pPr>
            <w:r w:rsidRPr="008804F0">
              <w:rPr>
                <w:rFonts w:eastAsia="Times New Roman"/>
                <w:color w:val="000000"/>
                <w:sz w:val="18"/>
                <w:szCs w:val="18"/>
                <w:lang w:eastAsia="en-GB"/>
              </w:rPr>
              <w:t>8.1 (2</w:t>
            </w:r>
            <w:r>
              <w:rPr>
                <w:rFonts w:eastAsia="Times New Roman"/>
                <w:color w:val="000000"/>
                <w:sz w:val="18"/>
                <w:szCs w:val="18"/>
                <w:lang w:eastAsia="en-GB"/>
              </w:rPr>
              <w:t>.0</w:t>
            </w:r>
            <w:r w:rsidRPr="008804F0">
              <w:rPr>
                <w:rFonts w:eastAsia="Times New Roman"/>
                <w:color w:val="000000"/>
                <w:sz w:val="18"/>
                <w:szCs w:val="18"/>
                <w:lang w:eastAsia="en-GB"/>
              </w:rPr>
              <w:t>)</w:t>
            </w:r>
          </w:p>
        </w:tc>
      </w:tr>
      <w:tr w:rsidR="006A6FB6" w14:paraId="5CDD368A" w14:textId="77777777" w:rsidTr="006A6FB6">
        <w:tc>
          <w:tcPr>
            <w:tcW w:w="877" w:type="pct"/>
            <w:shd w:val="clear" w:color="auto" w:fill="F2F2F2" w:themeFill="background1" w:themeFillShade="F2"/>
            <w:vAlign w:val="bottom"/>
          </w:tcPr>
          <w:p w14:paraId="1980EFC2"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Median (IQR)</w:t>
            </w:r>
          </w:p>
        </w:tc>
        <w:tc>
          <w:tcPr>
            <w:tcW w:w="614" w:type="pct"/>
            <w:shd w:val="clear" w:color="auto" w:fill="F2F2F2" w:themeFill="background1" w:themeFillShade="F2"/>
            <w:vAlign w:val="center"/>
          </w:tcPr>
          <w:p w14:paraId="027AA0D3" w14:textId="77777777" w:rsidR="006A6FB6" w:rsidRDefault="006A6FB6" w:rsidP="006A6FB6">
            <w:pPr>
              <w:spacing w:line="280" w:lineRule="exact"/>
              <w:jc w:val="right"/>
            </w:pPr>
            <w:r w:rsidRPr="008804F0">
              <w:rPr>
                <w:rFonts w:eastAsia="Times New Roman"/>
                <w:color w:val="000000"/>
                <w:sz w:val="18"/>
                <w:szCs w:val="18"/>
                <w:lang w:eastAsia="en-GB"/>
              </w:rPr>
              <w:t>6 (3)</w:t>
            </w:r>
          </w:p>
        </w:tc>
        <w:tc>
          <w:tcPr>
            <w:tcW w:w="702" w:type="pct"/>
            <w:shd w:val="clear" w:color="auto" w:fill="F2F2F2" w:themeFill="background1" w:themeFillShade="F2"/>
            <w:vAlign w:val="center"/>
          </w:tcPr>
          <w:p w14:paraId="35786CBC" w14:textId="77777777" w:rsidR="006A6FB6" w:rsidRDefault="006A6FB6" w:rsidP="006A6FB6">
            <w:pPr>
              <w:spacing w:line="280" w:lineRule="exact"/>
              <w:jc w:val="right"/>
            </w:pPr>
            <w:r w:rsidRPr="008804F0">
              <w:rPr>
                <w:rFonts w:eastAsia="Times New Roman"/>
                <w:color w:val="000000"/>
                <w:sz w:val="18"/>
                <w:szCs w:val="18"/>
                <w:lang w:eastAsia="en-GB"/>
              </w:rPr>
              <w:t>7 (4)</w:t>
            </w:r>
          </w:p>
        </w:tc>
        <w:tc>
          <w:tcPr>
            <w:tcW w:w="679" w:type="pct"/>
            <w:shd w:val="clear" w:color="auto" w:fill="F2F2F2" w:themeFill="background1" w:themeFillShade="F2"/>
            <w:vAlign w:val="center"/>
          </w:tcPr>
          <w:p w14:paraId="67F036F9" w14:textId="77777777" w:rsidR="006A6FB6" w:rsidRDefault="006A6FB6" w:rsidP="006A6FB6">
            <w:pPr>
              <w:spacing w:line="280" w:lineRule="exact"/>
              <w:jc w:val="right"/>
            </w:pPr>
            <w:r w:rsidRPr="008804F0">
              <w:rPr>
                <w:rFonts w:eastAsia="Times New Roman"/>
                <w:color w:val="000000"/>
                <w:sz w:val="18"/>
                <w:szCs w:val="18"/>
                <w:lang w:eastAsia="en-GB"/>
              </w:rPr>
              <w:t>7 (3)</w:t>
            </w:r>
          </w:p>
        </w:tc>
        <w:tc>
          <w:tcPr>
            <w:tcW w:w="725" w:type="pct"/>
            <w:shd w:val="clear" w:color="auto" w:fill="F2F2F2" w:themeFill="background1" w:themeFillShade="F2"/>
            <w:vAlign w:val="center"/>
          </w:tcPr>
          <w:p w14:paraId="0579D4AA" w14:textId="77777777" w:rsidR="006A6FB6" w:rsidRDefault="006A6FB6" w:rsidP="006A6FB6">
            <w:pPr>
              <w:spacing w:line="280" w:lineRule="exact"/>
              <w:jc w:val="right"/>
            </w:pPr>
            <w:r w:rsidRPr="008804F0">
              <w:rPr>
                <w:rFonts w:eastAsia="Times New Roman"/>
                <w:color w:val="000000"/>
                <w:sz w:val="18"/>
                <w:szCs w:val="18"/>
                <w:lang w:eastAsia="en-GB"/>
              </w:rPr>
              <w:t>7 (2)</w:t>
            </w:r>
          </w:p>
        </w:tc>
        <w:tc>
          <w:tcPr>
            <w:tcW w:w="701" w:type="pct"/>
            <w:shd w:val="clear" w:color="auto" w:fill="F2F2F2" w:themeFill="background1" w:themeFillShade="F2"/>
            <w:vAlign w:val="center"/>
          </w:tcPr>
          <w:p w14:paraId="2DE027F2" w14:textId="77777777" w:rsidR="006A6FB6" w:rsidRDefault="006A6FB6" w:rsidP="006A6FB6">
            <w:pPr>
              <w:spacing w:line="280" w:lineRule="exact"/>
              <w:jc w:val="right"/>
            </w:pPr>
            <w:r w:rsidRPr="008804F0">
              <w:rPr>
                <w:rFonts w:eastAsia="Times New Roman"/>
                <w:color w:val="000000"/>
                <w:sz w:val="18"/>
                <w:szCs w:val="18"/>
                <w:lang w:eastAsia="en-GB"/>
              </w:rPr>
              <w:t>7 (3)</w:t>
            </w:r>
          </w:p>
        </w:tc>
        <w:tc>
          <w:tcPr>
            <w:tcW w:w="702" w:type="pct"/>
            <w:shd w:val="clear" w:color="auto" w:fill="F2F2F2" w:themeFill="background1" w:themeFillShade="F2"/>
            <w:vAlign w:val="center"/>
          </w:tcPr>
          <w:p w14:paraId="0B692C82" w14:textId="77777777" w:rsidR="006A6FB6" w:rsidRDefault="006A6FB6" w:rsidP="006A6FB6">
            <w:pPr>
              <w:spacing w:line="280" w:lineRule="exact"/>
              <w:jc w:val="right"/>
            </w:pPr>
            <w:r w:rsidRPr="008804F0">
              <w:rPr>
                <w:rFonts w:eastAsia="Times New Roman"/>
                <w:color w:val="000000"/>
                <w:sz w:val="18"/>
                <w:szCs w:val="18"/>
                <w:lang w:eastAsia="en-GB"/>
              </w:rPr>
              <w:t>8 (3)</w:t>
            </w:r>
          </w:p>
        </w:tc>
      </w:tr>
      <w:tr w:rsidR="006A6FB6" w14:paraId="1F1453B0" w14:textId="77777777" w:rsidTr="006A6FB6">
        <w:tc>
          <w:tcPr>
            <w:tcW w:w="877" w:type="pct"/>
            <w:shd w:val="clear" w:color="auto" w:fill="F2F2F2" w:themeFill="background1" w:themeFillShade="F2"/>
            <w:vAlign w:val="bottom"/>
          </w:tcPr>
          <w:p w14:paraId="2D8238A1"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Range</w:t>
            </w:r>
          </w:p>
        </w:tc>
        <w:tc>
          <w:tcPr>
            <w:tcW w:w="614" w:type="pct"/>
            <w:shd w:val="clear" w:color="auto" w:fill="F2F2F2" w:themeFill="background1" w:themeFillShade="F2"/>
            <w:vAlign w:val="center"/>
          </w:tcPr>
          <w:p w14:paraId="77C352EC" w14:textId="77777777" w:rsidR="006A6FB6" w:rsidRDefault="006A6FB6" w:rsidP="006A6FB6">
            <w:pPr>
              <w:spacing w:line="280" w:lineRule="exact"/>
              <w:jc w:val="right"/>
            </w:pPr>
            <w:r w:rsidRPr="008804F0">
              <w:rPr>
                <w:rFonts w:eastAsia="Times New Roman"/>
                <w:color w:val="000000"/>
                <w:sz w:val="18"/>
                <w:szCs w:val="18"/>
                <w:lang w:eastAsia="en-GB"/>
              </w:rPr>
              <w:t>5, 12</w:t>
            </w:r>
          </w:p>
        </w:tc>
        <w:tc>
          <w:tcPr>
            <w:tcW w:w="702" w:type="pct"/>
            <w:shd w:val="clear" w:color="auto" w:fill="F2F2F2" w:themeFill="background1" w:themeFillShade="F2"/>
            <w:vAlign w:val="center"/>
          </w:tcPr>
          <w:p w14:paraId="1B513128" w14:textId="77777777" w:rsidR="006A6FB6" w:rsidRDefault="006A6FB6" w:rsidP="006A6FB6">
            <w:pPr>
              <w:spacing w:line="280" w:lineRule="exact"/>
              <w:jc w:val="right"/>
            </w:pPr>
            <w:r w:rsidRPr="008804F0">
              <w:rPr>
                <w:rFonts w:eastAsia="Times New Roman"/>
                <w:color w:val="000000"/>
                <w:sz w:val="18"/>
                <w:szCs w:val="18"/>
                <w:lang w:eastAsia="en-GB"/>
              </w:rPr>
              <w:t>5, 12</w:t>
            </w:r>
          </w:p>
        </w:tc>
        <w:tc>
          <w:tcPr>
            <w:tcW w:w="679" w:type="pct"/>
            <w:shd w:val="clear" w:color="auto" w:fill="F2F2F2" w:themeFill="background1" w:themeFillShade="F2"/>
            <w:vAlign w:val="center"/>
          </w:tcPr>
          <w:p w14:paraId="14D783F5" w14:textId="77777777" w:rsidR="006A6FB6" w:rsidRDefault="006A6FB6" w:rsidP="006A6FB6">
            <w:pPr>
              <w:spacing w:line="280" w:lineRule="exact"/>
              <w:jc w:val="right"/>
            </w:pPr>
            <w:r w:rsidRPr="008804F0">
              <w:rPr>
                <w:rFonts w:eastAsia="Times New Roman"/>
                <w:color w:val="000000"/>
                <w:sz w:val="18"/>
                <w:szCs w:val="18"/>
                <w:lang w:eastAsia="en-GB"/>
              </w:rPr>
              <w:t>5, 12</w:t>
            </w:r>
          </w:p>
        </w:tc>
        <w:tc>
          <w:tcPr>
            <w:tcW w:w="725" w:type="pct"/>
            <w:shd w:val="clear" w:color="auto" w:fill="F2F2F2" w:themeFill="background1" w:themeFillShade="F2"/>
            <w:vAlign w:val="center"/>
          </w:tcPr>
          <w:p w14:paraId="2AEDF8DD" w14:textId="77777777" w:rsidR="006A6FB6" w:rsidRDefault="006A6FB6" w:rsidP="006A6FB6">
            <w:pPr>
              <w:spacing w:line="280" w:lineRule="exact"/>
              <w:jc w:val="right"/>
            </w:pPr>
            <w:r w:rsidRPr="008804F0">
              <w:rPr>
                <w:rFonts w:eastAsia="Times New Roman"/>
                <w:color w:val="000000"/>
                <w:sz w:val="18"/>
                <w:szCs w:val="18"/>
                <w:lang w:eastAsia="en-GB"/>
              </w:rPr>
              <w:t>5, 12</w:t>
            </w:r>
          </w:p>
        </w:tc>
        <w:tc>
          <w:tcPr>
            <w:tcW w:w="701" w:type="pct"/>
            <w:shd w:val="clear" w:color="auto" w:fill="F2F2F2" w:themeFill="background1" w:themeFillShade="F2"/>
            <w:vAlign w:val="center"/>
          </w:tcPr>
          <w:p w14:paraId="06710C3B" w14:textId="77777777" w:rsidR="006A6FB6" w:rsidRDefault="006A6FB6" w:rsidP="006A6FB6">
            <w:pPr>
              <w:spacing w:line="280" w:lineRule="exact"/>
              <w:jc w:val="right"/>
            </w:pPr>
            <w:r w:rsidRPr="008804F0">
              <w:rPr>
                <w:rFonts w:eastAsia="Times New Roman"/>
                <w:color w:val="000000"/>
                <w:sz w:val="18"/>
                <w:szCs w:val="18"/>
                <w:lang w:eastAsia="en-GB"/>
              </w:rPr>
              <w:t>5, 12</w:t>
            </w:r>
          </w:p>
        </w:tc>
        <w:tc>
          <w:tcPr>
            <w:tcW w:w="702" w:type="pct"/>
            <w:shd w:val="clear" w:color="auto" w:fill="F2F2F2" w:themeFill="background1" w:themeFillShade="F2"/>
            <w:vAlign w:val="center"/>
          </w:tcPr>
          <w:p w14:paraId="39EEF406" w14:textId="77777777" w:rsidR="006A6FB6" w:rsidRDefault="006A6FB6" w:rsidP="006A6FB6">
            <w:pPr>
              <w:spacing w:line="280" w:lineRule="exact"/>
              <w:jc w:val="right"/>
            </w:pPr>
            <w:r w:rsidRPr="008804F0">
              <w:rPr>
                <w:rFonts w:eastAsia="Times New Roman"/>
                <w:color w:val="000000"/>
                <w:sz w:val="18"/>
                <w:szCs w:val="18"/>
                <w:lang w:eastAsia="en-GB"/>
              </w:rPr>
              <w:t>5, 12</w:t>
            </w:r>
          </w:p>
        </w:tc>
      </w:tr>
      <w:tr w:rsidR="006A6FB6" w14:paraId="4FE333A4" w14:textId="77777777" w:rsidTr="006A6FB6">
        <w:tc>
          <w:tcPr>
            <w:tcW w:w="877" w:type="pct"/>
            <w:shd w:val="clear" w:color="auto" w:fill="F2F2F2" w:themeFill="background1" w:themeFillShade="F2"/>
            <w:vAlign w:val="bottom"/>
          </w:tcPr>
          <w:p w14:paraId="69DB41AE" w14:textId="77777777" w:rsidR="006A6FB6" w:rsidRDefault="006A6FB6" w:rsidP="006A6FB6">
            <w:pPr>
              <w:spacing w:line="280" w:lineRule="exact"/>
            </w:pPr>
            <w:r w:rsidRPr="00355303">
              <w:rPr>
                <w:rFonts w:eastAsia="Times New Roman"/>
                <w:b/>
                <w:bCs/>
                <w:color w:val="000000"/>
                <w:sz w:val="18"/>
                <w:szCs w:val="18"/>
                <w:lang w:eastAsia="en-GB"/>
              </w:rPr>
              <w:t>CHU-9D</w:t>
            </w:r>
          </w:p>
        </w:tc>
        <w:tc>
          <w:tcPr>
            <w:tcW w:w="614" w:type="pct"/>
            <w:shd w:val="clear" w:color="auto" w:fill="F2F2F2" w:themeFill="background1" w:themeFillShade="F2"/>
            <w:vAlign w:val="center"/>
          </w:tcPr>
          <w:p w14:paraId="1B7399A3"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3CD9CB7F"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679" w:type="pct"/>
            <w:shd w:val="clear" w:color="auto" w:fill="F2F2F2" w:themeFill="background1" w:themeFillShade="F2"/>
            <w:vAlign w:val="center"/>
          </w:tcPr>
          <w:p w14:paraId="0A609358"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25" w:type="pct"/>
            <w:shd w:val="clear" w:color="auto" w:fill="F2F2F2" w:themeFill="background1" w:themeFillShade="F2"/>
            <w:vAlign w:val="center"/>
          </w:tcPr>
          <w:p w14:paraId="36014008"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1" w:type="pct"/>
            <w:shd w:val="clear" w:color="auto" w:fill="F2F2F2" w:themeFill="background1" w:themeFillShade="F2"/>
            <w:vAlign w:val="center"/>
          </w:tcPr>
          <w:p w14:paraId="69023B0F"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15A0AB95" w14:textId="77777777" w:rsidR="006A6FB6" w:rsidRDefault="006A6FB6" w:rsidP="006A6FB6">
            <w:pPr>
              <w:spacing w:line="280" w:lineRule="exact"/>
              <w:jc w:val="right"/>
            </w:pPr>
            <w:r w:rsidRPr="008804F0">
              <w:rPr>
                <w:rFonts w:eastAsia="Times New Roman"/>
                <w:color w:val="000000"/>
                <w:sz w:val="18"/>
                <w:szCs w:val="18"/>
                <w:lang w:eastAsia="en-GB"/>
              </w:rPr>
              <w:t> </w:t>
            </w:r>
          </w:p>
        </w:tc>
      </w:tr>
      <w:tr w:rsidR="006A6FB6" w14:paraId="1482E49A" w14:textId="77777777" w:rsidTr="006A6FB6">
        <w:tc>
          <w:tcPr>
            <w:tcW w:w="877" w:type="pct"/>
            <w:shd w:val="clear" w:color="auto" w:fill="F2F2F2" w:themeFill="background1" w:themeFillShade="F2"/>
            <w:vAlign w:val="bottom"/>
          </w:tcPr>
          <w:p w14:paraId="5A41037A"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Mean (SD)</w:t>
            </w:r>
          </w:p>
        </w:tc>
        <w:tc>
          <w:tcPr>
            <w:tcW w:w="614" w:type="pct"/>
            <w:shd w:val="clear" w:color="auto" w:fill="F2F2F2" w:themeFill="background1" w:themeFillShade="F2"/>
            <w:vAlign w:val="center"/>
          </w:tcPr>
          <w:p w14:paraId="0B2F448D" w14:textId="77777777" w:rsidR="006A6FB6" w:rsidRDefault="006A6FB6" w:rsidP="006A6FB6">
            <w:pPr>
              <w:spacing w:line="280" w:lineRule="exact"/>
              <w:jc w:val="right"/>
            </w:pPr>
            <w:r w:rsidRPr="008804F0">
              <w:rPr>
                <w:rFonts w:eastAsia="Times New Roman"/>
                <w:color w:val="000000"/>
                <w:sz w:val="18"/>
                <w:szCs w:val="18"/>
                <w:lang w:eastAsia="en-GB"/>
              </w:rPr>
              <w:t>0.94</w:t>
            </w:r>
            <w:r>
              <w:rPr>
                <w:rFonts w:eastAsia="Times New Roman"/>
                <w:color w:val="000000"/>
                <w:sz w:val="18"/>
                <w:szCs w:val="18"/>
                <w:lang w:eastAsia="en-GB"/>
              </w:rPr>
              <w:t>0</w:t>
            </w:r>
            <w:r w:rsidRPr="008804F0">
              <w:rPr>
                <w:rFonts w:eastAsia="Times New Roman"/>
                <w:color w:val="000000"/>
                <w:sz w:val="18"/>
                <w:szCs w:val="18"/>
                <w:lang w:eastAsia="en-GB"/>
              </w:rPr>
              <w:t xml:space="preserve"> (0.063)</w:t>
            </w:r>
          </w:p>
        </w:tc>
        <w:tc>
          <w:tcPr>
            <w:tcW w:w="702" w:type="pct"/>
            <w:shd w:val="clear" w:color="auto" w:fill="F2F2F2" w:themeFill="background1" w:themeFillShade="F2"/>
            <w:vAlign w:val="center"/>
          </w:tcPr>
          <w:p w14:paraId="2F6597E9" w14:textId="77777777" w:rsidR="006A6FB6" w:rsidRDefault="006A6FB6" w:rsidP="006A6FB6">
            <w:pPr>
              <w:spacing w:line="280" w:lineRule="exact"/>
              <w:jc w:val="right"/>
            </w:pPr>
            <w:r w:rsidRPr="008804F0">
              <w:rPr>
                <w:rFonts w:eastAsia="Times New Roman"/>
                <w:color w:val="000000"/>
                <w:sz w:val="18"/>
                <w:szCs w:val="18"/>
                <w:lang w:eastAsia="en-GB"/>
              </w:rPr>
              <w:t>0.929 (0.103)</w:t>
            </w:r>
          </w:p>
        </w:tc>
        <w:tc>
          <w:tcPr>
            <w:tcW w:w="679" w:type="pct"/>
            <w:shd w:val="clear" w:color="auto" w:fill="F2F2F2" w:themeFill="background1" w:themeFillShade="F2"/>
            <w:vAlign w:val="center"/>
          </w:tcPr>
          <w:p w14:paraId="67819272" w14:textId="77777777" w:rsidR="006A6FB6" w:rsidRDefault="006A6FB6" w:rsidP="006A6FB6">
            <w:pPr>
              <w:spacing w:line="280" w:lineRule="exact"/>
              <w:jc w:val="right"/>
            </w:pPr>
            <w:r w:rsidRPr="008804F0">
              <w:rPr>
                <w:rFonts w:eastAsia="Times New Roman"/>
                <w:color w:val="000000"/>
                <w:sz w:val="18"/>
                <w:szCs w:val="18"/>
                <w:lang w:eastAsia="en-GB"/>
              </w:rPr>
              <w:t>0.941 (0.08</w:t>
            </w:r>
            <w:r>
              <w:rPr>
                <w:rFonts w:eastAsia="Times New Roman"/>
                <w:color w:val="000000"/>
                <w:sz w:val="18"/>
                <w:szCs w:val="18"/>
                <w:lang w:eastAsia="en-GB"/>
              </w:rPr>
              <w:t>0</w:t>
            </w:r>
            <w:r w:rsidRPr="008804F0">
              <w:rPr>
                <w:rFonts w:eastAsia="Times New Roman"/>
                <w:color w:val="000000"/>
                <w:sz w:val="18"/>
                <w:szCs w:val="18"/>
                <w:lang w:eastAsia="en-GB"/>
              </w:rPr>
              <w:t>)</w:t>
            </w:r>
          </w:p>
        </w:tc>
        <w:tc>
          <w:tcPr>
            <w:tcW w:w="725" w:type="pct"/>
            <w:shd w:val="clear" w:color="auto" w:fill="F2F2F2" w:themeFill="background1" w:themeFillShade="F2"/>
            <w:vAlign w:val="center"/>
          </w:tcPr>
          <w:p w14:paraId="70DC0038" w14:textId="77777777" w:rsidR="006A6FB6" w:rsidRDefault="006A6FB6" w:rsidP="006A6FB6">
            <w:pPr>
              <w:spacing w:line="280" w:lineRule="exact"/>
              <w:jc w:val="right"/>
            </w:pPr>
            <w:r w:rsidRPr="008804F0">
              <w:rPr>
                <w:rFonts w:eastAsia="Times New Roman"/>
                <w:color w:val="000000"/>
                <w:sz w:val="18"/>
                <w:szCs w:val="18"/>
                <w:lang w:eastAsia="en-GB"/>
              </w:rPr>
              <w:t>0.95</w:t>
            </w:r>
            <w:r>
              <w:rPr>
                <w:rFonts w:eastAsia="Times New Roman"/>
                <w:color w:val="000000"/>
                <w:sz w:val="18"/>
                <w:szCs w:val="18"/>
                <w:lang w:eastAsia="en-GB"/>
              </w:rPr>
              <w:t>0</w:t>
            </w:r>
            <w:r w:rsidRPr="008804F0">
              <w:rPr>
                <w:rFonts w:eastAsia="Times New Roman"/>
                <w:color w:val="000000"/>
                <w:sz w:val="18"/>
                <w:szCs w:val="18"/>
                <w:lang w:eastAsia="en-GB"/>
              </w:rPr>
              <w:t xml:space="preserve"> (0.068)</w:t>
            </w:r>
          </w:p>
        </w:tc>
        <w:tc>
          <w:tcPr>
            <w:tcW w:w="701" w:type="pct"/>
            <w:shd w:val="clear" w:color="auto" w:fill="F2F2F2" w:themeFill="background1" w:themeFillShade="F2"/>
            <w:vAlign w:val="center"/>
          </w:tcPr>
          <w:p w14:paraId="43015842" w14:textId="77777777" w:rsidR="006A6FB6" w:rsidRDefault="006A6FB6" w:rsidP="006A6FB6">
            <w:pPr>
              <w:spacing w:line="280" w:lineRule="exact"/>
              <w:jc w:val="right"/>
            </w:pPr>
            <w:r w:rsidRPr="008804F0">
              <w:rPr>
                <w:rFonts w:eastAsia="Times New Roman"/>
                <w:color w:val="000000"/>
                <w:sz w:val="18"/>
                <w:szCs w:val="18"/>
                <w:lang w:eastAsia="en-GB"/>
              </w:rPr>
              <w:t>0.922 (0.081)</w:t>
            </w:r>
          </w:p>
        </w:tc>
        <w:tc>
          <w:tcPr>
            <w:tcW w:w="702" w:type="pct"/>
            <w:shd w:val="clear" w:color="auto" w:fill="F2F2F2" w:themeFill="background1" w:themeFillShade="F2"/>
            <w:vAlign w:val="center"/>
          </w:tcPr>
          <w:p w14:paraId="25A3B5D1" w14:textId="77777777" w:rsidR="006A6FB6" w:rsidRDefault="006A6FB6" w:rsidP="006A6FB6">
            <w:pPr>
              <w:spacing w:line="280" w:lineRule="exact"/>
              <w:jc w:val="right"/>
            </w:pPr>
            <w:r w:rsidRPr="008804F0">
              <w:rPr>
                <w:rFonts w:eastAsia="Times New Roman"/>
                <w:color w:val="000000"/>
                <w:sz w:val="18"/>
                <w:szCs w:val="18"/>
                <w:lang w:eastAsia="en-GB"/>
              </w:rPr>
              <w:t>0.937 (0.077)</w:t>
            </w:r>
          </w:p>
        </w:tc>
      </w:tr>
      <w:tr w:rsidR="006A6FB6" w14:paraId="78BD33B9" w14:textId="77777777" w:rsidTr="006A6FB6">
        <w:tc>
          <w:tcPr>
            <w:tcW w:w="877" w:type="pct"/>
            <w:shd w:val="clear" w:color="auto" w:fill="F2F2F2" w:themeFill="background1" w:themeFillShade="F2"/>
            <w:vAlign w:val="bottom"/>
          </w:tcPr>
          <w:p w14:paraId="7C889AF8"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Median (IQR)</w:t>
            </w:r>
          </w:p>
        </w:tc>
        <w:tc>
          <w:tcPr>
            <w:tcW w:w="614" w:type="pct"/>
            <w:shd w:val="clear" w:color="auto" w:fill="F2F2F2" w:themeFill="background1" w:themeFillShade="F2"/>
            <w:vAlign w:val="center"/>
          </w:tcPr>
          <w:p w14:paraId="1FAE10AF" w14:textId="77777777" w:rsidR="006A6FB6" w:rsidRDefault="006A6FB6" w:rsidP="006A6FB6">
            <w:pPr>
              <w:spacing w:line="280" w:lineRule="exact"/>
              <w:jc w:val="right"/>
            </w:pPr>
            <w:r w:rsidRPr="008804F0">
              <w:rPr>
                <w:rFonts w:eastAsia="Times New Roman"/>
                <w:color w:val="000000"/>
                <w:sz w:val="18"/>
                <w:szCs w:val="18"/>
                <w:lang w:eastAsia="en-GB"/>
              </w:rPr>
              <w:t>0.952 (0.106)</w:t>
            </w:r>
          </w:p>
        </w:tc>
        <w:tc>
          <w:tcPr>
            <w:tcW w:w="702" w:type="pct"/>
            <w:shd w:val="clear" w:color="auto" w:fill="F2F2F2" w:themeFill="background1" w:themeFillShade="F2"/>
            <w:vAlign w:val="center"/>
          </w:tcPr>
          <w:p w14:paraId="73C2D553" w14:textId="77777777" w:rsidR="006A6FB6" w:rsidRDefault="006A6FB6" w:rsidP="006A6FB6">
            <w:pPr>
              <w:spacing w:line="280" w:lineRule="exact"/>
              <w:jc w:val="right"/>
            </w:pPr>
            <w:r w:rsidRPr="008804F0">
              <w:rPr>
                <w:rFonts w:eastAsia="Times New Roman"/>
                <w:color w:val="000000"/>
                <w:sz w:val="18"/>
                <w:szCs w:val="18"/>
                <w:lang w:eastAsia="en-GB"/>
              </w:rPr>
              <w:t>0.952 (0.1</w:t>
            </w:r>
            <w:r>
              <w:rPr>
                <w:rFonts w:eastAsia="Times New Roman"/>
                <w:color w:val="000000"/>
                <w:sz w:val="18"/>
                <w:szCs w:val="18"/>
                <w:lang w:eastAsia="en-GB"/>
              </w:rPr>
              <w:t>00</w:t>
            </w:r>
            <w:r w:rsidRPr="008804F0">
              <w:rPr>
                <w:rFonts w:eastAsia="Times New Roman"/>
                <w:color w:val="000000"/>
                <w:sz w:val="18"/>
                <w:szCs w:val="18"/>
                <w:lang w:eastAsia="en-GB"/>
              </w:rPr>
              <w:t>)</w:t>
            </w:r>
          </w:p>
        </w:tc>
        <w:tc>
          <w:tcPr>
            <w:tcW w:w="679" w:type="pct"/>
            <w:shd w:val="clear" w:color="auto" w:fill="F2F2F2" w:themeFill="background1" w:themeFillShade="F2"/>
            <w:vAlign w:val="center"/>
          </w:tcPr>
          <w:p w14:paraId="147EC37F" w14:textId="77777777" w:rsidR="006A6FB6" w:rsidRDefault="006A6FB6" w:rsidP="006A6FB6">
            <w:pPr>
              <w:spacing w:line="280" w:lineRule="exact"/>
              <w:jc w:val="right"/>
            </w:pPr>
            <w:r w:rsidRPr="008804F0">
              <w:rPr>
                <w:rFonts w:eastAsia="Times New Roman"/>
                <w:color w:val="000000"/>
                <w:sz w:val="18"/>
                <w:szCs w:val="18"/>
                <w:lang w:eastAsia="en-GB"/>
              </w:rPr>
              <w:t>0.952 (0.081)</w:t>
            </w:r>
          </w:p>
        </w:tc>
        <w:tc>
          <w:tcPr>
            <w:tcW w:w="725" w:type="pct"/>
            <w:shd w:val="clear" w:color="auto" w:fill="F2F2F2" w:themeFill="background1" w:themeFillShade="F2"/>
            <w:vAlign w:val="center"/>
          </w:tcPr>
          <w:p w14:paraId="5E1E99A7" w14:textId="77777777" w:rsidR="006A6FB6" w:rsidRDefault="006A6FB6" w:rsidP="006A6FB6">
            <w:pPr>
              <w:spacing w:line="280" w:lineRule="exact"/>
              <w:jc w:val="right"/>
            </w:pPr>
            <w:r w:rsidRPr="008804F0">
              <w:rPr>
                <w:rFonts w:eastAsia="Times New Roman"/>
                <w:color w:val="000000"/>
                <w:sz w:val="18"/>
                <w:szCs w:val="18"/>
                <w:lang w:eastAsia="en-GB"/>
              </w:rPr>
              <w:t>0.968 (0.073)</w:t>
            </w:r>
          </w:p>
        </w:tc>
        <w:tc>
          <w:tcPr>
            <w:tcW w:w="701" w:type="pct"/>
            <w:shd w:val="clear" w:color="auto" w:fill="F2F2F2" w:themeFill="background1" w:themeFillShade="F2"/>
            <w:vAlign w:val="center"/>
          </w:tcPr>
          <w:p w14:paraId="56F9968D" w14:textId="77777777" w:rsidR="006A6FB6" w:rsidRDefault="006A6FB6" w:rsidP="006A6FB6">
            <w:pPr>
              <w:spacing w:line="280" w:lineRule="exact"/>
              <w:jc w:val="right"/>
            </w:pPr>
            <w:r w:rsidRPr="008804F0">
              <w:rPr>
                <w:rFonts w:eastAsia="Times New Roman"/>
                <w:color w:val="000000"/>
                <w:sz w:val="18"/>
                <w:szCs w:val="18"/>
                <w:lang w:eastAsia="en-GB"/>
              </w:rPr>
              <w:t>0.931 (0.108)</w:t>
            </w:r>
          </w:p>
        </w:tc>
        <w:tc>
          <w:tcPr>
            <w:tcW w:w="702" w:type="pct"/>
            <w:shd w:val="clear" w:color="auto" w:fill="F2F2F2" w:themeFill="background1" w:themeFillShade="F2"/>
            <w:vAlign w:val="center"/>
          </w:tcPr>
          <w:p w14:paraId="401174DE" w14:textId="77777777" w:rsidR="006A6FB6" w:rsidRDefault="006A6FB6" w:rsidP="006A6FB6">
            <w:pPr>
              <w:spacing w:line="280" w:lineRule="exact"/>
              <w:jc w:val="right"/>
            </w:pPr>
            <w:r w:rsidRPr="008804F0">
              <w:rPr>
                <w:rFonts w:eastAsia="Times New Roman"/>
                <w:color w:val="000000"/>
                <w:sz w:val="18"/>
                <w:szCs w:val="18"/>
                <w:lang w:eastAsia="en-GB"/>
              </w:rPr>
              <w:t>0.967 (0.107)</w:t>
            </w:r>
          </w:p>
        </w:tc>
      </w:tr>
      <w:tr w:rsidR="006A6FB6" w14:paraId="0937F706" w14:textId="77777777" w:rsidTr="006A6FB6">
        <w:tc>
          <w:tcPr>
            <w:tcW w:w="877" w:type="pct"/>
            <w:shd w:val="clear" w:color="auto" w:fill="F2F2F2" w:themeFill="background1" w:themeFillShade="F2"/>
            <w:vAlign w:val="bottom"/>
          </w:tcPr>
          <w:p w14:paraId="0D764090"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Range</w:t>
            </w:r>
          </w:p>
        </w:tc>
        <w:tc>
          <w:tcPr>
            <w:tcW w:w="614" w:type="pct"/>
            <w:shd w:val="clear" w:color="auto" w:fill="F2F2F2" w:themeFill="background1" w:themeFillShade="F2"/>
            <w:vAlign w:val="center"/>
          </w:tcPr>
          <w:p w14:paraId="0C978DA3" w14:textId="77777777" w:rsidR="006A6FB6" w:rsidRDefault="006A6FB6" w:rsidP="006A6FB6">
            <w:pPr>
              <w:spacing w:line="280" w:lineRule="exact"/>
              <w:jc w:val="right"/>
            </w:pPr>
            <w:r w:rsidRPr="008804F0">
              <w:rPr>
                <w:rFonts w:eastAsia="Times New Roman"/>
                <w:color w:val="000000"/>
                <w:sz w:val="18"/>
                <w:szCs w:val="18"/>
                <w:lang w:eastAsia="en-GB"/>
              </w:rPr>
              <w:t>0.786, 1</w:t>
            </w:r>
            <w:r>
              <w:rPr>
                <w:rFonts w:eastAsia="Times New Roman"/>
                <w:color w:val="000000"/>
                <w:sz w:val="18"/>
                <w:szCs w:val="18"/>
                <w:lang w:eastAsia="en-GB"/>
              </w:rPr>
              <w:t>.000</w:t>
            </w:r>
          </w:p>
        </w:tc>
        <w:tc>
          <w:tcPr>
            <w:tcW w:w="702" w:type="pct"/>
            <w:shd w:val="clear" w:color="auto" w:fill="F2F2F2" w:themeFill="background1" w:themeFillShade="F2"/>
            <w:vAlign w:val="center"/>
          </w:tcPr>
          <w:p w14:paraId="2D2157F8" w14:textId="77777777" w:rsidR="006A6FB6" w:rsidRDefault="006A6FB6" w:rsidP="006A6FB6">
            <w:pPr>
              <w:spacing w:line="280" w:lineRule="exact"/>
              <w:jc w:val="right"/>
            </w:pPr>
            <w:r w:rsidRPr="008804F0">
              <w:rPr>
                <w:rFonts w:eastAsia="Times New Roman"/>
                <w:color w:val="000000"/>
                <w:sz w:val="18"/>
                <w:szCs w:val="18"/>
                <w:lang w:eastAsia="en-GB"/>
              </w:rPr>
              <w:t>0.534, 1</w:t>
            </w:r>
            <w:r>
              <w:rPr>
                <w:rFonts w:eastAsia="Times New Roman"/>
                <w:color w:val="000000"/>
                <w:sz w:val="18"/>
                <w:szCs w:val="18"/>
                <w:lang w:eastAsia="en-GB"/>
              </w:rPr>
              <w:t>.000</w:t>
            </w:r>
          </w:p>
        </w:tc>
        <w:tc>
          <w:tcPr>
            <w:tcW w:w="679" w:type="pct"/>
            <w:shd w:val="clear" w:color="auto" w:fill="F2F2F2" w:themeFill="background1" w:themeFillShade="F2"/>
            <w:vAlign w:val="center"/>
          </w:tcPr>
          <w:p w14:paraId="73388FF2" w14:textId="77777777" w:rsidR="006A6FB6" w:rsidRDefault="006A6FB6" w:rsidP="006A6FB6">
            <w:pPr>
              <w:spacing w:line="280" w:lineRule="exact"/>
              <w:jc w:val="right"/>
            </w:pPr>
            <w:r w:rsidRPr="008804F0">
              <w:rPr>
                <w:rFonts w:eastAsia="Times New Roman"/>
                <w:color w:val="000000"/>
                <w:sz w:val="18"/>
                <w:szCs w:val="18"/>
                <w:lang w:eastAsia="en-GB"/>
              </w:rPr>
              <w:t>0.509, 1</w:t>
            </w:r>
            <w:r>
              <w:rPr>
                <w:rFonts w:eastAsia="Times New Roman"/>
                <w:color w:val="000000"/>
                <w:sz w:val="18"/>
                <w:szCs w:val="18"/>
                <w:lang w:eastAsia="en-GB"/>
              </w:rPr>
              <w:t>.000</w:t>
            </w:r>
          </w:p>
        </w:tc>
        <w:tc>
          <w:tcPr>
            <w:tcW w:w="725" w:type="pct"/>
            <w:shd w:val="clear" w:color="auto" w:fill="F2F2F2" w:themeFill="background1" w:themeFillShade="F2"/>
            <w:vAlign w:val="center"/>
          </w:tcPr>
          <w:p w14:paraId="5BF7225C" w14:textId="77777777" w:rsidR="006A6FB6" w:rsidRDefault="006A6FB6" w:rsidP="006A6FB6">
            <w:pPr>
              <w:spacing w:line="280" w:lineRule="exact"/>
              <w:jc w:val="right"/>
            </w:pPr>
            <w:r w:rsidRPr="008804F0">
              <w:rPr>
                <w:rFonts w:eastAsia="Times New Roman"/>
                <w:color w:val="000000"/>
                <w:sz w:val="18"/>
                <w:szCs w:val="18"/>
                <w:lang w:eastAsia="en-GB"/>
              </w:rPr>
              <w:t>0.68, 1</w:t>
            </w:r>
            <w:r>
              <w:rPr>
                <w:rFonts w:eastAsia="Times New Roman"/>
                <w:color w:val="000000"/>
                <w:sz w:val="18"/>
                <w:szCs w:val="18"/>
                <w:lang w:eastAsia="en-GB"/>
              </w:rPr>
              <w:t>.000</w:t>
            </w:r>
          </w:p>
        </w:tc>
        <w:tc>
          <w:tcPr>
            <w:tcW w:w="701" w:type="pct"/>
            <w:shd w:val="clear" w:color="auto" w:fill="F2F2F2" w:themeFill="background1" w:themeFillShade="F2"/>
            <w:vAlign w:val="center"/>
          </w:tcPr>
          <w:p w14:paraId="32EE0F65" w14:textId="77777777" w:rsidR="006A6FB6" w:rsidRDefault="006A6FB6" w:rsidP="006A6FB6">
            <w:pPr>
              <w:spacing w:line="280" w:lineRule="exact"/>
              <w:jc w:val="right"/>
            </w:pPr>
            <w:r w:rsidRPr="008804F0">
              <w:rPr>
                <w:rFonts w:eastAsia="Times New Roman"/>
                <w:color w:val="000000"/>
                <w:sz w:val="18"/>
                <w:szCs w:val="18"/>
                <w:lang w:eastAsia="en-GB"/>
              </w:rPr>
              <w:t>0.702, 1</w:t>
            </w:r>
            <w:r>
              <w:rPr>
                <w:rFonts w:eastAsia="Times New Roman"/>
                <w:color w:val="000000"/>
                <w:sz w:val="18"/>
                <w:szCs w:val="18"/>
                <w:lang w:eastAsia="en-GB"/>
              </w:rPr>
              <w:t>.000</w:t>
            </w:r>
          </w:p>
        </w:tc>
        <w:tc>
          <w:tcPr>
            <w:tcW w:w="702" w:type="pct"/>
            <w:shd w:val="clear" w:color="auto" w:fill="F2F2F2" w:themeFill="background1" w:themeFillShade="F2"/>
            <w:vAlign w:val="center"/>
          </w:tcPr>
          <w:p w14:paraId="71D165B6" w14:textId="77777777" w:rsidR="006A6FB6" w:rsidRDefault="006A6FB6" w:rsidP="006A6FB6">
            <w:pPr>
              <w:spacing w:line="280" w:lineRule="exact"/>
              <w:jc w:val="right"/>
            </w:pPr>
            <w:r w:rsidRPr="008804F0">
              <w:rPr>
                <w:rFonts w:eastAsia="Times New Roman"/>
                <w:color w:val="000000"/>
                <w:sz w:val="18"/>
                <w:szCs w:val="18"/>
                <w:lang w:eastAsia="en-GB"/>
              </w:rPr>
              <w:t>0.697, 1</w:t>
            </w:r>
            <w:r>
              <w:rPr>
                <w:rFonts w:eastAsia="Times New Roman"/>
                <w:color w:val="000000"/>
                <w:sz w:val="18"/>
                <w:szCs w:val="18"/>
                <w:lang w:eastAsia="en-GB"/>
              </w:rPr>
              <w:t>.000</w:t>
            </w:r>
          </w:p>
        </w:tc>
      </w:tr>
      <w:tr w:rsidR="006A6FB6" w14:paraId="460894BA" w14:textId="77777777" w:rsidTr="006A6FB6">
        <w:tc>
          <w:tcPr>
            <w:tcW w:w="877" w:type="pct"/>
            <w:shd w:val="clear" w:color="auto" w:fill="F2F2F2" w:themeFill="background1" w:themeFillShade="F2"/>
            <w:vAlign w:val="bottom"/>
          </w:tcPr>
          <w:p w14:paraId="430C570E" w14:textId="77777777" w:rsidR="006A6FB6" w:rsidRDefault="006A6FB6" w:rsidP="006A6FB6">
            <w:pPr>
              <w:spacing w:line="280" w:lineRule="exact"/>
            </w:pPr>
            <w:r w:rsidRPr="00355303">
              <w:rPr>
                <w:rFonts w:eastAsia="Times New Roman"/>
                <w:b/>
                <w:bCs/>
                <w:color w:val="000000"/>
                <w:sz w:val="18"/>
                <w:szCs w:val="18"/>
                <w:lang w:eastAsia="en-GB"/>
              </w:rPr>
              <w:t xml:space="preserve">PedsQL™ </w:t>
            </w:r>
          </w:p>
        </w:tc>
        <w:tc>
          <w:tcPr>
            <w:tcW w:w="614" w:type="pct"/>
            <w:shd w:val="clear" w:color="auto" w:fill="F2F2F2" w:themeFill="background1" w:themeFillShade="F2"/>
            <w:vAlign w:val="center"/>
          </w:tcPr>
          <w:p w14:paraId="4B747E90"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4F284948"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679" w:type="pct"/>
            <w:shd w:val="clear" w:color="auto" w:fill="F2F2F2" w:themeFill="background1" w:themeFillShade="F2"/>
            <w:vAlign w:val="center"/>
          </w:tcPr>
          <w:p w14:paraId="5790295E"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25" w:type="pct"/>
            <w:shd w:val="clear" w:color="auto" w:fill="F2F2F2" w:themeFill="background1" w:themeFillShade="F2"/>
            <w:vAlign w:val="center"/>
          </w:tcPr>
          <w:p w14:paraId="508FEFA9"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1" w:type="pct"/>
            <w:shd w:val="clear" w:color="auto" w:fill="F2F2F2" w:themeFill="background1" w:themeFillShade="F2"/>
            <w:vAlign w:val="center"/>
          </w:tcPr>
          <w:p w14:paraId="3CEA118B"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7AAFD197" w14:textId="77777777" w:rsidR="006A6FB6" w:rsidRDefault="006A6FB6" w:rsidP="006A6FB6">
            <w:pPr>
              <w:spacing w:line="280" w:lineRule="exact"/>
              <w:jc w:val="right"/>
            </w:pPr>
            <w:r w:rsidRPr="008804F0">
              <w:rPr>
                <w:rFonts w:eastAsia="Times New Roman"/>
                <w:color w:val="000000"/>
                <w:sz w:val="18"/>
                <w:szCs w:val="18"/>
                <w:lang w:eastAsia="en-GB"/>
              </w:rPr>
              <w:t> </w:t>
            </w:r>
          </w:p>
        </w:tc>
      </w:tr>
      <w:tr w:rsidR="006A6FB6" w14:paraId="5DCBA7DE" w14:textId="77777777" w:rsidTr="006A6FB6">
        <w:tc>
          <w:tcPr>
            <w:tcW w:w="877" w:type="pct"/>
            <w:shd w:val="clear" w:color="auto" w:fill="F2F2F2" w:themeFill="background1" w:themeFillShade="F2"/>
            <w:vAlign w:val="bottom"/>
          </w:tcPr>
          <w:p w14:paraId="523E7B9C"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Mean (SD)</w:t>
            </w:r>
          </w:p>
        </w:tc>
        <w:tc>
          <w:tcPr>
            <w:tcW w:w="614" w:type="pct"/>
            <w:shd w:val="clear" w:color="auto" w:fill="F2F2F2" w:themeFill="background1" w:themeFillShade="F2"/>
            <w:vAlign w:val="center"/>
          </w:tcPr>
          <w:p w14:paraId="4218F9EC" w14:textId="77777777" w:rsidR="006A6FB6" w:rsidRDefault="006A6FB6" w:rsidP="006A6FB6">
            <w:pPr>
              <w:spacing w:line="280" w:lineRule="exact"/>
              <w:jc w:val="right"/>
            </w:pPr>
            <w:r w:rsidRPr="008804F0">
              <w:rPr>
                <w:rFonts w:eastAsia="Times New Roman"/>
                <w:color w:val="000000"/>
                <w:sz w:val="18"/>
                <w:szCs w:val="18"/>
                <w:lang w:eastAsia="en-GB"/>
              </w:rPr>
              <w:t>77.11 (16.16)</w:t>
            </w:r>
          </w:p>
        </w:tc>
        <w:tc>
          <w:tcPr>
            <w:tcW w:w="702" w:type="pct"/>
            <w:shd w:val="clear" w:color="auto" w:fill="F2F2F2" w:themeFill="background1" w:themeFillShade="F2"/>
            <w:vAlign w:val="center"/>
          </w:tcPr>
          <w:p w14:paraId="53389BF0" w14:textId="77777777" w:rsidR="006A6FB6" w:rsidRDefault="006A6FB6" w:rsidP="006A6FB6">
            <w:pPr>
              <w:spacing w:line="280" w:lineRule="exact"/>
              <w:jc w:val="right"/>
            </w:pPr>
            <w:r w:rsidRPr="008804F0">
              <w:rPr>
                <w:rFonts w:eastAsia="Times New Roman"/>
                <w:color w:val="000000"/>
                <w:sz w:val="18"/>
                <w:szCs w:val="18"/>
                <w:lang w:eastAsia="en-GB"/>
              </w:rPr>
              <w:t>82.4 (16.8)</w:t>
            </w:r>
          </w:p>
        </w:tc>
        <w:tc>
          <w:tcPr>
            <w:tcW w:w="679" w:type="pct"/>
            <w:shd w:val="clear" w:color="auto" w:fill="F2F2F2" w:themeFill="background1" w:themeFillShade="F2"/>
            <w:vAlign w:val="center"/>
          </w:tcPr>
          <w:p w14:paraId="3DC331C9" w14:textId="77777777" w:rsidR="006A6FB6" w:rsidRDefault="006A6FB6" w:rsidP="006A6FB6">
            <w:pPr>
              <w:spacing w:line="280" w:lineRule="exact"/>
              <w:jc w:val="right"/>
            </w:pPr>
            <w:r w:rsidRPr="008804F0">
              <w:rPr>
                <w:rFonts w:eastAsia="Times New Roman"/>
                <w:color w:val="000000"/>
                <w:sz w:val="18"/>
                <w:szCs w:val="18"/>
                <w:lang w:eastAsia="en-GB"/>
              </w:rPr>
              <w:t>81.94 (15.91)</w:t>
            </w:r>
          </w:p>
        </w:tc>
        <w:tc>
          <w:tcPr>
            <w:tcW w:w="725" w:type="pct"/>
            <w:shd w:val="clear" w:color="auto" w:fill="F2F2F2" w:themeFill="background1" w:themeFillShade="F2"/>
            <w:vAlign w:val="center"/>
          </w:tcPr>
          <w:p w14:paraId="0459BF92" w14:textId="77777777" w:rsidR="006A6FB6" w:rsidRDefault="006A6FB6" w:rsidP="006A6FB6">
            <w:pPr>
              <w:spacing w:line="280" w:lineRule="exact"/>
              <w:jc w:val="right"/>
            </w:pPr>
            <w:r w:rsidRPr="008804F0">
              <w:rPr>
                <w:rFonts w:eastAsia="Times New Roman"/>
                <w:color w:val="000000"/>
                <w:sz w:val="18"/>
                <w:szCs w:val="18"/>
                <w:lang w:eastAsia="en-GB"/>
              </w:rPr>
              <w:t>84.24 (14.31)</w:t>
            </w:r>
          </w:p>
        </w:tc>
        <w:tc>
          <w:tcPr>
            <w:tcW w:w="701" w:type="pct"/>
            <w:shd w:val="clear" w:color="auto" w:fill="F2F2F2" w:themeFill="background1" w:themeFillShade="F2"/>
            <w:vAlign w:val="center"/>
          </w:tcPr>
          <w:p w14:paraId="0216E576" w14:textId="77777777" w:rsidR="006A6FB6" w:rsidRDefault="006A6FB6" w:rsidP="006A6FB6">
            <w:pPr>
              <w:spacing w:line="280" w:lineRule="exact"/>
              <w:jc w:val="right"/>
            </w:pPr>
            <w:r w:rsidRPr="008804F0">
              <w:rPr>
                <w:rFonts w:eastAsia="Times New Roman"/>
                <w:color w:val="000000"/>
                <w:sz w:val="18"/>
                <w:szCs w:val="18"/>
                <w:lang w:eastAsia="en-GB"/>
              </w:rPr>
              <w:t>78.49 (20.58)</w:t>
            </w:r>
          </w:p>
        </w:tc>
        <w:tc>
          <w:tcPr>
            <w:tcW w:w="702" w:type="pct"/>
            <w:shd w:val="clear" w:color="auto" w:fill="F2F2F2" w:themeFill="background1" w:themeFillShade="F2"/>
            <w:vAlign w:val="center"/>
          </w:tcPr>
          <w:p w14:paraId="436D93CB" w14:textId="77777777" w:rsidR="006A6FB6" w:rsidRDefault="006A6FB6" w:rsidP="006A6FB6">
            <w:pPr>
              <w:spacing w:line="280" w:lineRule="exact"/>
              <w:jc w:val="right"/>
            </w:pPr>
            <w:r w:rsidRPr="008804F0">
              <w:rPr>
                <w:rFonts w:eastAsia="Times New Roman"/>
                <w:color w:val="000000"/>
                <w:sz w:val="18"/>
                <w:szCs w:val="18"/>
                <w:lang w:eastAsia="en-GB"/>
              </w:rPr>
              <w:t>80.85 (17.72)</w:t>
            </w:r>
          </w:p>
        </w:tc>
      </w:tr>
      <w:tr w:rsidR="006A6FB6" w14:paraId="28A61BE6" w14:textId="77777777" w:rsidTr="006A6FB6">
        <w:tc>
          <w:tcPr>
            <w:tcW w:w="877" w:type="pct"/>
            <w:shd w:val="clear" w:color="auto" w:fill="F2F2F2" w:themeFill="background1" w:themeFillShade="F2"/>
            <w:vAlign w:val="bottom"/>
          </w:tcPr>
          <w:p w14:paraId="68F3C750"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Median (IQR)</w:t>
            </w:r>
          </w:p>
        </w:tc>
        <w:tc>
          <w:tcPr>
            <w:tcW w:w="614" w:type="pct"/>
            <w:shd w:val="clear" w:color="auto" w:fill="F2F2F2" w:themeFill="background1" w:themeFillShade="F2"/>
            <w:vAlign w:val="center"/>
          </w:tcPr>
          <w:p w14:paraId="6B3235D5" w14:textId="77777777" w:rsidR="006A6FB6" w:rsidRDefault="006A6FB6" w:rsidP="006A6FB6">
            <w:pPr>
              <w:spacing w:line="280" w:lineRule="exact"/>
              <w:jc w:val="right"/>
            </w:pPr>
            <w:r w:rsidRPr="008804F0">
              <w:rPr>
                <w:rFonts w:eastAsia="Times New Roman"/>
                <w:color w:val="000000"/>
                <w:sz w:val="18"/>
                <w:szCs w:val="18"/>
                <w:lang w:eastAsia="en-GB"/>
              </w:rPr>
              <w:t>79.35 (28.26)</w:t>
            </w:r>
          </w:p>
        </w:tc>
        <w:tc>
          <w:tcPr>
            <w:tcW w:w="702" w:type="pct"/>
            <w:shd w:val="clear" w:color="auto" w:fill="F2F2F2" w:themeFill="background1" w:themeFillShade="F2"/>
            <w:vAlign w:val="center"/>
          </w:tcPr>
          <w:p w14:paraId="00480A31" w14:textId="77777777" w:rsidR="006A6FB6" w:rsidRDefault="006A6FB6" w:rsidP="006A6FB6">
            <w:pPr>
              <w:spacing w:line="280" w:lineRule="exact"/>
              <w:jc w:val="right"/>
            </w:pPr>
            <w:r w:rsidRPr="008804F0">
              <w:rPr>
                <w:rFonts w:eastAsia="Times New Roman"/>
                <w:color w:val="000000"/>
                <w:sz w:val="18"/>
                <w:szCs w:val="18"/>
                <w:lang w:eastAsia="en-GB"/>
              </w:rPr>
              <w:t>89.13 (29.35)</w:t>
            </w:r>
          </w:p>
        </w:tc>
        <w:tc>
          <w:tcPr>
            <w:tcW w:w="679" w:type="pct"/>
            <w:shd w:val="clear" w:color="auto" w:fill="F2F2F2" w:themeFill="background1" w:themeFillShade="F2"/>
            <w:vAlign w:val="center"/>
          </w:tcPr>
          <w:p w14:paraId="66BBBD29" w14:textId="77777777" w:rsidR="006A6FB6" w:rsidRDefault="006A6FB6" w:rsidP="006A6FB6">
            <w:pPr>
              <w:spacing w:line="280" w:lineRule="exact"/>
              <w:jc w:val="right"/>
            </w:pPr>
            <w:r w:rsidRPr="008804F0">
              <w:rPr>
                <w:rFonts w:eastAsia="Times New Roman"/>
                <w:color w:val="000000"/>
                <w:sz w:val="18"/>
                <w:szCs w:val="18"/>
                <w:lang w:eastAsia="en-GB"/>
              </w:rPr>
              <w:t>87.5 (20.65)</w:t>
            </w:r>
          </w:p>
        </w:tc>
        <w:tc>
          <w:tcPr>
            <w:tcW w:w="725" w:type="pct"/>
            <w:shd w:val="clear" w:color="auto" w:fill="F2F2F2" w:themeFill="background1" w:themeFillShade="F2"/>
            <w:vAlign w:val="center"/>
          </w:tcPr>
          <w:p w14:paraId="4B54B30C" w14:textId="77777777" w:rsidR="006A6FB6" w:rsidRDefault="006A6FB6" w:rsidP="006A6FB6">
            <w:pPr>
              <w:spacing w:line="280" w:lineRule="exact"/>
              <w:jc w:val="right"/>
            </w:pPr>
            <w:r w:rsidRPr="008804F0">
              <w:rPr>
                <w:rFonts w:eastAsia="Times New Roman"/>
                <w:color w:val="000000"/>
                <w:sz w:val="18"/>
                <w:szCs w:val="18"/>
                <w:lang w:eastAsia="en-GB"/>
              </w:rPr>
              <w:t>88.04 (18.48)</w:t>
            </w:r>
          </w:p>
        </w:tc>
        <w:tc>
          <w:tcPr>
            <w:tcW w:w="701" w:type="pct"/>
            <w:shd w:val="clear" w:color="auto" w:fill="F2F2F2" w:themeFill="background1" w:themeFillShade="F2"/>
            <w:vAlign w:val="center"/>
          </w:tcPr>
          <w:p w14:paraId="0B65C3D5" w14:textId="77777777" w:rsidR="006A6FB6" w:rsidRDefault="006A6FB6" w:rsidP="006A6FB6">
            <w:pPr>
              <w:spacing w:line="280" w:lineRule="exact"/>
              <w:jc w:val="right"/>
            </w:pPr>
            <w:r w:rsidRPr="008804F0">
              <w:rPr>
                <w:rFonts w:eastAsia="Times New Roman"/>
                <w:color w:val="000000"/>
                <w:sz w:val="18"/>
                <w:szCs w:val="18"/>
                <w:lang w:eastAsia="en-GB"/>
              </w:rPr>
              <w:t>82.61 (30.43)</w:t>
            </w:r>
          </w:p>
        </w:tc>
        <w:tc>
          <w:tcPr>
            <w:tcW w:w="702" w:type="pct"/>
            <w:shd w:val="clear" w:color="auto" w:fill="F2F2F2" w:themeFill="background1" w:themeFillShade="F2"/>
            <w:vAlign w:val="center"/>
          </w:tcPr>
          <w:p w14:paraId="5A166824" w14:textId="77777777" w:rsidR="006A6FB6" w:rsidRDefault="006A6FB6" w:rsidP="006A6FB6">
            <w:pPr>
              <w:spacing w:line="280" w:lineRule="exact"/>
              <w:jc w:val="right"/>
            </w:pPr>
            <w:r w:rsidRPr="008804F0">
              <w:rPr>
                <w:rFonts w:eastAsia="Times New Roman"/>
                <w:color w:val="000000"/>
                <w:sz w:val="18"/>
                <w:szCs w:val="18"/>
                <w:lang w:eastAsia="en-GB"/>
              </w:rPr>
              <w:t>82.61 (29.35)</w:t>
            </w:r>
          </w:p>
        </w:tc>
      </w:tr>
      <w:tr w:rsidR="006A6FB6" w14:paraId="169C9D7C" w14:textId="77777777" w:rsidTr="006A6FB6">
        <w:tc>
          <w:tcPr>
            <w:tcW w:w="877" w:type="pct"/>
            <w:shd w:val="clear" w:color="auto" w:fill="F2F2F2" w:themeFill="background1" w:themeFillShade="F2"/>
            <w:vAlign w:val="bottom"/>
          </w:tcPr>
          <w:p w14:paraId="078912D6"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Range</w:t>
            </w:r>
          </w:p>
        </w:tc>
        <w:tc>
          <w:tcPr>
            <w:tcW w:w="614" w:type="pct"/>
            <w:shd w:val="clear" w:color="auto" w:fill="F2F2F2" w:themeFill="background1" w:themeFillShade="F2"/>
            <w:vAlign w:val="center"/>
          </w:tcPr>
          <w:p w14:paraId="30A44BC6" w14:textId="77777777" w:rsidR="006A6FB6" w:rsidRDefault="006A6FB6" w:rsidP="006A6FB6">
            <w:pPr>
              <w:spacing w:line="280" w:lineRule="exact"/>
              <w:jc w:val="right"/>
            </w:pPr>
            <w:r w:rsidRPr="008804F0">
              <w:rPr>
                <w:rFonts w:eastAsia="Times New Roman"/>
                <w:color w:val="000000"/>
                <w:sz w:val="18"/>
                <w:szCs w:val="18"/>
                <w:lang w:eastAsia="en-GB"/>
              </w:rPr>
              <w:t>40.22, 100</w:t>
            </w:r>
            <w:r>
              <w:rPr>
                <w:rFonts w:eastAsia="Times New Roman"/>
                <w:color w:val="000000"/>
                <w:sz w:val="18"/>
                <w:szCs w:val="18"/>
                <w:lang w:eastAsia="en-GB"/>
              </w:rPr>
              <w:t>.00</w:t>
            </w:r>
          </w:p>
        </w:tc>
        <w:tc>
          <w:tcPr>
            <w:tcW w:w="702" w:type="pct"/>
            <w:shd w:val="clear" w:color="auto" w:fill="F2F2F2" w:themeFill="background1" w:themeFillShade="F2"/>
            <w:vAlign w:val="center"/>
          </w:tcPr>
          <w:p w14:paraId="29FBAEF7" w14:textId="77777777" w:rsidR="006A6FB6" w:rsidRDefault="006A6FB6" w:rsidP="006A6FB6">
            <w:pPr>
              <w:spacing w:line="280" w:lineRule="exact"/>
              <w:jc w:val="right"/>
            </w:pPr>
            <w:r w:rsidRPr="008804F0">
              <w:rPr>
                <w:rFonts w:eastAsia="Times New Roman"/>
                <w:color w:val="000000"/>
                <w:sz w:val="18"/>
                <w:szCs w:val="18"/>
                <w:lang w:eastAsia="en-GB"/>
              </w:rPr>
              <w:t>45.65, 100</w:t>
            </w:r>
            <w:r>
              <w:rPr>
                <w:rFonts w:eastAsia="Times New Roman"/>
                <w:color w:val="000000"/>
                <w:sz w:val="18"/>
                <w:szCs w:val="18"/>
                <w:lang w:eastAsia="en-GB"/>
              </w:rPr>
              <w:t>.00</w:t>
            </w:r>
          </w:p>
        </w:tc>
        <w:tc>
          <w:tcPr>
            <w:tcW w:w="679" w:type="pct"/>
            <w:shd w:val="clear" w:color="auto" w:fill="F2F2F2" w:themeFill="background1" w:themeFillShade="F2"/>
            <w:vAlign w:val="center"/>
          </w:tcPr>
          <w:p w14:paraId="377410DF" w14:textId="77777777" w:rsidR="006A6FB6" w:rsidRDefault="006A6FB6" w:rsidP="006A6FB6">
            <w:pPr>
              <w:spacing w:line="280" w:lineRule="exact"/>
              <w:jc w:val="right"/>
            </w:pPr>
            <w:r w:rsidRPr="008804F0">
              <w:rPr>
                <w:rFonts w:eastAsia="Times New Roman"/>
                <w:color w:val="000000"/>
                <w:sz w:val="18"/>
                <w:szCs w:val="18"/>
                <w:lang w:eastAsia="en-GB"/>
              </w:rPr>
              <w:t>41.3, 100</w:t>
            </w:r>
            <w:r>
              <w:rPr>
                <w:rFonts w:eastAsia="Times New Roman"/>
                <w:color w:val="000000"/>
                <w:sz w:val="18"/>
                <w:szCs w:val="18"/>
                <w:lang w:eastAsia="en-GB"/>
              </w:rPr>
              <w:t>.00</w:t>
            </w:r>
          </w:p>
        </w:tc>
        <w:tc>
          <w:tcPr>
            <w:tcW w:w="725" w:type="pct"/>
            <w:shd w:val="clear" w:color="auto" w:fill="F2F2F2" w:themeFill="background1" w:themeFillShade="F2"/>
            <w:vAlign w:val="center"/>
          </w:tcPr>
          <w:p w14:paraId="7AB81E5D" w14:textId="77777777" w:rsidR="006A6FB6" w:rsidRDefault="006A6FB6" w:rsidP="006A6FB6">
            <w:pPr>
              <w:spacing w:line="280" w:lineRule="exact"/>
              <w:jc w:val="right"/>
            </w:pPr>
            <w:r w:rsidRPr="008804F0">
              <w:rPr>
                <w:rFonts w:eastAsia="Times New Roman"/>
                <w:color w:val="000000"/>
                <w:sz w:val="18"/>
                <w:szCs w:val="18"/>
                <w:lang w:eastAsia="en-GB"/>
              </w:rPr>
              <w:t>43.48, 100</w:t>
            </w:r>
            <w:r>
              <w:rPr>
                <w:rFonts w:eastAsia="Times New Roman"/>
                <w:color w:val="000000"/>
                <w:sz w:val="18"/>
                <w:szCs w:val="18"/>
                <w:lang w:eastAsia="en-GB"/>
              </w:rPr>
              <w:t>.00</w:t>
            </w:r>
          </w:p>
        </w:tc>
        <w:tc>
          <w:tcPr>
            <w:tcW w:w="701" w:type="pct"/>
            <w:shd w:val="clear" w:color="auto" w:fill="F2F2F2" w:themeFill="background1" w:themeFillShade="F2"/>
            <w:vAlign w:val="center"/>
          </w:tcPr>
          <w:p w14:paraId="0471D072" w14:textId="77777777" w:rsidR="006A6FB6" w:rsidRDefault="006A6FB6" w:rsidP="006A6FB6">
            <w:pPr>
              <w:spacing w:line="280" w:lineRule="exact"/>
              <w:jc w:val="right"/>
            </w:pPr>
            <w:r w:rsidRPr="008804F0">
              <w:rPr>
                <w:rFonts w:eastAsia="Times New Roman"/>
                <w:color w:val="000000"/>
                <w:sz w:val="18"/>
                <w:szCs w:val="18"/>
                <w:lang w:eastAsia="en-GB"/>
              </w:rPr>
              <w:t>31.52, 100</w:t>
            </w:r>
            <w:r>
              <w:rPr>
                <w:rFonts w:eastAsia="Times New Roman"/>
                <w:color w:val="000000"/>
                <w:sz w:val="18"/>
                <w:szCs w:val="18"/>
                <w:lang w:eastAsia="en-GB"/>
              </w:rPr>
              <w:t>.00</w:t>
            </w:r>
          </w:p>
        </w:tc>
        <w:tc>
          <w:tcPr>
            <w:tcW w:w="702" w:type="pct"/>
            <w:shd w:val="clear" w:color="auto" w:fill="F2F2F2" w:themeFill="background1" w:themeFillShade="F2"/>
            <w:vAlign w:val="center"/>
          </w:tcPr>
          <w:p w14:paraId="1D56663B" w14:textId="77777777" w:rsidR="006A6FB6" w:rsidRDefault="006A6FB6" w:rsidP="006A6FB6">
            <w:pPr>
              <w:spacing w:line="280" w:lineRule="exact"/>
              <w:jc w:val="right"/>
            </w:pPr>
            <w:r w:rsidRPr="008804F0">
              <w:rPr>
                <w:rFonts w:eastAsia="Times New Roman"/>
                <w:color w:val="000000"/>
                <w:sz w:val="18"/>
                <w:szCs w:val="18"/>
                <w:lang w:eastAsia="en-GB"/>
              </w:rPr>
              <w:t>39.13, 100</w:t>
            </w:r>
            <w:r>
              <w:rPr>
                <w:rFonts w:eastAsia="Times New Roman"/>
                <w:color w:val="000000"/>
                <w:sz w:val="18"/>
                <w:szCs w:val="18"/>
                <w:lang w:eastAsia="en-GB"/>
              </w:rPr>
              <w:t>.00</w:t>
            </w:r>
          </w:p>
        </w:tc>
      </w:tr>
      <w:tr w:rsidR="006A6FB6" w14:paraId="75AF48A0" w14:textId="77777777" w:rsidTr="006A6FB6">
        <w:tc>
          <w:tcPr>
            <w:tcW w:w="877" w:type="pct"/>
            <w:shd w:val="clear" w:color="auto" w:fill="F2F2F2" w:themeFill="background1" w:themeFillShade="F2"/>
            <w:vAlign w:val="bottom"/>
          </w:tcPr>
          <w:p w14:paraId="11524C6E" w14:textId="77777777" w:rsidR="006A6FB6" w:rsidRDefault="006A6FB6" w:rsidP="006A6FB6">
            <w:pPr>
              <w:spacing w:line="280" w:lineRule="exact"/>
            </w:pPr>
            <w:r w:rsidRPr="00355303">
              <w:rPr>
                <w:rFonts w:eastAsia="Times New Roman"/>
                <w:color w:val="000000"/>
                <w:sz w:val="18"/>
                <w:szCs w:val="18"/>
                <w:lang w:eastAsia="en-GB"/>
              </w:rPr>
              <w:t> </w:t>
            </w:r>
          </w:p>
        </w:tc>
        <w:tc>
          <w:tcPr>
            <w:tcW w:w="614" w:type="pct"/>
            <w:shd w:val="clear" w:color="auto" w:fill="F2F2F2" w:themeFill="background1" w:themeFillShade="F2"/>
            <w:vAlign w:val="center"/>
          </w:tcPr>
          <w:p w14:paraId="1D4ADC26" w14:textId="77777777" w:rsidR="006A6FB6" w:rsidRDefault="006A6FB6" w:rsidP="006A6FB6">
            <w:pPr>
              <w:spacing w:line="280" w:lineRule="exac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5BEC5C85" w14:textId="77777777" w:rsidR="006A6FB6" w:rsidRDefault="006A6FB6" w:rsidP="006A6FB6">
            <w:pPr>
              <w:spacing w:line="280" w:lineRule="exact"/>
            </w:pPr>
            <w:r w:rsidRPr="008804F0">
              <w:rPr>
                <w:rFonts w:eastAsia="Times New Roman"/>
                <w:color w:val="000000"/>
                <w:sz w:val="18"/>
                <w:szCs w:val="18"/>
                <w:lang w:eastAsia="en-GB"/>
              </w:rPr>
              <w:t> </w:t>
            </w:r>
          </w:p>
        </w:tc>
        <w:tc>
          <w:tcPr>
            <w:tcW w:w="679" w:type="pct"/>
            <w:shd w:val="clear" w:color="auto" w:fill="F2F2F2" w:themeFill="background1" w:themeFillShade="F2"/>
            <w:vAlign w:val="center"/>
          </w:tcPr>
          <w:p w14:paraId="15A6356F" w14:textId="77777777" w:rsidR="006A6FB6" w:rsidRDefault="006A6FB6" w:rsidP="006A6FB6">
            <w:pPr>
              <w:spacing w:line="280" w:lineRule="exact"/>
            </w:pPr>
            <w:r w:rsidRPr="008804F0">
              <w:rPr>
                <w:rFonts w:eastAsia="Times New Roman"/>
                <w:color w:val="000000"/>
                <w:sz w:val="18"/>
                <w:szCs w:val="18"/>
                <w:lang w:eastAsia="en-GB"/>
              </w:rPr>
              <w:t> </w:t>
            </w:r>
          </w:p>
        </w:tc>
        <w:tc>
          <w:tcPr>
            <w:tcW w:w="725" w:type="pct"/>
            <w:shd w:val="clear" w:color="auto" w:fill="F2F2F2" w:themeFill="background1" w:themeFillShade="F2"/>
            <w:vAlign w:val="center"/>
          </w:tcPr>
          <w:p w14:paraId="245C9202" w14:textId="77777777" w:rsidR="006A6FB6" w:rsidRDefault="006A6FB6" w:rsidP="006A6FB6">
            <w:pPr>
              <w:spacing w:line="280" w:lineRule="exact"/>
            </w:pPr>
            <w:r w:rsidRPr="008804F0">
              <w:rPr>
                <w:rFonts w:eastAsia="Times New Roman"/>
                <w:color w:val="000000"/>
                <w:sz w:val="18"/>
                <w:szCs w:val="18"/>
                <w:lang w:eastAsia="en-GB"/>
              </w:rPr>
              <w:t> </w:t>
            </w:r>
          </w:p>
        </w:tc>
        <w:tc>
          <w:tcPr>
            <w:tcW w:w="701" w:type="pct"/>
            <w:shd w:val="clear" w:color="auto" w:fill="F2F2F2" w:themeFill="background1" w:themeFillShade="F2"/>
            <w:vAlign w:val="center"/>
          </w:tcPr>
          <w:p w14:paraId="0E5A106D" w14:textId="77777777" w:rsidR="006A6FB6" w:rsidRDefault="006A6FB6" w:rsidP="006A6FB6">
            <w:pPr>
              <w:spacing w:line="280" w:lineRule="exac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3034D3D4" w14:textId="77777777" w:rsidR="006A6FB6" w:rsidRDefault="006A6FB6" w:rsidP="006A6FB6">
            <w:pPr>
              <w:spacing w:line="280" w:lineRule="exact"/>
            </w:pPr>
            <w:r w:rsidRPr="008804F0">
              <w:rPr>
                <w:rFonts w:eastAsia="Times New Roman"/>
                <w:color w:val="000000"/>
                <w:sz w:val="18"/>
                <w:szCs w:val="18"/>
                <w:lang w:eastAsia="en-GB"/>
              </w:rPr>
              <w:t> </w:t>
            </w:r>
          </w:p>
        </w:tc>
      </w:tr>
      <w:tr w:rsidR="006A6FB6" w14:paraId="22DB71D5" w14:textId="77777777" w:rsidTr="006A6FB6">
        <w:tc>
          <w:tcPr>
            <w:tcW w:w="877" w:type="pct"/>
            <w:tcBorders>
              <w:bottom w:val="single" w:sz="4" w:space="0" w:color="auto"/>
            </w:tcBorders>
            <w:shd w:val="clear" w:color="auto" w:fill="F2F2F2" w:themeFill="background1" w:themeFillShade="F2"/>
            <w:vAlign w:val="bottom"/>
          </w:tcPr>
          <w:p w14:paraId="60820F72" w14:textId="77777777" w:rsidR="006A6FB6" w:rsidRDefault="006A6FB6" w:rsidP="006A6FB6">
            <w:pPr>
              <w:spacing w:line="280" w:lineRule="exact"/>
            </w:pPr>
            <w:r w:rsidRPr="00355303">
              <w:rPr>
                <w:rFonts w:eastAsia="Times New Roman"/>
                <w:b/>
                <w:bCs/>
                <w:color w:val="000000"/>
                <w:sz w:val="18"/>
                <w:szCs w:val="18"/>
                <w:lang w:eastAsia="en-GB"/>
              </w:rPr>
              <w:t>Validation sample</w:t>
            </w:r>
          </w:p>
        </w:tc>
        <w:tc>
          <w:tcPr>
            <w:tcW w:w="614" w:type="pct"/>
            <w:tcBorders>
              <w:bottom w:val="single" w:sz="4" w:space="0" w:color="auto"/>
            </w:tcBorders>
            <w:shd w:val="clear" w:color="auto" w:fill="F2F2F2" w:themeFill="background1" w:themeFillShade="F2"/>
            <w:vAlign w:val="center"/>
          </w:tcPr>
          <w:p w14:paraId="789762D9" w14:textId="77777777" w:rsidR="006A6FB6" w:rsidRDefault="006A6FB6" w:rsidP="006A6FB6">
            <w:pPr>
              <w:spacing w:line="280" w:lineRule="exact"/>
              <w:jc w:val="right"/>
            </w:pPr>
            <w:r w:rsidRPr="008804F0">
              <w:rPr>
                <w:rFonts w:eastAsia="Times New Roman"/>
                <w:color w:val="000000"/>
                <w:sz w:val="18"/>
                <w:szCs w:val="18"/>
                <w:lang w:eastAsia="en-GB"/>
              </w:rPr>
              <w:t>n= 36</w:t>
            </w:r>
          </w:p>
        </w:tc>
        <w:tc>
          <w:tcPr>
            <w:tcW w:w="702" w:type="pct"/>
            <w:tcBorders>
              <w:bottom w:val="single" w:sz="4" w:space="0" w:color="auto"/>
            </w:tcBorders>
            <w:shd w:val="clear" w:color="auto" w:fill="F2F2F2" w:themeFill="background1" w:themeFillShade="F2"/>
            <w:vAlign w:val="center"/>
          </w:tcPr>
          <w:p w14:paraId="62B82840" w14:textId="77777777" w:rsidR="006A6FB6" w:rsidRDefault="006A6FB6" w:rsidP="006A6FB6">
            <w:pPr>
              <w:spacing w:line="280" w:lineRule="exact"/>
              <w:jc w:val="right"/>
            </w:pPr>
            <w:r w:rsidRPr="008804F0">
              <w:rPr>
                <w:rFonts w:eastAsia="Times New Roman"/>
                <w:color w:val="000000"/>
                <w:sz w:val="18"/>
                <w:szCs w:val="18"/>
                <w:lang w:eastAsia="en-GB"/>
              </w:rPr>
              <w:t>n= 46</w:t>
            </w:r>
          </w:p>
        </w:tc>
        <w:tc>
          <w:tcPr>
            <w:tcW w:w="679" w:type="pct"/>
            <w:tcBorders>
              <w:bottom w:val="single" w:sz="4" w:space="0" w:color="auto"/>
            </w:tcBorders>
            <w:shd w:val="clear" w:color="auto" w:fill="F2F2F2" w:themeFill="background1" w:themeFillShade="F2"/>
            <w:vAlign w:val="center"/>
          </w:tcPr>
          <w:p w14:paraId="4DECFE09" w14:textId="77777777" w:rsidR="006A6FB6" w:rsidRDefault="006A6FB6" w:rsidP="006A6FB6">
            <w:pPr>
              <w:spacing w:line="280" w:lineRule="exact"/>
              <w:jc w:val="right"/>
            </w:pPr>
            <w:r w:rsidRPr="008804F0">
              <w:rPr>
                <w:rFonts w:eastAsia="Times New Roman"/>
                <w:color w:val="000000"/>
                <w:sz w:val="18"/>
                <w:szCs w:val="18"/>
                <w:lang w:eastAsia="en-GB"/>
              </w:rPr>
              <w:t>n= 50</w:t>
            </w:r>
          </w:p>
        </w:tc>
        <w:tc>
          <w:tcPr>
            <w:tcW w:w="725" w:type="pct"/>
            <w:tcBorders>
              <w:bottom w:val="single" w:sz="4" w:space="0" w:color="auto"/>
            </w:tcBorders>
            <w:shd w:val="clear" w:color="auto" w:fill="F2F2F2" w:themeFill="background1" w:themeFillShade="F2"/>
            <w:vAlign w:val="center"/>
          </w:tcPr>
          <w:p w14:paraId="17DA707F" w14:textId="77777777" w:rsidR="006A6FB6" w:rsidRDefault="006A6FB6" w:rsidP="006A6FB6">
            <w:pPr>
              <w:spacing w:line="280" w:lineRule="exact"/>
              <w:jc w:val="right"/>
            </w:pPr>
            <w:r w:rsidRPr="008804F0">
              <w:rPr>
                <w:rFonts w:eastAsia="Times New Roman"/>
                <w:color w:val="000000"/>
                <w:sz w:val="18"/>
                <w:szCs w:val="18"/>
                <w:lang w:eastAsia="en-GB"/>
              </w:rPr>
              <w:t>n= 70</w:t>
            </w:r>
          </w:p>
        </w:tc>
        <w:tc>
          <w:tcPr>
            <w:tcW w:w="701" w:type="pct"/>
            <w:tcBorders>
              <w:bottom w:val="single" w:sz="4" w:space="0" w:color="auto"/>
            </w:tcBorders>
            <w:shd w:val="clear" w:color="auto" w:fill="F2F2F2" w:themeFill="background1" w:themeFillShade="F2"/>
            <w:vAlign w:val="center"/>
          </w:tcPr>
          <w:p w14:paraId="321A67B8" w14:textId="77777777" w:rsidR="006A6FB6" w:rsidRDefault="006A6FB6" w:rsidP="006A6FB6">
            <w:pPr>
              <w:spacing w:line="280" w:lineRule="exact"/>
              <w:jc w:val="right"/>
            </w:pPr>
            <w:r w:rsidRPr="008804F0">
              <w:rPr>
                <w:rFonts w:eastAsia="Times New Roman"/>
                <w:color w:val="000000"/>
                <w:sz w:val="18"/>
                <w:szCs w:val="18"/>
                <w:lang w:eastAsia="en-GB"/>
              </w:rPr>
              <w:t>n= 56</w:t>
            </w:r>
          </w:p>
        </w:tc>
        <w:tc>
          <w:tcPr>
            <w:tcW w:w="702" w:type="pct"/>
            <w:tcBorders>
              <w:bottom w:val="single" w:sz="4" w:space="0" w:color="auto"/>
            </w:tcBorders>
            <w:shd w:val="clear" w:color="auto" w:fill="F2F2F2" w:themeFill="background1" w:themeFillShade="F2"/>
            <w:vAlign w:val="center"/>
          </w:tcPr>
          <w:p w14:paraId="3A09BE6F" w14:textId="77777777" w:rsidR="006A6FB6" w:rsidRDefault="006A6FB6" w:rsidP="006A6FB6">
            <w:pPr>
              <w:spacing w:line="280" w:lineRule="exact"/>
              <w:jc w:val="right"/>
            </w:pPr>
            <w:r w:rsidRPr="008804F0">
              <w:rPr>
                <w:rFonts w:eastAsia="Times New Roman"/>
                <w:color w:val="000000"/>
                <w:sz w:val="18"/>
                <w:szCs w:val="18"/>
                <w:lang w:eastAsia="en-GB"/>
              </w:rPr>
              <w:t>n= 26</w:t>
            </w:r>
          </w:p>
        </w:tc>
      </w:tr>
      <w:tr w:rsidR="006A6FB6" w14:paraId="2AB5B11E" w14:textId="77777777" w:rsidTr="006A6FB6">
        <w:tc>
          <w:tcPr>
            <w:tcW w:w="877" w:type="pct"/>
            <w:tcBorders>
              <w:top w:val="single" w:sz="4" w:space="0" w:color="auto"/>
            </w:tcBorders>
            <w:shd w:val="clear" w:color="auto" w:fill="F2F2F2" w:themeFill="background1" w:themeFillShade="F2"/>
            <w:vAlign w:val="bottom"/>
          </w:tcPr>
          <w:p w14:paraId="57AAB31F" w14:textId="77777777" w:rsidR="006A6FB6" w:rsidRDefault="006A6FB6" w:rsidP="006A6FB6">
            <w:pPr>
              <w:spacing w:line="280" w:lineRule="exact"/>
            </w:pPr>
            <w:r w:rsidRPr="00355303">
              <w:rPr>
                <w:rFonts w:eastAsia="Times New Roman"/>
                <w:b/>
                <w:bCs/>
                <w:color w:val="000000"/>
                <w:sz w:val="18"/>
                <w:szCs w:val="18"/>
                <w:lang w:eastAsia="en-GB"/>
              </w:rPr>
              <w:t>Gender</w:t>
            </w:r>
          </w:p>
        </w:tc>
        <w:tc>
          <w:tcPr>
            <w:tcW w:w="614" w:type="pct"/>
            <w:tcBorders>
              <w:top w:val="single" w:sz="4" w:space="0" w:color="auto"/>
            </w:tcBorders>
            <w:shd w:val="clear" w:color="auto" w:fill="F2F2F2" w:themeFill="background1" w:themeFillShade="F2"/>
            <w:vAlign w:val="center"/>
          </w:tcPr>
          <w:p w14:paraId="4AA695AF"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tcBorders>
              <w:top w:val="single" w:sz="4" w:space="0" w:color="auto"/>
            </w:tcBorders>
            <w:shd w:val="clear" w:color="auto" w:fill="F2F2F2" w:themeFill="background1" w:themeFillShade="F2"/>
            <w:vAlign w:val="center"/>
          </w:tcPr>
          <w:p w14:paraId="73C94A37"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679" w:type="pct"/>
            <w:tcBorders>
              <w:top w:val="single" w:sz="4" w:space="0" w:color="auto"/>
            </w:tcBorders>
            <w:shd w:val="clear" w:color="auto" w:fill="F2F2F2" w:themeFill="background1" w:themeFillShade="F2"/>
            <w:vAlign w:val="center"/>
          </w:tcPr>
          <w:p w14:paraId="0C31128D"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25" w:type="pct"/>
            <w:tcBorders>
              <w:top w:val="single" w:sz="4" w:space="0" w:color="auto"/>
            </w:tcBorders>
            <w:shd w:val="clear" w:color="auto" w:fill="F2F2F2" w:themeFill="background1" w:themeFillShade="F2"/>
            <w:vAlign w:val="center"/>
          </w:tcPr>
          <w:p w14:paraId="51A1545C"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1" w:type="pct"/>
            <w:tcBorders>
              <w:top w:val="single" w:sz="4" w:space="0" w:color="auto"/>
            </w:tcBorders>
            <w:shd w:val="clear" w:color="auto" w:fill="F2F2F2" w:themeFill="background1" w:themeFillShade="F2"/>
            <w:vAlign w:val="center"/>
          </w:tcPr>
          <w:p w14:paraId="352E1C8C"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tcBorders>
              <w:top w:val="single" w:sz="4" w:space="0" w:color="auto"/>
            </w:tcBorders>
            <w:shd w:val="clear" w:color="auto" w:fill="F2F2F2" w:themeFill="background1" w:themeFillShade="F2"/>
            <w:vAlign w:val="center"/>
          </w:tcPr>
          <w:p w14:paraId="4509F981" w14:textId="77777777" w:rsidR="006A6FB6" w:rsidRDefault="006A6FB6" w:rsidP="006A6FB6">
            <w:pPr>
              <w:spacing w:line="280" w:lineRule="exact"/>
              <w:jc w:val="right"/>
            </w:pPr>
            <w:r w:rsidRPr="008804F0">
              <w:rPr>
                <w:rFonts w:eastAsia="Times New Roman"/>
                <w:color w:val="000000"/>
                <w:sz w:val="18"/>
                <w:szCs w:val="18"/>
                <w:lang w:eastAsia="en-GB"/>
              </w:rPr>
              <w:t> </w:t>
            </w:r>
          </w:p>
        </w:tc>
      </w:tr>
      <w:tr w:rsidR="006A6FB6" w14:paraId="4AEF4683" w14:textId="77777777" w:rsidTr="006A6FB6">
        <w:tc>
          <w:tcPr>
            <w:tcW w:w="877" w:type="pct"/>
            <w:shd w:val="clear" w:color="auto" w:fill="F2F2F2" w:themeFill="background1" w:themeFillShade="F2"/>
            <w:vAlign w:val="bottom"/>
          </w:tcPr>
          <w:p w14:paraId="17588AEA"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Male, n (%)</w:t>
            </w:r>
          </w:p>
        </w:tc>
        <w:tc>
          <w:tcPr>
            <w:tcW w:w="614" w:type="pct"/>
            <w:shd w:val="clear" w:color="auto" w:fill="F2F2F2" w:themeFill="background1" w:themeFillShade="F2"/>
            <w:vAlign w:val="center"/>
          </w:tcPr>
          <w:p w14:paraId="3AD603A2" w14:textId="77777777" w:rsidR="006A6FB6" w:rsidRDefault="006A6FB6" w:rsidP="006A6FB6">
            <w:pPr>
              <w:spacing w:line="280" w:lineRule="exact"/>
              <w:jc w:val="right"/>
            </w:pPr>
            <w:r w:rsidRPr="008804F0">
              <w:rPr>
                <w:rFonts w:eastAsia="Times New Roman"/>
                <w:color w:val="000000"/>
                <w:sz w:val="18"/>
                <w:szCs w:val="18"/>
                <w:lang w:eastAsia="en-GB"/>
              </w:rPr>
              <w:t>25 (69.4)</w:t>
            </w:r>
          </w:p>
        </w:tc>
        <w:tc>
          <w:tcPr>
            <w:tcW w:w="702" w:type="pct"/>
            <w:shd w:val="clear" w:color="auto" w:fill="F2F2F2" w:themeFill="background1" w:themeFillShade="F2"/>
            <w:vAlign w:val="center"/>
          </w:tcPr>
          <w:p w14:paraId="3F562269" w14:textId="77777777" w:rsidR="006A6FB6" w:rsidRDefault="006A6FB6" w:rsidP="006A6FB6">
            <w:pPr>
              <w:spacing w:line="280" w:lineRule="exact"/>
              <w:jc w:val="right"/>
            </w:pPr>
            <w:r w:rsidRPr="008804F0">
              <w:rPr>
                <w:rFonts w:eastAsia="Times New Roman"/>
                <w:color w:val="000000"/>
                <w:sz w:val="18"/>
                <w:szCs w:val="18"/>
                <w:lang w:eastAsia="en-GB"/>
              </w:rPr>
              <w:t>30 (65.2)</w:t>
            </w:r>
          </w:p>
        </w:tc>
        <w:tc>
          <w:tcPr>
            <w:tcW w:w="679" w:type="pct"/>
            <w:shd w:val="clear" w:color="auto" w:fill="F2F2F2" w:themeFill="background1" w:themeFillShade="F2"/>
            <w:vAlign w:val="center"/>
          </w:tcPr>
          <w:p w14:paraId="6672F7B3" w14:textId="77777777" w:rsidR="006A6FB6" w:rsidRDefault="006A6FB6" w:rsidP="006A6FB6">
            <w:pPr>
              <w:spacing w:line="280" w:lineRule="exact"/>
              <w:jc w:val="right"/>
            </w:pPr>
            <w:r w:rsidRPr="008804F0">
              <w:rPr>
                <w:rFonts w:eastAsia="Times New Roman"/>
                <w:color w:val="000000"/>
                <w:sz w:val="18"/>
                <w:szCs w:val="18"/>
                <w:lang w:eastAsia="en-GB"/>
              </w:rPr>
              <w:t>32 (64.0)</w:t>
            </w:r>
          </w:p>
        </w:tc>
        <w:tc>
          <w:tcPr>
            <w:tcW w:w="725" w:type="pct"/>
            <w:shd w:val="clear" w:color="auto" w:fill="F2F2F2" w:themeFill="background1" w:themeFillShade="F2"/>
            <w:vAlign w:val="center"/>
          </w:tcPr>
          <w:p w14:paraId="63957AE5" w14:textId="77777777" w:rsidR="006A6FB6" w:rsidRDefault="006A6FB6" w:rsidP="006A6FB6">
            <w:pPr>
              <w:spacing w:line="280" w:lineRule="exact"/>
              <w:jc w:val="right"/>
            </w:pPr>
            <w:r w:rsidRPr="008804F0">
              <w:rPr>
                <w:rFonts w:eastAsia="Times New Roman"/>
                <w:color w:val="000000"/>
                <w:sz w:val="18"/>
                <w:szCs w:val="18"/>
                <w:lang w:eastAsia="en-GB"/>
              </w:rPr>
              <w:t>44 (62.9)</w:t>
            </w:r>
          </w:p>
        </w:tc>
        <w:tc>
          <w:tcPr>
            <w:tcW w:w="701" w:type="pct"/>
            <w:shd w:val="clear" w:color="auto" w:fill="F2F2F2" w:themeFill="background1" w:themeFillShade="F2"/>
            <w:vAlign w:val="center"/>
          </w:tcPr>
          <w:p w14:paraId="7898A078" w14:textId="77777777" w:rsidR="006A6FB6" w:rsidRDefault="006A6FB6" w:rsidP="006A6FB6">
            <w:pPr>
              <w:spacing w:line="280" w:lineRule="exact"/>
              <w:jc w:val="right"/>
            </w:pPr>
            <w:r w:rsidRPr="008804F0">
              <w:rPr>
                <w:rFonts w:eastAsia="Times New Roman"/>
                <w:color w:val="000000"/>
                <w:sz w:val="18"/>
                <w:szCs w:val="18"/>
                <w:lang w:eastAsia="en-GB"/>
              </w:rPr>
              <w:t>29 (51.8)</w:t>
            </w:r>
          </w:p>
        </w:tc>
        <w:tc>
          <w:tcPr>
            <w:tcW w:w="702" w:type="pct"/>
            <w:shd w:val="clear" w:color="auto" w:fill="F2F2F2" w:themeFill="background1" w:themeFillShade="F2"/>
            <w:vAlign w:val="center"/>
          </w:tcPr>
          <w:p w14:paraId="12511069" w14:textId="77777777" w:rsidR="006A6FB6" w:rsidRDefault="006A6FB6" w:rsidP="006A6FB6">
            <w:pPr>
              <w:spacing w:line="280" w:lineRule="exact"/>
              <w:jc w:val="right"/>
            </w:pPr>
            <w:r w:rsidRPr="008804F0">
              <w:rPr>
                <w:rFonts w:eastAsia="Times New Roman"/>
                <w:color w:val="000000"/>
                <w:sz w:val="18"/>
                <w:szCs w:val="18"/>
                <w:lang w:eastAsia="en-GB"/>
              </w:rPr>
              <w:t>15 (57.7)</w:t>
            </w:r>
          </w:p>
        </w:tc>
      </w:tr>
      <w:tr w:rsidR="006A6FB6" w14:paraId="057573D9" w14:textId="77777777" w:rsidTr="006A6FB6">
        <w:tc>
          <w:tcPr>
            <w:tcW w:w="877" w:type="pct"/>
            <w:shd w:val="clear" w:color="auto" w:fill="F2F2F2" w:themeFill="background1" w:themeFillShade="F2"/>
            <w:vAlign w:val="bottom"/>
          </w:tcPr>
          <w:p w14:paraId="5870FC89" w14:textId="77777777" w:rsidR="006A6FB6" w:rsidRDefault="006A6FB6" w:rsidP="006A6FB6">
            <w:pPr>
              <w:spacing w:line="280" w:lineRule="exact"/>
            </w:pPr>
            <w:r w:rsidRPr="00355303">
              <w:rPr>
                <w:rFonts w:eastAsia="Times New Roman"/>
                <w:b/>
                <w:bCs/>
                <w:color w:val="000000"/>
                <w:sz w:val="18"/>
                <w:szCs w:val="18"/>
                <w:lang w:eastAsia="en-GB"/>
              </w:rPr>
              <w:t>Age</w:t>
            </w:r>
          </w:p>
        </w:tc>
        <w:tc>
          <w:tcPr>
            <w:tcW w:w="614" w:type="pct"/>
            <w:shd w:val="clear" w:color="auto" w:fill="F2F2F2" w:themeFill="background1" w:themeFillShade="F2"/>
            <w:vAlign w:val="center"/>
          </w:tcPr>
          <w:p w14:paraId="0194F1A9"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4A07845C"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679" w:type="pct"/>
            <w:shd w:val="clear" w:color="auto" w:fill="F2F2F2" w:themeFill="background1" w:themeFillShade="F2"/>
            <w:vAlign w:val="center"/>
          </w:tcPr>
          <w:p w14:paraId="1D6D9E75"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25" w:type="pct"/>
            <w:shd w:val="clear" w:color="auto" w:fill="F2F2F2" w:themeFill="background1" w:themeFillShade="F2"/>
            <w:vAlign w:val="center"/>
          </w:tcPr>
          <w:p w14:paraId="1164B610"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1" w:type="pct"/>
            <w:shd w:val="clear" w:color="auto" w:fill="F2F2F2" w:themeFill="background1" w:themeFillShade="F2"/>
            <w:vAlign w:val="center"/>
          </w:tcPr>
          <w:p w14:paraId="5FA94932"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7C69E4A4" w14:textId="77777777" w:rsidR="006A6FB6" w:rsidRDefault="006A6FB6" w:rsidP="006A6FB6">
            <w:pPr>
              <w:spacing w:line="280" w:lineRule="exact"/>
              <w:jc w:val="right"/>
            </w:pPr>
            <w:r w:rsidRPr="008804F0">
              <w:rPr>
                <w:rFonts w:eastAsia="Times New Roman"/>
                <w:color w:val="000000"/>
                <w:sz w:val="18"/>
                <w:szCs w:val="18"/>
                <w:lang w:eastAsia="en-GB"/>
              </w:rPr>
              <w:t> </w:t>
            </w:r>
          </w:p>
        </w:tc>
      </w:tr>
      <w:tr w:rsidR="006A6FB6" w14:paraId="120A05E6" w14:textId="77777777" w:rsidTr="006A6FB6">
        <w:tc>
          <w:tcPr>
            <w:tcW w:w="877" w:type="pct"/>
            <w:shd w:val="clear" w:color="auto" w:fill="F2F2F2" w:themeFill="background1" w:themeFillShade="F2"/>
            <w:vAlign w:val="bottom"/>
          </w:tcPr>
          <w:p w14:paraId="05EA0083"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Mean (SD)</w:t>
            </w:r>
          </w:p>
        </w:tc>
        <w:tc>
          <w:tcPr>
            <w:tcW w:w="614" w:type="pct"/>
            <w:shd w:val="clear" w:color="auto" w:fill="F2F2F2" w:themeFill="background1" w:themeFillShade="F2"/>
            <w:vAlign w:val="center"/>
          </w:tcPr>
          <w:p w14:paraId="7D22494C" w14:textId="77777777" w:rsidR="006A6FB6" w:rsidRDefault="006A6FB6" w:rsidP="006A6FB6">
            <w:pPr>
              <w:spacing w:line="280" w:lineRule="exact"/>
              <w:jc w:val="right"/>
            </w:pPr>
            <w:r w:rsidRPr="008804F0">
              <w:rPr>
                <w:rFonts w:eastAsia="Times New Roman"/>
                <w:color w:val="000000"/>
                <w:sz w:val="18"/>
                <w:szCs w:val="18"/>
                <w:lang w:eastAsia="en-GB"/>
              </w:rPr>
              <w:t>6.9 (1.8)</w:t>
            </w:r>
          </w:p>
        </w:tc>
        <w:tc>
          <w:tcPr>
            <w:tcW w:w="702" w:type="pct"/>
            <w:shd w:val="clear" w:color="auto" w:fill="F2F2F2" w:themeFill="background1" w:themeFillShade="F2"/>
            <w:vAlign w:val="center"/>
          </w:tcPr>
          <w:p w14:paraId="2762F327" w14:textId="77777777" w:rsidR="006A6FB6" w:rsidRDefault="006A6FB6" w:rsidP="006A6FB6">
            <w:pPr>
              <w:spacing w:line="280" w:lineRule="exact"/>
              <w:jc w:val="right"/>
            </w:pPr>
            <w:r w:rsidRPr="008804F0">
              <w:rPr>
                <w:rFonts w:eastAsia="Times New Roman"/>
                <w:color w:val="000000"/>
                <w:sz w:val="18"/>
                <w:szCs w:val="18"/>
                <w:lang w:eastAsia="en-GB"/>
              </w:rPr>
              <w:t>7.1 (1.9)</w:t>
            </w:r>
          </w:p>
        </w:tc>
        <w:tc>
          <w:tcPr>
            <w:tcW w:w="679" w:type="pct"/>
            <w:shd w:val="clear" w:color="auto" w:fill="F2F2F2" w:themeFill="background1" w:themeFillShade="F2"/>
            <w:vAlign w:val="center"/>
          </w:tcPr>
          <w:p w14:paraId="1A16F377" w14:textId="77777777" w:rsidR="006A6FB6" w:rsidRDefault="006A6FB6" w:rsidP="006A6FB6">
            <w:pPr>
              <w:spacing w:line="280" w:lineRule="exact"/>
              <w:jc w:val="right"/>
            </w:pPr>
            <w:r w:rsidRPr="008804F0">
              <w:rPr>
                <w:rFonts w:eastAsia="Times New Roman"/>
                <w:color w:val="000000"/>
                <w:sz w:val="18"/>
                <w:szCs w:val="18"/>
                <w:lang w:eastAsia="en-GB"/>
              </w:rPr>
              <w:t>7.3 (2</w:t>
            </w:r>
            <w:r>
              <w:rPr>
                <w:rFonts w:eastAsia="Times New Roman"/>
                <w:color w:val="000000"/>
                <w:sz w:val="18"/>
                <w:szCs w:val="18"/>
                <w:lang w:eastAsia="en-GB"/>
              </w:rPr>
              <w:t>.0</w:t>
            </w:r>
            <w:r w:rsidRPr="008804F0">
              <w:rPr>
                <w:rFonts w:eastAsia="Times New Roman"/>
                <w:color w:val="000000"/>
                <w:sz w:val="18"/>
                <w:szCs w:val="18"/>
                <w:lang w:eastAsia="en-GB"/>
              </w:rPr>
              <w:t>)</w:t>
            </w:r>
          </w:p>
        </w:tc>
        <w:tc>
          <w:tcPr>
            <w:tcW w:w="725" w:type="pct"/>
            <w:shd w:val="clear" w:color="auto" w:fill="F2F2F2" w:themeFill="background1" w:themeFillShade="F2"/>
            <w:vAlign w:val="center"/>
          </w:tcPr>
          <w:p w14:paraId="7D86DCF7" w14:textId="77777777" w:rsidR="006A6FB6" w:rsidRDefault="006A6FB6" w:rsidP="006A6FB6">
            <w:pPr>
              <w:spacing w:line="280" w:lineRule="exact"/>
              <w:jc w:val="right"/>
            </w:pPr>
            <w:r w:rsidRPr="008804F0">
              <w:rPr>
                <w:rFonts w:eastAsia="Times New Roman"/>
                <w:color w:val="000000"/>
                <w:sz w:val="18"/>
                <w:szCs w:val="18"/>
                <w:lang w:eastAsia="en-GB"/>
              </w:rPr>
              <w:t>7.6 (2.2)</w:t>
            </w:r>
          </w:p>
        </w:tc>
        <w:tc>
          <w:tcPr>
            <w:tcW w:w="701" w:type="pct"/>
            <w:shd w:val="clear" w:color="auto" w:fill="F2F2F2" w:themeFill="background1" w:themeFillShade="F2"/>
            <w:vAlign w:val="center"/>
          </w:tcPr>
          <w:p w14:paraId="39D7ED89" w14:textId="77777777" w:rsidR="006A6FB6" w:rsidRDefault="006A6FB6" w:rsidP="006A6FB6">
            <w:pPr>
              <w:spacing w:line="280" w:lineRule="exact"/>
              <w:jc w:val="right"/>
            </w:pPr>
            <w:r w:rsidRPr="008804F0">
              <w:rPr>
                <w:rFonts w:eastAsia="Times New Roman"/>
                <w:color w:val="000000"/>
                <w:sz w:val="18"/>
                <w:szCs w:val="18"/>
                <w:lang w:eastAsia="en-GB"/>
              </w:rPr>
              <w:t>7.4 (2.2)</w:t>
            </w:r>
          </w:p>
        </w:tc>
        <w:tc>
          <w:tcPr>
            <w:tcW w:w="702" w:type="pct"/>
            <w:shd w:val="clear" w:color="auto" w:fill="F2F2F2" w:themeFill="background1" w:themeFillShade="F2"/>
            <w:vAlign w:val="center"/>
          </w:tcPr>
          <w:p w14:paraId="2BC079B6" w14:textId="77777777" w:rsidR="006A6FB6" w:rsidRDefault="006A6FB6" w:rsidP="006A6FB6">
            <w:pPr>
              <w:spacing w:line="280" w:lineRule="exact"/>
              <w:jc w:val="right"/>
            </w:pPr>
            <w:r w:rsidRPr="008804F0">
              <w:rPr>
                <w:rFonts w:eastAsia="Times New Roman"/>
                <w:color w:val="000000"/>
                <w:sz w:val="18"/>
                <w:szCs w:val="18"/>
                <w:lang w:eastAsia="en-GB"/>
              </w:rPr>
              <w:t>8 (1.9)</w:t>
            </w:r>
          </w:p>
        </w:tc>
      </w:tr>
      <w:tr w:rsidR="006A6FB6" w14:paraId="1B4D3D25" w14:textId="77777777" w:rsidTr="006A6FB6">
        <w:tc>
          <w:tcPr>
            <w:tcW w:w="877" w:type="pct"/>
            <w:shd w:val="clear" w:color="auto" w:fill="F2F2F2" w:themeFill="background1" w:themeFillShade="F2"/>
            <w:vAlign w:val="bottom"/>
          </w:tcPr>
          <w:p w14:paraId="259106AC"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Median (IQR)</w:t>
            </w:r>
          </w:p>
        </w:tc>
        <w:tc>
          <w:tcPr>
            <w:tcW w:w="614" w:type="pct"/>
            <w:shd w:val="clear" w:color="auto" w:fill="F2F2F2" w:themeFill="background1" w:themeFillShade="F2"/>
            <w:vAlign w:val="center"/>
          </w:tcPr>
          <w:p w14:paraId="47B9BE37" w14:textId="77777777" w:rsidR="006A6FB6" w:rsidRDefault="006A6FB6" w:rsidP="006A6FB6">
            <w:pPr>
              <w:spacing w:line="280" w:lineRule="exact"/>
              <w:jc w:val="right"/>
            </w:pPr>
            <w:r>
              <w:rPr>
                <w:rFonts w:eastAsia="Times New Roman"/>
                <w:color w:val="000000"/>
                <w:sz w:val="18"/>
                <w:szCs w:val="18"/>
                <w:lang w:eastAsia="en-GB"/>
              </w:rPr>
              <w:t>7</w:t>
            </w:r>
            <w:r w:rsidRPr="008804F0">
              <w:rPr>
                <w:rFonts w:eastAsia="Times New Roman"/>
                <w:color w:val="000000"/>
                <w:sz w:val="18"/>
                <w:szCs w:val="18"/>
                <w:lang w:eastAsia="en-GB"/>
              </w:rPr>
              <w:t xml:space="preserve"> (3)</w:t>
            </w:r>
          </w:p>
        </w:tc>
        <w:tc>
          <w:tcPr>
            <w:tcW w:w="702" w:type="pct"/>
            <w:shd w:val="clear" w:color="auto" w:fill="F2F2F2" w:themeFill="background1" w:themeFillShade="F2"/>
            <w:vAlign w:val="center"/>
          </w:tcPr>
          <w:p w14:paraId="3BC313A1" w14:textId="77777777" w:rsidR="006A6FB6" w:rsidRDefault="006A6FB6" w:rsidP="006A6FB6">
            <w:pPr>
              <w:spacing w:line="280" w:lineRule="exact"/>
              <w:jc w:val="right"/>
            </w:pPr>
            <w:r w:rsidRPr="008804F0">
              <w:rPr>
                <w:rFonts w:eastAsia="Times New Roman"/>
                <w:color w:val="000000"/>
                <w:sz w:val="18"/>
                <w:szCs w:val="18"/>
                <w:lang w:eastAsia="en-GB"/>
              </w:rPr>
              <w:t>7 (2)</w:t>
            </w:r>
          </w:p>
        </w:tc>
        <w:tc>
          <w:tcPr>
            <w:tcW w:w="679" w:type="pct"/>
            <w:shd w:val="clear" w:color="auto" w:fill="F2F2F2" w:themeFill="background1" w:themeFillShade="F2"/>
            <w:vAlign w:val="center"/>
          </w:tcPr>
          <w:p w14:paraId="45D4E48D" w14:textId="77777777" w:rsidR="006A6FB6" w:rsidRDefault="006A6FB6" w:rsidP="006A6FB6">
            <w:pPr>
              <w:spacing w:line="280" w:lineRule="exact"/>
              <w:jc w:val="right"/>
            </w:pPr>
            <w:r w:rsidRPr="008804F0">
              <w:rPr>
                <w:rFonts w:eastAsia="Times New Roman"/>
                <w:color w:val="000000"/>
                <w:sz w:val="18"/>
                <w:szCs w:val="18"/>
                <w:lang w:eastAsia="en-GB"/>
              </w:rPr>
              <w:t>7 (3)</w:t>
            </w:r>
          </w:p>
        </w:tc>
        <w:tc>
          <w:tcPr>
            <w:tcW w:w="725" w:type="pct"/>
            <w:shd w:val="clear" w:color="auto" w:fill="F2F2F2" w:themeFill="background1" w:themeFillShade="F2"/>
            <w:vAlign w:val="center"/>
          </w:tcPr>
          <w:p w14:paraId="1350BFA1" w14:textId="77777777" w:rsidR="006A6FB6" w:rsidRDefault="006A6FB6" w:rsidP="006A6FB6">
            <w:pPr>
              <w:spacing w:line="280" w:lineRule="exact"/>
              <w:jc w:val="right"/>
            </w:pPr>
            <w:r w:rsidRPr="008804F0">
              <w:rPr>
                <w:rFonts w:eastAsia="Times New Roman"/>
                <w:color w:val="000000"/>
                <w:sz w:val="18"/>
                <w:szCs w:val="18"/>
                <w:lang w:eastAsia="en-GB"/>
              </w:rPr>
              <w:t>7 (3)</w:t>
            </w:r>
          </w:p>
        </w:tc>
        <w:tc>
          <w:tcPr>
            <w:tcW w:w="701" w:type="pct"/>
            <w:shd w:val="clear" w:color="auto" w:fill="F2F2F2" w:themeFill="background1" w:themeFillShade="F2"/>
            <w:vAlign w:val="center"/>
          </w:tcPr>
          <w:p w14:paraId="1BD44521" w14:textId="77777777" w:rsidR="006A6FB6" w:rsidRDefault="006A6FB6" w:rsidP="006A6FB6">
            <w:pPr>
              <w:spacing w:line="280" w:lineRule="exact"/>
              <w:jc w:val="right"/>
            </w:pPr>
            <w:r w:rsidRPr="008804F0">
              <w:rPr>
                <w:rFonts w:eastAsia="Times New Roman"/>
                <w:color w:val="000000"/>
                <w:sz w:val="18"/>
                <w:szCs w:val="18"/>
                <w:lang w:eastAsia="en-GB"/>
              </w:rPr>
              <w:t>7 (3)</w:t>
            </w:r>
          </w:p>
        </w:tc>
        <w:tc>
          <w:tcPr>
            <w:tcW w:w="702" w:type="pct"/>
            <w:shd w:val="clear" w:color="auto" w:fill="F2F2F2" w:themeFill="background1" w:themeFillShade="F2"/>
            <w:vAlign w:val="center"/>
          </w:tcPr>
          <w:p w14:paraId="396CBAF6" w14:textId="77777777" w:rsidR="006A6FB6" w:rsidRDefault="006A6FB6" w:rsidP="006A6FB6">
            <w:pPr>
              <w:spacing w:line="280" w:lineRule="exact"/>
              <w:jc w:val="right"/>
            </w:pPr>
            <w:r w:rsidRPr="008804F0">
              <w:rPr>
                <w:rFonts w:eastAsia="Times New Roman"/>
                <w:color w:val="000000"/>
                <w:sz w:val="18"/>
                <w:szCs w:val="18"/>
                <w:lang w:eastAsia="en-GB"/>
              </w:rPr>
              <w:t>8 (2)</w:t>
            </w:r>
          </w:p>
        </w:tc>
      </w:tr>
      <w:tr w:rsidR="006A6FB6" w14:paraId="5B6B0161" w14:textId="77777777" w:rsidTr="006A6FB6">
        <w:tc>
          <w:tcPr>
            <w:tcW w:w="877" w:type="pct"/>
            <w:shd w:val="clear" w:color="auto" w:fill="F2F2F2" w:themeFill="background1" w:themeFillShade="F2"/>
            <w:vAlign w:val="bottom"/>
          </w:tcPr>
          <w:p w14:paraId="7D2F7CBE"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Range</w:t>
            </w:r>
          </w:p>
        </w:tc>
        <w:tc>
          <w:tcPr>
            <w:tcW w:w="614" w:type="pct"/>
            <w:shd w:val="clear" w:color="auto" w:fill="F2F2F2" w:themeFill="background1" w:themeFillShade="F2"/>
            <w:vAlign w:val="center"/>
          </w:tcPr>
          <w:p w14:paraId="21D19018" w14:textId="77777777" w:rsidR="006A6FB6" w:rsidRDefault="006A6FB6" w:rsidP="006A6FB6">
            <w:pPr>
              <w:spacing w:line="280" w:lineRule="exact"/>
              <w:jc w:val="right"/>
            </w:pPr>
            <w:r w:rsidRPr="008804F0">
              <w:rPr>
                <w:rFonts w:eastAsia="Times New Roman"/>
                <w:color w:val="000000"/>
                <w:sz w:val="18"/>
                <w:szCs w:val="18"/>
                <w:lang w:eastAsia="en-GB"/>
              </w:rPr>
              <w:t>5, 11</w:t>
            </w:r>
          </w:p>
        </w:tc>
        <w:tc>
          <w:tcPr>
            <w:tcW w:w="702" w:type="pct"/>
            <w:shd w:val="clear" w:color="auto" w:fill="F2F2F2" w:themeFill="background1" w:themeFillShade="F2"/>
            <w:vAlign w:val="center"/>
          </w:tcPr>
          <w:p w14:paraId="7F91A0FD" w14:textId="77777777" w:rsidR="006A6FB6" w:rsidRDefault="006A6FB6" w:rsidP="006A6FB6">
            <w:pPr>
              <w:spacing w:line="280" w:lineRule="exact"/>
              <w:jc w:val="right"/>
            </w:pPr>
            <w:r w:rsidRPr="008804F0">
              <w:rPr>
                <w:rFonts w:eastAsia="Times New Roman"/>
                <w:color w:val="000000"/>
                <w:sz w:val="18"/>
                <w:szCs w:val="18"/>
                <w:lang w:eastAsia="en-GB"/>
              </w:rPr>
              <w:t>5, 12</w:t>
            </w:r>
          </w:p>
        </w:tc>
        <w:tc>
          <w:tcPr>
            <w:tcW w:w="679" w:type="pct"/>
            <w:shd w:val="clear" w:color="auto" w:fill="F2F2F2" w:themeFill="background1" w:themeFillShade="F2"/>
            <w:vAlign w:val="center"/>
          </w:tcPr>
          <w:p w14:paraId="10D9F390" w14:textId="77777777" w:rsidR="006A6FB6" w:rsidRDefault="006A6FB6" w:rsidP="006A6FB6">
            <w:pPr>
              <w:spacing w:line="280" w:lineRule="exact"/>
              <w:jc w:val="right"/>
            </w:pPr>
            <w:r w:rsidRPr="008804F0">
              <w:rPr>
                <w:rFonts w:eastAsia="Times New Roman"/>
                <w:color w:val="000000"/>
                <w:sz w:val="18"/>
                <w:szCs w:val="18"/>
                <w:lang w:eastAsia="en-GB"/>
              </w:rPr>
              <w:t>5, 12</w:t>
            </w:r>
          </w:p>
        </w:tc>
        <w:tc>
          <w:tcPr>
            <w:tcW w:w="725" w:type="pct"/>
            <w:shd w:val="clear" w:color="auto" w:fill="F2F2F2" w:themeFill="background1" w:themeFillShade="F2"/>
            <w:vAlign w:val="center"/>
          </w:tcPr>
          <w:p w14:paraId="14619323" w14:textId="77777777" w:rsidR="006A6FB6" w:rsidRDefault="006A6FB6" w:rsidP="006A6FB6">
            <w:pPr>
              <w:spacing w:line="280" w:lineRule="exact"/>
              <w:jc w:val="right"/>
            </w:pPr>
            <w:r w:rsidRPr="008804F0">
              <w:rPr>
                <w:rFonts w:eastAsia="Times New Roman"/>
                <w:color w:val="000000"/>
                <w:sz w:val="18"/>
                <w:szCs w:val="18"/>
                <w:lang w:eastAsia="en-GB"/>
              </w:rPr>
              <w:t>5, 12</w:t>
            </w:r>
          </w:p>
        </w:tc>
        <w:tc>
          <w:tcPr>
            <w:tcW w:w="701" w:type="pct"/>
            <w:shd w:val="clear" w:color="auto" w:fill="F2F2F2" w:themeFill="background1" w:themeFillShade="F2"/>
            <w:vAlign w:val="center"/>
          </w:tcPr>
          <w:p w14:paraId="7E56658D" w14:textId="77777777" w:rsidR="006A6FB6" w:rsidRDefault="006A6FB6" w:rsidP="006A6FB6">
            <w:pPr>
              <w:spacing w:line="280" w:lineRule="exact"/>
              <w:jc w:val="right"/>
            </w:pPr>
            <w:r w:rsidRPr="008804F0">
              <w:rPr>
                <w:rFonts w:eastAsia="Times New Roman"/>
                <w:color w:val="000000"/>
                <w:sz w:val="18"/>
                <w:szCs w:val="18"/>
                <w:lang w:eastAsia="en-GB"/>
              </w:rPr>
              <w:t>5, 13</w:t>
            </w:r>
          </w:p>
        </w:tc>
        <w:tc>
          <w:tcPr>
            <w:tcW w:w="702" w:type="pct"/>
            <w:shd w:val="clear" w:color="auto" w:fill="F2F2F2" w:themeFill="background1" w:themeFillShade="F2"/>
            <w:vAlign w:val="center"/>
          </w:tcPr>
          <w:p w14:paraId="5382C922" w14:textId="77777777" w:rsidR="006A6FB6" w:rsidRDefault="006A6FB6" w:rsidP="006A6FB6">
            <w:pPr>
              <w:spacing w:line="280" w:lineRule="exact"/>
              <w:jc w:val="right"/>
            </w:pPr>
            <w:r w:rsidRPr="008804F0">
              <w:rPr>
                <w:rFonts w:eastAsia="Times New Roman"/>
                <w:color w:val="000000"/>
                <w:sz w:val="18"/>
                <w:szCs w:val="18"/>
                <w:lang w:eastAsia="en-GB"/>
              </w:rPr>
              <w:t>5, 13</w:t>
            </w:r>
          </w:p>
        </w:tc>
      </w:tr>
      <w:tr w:rsidR="006A6FB6" w14:paraId="0090F6F4" w14:textId="77777777" w:rsidTr="006A6FB6">
        <w:tc>
          <w:tcPr>
            <w:tcW w:w="877" w:type="pct"/>
            <w:shd w:val="clear" w:color="auto" w:fill="F2F2F2" w:themeFill="background1" w:themeFillShade="F2"/>
            <w:vAlign w:val="bottom"/>
          </w:tcPr>
          <w:p w14:paraId="3320D2E3" w14:textId="77777777" w:rsidR="006A6FB6" w:rsidRDefault="006A6FB6" w:rsidP="006A6FB6">
            <w:pPr>
              <w:spacing w:line="280" w:lineRule="exact"/>
            </w:pPr>
            <w:r w:rsidRPr="00355303">
              <w:rPr>
                <w:rFonts w:eastAsia="Times New Roman"/>
                <w:b/>
                <w:bCs/>
                <w:color w:val="000000"/>
                <w:sz w:val="18"/>
                <w:szCs w:val="18"/>
                <w:lang w:eastAsia="en-GB"/>
              </w:rPr>
              <w:t>CHU-9D</w:t>
            </w:r>
          </w:p>
        </w:tc>
        <w:tc>
          <w:tcPr>
            <w:tcW w:w="614" w:type="pct"/>
            <w:shd w:val="clear" w:color="auto" w:fill="F2F2F2" w:themeFill="background1" w:themeFillShade="F2"/>
            <w:vAlign w:val="center"/>
          </w:tcPr>
          <w:p w14:paraId="0D47107B"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7A4FF321"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679" w:type="pct"/>
            <w:shd w:val="clear" w:color="auto" w:fill="F2F2F2" w:themeFill="background1" w:themeFillShade="F2"/>
            <w:vAlign w:val="center"/>
          </w:tcPr>
          <w:p w14:paraId="682F3EE2"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25" w:type="pct"/>
            <w:shd w:val="clear" w:color="auto" w:fill="F2F2F2" w:themeFill="background1" w:themeFillShade="F2"/>
            <w:vAlign w:val="center"/>
          </w:tcPr>
          <w:p w14:paraId="778C54B7"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1" w:type="pct"/>
            <w:shd w:val="clear" w:color="auto" w:fill="F2F2F2" w:themeFill="background1" w:themeFillShade="F2"/>
            <w:vAlign w:val="center"/>
          </w:tcPr>
          <w:p w14:paraId="5D9AF0E8"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1C18DADC" w14:textId="77777777" w:rsidR="006A6FB6" w:rsidRDefault="006A6FB6" w:rsidP="006A6FB6">
            <w:pPr>
              <w:spacing w:line="280" w:lineRule="exact"/>
              <w:jc w:val="right"/>
            </w:pPr>
            <w:r w:rsidRPr="008804F0">
              <w:rPr>
                <w:rFonts w:eastAsia="Times New Roman"/>
                <w:color w:val="000000"/>
                <w:sz w:val="18"/>
                <w:szCs w:val="18"/>
                <w:lang w:eastAsia="en-GB"/>
              </w:rPr>
              <w:t> </w:t>
            </w:r>
          </w:p>
        </w:tc>
      </w:tr>
      <w:tr w:rsidR="006A6FB6" w14:paraId="0F490731" w14:textId="77777777" w:rsidTr="006A6FB6">
        <w:tc>
          <w:tcPr>
            <w:tcW w:w="877" w:type="pct"/>
            <w:shd w:val="clear" w:color="auto" w:fill="F2F2F2" w:themeFill="background1" w:themeFillShade="F2"/>
            <w:vAlign w:val="bottom"/>
          </w:tcPr>
          <w:p w14:paraId="545E97A0"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Mean (SD)</w:t>
            </w:r>
          </w:p>
        </w:tc>
        <w:tc>
          <w:tcPr>
            <w:tcW w:w="614" w:type="pct"/>
            <w:shd w:val="clear" w:color="auto" w:fill="F2F2F2" w:themeFill="background1" w:themeFillShade="F2"/>
            <w:vAlign w:val="center"/>
          </w:tcPr>
          <w:p w14:paraId="4BEBBCAD" w14:textId="77777777" w:rsidR="006A6FB6" w:rsidRDefault="006A6FB6" w:rsidP="006A6FB6">
            <w:pPr>
              <w:spacing w:line="280" w:lineRule="exact"/>
              <w:jc w:val="right"/>
            </w:pPr>
            <w:r w:rsidRPr="008804F0">
              <w:rPr>
                <w:rFonts w:eastAsia="Times New Roman"/>
                <w:color w:val="000000"/>
                <w:sz w:val="18"/>
                <w:szCs w:val="18"/>
                <w:lang w:eastAsia="en-GB"/>
              </w:rPr>
              <w:t>0.924 (0.081)</w:t>
            </w:r>
          </w:p>
        </w:tc>
        <w:tc>
          <w:tcPr>
            <w:tcW w:w="702" w:type="pct"/>
            <w:shd w:val="clear" w:color="auto" w:fill="F2F2F2" w:themeFill="background1" w:themeFillShade="F2"/>
            <w:vAlign w:val="center"/>
          </w:tcPr>
          <w:p w14:paraId="2DB21F33" w14:textId="77777777" w:rsidR="006A6FB6" w:rsidRDefault="006A6FB6" w:rsidP="006A6FB6">
            <w:pPr>
              <w:spacing w:line="280" w:lineRule="exact"/>
              <w:jc w:val="right"/>
            </w:pPr>
            <w:r w:rsidRPr="008804F0">
              <w:rPr>
                <w:rFonts w:eastAsia="Times New Roman"/>
                <w:color w:val="000000"/>
                <w:sz w:val="18"/>
                <w:szCs w:val="18"/>
                <w:lang w:eastAsia="en-GB"/>
              </w:rPr>
              <w:t>0.945 (0.067)</w:t>
            </w:r>
          </w:p>
        </w:tc>
        <w:tc>
          <w:tcPr>
            <w:tcW w:w="679" w:type="pct"/>
            <w:shd w:val="clear" w:color="auto" w:fill="F2F2F2" w:themeFill="background1" w:themeFillShade="F2"/>
            <w:vAlign w:val="center"/>
          </w:tcPr>
          <w:p w14:paraId="2563C604" w14:textId="77777777" w:rsidR="006A6FB6" w:rsidRDefault="006A6FB6" w:rsidP="006A6FB6">
            <w:pPr>
              <w:spacing w:line="280" w:lineRule="exact"/>
              <w:jc w:val="right"/>
            </w:pPr>
            <w:r w:rsidRPr="008804F0">
              <w:rPr>
                <w:rFonts w:eastAsia="Times New Roman"/>
                <w:color w:val="000000"/>
                <w:sz w:val="18"/>
                <w:szCs w:val="18"/>
                <w:lang w:eastAsia="en-GB"/>
              </w:rPr>
              <w:t>0.941 (0.075)</w:t>
            </w:r>
          </w:p>
        </w:tc>
        <w:tc>
          <w:tcPr>
            <w:tcW w:w="725" w:type="pct"/>
            <w:shd w:val="clear" w:color="auto" w:fill="F2F2F2" w:themeFill="background1" w:themeFillShade="F2"/>
            <w:vAlign w:val="center"/>
          </w:tcPr>
          <w:p w14:paraId="7FB03CCC" w14:textId="77777777" w:rsidR="006A6FB6" w:rsidRDefault="006A6FB6" w:rsidP="006A6FB6">
            <w:pPr>
              <w:spacing w:line="280" w:lineRule="exact"/>
              <w:jc w:val="right"/>
            </w:pPr>
            <w:r w:rsidRPr="008804F0">
              <w:rPr>
                <w:rFonts w:eastAsia="Times New Roman"/>
                <w:color w:val="000000"/>
                <w:sz w:val="18"/>
                <w:szCs w:val="18"/>
                <w:lang w:eastAsia="en-GB"/>
              </w:rPr>
              <w:t>0.938 (0.076)</w:t>
            </w:r>
          </w:p>
        </w:tc>
        <w:tc>
          <w:tcPr>
            <w:tcW w:w="701" w:type="pct"/>
            <w:shd w:val="clear" w:color="auto" w:fill="F2F2F2" w:themeFill="background1" w:themeFillShade="F2"/>
            <w:vAlign w:val="center"/>
          </w:tcPr>
          <w:p w14:paraId="27196AE7" w14:textId="77777777" w:rsidR="006A6FB6" w:rsidRDefault="006A6FB6" w:rsidP="006A6FB6">
            <w:pPr>
              <w:spacing w:line="280" w:lineRule="exact"/>
              <w:jc w:val="right"/>
            </w:pPr>
            <w:r w:rsidRPr="008804F0">
              <w:rPr>
                <w:rFonts w:eastAsia="Times New Roman"/>
                <w:color w:val="000000"/>
                <w:sz w:val="18"/>
                <w:szCs w:val="18"/>
                <w:lang w:eastAsia="en-GB"/>
              </w:rPr>
              <w:t>0.951 (0.067)</w:t>
            </w:r>
          </w:p>
        </w:tc>
        <w:tc>
          <w:tcPr>
            <w:tcW w:w="702" w:type="pct"/>
            <w:shd w:val="clear" w:color="auto" w:fill="F2F2F2" w:themeFill="background1" w:themeFillShade="F2"/>
            <w:vAlign w:val="center"/>
          </w:tcPr>
          <w:p w14:paraId="1526DF16" w14:textId="77777777" w:rsidR="006A6FB6" w:rsidRDefault="006A6FB6" w:rsidP="006A6FB6">
            <w:pPr>
              <w:spacing w:line="280" w:lineRule="exact"/>
              <w:jc w:val="right"/>
            </w:pPr>
            <w:r w:rsidRPr="008804F0">
              <w:rPr>
                <w:rFonts w:eastAsia="Times New Roman"/>
                <w:color w:val="000000"/>
                <w:sz w:val="18"/>
                <w:szCs w:val="18"/>
                <w:lang w:eastAsia="en-GB"/>
              </w:rPr>
              <w:t>0.945 (0.06)</w:t>
            </w:r>
          </w:p>
        </w:tc>
      </w:tr>
      <w:tr w:rsidR="006A6FB6" w14:paraId="079F1F29" w14:textId="77777777" w:rsidTr="006A6FB6">
        <w:tc>
          <w:tcPr>
            <w:tcW w:w="877" w:type="pct"/>
            <w:shd w:val="clear" w:color="auto" w:fill="F2F2F2" w:themeFill="background1" w:themeFillShade="F2"/>
            <w:vAlign w:val="bottom"/>
          </w:tcPr>
          <w:p w14:paraId="7FA59F1D"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Median (IQR)</w:t>
            </w:r>
          </w:p>
        </w:tc>
        <w:tc>
          <w:tcPr>
            <w:tcW w:w="614" w:type="pct"/>
            <w:shd w:val="clear" w:color="auto" w:fill="F2F2F2" w:themeFill="background1" w:themeFillShade="F2"/>
            <w:vAlign w:val="center"/>
          </w:tcPr>
          <w:p w14:paraId="0FD62435" w14:textId="77777777" w:rsidR="006A6FB6" w:rsidRDefault="006A6FB6" w:rsidP="006A6FB6">
            <w:pPr>
              <w:spacing w:line="280" w:lineRule="exact"/>
              <w:jc w:val="right"/>
            </w:pPr>
            <w:r w:rsidRPr="008804F0">
              <w:rPr>
                <w:rFonts w:eastAsia="Times New Roman"/>
                <w:color w:val="000000"/>
                <w:sz w:val="18"/>
                <w:szCs w:val="18"/>
                <w:lang w:eastAsia="en-GB"/>
              </w:rPr>
              <w:t>0.952 (0.1)</w:t>
            </w:r>
          </w:p>
        </w:tc>
        <w:tc>
          <w:tcPr>
            <w:tcW w:w="702" w:type="pct"/>
            <w:shd w:val="clear" w:color="auto" w:fill="F2F2F2" w:themeFill="background1" w:themeFillShade="F2"/>
            <w:vAlign w:val="center"/>
          </w:tcPr>
          <w:p w14:paraId="2537C4B8" w14:textId="77777777" w:rsidR="006A6FB6" w:rsidRDefault="006A6FB6" w:rsidP="006A6FB6">
            <w:pPr>
              <w:spacing w:line="280" w:lineRule="exact"/>
              <w:jc w:val="right"/>
            </w:pPr>
            <w:r w:rsidRPr="008804F0">
              <w:rPr>
                <w:rFonts w:eastAsia="Times New Roman"/>
                <w:color w:val="000000"/>
                <w:sz w:val="18"/>
                <w:szCs w:val="18"/>
                <w:lang w:eastAsia="en-GB"/>
              </w:rPr>
              <w:t>0.96 (0.079)</w:t>
            </w:r>
          </w:p>
        </w:tc>
        <w:tc>
          <w:tcPr>
            <w:tcW w:w="679" w:type="pct"/>
            <w:shd w:val="clear" w:color="auto" w:fill="F2F2F2" w:themeFill="background1" w:themeFillShade="F2"/>
            <w:vAlign w:val="center"/>
          </w:tcPr>
          <w:p w14:paraId="67829AE9" w14:textId="77777777" w:rsidR="006A6FB6" w:rsidRDefault="006A6FB6" w:rsidP="006A6FB6">
            <w:pPr>
              <w:spacing w:line="280" w:lineRule="exact"/>
              <w:jc w:val="right"/>
            </w:pPr>
            <w:r w:rsidRPr="008804F0">
              <w:rPr>
                <w:rFonts w:eastAsia="Times New Roman"/>
                <w:color w:val="000000"/>
                <w:sz w:val="18"/>
                <w:szCs w:val="18"/>
                <w:lang w:eastAsia="en-GB"/>
              </w:rPr>
              <w:t>0.96 (0.081)</w:t>
            </w:r>
          </w:p>
        </w:tc>
        <w:tc>
          <w:tcPr>
            <w:tcW w:w="725" w:type="pct"/>
            <w:shd w:val="clear" w:color="auto" w:fill="F2F2F2" w:themeFill="background1" w:themeFillShade="F2"/>
            <w:vAlign w:val="center"/>
          </w:tcPr>
          <w:p w14:paraId="187DD535" w14:textId="77777777" w:rsidR="006A6FB6" w:rsidRDefault="006A6FB6" w:rsidP="006A6FB6">
            <w:pPr>
              <w:spacing w:line="280" w:lineRule="exact"/>
              <w:jc w:val="right"/>
            </w:pPr>
            <w:r w:rsidRPr="008804F0">
              <w:rPr>
                <w:rFonts w:eastAsia="Times New Roman"/>
                <w:color w:val="000000"/>
                <w:sz w:val="18"/>
                <w:szCs w:val="18"/>
                <w:lang w:eastAsia="en-GB"/>
              </w:rPr>
              <w:t>0.952 (0.102)</w:t>
            </w:r>
          </w:p>
        </w:tc>
        <w:tc>
          <w:tcPr>
            <w:tcW w:w="701" w:type="pct"/>
            <w:shd w:val="clear" w:color="auto" w:fill="F2F2F2" w:themeFill="background1" w:themeFillShade="F2"/>
            <w:vAlign w:val="center"/>
          </w:tcPr>
          <w:p w14:paraId="2E690FB2" w14:textId="77777777" w:rsidR="006A6FB6" w:rsidRDefault="006A6FB6" w:rsidP="006A6FB6">
            <w:pPr>
              <w:spacing w:line="280" w:lineRule="exact"/>
              <w:jc w:val="right"/>
            </w:pPr>
            <w:r w:rsidRPr="008804F0">
              <w:rPr>
                <w:rFonts w:eastAsia="Times New Roman"/>
                <w:color w:val="000000"/>
                <w:sz w:val="18"/>
                <w:szCs w:val="18"/>
                <w:lang w:eastAsia="en-GB"/>
              </w:rPr>
              <w:t>0.967 (0.071)</w:t>
            </w:r>
          </w:p>
        </w:tc>
        <w:tc>
          <w:tcPr>
            <w:tcW w:w="702" w:type="pct"/>
            <w:shd w:val="clear" w:color="auto" w:fill="F2F2F2" w:themeFill="background1" w:themeFillShade="F2"/>
            <w:vAlign w:val="center"/>
          </w:tcPr>
          <w:p w14:paraId="0F8BF769" w14:textId="77777777" w:rsidR="006A6FB6" w:rsidRDefault="006A6FB6" w:rsidP="006A6FB6">
            <w:pPr>
              <w:spacing w:line="280" w:lineRule="exact"/>
              <w:jc w:val="right"/>
            </w:pPr>
            <w:r w:rsidRPr="008804F0">
              <w:rPr>
                <w:rFonts w:eastAsia="Times New Roman"/>
                <w:color w:val="000000"/>
                <w:sz w:val="18"/>
                <w:szCs w:val="18"/>
                <w:lang w:eastAsia="en-GB"/>
              </w:rPr>
              <w:t>0.959 (0.097)</w:t>
            </w:r>
          </w:p>
        </w:tc>
      </w:tr>
      <w:tr w:rsidR="006A6FB6" w14:paraId="7622CD3E" w14:textId="77777777" w:rsidTr="006A6FB6">
        <w:tc>
          <w:tcPr>
            <w:tcW w:w="877" w:type="pct"/>
            <w:shd w:val="clear" w:color="auto" w:fill="F2F2F2" w:themeFill="background1" w:themeFillShade="F2"/>
            <w:vAlign w:val="bottom"/>
          </w:tcPr>
          <w:p w14:paraId="7E7B1B38"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Range</w:t>
            </w:r>
          </w:p>
        </w:tc>
        <w:tc>
          <w:tcPr>
            <w:tcW w:w="614" w:type="pct"/>
            <w:shd w:val="clear" w:color="auto" w:fill="F2F2F2" w:themeFill="background1" w:themeFillShade="F2"/>
            <w:vAlign w:val="center"/>
          </w:tcPr>
          <w:p w14:paraId="53D01D71" w14:textId="77777777" w:rsidR="006A6FB6" w:rsidRDefault="006A6FB6" w:rsidP="006A6FB6">
            <w:pPr>
              <w:spacing w:line="280" w:lineRule="exact"/>
              <w:jc w:val="right"/>
            </w:pPr>
            <w:r w:rsidRPr="008804F0">
              <w:rPr>
                <w:rFonts w:eastAsia="Times New Roman"/>
                <w:color w:val="000000"/>
                <w:sz w:val="18"/>
                <w:szCs w:val="18"/>
                <w:lang w:eastAsia="en-GB"/>
              </w:rPr>
              <w:t>0.711, 1</w:t>
            </w:r>
          </w:p>
        </w:tc>
        <w:tc>
          <w:tcPr>
            <w:tcW w:w="702" w:type="pct"/>
            <w:shd w:val="clear" w:color="auto" w:fill="F2F2F2" w:themeFill="background1" w:themeFillShade="F2"/>
            <w:vAlign w:val="center"/>
          </w:tcPr>
          <w:p w14:paraId="720659AE" w14:textId="77777777" w:rsidR="006A6FB6" w:rsidRDefault="006A6FB6" w:rsidP="006A6FB6">
            <w:pPr>
              <w:spacing w:line="280" w:lineRule="exact"/>
              <w:jc w:val="right"/>
            </w:pPr>
            <w:r w:rsidRPr="008804F0">
              <w:rPr>
                <w:rFonts w:eastAsia="Times New Roman"/>
                <w:color w:val="000000"/>
                <w:sz w:val="18"/>
                <w:szCs w:val="18"/>
                <w:lang w:eastAsia="en-GB"/>
              </w:rPr>
              <w:t>0.69, 1</w:t>
            </w:r>
          </w:p>
        </w:tc>
        <w:tc>
          <w:tcPr>
            <w:tcW w:w="679" w:type="pct"/>
            <w:shd w:val="clear" w:color="auto" w:fill="F2F2F2" w:themeFill="background1" w:themeFillShade="F2"/>
            <w:vAlign w:val="center"/>
          </w:tcPr>
          <w:p w14:paraId="78AB5C0C" w14:textId="77777777" w:rsidR="006A6FB6" w:rsidRDefault="006A6FB6" w:rsidP="006A6FB6">
            <w:pPr>
              <w:spacing w:line="280" w:lineRule="exact"/>
              <w:jc w:val="right"/>
            </w:pPr>
            <w:r w:rsidRPr="008804F0">
              <w:rPr>
                <w:rFonts w:eastAsia="Times New Roman"/>
                <w:color w:val="000000"/>
                <w:sz w:val="18"/>
                <w:szCs w:val="18"/>
                <w:lang w:eastAsia="en-GB"/>
              </w:rPr>
              <w:t>0.739, 1</w:t>
            </w:r>
          </w:p>
        </w:tc>
        <w:tc>
          <w:tcPr>
            <w:tcW w:w="725" w:type="pct"/>
            <w:shd w:val="clear" w:color="auto" w:fill="F2F2F2" w:themeFill="background1" w:themeFillShade="F2"/>
            <w:vAlign w:val="center"/>
          </w:tcPr>
          <w:p w14:paraId="60F73184" w14:textId="77777777" w:rsidR="006A6FB6" w:rsidRDefault="006A6FB6" w:rsidP="006A6FB6">
            <w:pPr>
              <w:spacing w:line="280" w:lineRule="exact"/>
              <w:jc w:val="right"/>
            </w:pPr>
            <w:r w:rsidRPr="008804F0">
              <w:rPr>
                <w:rFonts w:eastAsia="Times New Roman"/>
                <w:color w:val="000000"/>
                <w:sz w:val="18"/>
                <w:szCs w:val="18"/>
                <w:lang w:eastAsia="en-GB"/>
              </w:rPr>
              <w:t>0.65, 1</w:t>
            </w:r>
          </w:p>
        </w:tc>
        <w:tc>
          <w:tcPr>
            <w:tcW w:w="701" w:type="pct"/>
            <w:shd w:val="clear" w:color="auto" w:fill="F2F2F2" w:themeFill="background1" w:themeFillShade="F2"/>
            <w:vAlign w:val="center"/>
          </w:tcPr>
          <w:p w14:paraId="06338A38" w14:textId="77777777" w:rsidR="006A6FB6" w:rsidRDefault="006A6FB6" w:rsidP="006A6FB6">
            <w:pPr>
              <w:spacing w:line="280" w:lineRule="exact"/>
              <w:jc w:val="right"/>
            </w:pPr>
            <w:r w:rsidRPr="008804F0">
              <w:rPr>
                <w:rFonts w:eastAsia="Times New Roman"/>
                <w:color w:val="000000"/>
                <w:sz w:val="18"/>
                <w:szCs w:val="18"/>
                <w:lang w:eastAsia="en-GB"/>
              </w:rPr>
              <w:t>0.712, 1</w:t>
            </w:r>
          </w:p>
        </w:tc>
        <w:tc>
          <w:tcPr>
            <w:tcW w:w="702" w:type="pct"/>
            <w:shd w:val="clear" w:color="auto" w:fill="F2F2F2" w:themeFill="background1" w:themeFillShade="F2"/>
            <w:vAlign w:val="center"/>
          </w:tcPr>
          <w:p w14:paraId="024A4417" w14:textId="77777777" w:rsidR="006A6FB6" w:rsidRDefault="006A6FB6" w:rsidP="006A6FB6">
            <w:pPr>
              <w:spacing w:line="280" w:lineRule="exact"/>
              <w:jc w:val="right"/>
            </w:pPr>
            <w:r w:rsidRPr="008804F0">
              <w:rPr>
                <w:rFonts w:eastAsia="Times New Roman"/>
                <w:color w:val="000000"/>
                <w:sz w:val="18"/>
                <w:szCs w:val="18"/>
                <w:lang w:eastAsia="en-GB"/>
              </w:rPr>
              <w:t>0.828, 1</w:t>
            </w:r>
          </w:p>
        </w:tc>
      </w:tr>
      <w:tr w:rsidR="006A6FB6" w14:paraId="49A55C9C" w14:textId="77777777" w:rsidTr="006A6FB6">
        <w:tc>
          <w:tcPr>
            <w:tcW w:w="877" w:type="pct"/>
            <w:shd w:val="clear" w:color="auto" w:fill="F2F2F2" w:themeFill="background1" w:themeFillShade="F2"/>
            <w:vAlign w:val="bottom"/>
          </w:tcPr>
          <w:p w14:paraId="3028A7C8" w14:textId="77777777" w:rsidR="006A6FB6" w:rsidRDefault="006A6FB6" w:rsidP="006A6FB6">
            <w:pPr>
              <w:spacing w:line="280" w:lineRule="exact"/>
            </w:pPr>
            <w:r w:rsidRPr="00355303">
              <w:rPr>
                <w:rFonts w:eastAsia="Times New Roman"/>
                <w:b/>
                <w:bCs/>
                <w:color w:val="000000"/>
                <w:sz w:val="18"/>
                <w:szCs w:val="18"/>
                <w:lang w:eastAsia="en-GB"/>
              </w:rPr>
              <w:t xml:space="preserve">PedsQL™ </w:t>
            </w:r>
          </w:p>
        </w:tc>
        <w:tc>
          <w:tcPr>
            <w:tcW w:w="614" w:type="pct"/>
            <w:shd w:val="clear" w:color="auto" w:fill="F2F2F2" w:themeFill="background1" w:themeFillShade="F2"/>
            <w:vAlign w:val="center"/>
          </w:tcPr>
          <w:p w14:paraId="22B96F69"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3EF3DB1F"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679" w:type="pct"/>
            <w:shd w:val="clear" w:color="auto" w:fill="F2F2F2" w:themeFill="background1" w:themeFillShade="F2"/>
            <w:vAlign w:val="center"/>
          </w:tcPr>
          <w:p w14:paraId="2C2A1525"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25" w:type="pct"/>
            <w:shd w:val="clear" w:color="auto" w:fill="F2F2F2" w:themeFill="background1" w:themeFillShade="F2"/>
            <w:vAlign w:val="center"/>
          </w:tcPr>
          <w:p w14:paraId="657A00F5"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1" w:type="pct"/>
            <w:shd w:val="clear" w:color="auto" w:fill="F2F2F2" w:themeFill="background1" w:themeFillShade="F2"/>
            <w:vAlign w:val="center"/>
          </w:tcPr>
          <w:p w14:paraId="1483B303" w14:textId="77777777" w:rsidR="006A6FB6" w:rsidRDefault="006A6FB6" w:rsidP="006A6FB6">
            <w:pPr>
              <w:spacing w:line="280" w:lineRule="exact"/>
              <w:jc w:val="right"/>
            </w:pPr>
            <w:r w:rsidRPr="008804F0">
              <w:rPr>
                <w:rFonts w:eastAsia="Times New Roman"/>
                <w:color w:val="000000"/>
                <w:sz w:val="18"/>
                <w:szCs w:val="18"/>
                <w:lang w:eastAsia="en-GB"/>
              </w:rPr>
              <w:t> </w:t>
            </w:r>
          </w:p>
        </w:tc>
        <w:tc>
          <w:tcPr>
            <w:tcW w:w="702" w:type="pct"/>
            <w:shd w:val="clear" w:color="auto" w:fill="F2F2F2" w:themeFill="background1" w:themeFillShade="F2"/>
            <w:vAlign w:val="center"/>
          </w:tcPr>
          <w:p w14:paraId="1B77452C" w14:textId="77777777" w:rsidR="006A6FB6" w:rsidRDefault="006A6FB6" w:rsidP="006A6FB6">
            <w:pPr>
              <w:spacing w:line="280" w:lineRule="exact"/>
              <w:jc w:val="right"/>
            </w:pPr>
            <w:r w:rsidRPr="008804F0">
              <w:rPr>
                <w:rFonts w:eastAsia="Times New Roman"/>
                <w:color w:val="000000"/>
                <w:sz w:val="18"/>
                <w:szCs w:val="18"/>
                <w:lang w:eastAsia="en-GB"/>
              </w:rPr>
              <w:t> </w:t>
            </w:r>
          </w:p>
        </w:tc>
      </w:tr>
      <w:tr w:rsidR="006A6FB6" w14:paraId="64CD463B" w14:textId="77777777" w:rsidTr="006A6FB6">
        <w:tc>
          <w:tcPr>
            <w:tcW w:w="877" w:type="pct"/>
            <w:shd w:val="clear" w:color="auto" w:fill="F2F2F2" w:themeFill="background1" w:themeFillShade="F2"/>
            <w:vAlign w:val="bottom"/>
          </w:tcPr>
          <w:p w14:paraId="67DEAC47"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Mean (SD)</w:t>
            </w:r>
          </w:p>
        </w:tc>
        <w:tc>
          <w:tcPr>
            <w:tcW w:w="614" w:type="pct"/>
            <w:shd w:val="clear" w:color="auto" w:fill="F2F2F2" w:themeFill="background1" w:themeFillShade="F2"/>
            <w:vAlign w:val="center"/>
          </w:tcPr>
          <w:p w14:paraId="6484174D" w14:textId="77777777" w:rsidR="006A6FB6" w:rsidRDefault="006A6FB6" w:rsidP="006A6FB6">
            <w:pPr>
              <w:spacing w:line="280" w:lineRule="exact"/>
              <w:jc w:val="right"/>
            </w:pPr>
            <w:r w:rsidRPr="008804F0">
              <w:rPr>
                <w:rFonts w:eastAsia="Times New Roman"/>
                <w:color w:val="000000"/>
                <w:sz w:val="18"/>
                <w:szCs w:val="18"/>
                <w:lang w:eastAsia="en-GB"/>
              </w:rPr>
              <w:t>75.88 (16.91)</w:t>
            </w:r>
          </w:p>
        </w:tc>
        <w:tc>
          <w:tcPr>
            <w:tcW w:w="702" w:type="pct"/>
            <w:shd w:val="clear" w:color="auto" w:fill="F2F2F2" w:themeFill="background1" w:themeFillShade="F2"/>
            <w:vAlign w:val="center"/>
          </w:tcPr>
          <w:p w14:paraId="3A7EDA50" w14:textId="77777777" w:rsidR="006A6FB6" w:rsidRDefault="006A6FB6" w:rsidP="006A6FB6">
            <w:pPr>
              <w:spacing w:line="280" w:lineRule="exact"/>
              <w:jc w:val="right"/>
            </w:pPr>
            <w:r w:rsidRPr="008804F0">
              <w:rPr>
                <w:rFonts w:eastAsia="Times New Roman"/>
                <w:color w:val="000000"/>
                <w:sz w:val="18"/>
                <w:szCs w:val="18"/>
                <w:lang w:eastAsia="en-GB"/>
              </w:rPr>
              <w:t>81.35 (14.53)</w:t>
            </w:r>
          </w:p>
        </w:tc>
        <w:tc>
          <w:tcPr>
            <w:tcW w:w="679" w:type="pct"/>
            <w:shd w:val="clear" w:color="auto" w:fill="F2F2F2" w:themeFill="background1" w:themeFillShade="F2"/>
            <w:vAlign w:val="center"/>
          </w:tcPr>
          <w:p w14:paraId="2F89F3C6" w14:textId="77777777" w:rsidR="006A6FB6" w:rsidRDefault="006A6FB6" w:rsidP="006A6FB6">
            <w:pPr>
              <w:spacing w:line="280" w:lineRule="exact"/>
              <w:jc w:val="right"/>
            </w:pPr>
            <w:r w:rsidRPr="008804F0">
              <w:rPr>
                <w:rFonts w:eastAsia="Times New Roman"/>
                <w:color w:val="000000"/>
                <w:sz w:val="18"/>
                <w:szCs w:val="18"/>
                <w:lang w:eastAsia="en-GB"/>
              </w:rPr>
              <w:t>78.28 (19.01)</w:t>
            </w:r>
          </w:p>
        </w:tc>
        <w:tc>
          <w:tcPr>
            <w:tcW w:w="725" w:type="pct"/>
            <w:shd w:val="clear" w:color="auto" w:fill="F2F2F2" w:themeFill="background1" w:themeFillShade="F2"/>
            <w:vAlign w:val="center"/>
          </w:tcPr>
          <w:p w14:paraId="5A59BC0F" w14:textId="77777777" w:rsidR="006A6FB6" w:rsidRDefault="006A6FB6" w:rsidP="006A6FB6">
            <w:pPr>
              <w:spacing w:line="280" w:lineRule="exact"/>
              <w:jc w:val="right"/>
            </w:pPr>
            <w:r w:rsidRPr="008804F0">
              <w:rPr>
                <w:rFonts w:eastAsia="Times New Roman"/>
                <w:color w:val="000000"/>
                <w:sz w:val="18"/>
                <w:szCs w:val="18"/>
                <w:lang w:eastAsia="en-GB"/>
              </w:rPr>
              <w:t>80.6 (17.25)</w:t>
            </w:r>
          </w:p>
        </w:tc>
        <w:tc>
          <w:tcPr>
            <w:tcW w:w="701" w:type="pct"/>
            <w:shd w:val="clear" w:color="auto" w:fill="F2F2F2" w:themeFill="background1" w:themeFillShade="F2"/>
            <w:vAlign w:val="center"/>
          </w:tcPr>
          <w:p w14:paraId="3F907014" w14:textId="77777777" w:rsidR="006A6FB6" w:rsidRDefault="006A6FB6" w:rsidP="006A6FB6">
            <w:pPr>
              <w:spacing w:line="280" w:lineRule="exact"/>
              <w:jc w:val="right"/>
            </w:pPr>
            <w:r w:rsidRPr="008804F0">
              <w:rPr>
                <w:rFonts w:eastAsia="Times New Roman"/>
                <w:color w:val="000000"/>
                <w:sz w:val="18"/>
                <w:szCs w:val="18"/>
                <w:lang w:eastAsia="en-GB"/>
              </w:rPr>
              <w:t>83.13 (19.11)</w:t>
            </w:r>
          </w:p>
        </w:tc>
        <w:tc>
          <w:tcPr>
            <w:tcW w:w="702" w:type="pct"/>
            <w:shd w:val="clear" w:color="auto" w:fill="F2F2F2" w:themeFill="background1" w:themeFillShade="F2"/>
            <w:vAlign w:val="center"/>
          </w:tcPr>
          <w:p w14:paraId="232886EF" w14:textId="77777777" w:rsidR="006A6FB6" w:rsidRDefault="006A6FB6" w:rsidP="006A6FB6">
            <w:pPr>
              <w:spacing w:line="280" w:lineRule="exact"/>
              <w:jc w:val="right"/>
            </w:pPr>
            <w:r w:rsidRPr="008804F0">
              <w:rPr>
                <w:rFonts w:eastAsia="Times New Roman"/>
                <w:color w:val="000000"/>
                <w:sz w:val="18"/>
                <w:szCs w:val="18"/>
                <w:lang w:eastAsia="en-GB"/>
              </w:rPr>
              <w:t>81.68 (20.3)</w:t>
            </w:r>
          </w:p>
        </w:tc>
      </w:tr>
      <w:tr w:rsidR="006A6FB6" w14:paraId="15D42513" w14:textId="77777777" w:rsidTr="006A6FB6">
        <w:tc>
          <w:tcPr>
            <w:tcW w:w="877" w:type="pct"/>
            <w:shd w:val="clear" w:color="auto" w:fill="F2F2F2" w:themeFill="background1" w:themeFillShade="F2"/>
            <w:vAlign w:val="bottom"/>
          </w:tcPr>
          <w:p w14:paraId="320C233F"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Median (IQR)</w:t>
            </w:r>
          </w:p>
        </w:tc>
        <w:tc>
          <w:tcPr>
            <w:tcW w:w="614" w:type="pct"/>
            <w:shd w:val="clear" w:color="auto" w:fill="F2F2F2" w:themeFill="background1" w:themeFillShade="F2"/>
            <w:vAlign w:val="center"/>
          </w:tcPr>
          <w:p w14:paraId="16B0EB40" w14:textId="77777777" w:rsidR="006A6FB6" w:rsidRDefault="006A6FB6" w:rsidP="006A6FB6">
            <w:pPr>
              <w:spacing w:line="280" w:lineRule="exact"/>
              <w:jc w:val="right"/>
            </w:pPr>
            <w:r w:rsidRPr="008804F0">
              <w:rPr>
                <w:rFonts w:eastAsia="Times New Roman"/>
                <w:color w:val="000000"/>
                <w:sz w:val="18"/>
                <w:szCs w:val="18"/>
                <w:lang w:eastAsia="en-GB"/>
              </w:rPr>
              <w:t>77.72 (27.36)</w:t>
            </w:r>
          </w:p>
        </w:tc>
        <w:tc>
          <w:tcPr>
            <w:tcW w:w="702" w:type="pct"/>
            <w:shd w:val="clear" w:color="auto" w:fill="F2F2F2" w:themeFill="background1" w:themeFillShade="F2"/>
            <w:vAlign w:val="center"/>
          </w:tcPr>
          <w:p w14:paraId="1C3DB50B" w14:textId="77777777" w:rsidR="006A6FB6" w:rsidRDefault="006A6FB6" w:rsidP="006A6FB6">
            <w:pPr>
              <w:spacing w:line="280" w:lineRule="exact"/>
              <w:jc w:val="right"/>
            </w:pPr>
            <w:r w:rsidRPr="008804F0">
              <w:rPr>
                <w:rFonts w:eastAsia="Times New Roman"/>
                <w:color w:val="000000"/>
                <w:sz w:val="18"/>
                <w:szCs w:val="18"/>
                <w:lang w:eastAsia="en-GB"/>
              </w:rPr>
              <w:t>83.7 (18.48)</w:t>
            </w:r>
          </w:p>
        </w:tc>
        <w:tc>
          <w:tcPr>
            <w:tcW w:w="679" w:type="pct"/>
            <w:shd w:val="clear" w:color="auto" w:fill="F2F2F2" w:themeFill="background1" w:themeFillShade="F2"/>
            <w:vAlign w:val="center"/>
          </w:tcPr>
          <w:p w14:paraId="065722B8" w14:textId="77777777" w:rsidR="006A6FB6" w:rsidRDefault="006A6FB6" w:rsidP="006A6FB6">
            <w:pPr>
              <w:spacing w:line="280" w:lineRule="exact"/>
              <w:jc w:val="right"/>
            </w:pPr>
            <w:r w:rsidRPr="008804F0">
              <w:rPr>
                <w:rFonts w:eastAsia="Times New Roman"/>
                <w:color w:val="000000"/>
                <w:sz w:val="18"/>
                <w:szCs w:val="18"/>
                <w:lang w:eastAsia="en-GB"/>
              </w:rPr>
              <w:t>83.7 (28.26)</w:t>
            </w:r>
          </w:p>
        </w:tc>
        <w:tc>
          <w:tcPr>
            <w:tcW w:w="725" w:type="pct"/>
            <w:shd w:val="clear" w:color="auto" w:fill="F2F2F2" w:themeFill="background1" w:themeFillShade="F2"/>
            <w:vAlign w:val="center"/>
          </w:tcPr>
          <w:p w14:paraId="57DB9767" w14:textId="77777777" w:rsidR="006A6FB6" w:rsidRDefault="006A6FB6" w:rsidP="006A6FB6">
            <w:pPr>
              <w:spacing w:line="280" w:lineRule="exact"/>
              <w:jc w:val="right"/>
            </w:pPr>
            <w:r w:rsidRPr="008804F0">
              <w:rPr>
                <w:rFonts w:eastAsia="Times New Roman"/>
                <w:color w:val="000000"/>
                <w:sz w:val="18"/>
                <w:szCs w:val="18"/>
                <w:lang w:eastAsia="en-GB"/>
              </w:rPr>
              <w:t>86.96 (27.17)</w:t>
            </w:r>
          </w:p>
        </w:tc>
        <w:tc>
          <w:tcPr>
            <w:tcW w:w="701" w:type="pct"/>
            <w:shd w:val="clear" w:color="auto" w:fill="F2F2F2" w:themeFill="background1" w:themeFillShade="F2"/>
            <w:vAlign w:val="center"/>
          </w:tcPr>
          <w:p w14:paraId="1E4C2ADA" w14:textId="77777777" w:rsidR="006A6FB6" w:rsidRDefault="006A6FB6" w:rsidP="006A6FB6">
            <w:pPr>
              <w:spacing w:line="280" w:lineRule="exact"/>
              <w:jc w:val="right"/>
            </w:pPr>
            <w:r w:rsidRPr="008804F0">
              <w:rPr>
                <w:rFonts w:eastAsia="Times New Roman"/>
                <w:color w:val="000000"/>
                <w:sz w:val="18"/>
                <w:szCs w:val="18"/>
                <w:lang w:eastAsia="en-GB"/>
              </w:rPr>
              <w:t>91.85 (27.17)</w:t>
            </w:r>
          </w:p>
        </w:tc>
        <w:tc>
          <w:tcPr>
            <w:tcW w:w="702" w:type="pct"/>
            <w:shd w:val="clear" w:color="auto" w:fill="F2F2F2" w:themeFill="background1" w:themeFillShade="F2"/>
            <w:vAlign w:val="center"/>
          </w:tcPr>
          <w:p w14:paraId="6B14BE44" w14:textId="77777777" w:rsidR="006A6FB6" w:rsidRDefault="006A6FB6" w:rsidP="006A6FB6">
            <w:pPr>
              <w:spacing w:line="280" w:lineRule="exact"/>
              <w:jc w:val="right"/>
            </w:pPr>
            <w:r w:rsidRPr="008804F0">
              <w:rPr>
                <w:rFonts w:eastAsia="Times New Roman"/>
                <w:color w:val="000000"/>
                <w:sz w:val="18"/>
                <w:szCs w:val="18"/>
                <w:lang w:eastAsia="en-GB"/>
              </w:rPr>
              <w:t>90.76 (20.65)</w:t>
            </w:r>
          </w:p>
        </w:tc>
      </w:tr>
      <w:tr w:rsidR="006A6FB6" w14:paraId="0A2F1573" w14:textId="77777777" w:rsidTr="006A6FB6">
        <w:tc>
          <w:tcPr>
            <w:tcW w:w="877" w:type="pct"/>
            <w:tcBorders>
              <w:bottom w:val="single" w:sz="4" w:space="0" w:color="auto"/>
            </w:tcBorders>
            <w:shd w:val="clear" w:color="auto" w:fill="F2F2F2" w:themeFill="background1" w:themeFillShade="F2"/>
            <w:vAlign w:val="bottom"/>
          </w:tcPr>
          <w:p w14:paraId="069F12D0" w14:textId="77777777" w:rsidR="006A6FB6" w:rsidRDefault="006A6FB6" w:rsidP="006A6FB6">
            <w:pPr>
              <w:spacing w:line="280" w:lineRule="exact"/>
            </w:pPr>
            <w:r>
              <w:rPr>
                <w:rFonts w:eastAsia="Times New Roman"/>
                <w:color w:val="000000"/>
                <w:sz w:val="18"/>
                <w:szCs w:val="18"/>
                <w:lang w:eastAsia="en-GB"/>
              </w:rPr>
              <w:t xml:space="preserve">   </w:t>
            </w:r>
            <w:r w:rsidRPr="00355303">
              <w:rPr>
                <w:rFonts w:eastAsia="Times New Roman"/>
                <w:color w:val="000000"/>
                <w:sz w:val="18"/>
                <w:szCs w:val="18"/>
                <w:lang w:eastAsia="en-GB"/>
              </w:rPr>
              <w:t>Range</w:t>
            </w:r>
          </w:p>
        </w:tc>
        <w:tc>
          <w:tcPr>
            <w:tcW w:w="614" w:type="pct"/>
            <w:tcBorders>
              <w:bottom w:val="single" w:sz="4" w:space="0" w:color="auto"/>
            </w:tcBorders>
            <w:shd w:val="clear" w:color="auto" w:fill="F2F2F2" w:themeFill="background1" w:themeFillShade="F2"/>
            <w:vAlign w:val="center"/>
          </w:tcPr>
          <w:p w14:paraId="1FA15EED" w14:textId="77777777" w:rsidR="006A6FB6" w:rsidRDefault="006A6FB6" w:rsidP="006A6FB6">
            <w:pPr>
              <w:spacing w:line="280" w:lineRule="exact"/>
              <w:jc w:val="right"/>
            </w:pPr>
            <w:r w:rsidRPr="008804F0">
              <w:rPr>
                <w:rFonts w:eastAsia="Times New Roman"/>
                <w:color w:val="000000"/>
                <w:sz w:val="18"/>
                <w:szCs w:val="18"/>
                <w:lang w:eastAsia="en-GB"/>
              </w:rPr>
              <w:t>42.39, 97.83</w:t>
            </w:r>
          </w:p>
        </w:tc>
        <w:tc>
          <w:tcPr>
            <w:tcW w:w="702" w:type="pct"/>
            <w:tcBorders>
              <w:bottom w:val="single" w:sz="4" w:space="0" w:color="auto"/>
            </w:tcBorders>
            <w:shd w:val="clear" w:color="auto" w:fill="F2F2F2" w:themeFill="background1" w:themeFillShade="F2"/>
            <w:vAlign w:val="center"/>
          </w:tcPr>
          <w:p w14:paraId="0CC367C4" w14:textId="77777777" w:rsidR="006A6FB6" w:rsidRDefault="006A6FB6" w:rsidP="006A6FB6">
            <w:pPr>
              <w:spacing w:line="280" w:lineRule="exact"/>
              <w:jc w:val="right"/>
            </w:pPr>
            <w:r w:rsidRPr="008804F0">
              <w:rPr>
                <w:rFonts w:eastAsia="Times New Roman"/>
                <w:color w:val="000000"/>
                <w:sz w:val="18"/>
                <w:szCs w:val="18"/>
                <w:lang w:eastAsia="en-GB"/>
              </w:rPr>
              <w:t>41.3, 100</w:t>
            </w:r>
          </w:p>
        </w:tc>
        <w:tc>
          <w:tcPr>
            <w:tcW w:w="679" w:type="pct"/>
            <w:tcBorders>
              <w:bottom w:val="single" w:sz="4" w:space="0" w:color="auto"/>
            </w:tcBorders>
            <w:shd w:val="clear" w:color="auto" w:fill="F2F2F2" w:themeFill="background1" w:themeFillShade="F2"/>
            <w:vAlign w:val="center"/>
          </w:tcPr>
          <w:p w14:paraId="3F70907C" w14:textId="77777777" w:rsidR="006A6FB6" w:rsidRDefault="006A6FB6" w:rsidP="006A6FB6">
            <w:pPr>
              <w:spacing w:line="280" w:lineRule="exact"/>
              <w:jc w:val="right"/>
            </w:pPr>
            <w:r w:rsidRPr="008804F0">
              <w:rPr>
                <w:rFonts w:eastAsia="Times New Roman"/>
                <w:color w:val="000000"/>
                <w:sz w:val="18"/>
                <w:szCs w:val="18"/>
                <w:lang w:eastAsia="en-GB"/>
              </w:rPr>
              <w:t>21.74, 100</w:t>
            </w:r>
          </w:p>
        </w:tc>
        <w:tc>
          <w:tcPr>
            <w:tcW w:w="725" w:type="pct"/>
            <w:tcBorders>
              <w:bottom w:val="single" w:sz="4" w:space="0" w:color="auto"/>
            </w:tcBorders>
            <w:shd w:val="clear" w:color="auto" w:fill="F2F2F2" w:themeFill="background1" w:themeFillShade="F2"/>
            <w:vAlign w:val="center"/>
          </w:tcPr>
          <w:p w14:paraId="5C63CD6C" w14:textId="77777777" w:rsidR="006A6FB6" w:rsidRDefault="006A6FB6" w:rsidP="006A6FB6">
            <w:pPr>
              <w:spacing w:line="280" w:lineRule="exact"/>
              <w:jc w:val="right"/>
            </w:pPr>
            <w:r w:rsidRPr="008804F0">
              <w:rPr>
                <w:rFonts w:eastAsia="Times New Roman"/>
                <w:color w:val="000000"/>
                <w:sz w:val="18"/>
                <w:szCs w:val="18"/>
                <w:lang w:eastAsia="en-GB"/>
              </w:rPr>
              <w:t>33.7, 100</w:t>
            </w:r>
          </w:p>
        </w:tc>
        <w:tc>
          <w:tcPr>
            <w:tcW w:w="701" w:type="pct"/>
            <w:tcBorders>
              <w:bottom w:val="single" w:sz="4" w:space="0" w:color="auto"/>
            </w:tcBorders>
            <w:shd w:val="clear" w:color="auto" w:fill="F2F2F2" w:themeFill="background1" w:themeFillShade="F2"/>
            <w:vAlign w:val="center"/>
          </w:tcPr>
          <w:p w14:paraId="7BCC830B" w14:textId="77777777" w:rsidR="006A6FB6" w:rsidRDefault="006A6FB6" w:rsidP="006A6FB6">
            <w:pPr>
              <w:spacing w:line="280" w:lineRule="exact"/>
              <w:jc w:val="right"/>
            </w:pPr>
            <w:r w:rsidRPr="008804F0">
              <w:rPr>
                <w:rFonts w:eastAsia="Times New Roman"/>
                <w:color w:val="000000"/>
                <w:sz w:val="18"/>
                <w:szCs w:val="18"/>
                <w:lang w:eastAsia="en-GB"/>
              </w:rPr>
              <w:t>40.22, 100</w:t>
            </w:r>
          </w:p>
        </w:tc>
        <w:tc>
          <w:tcPr>
            <w:tcW w:w="702" w:type="pct"/>
            <w:tcBorders>
              <w:bottom w:val="single" w:sz="4" w:space="0" w:color="auto"/>
            </w:tcBorders>
            <w:shd w:val="clear" w:color="auto" w:fill="F2F2F2" w:themeFill="background1" w:themeFillShade="F2"/>
            <w:vAlign w:val="center"/>
          </w:tcPr>
          <w:p w14:paraId="6FCC42E4" w14:textId="77777777" w:rsidR="006A6FB6" w:rsidRDefault="006A6FB6" w:rsidP="006A6FB6">
            <w:pPr>
              <w:spacing w:line="280" w:lineRule="exact"/>
              <w:jc w:val="right"/>
            </w:pPr>
            <w:r w:rsidRPr="008804F0">
              <w:rPr>
                <w:rFonts w:eastAsia="Times New Roman"/>
                <w:color w:val="000000"/>
                <w:sz w:val="18"/>
                <w:szCs w:val="18"/>
                <w:lang w:eastAsia="en-GB"/>
              </w:rPr>
              <w:t>29.35, 100</w:t>
            </w:r>
          </w:p>
        </w:tc>
      </w:tr>
    </w:tbl>
    <w:p w14:paraId="6753DD58" w14:textId="77777777" w:rsidR="006A6FB6" w:rsidRPr="006A6FB6" w:rsidRDefault="006A6FB6" w:rsidP="006A6FB6">
      <w:pPr>
        <w:spacing w:after="0" w:line="240" w:lineRule="auto"/>
        <w:ind w:left="-720"/>
        <w:rPr>
          <w:rFonts w:eastAsiaTheme="minorEastAsia"/>
          <w:sz w:val="18"/>
          <w:szCs w:val="18"/>
        </w:rPr>
      </w:pPr>
      <w:r>
        <w:rPr>
          <w:rFonts w:eastAsiaTheme="minorEastAsia"/>
          <w:sz w:val="18"/>
          <w:szCs w:val="18"/>
        </w:rPr>
        <w:t xml:space="preserve">CHU-9D, </w:t>
      </w:r>
      <w:r w:rsidRPr="0071308C">
        <w:rPr>
          <w:rFonts w:eastAsiaTheme="minorEastAsia"/>
          <w:sz w:val="18"/>
          <w:szCs w:val="18"/>
        </w:rPr>
        <w:t>child health utility index-9 dimension</w:t>
      </w:r>
      <w:r>
        <w:rPr>
          <w:rFonts w:eastAsiaTheme="minorEastAsia"/>
          <w:sz w:val="18"/>
          <w:szCs w:val="18"/>
        </w:rPr>
        <w:t xml:space="preserve">; </w:t>
      </w:r>
      <w:r w:rsidRPr="00C922FE">
        <w:rPr>
          <w:rFonts w:eastAsiaTheme="minorEastAsia"/>
          <w:noProof/>
          <w:sz w:val="18"/>
          <w:szCs w:val="18"/>
        </w:rPr>
        <w:t>PedsQL;</w:t>
      </w:r>
      <w:r>
        <w:rPr>
          <w:rFonts w:eastAsiaTheme="minorEastAsia"/>
          <w:sz w:val="18"/>
          <w:szCs w:val="18"/>
        </w:rPr>
        <w:t xml:space="preserve"> </w:t>
      </w:r>
      <w:r w:rsidRPr="00C922FE">
        <w:rPr>
          <w:rFonts w:eastAsiaTheme="minorEastAsia"/>
          <w:noProof/>
          <w:sz w:val="18"/>
          <w:szCs w:val="18"/>
        </w:rPr>
        <w:t>PedsQL,</w:t>
      </w:r>
      <w:r>
        <w:rPr>
          <w:rFonts w:eastAsiaTheme="minorEastAsia"/>
          <w:sz w:val="18"/>
          <w:szCs w:val="18"/>
        </w:rPr>
        <w:t xml:space="preserve"> </w:t>
      </w:r>
      <w:r w:rsidRPr="0071308C">
        <w:rPr>
          <w:rFonts w:eastAsiaTheme="minorEastAsia"/>
          <w:sz w:val="18"/>
          <w:szCs w:val="18"/>
        </w:rPr>
        <w:t>paediatric Quality of life generic core scale</w:t>
      </w:r>
    </w:p>
    <w:p w14:paraId="367F66D9" w14:textId="77777777" w:rsidR="006A6FB6" w:rsidRDefault="006A6FB6" w:rsidP="006A6FB6">
      <w:pPr>
        <w:spacing w:after="0"/>
      </w:pPr>
    </w:p>
    <w:p w14:paraId="50996A33" w14:textId="77777777" w:rsidR="006A6FB6" w:rsidRDefault="006A6FB6" w:rsidP="006A6FB6">
      <w:pPr>
        <w:spacing w:after="0"/>
      </w:pPr>
    </w:p>
    <w:p w14:paraId="133D685A" w14:textId="5B91A3AB" w:rsidR="006A6FB6" w:rsidRDefault="006A6FB6" w:rsidP="006A6FB6">
      <w:pPr>
        <w:spacing w:after="0"/>
      </w:pPr>
      <w:r w:rsidRPr="004F7D0B">
        <w:t xml:space="preserve">The randomisation </w:t>
      </w:r>
      <w:r w:rsidR="000A55F6">
        <w:t>yielded</w:t>
      </w:r>
      <w:r w:rsidR="000A55F6" w:rsidRPr="004F7D0B">
        <w:t xml:space="preserve"> </w:t>
      </w:r>
      <w:r w:rsidRPr="004F7D0B">
        <w:t>a balanced distribution of demographic characteristics between the estimation and the validation sample (</w:t>
      </w:r>
      <w:r w:rsidRPr="004F7D0B">
        <w:fldChar w:fldCharType="begin"/>
      </w:r>
      <w:r w:rsidRPr="004F7D0B">
        <w:instrText xml:space="preserve"> REF _Ref474766118 \h  \* MERGEFORMAT </w:instrText>
      </w:r>
      <w:r w:rsidRPr="004F7D0B">
        <w:fldChar w:fldCharType="separate"/>
      </w:r>
      <w:r w:rsidR="00BF04FD" w:rsidRPr="00355303">
        <w:t xml:space="preserve">Table </w:t>
      </w:r>
      <w:r w:rsidR="00BF04FD">
        <w:t>1</w:t>
      </w:r>
      <w:r w:rsidRPr="004F7D0B">
        <w:fldChar w:fldCharType="end"/>
      </w:r>
      <w:r w:rsidRPr="004F7D0B">
        <w:t>).</w:t>
      </w:r>
      <w:r>
        <w:t xml:space="preserve"> </w:t>
      </w:r>
      <w:r w:rsidRPr="00816CDB">
        <w:t xml:space="preserve">The mean CHU-9D utility score was 0.93742 (SD = 0.07897) and 0.94094 (SD = 0.07173) for all observations </w:t>
      </w:r>
      <w:r w:rsidR="000D7F00">
        <w:t>with</w:t>
      </w:r>
      <w:r w:rsidRPr="00816CDB">
        <w:t>in the estimation and validation sample</w:t>
      </w:r>
      <w:r>
        <w:t xml:space="preserve"> respectively. The</w:t>
      </w:r>
      <w:r w:rsidRPr="00816CDB">
        <w:t xml:space="preserve"> mean PedsQL™ score was 80.93 (SD = 16.76) </w:t>
      </w:r>
      <w:r w:rsidR="000D7F00">
        <w:t>with</w:t>
      </w:r>
      <w:r w:rsidRPr="00816CDB">
        <w:t>in the estimation sample and 80.31 (SD = 17.79)</w:t>
      </w:r>
      <w:r w:rsidRPr="00094279">
        <w:t xml:space="preserve"> </w:t>
      </w:r>
      <w:r w:rsidR="000D7F00">
        <w:t>with</w:t>
      </w:r>
      <w:r w:rsidRPr="00094279">
        <w:t xml:space="preserve">in the validation sample. Within each sample, the mean PedsQL™ total score was lower than the mean CHU-9D utility score when both scores </w:t>
      </w:r>
      <w:r w:rsidRPr="001F0125">
        <w:rPr>
          <w:noProof/>
        </w:rPr>
        <w:t>were standardised</w:t>
      </w:r>
      <w:r w:rsidRPr="00094279">
        <w:t xml:space="preserve"> on a 100-point scale. </w:t>
      </w:r>
      <w:r>
        <w:t xml:space="preserve">Although both </w:t>
      </w:r>
      <w:r w:rsidR="005A705A">
        <w:t>HRQoL</w:t>
      </w:r>
      <w:r w:rsidRPr="00094279">
        <w:t xml:space="preserve"> measures were negatively skewed</w:t>
      </w:r>
      <w:r w:rsidR="0065538A">
        <w:t xml:space="preserve"> (Fig. 1)</w:t>
      </w:r>
      <w:r w:rsidRPr="00094279">
        <w:t>, the ceiling effect was more prom</w:t>
      </w:r>
      <w:r>
        <w:t xml:space="preserve">inent with </w:t>
      </w:r>
      <w:r w:rsidR="000D7F00">
        <w:t xml:space="preserve">the </w:t>
      </w:r>
      <w:r>
        <w:t>CHU-9D</w:t>
      </w:r>
      <w:r w:rsidRPr="00094279">
        <w:t>. Level 1 or “no problem” always had the highest proportion of respons</w:t>
      </w:r>
      <w:r w:rsidR="000D7F00">
        <w:t>es</w:t>
      </w:r>
      <w:r w:rsidRPr="00094279">
        <w:t>.</w:t>
      </w:r>
      <w:r w:rsidR="000D7F00">
        <w:t xml:space="preserve"> For more details on</w:t>
      </w:r>
      <w:r>
        <w:t xml:space="preserve"> the CHU-</w:t>
      </w:r>
      <w:r w:rsidR="000D7F00">
        <w:t xml:space="preserve">9D </w:t>
      </w:r>
      <w:r w:rsidR="000D7F00" w:rsidRPr="00D41833">
        <w:rPr>
          <w:noProof/>
        </w:rPr>
        <w:t>responses</w:t>
      </w:r>
      <w:r w:rsidR="000D7F00">
        <w:t xml:space="preserve"> please refer to</w:t>
      </w:r>
      <w:r>
        <w:t xml:space="preserve"> </w:t>
      </w:r>
      <w:r w:rsidR="000D7F00">
        <w:t xml:space="preserve">the </w:t>
      </w:r>
      <w:r>
        <w:t>online supplementary material.</w:t>
      </w:r>
    </w:p>
    <w:p w14:paraId="631E0E4C" w14:textId="77777777" w:rsidR="006A6FB6" w:rsidRDefault="006A6FB6" w:rsidP="006A6FB6">
      <w:pPr>
        <w:spacing w:after="0"/>
      </w:pPr>
    </w:p>
    <w:p w14:paraId="5340F4A7" w14:textId="1C2AE663" w:rsidR="006A6FB6" w:rsidRDefault="006A6FB6" w:rsidP="006A6FB6">
      <w:pPr>
        <w:keepNext/>
        <w:spacing w:after="240"/>
      </w:pPr>
    </w:p>
    <w:p w14:paraId="06E8259F" w14:textId="717D7476" w:rsidR="006A6FB6" w:rsidRPr="00AD6208" w:rsidRDefault="006A6FB6" w:rsidP="006A6FB6">
      <w:pPr>
        <w:pStyle w:val="Caption"/>
      </w:pPr>
      <w:r>
        <w:t>Fig</w:t>
      </w:r>
      <w:r w:rsidR="003F54E5">
        <w:t>.</w:t>
      </w:r>
      <w:r>
        <w:t xml:space="preserve"> </w:t>
      </w:r>
      <w:fldSimple w:instr=" SEQ Fig \* ARABIC ">
        <w:r w:rsidR="00BF04FD">
          <w:rPr>
            <w:noProof/>
          </w:rPr>
          <w:t>1</w:t>
        </w:r>
      </w:fldSimple>
      <w:r>
        <w:t xml:space="preserve"> </w:t>
      </w:r>
      <w:r w:rsidRPr="003F54E5">
        <w:rPr>
          <w:b w:val="0"/>
        </w:rPr>
        <w:t>Kernel density plots of CHU-9D utilities and PedsQL™ total scores for the estimation and validation data</w:t>
      </w:r>
    </w:p>
    <w:p w14:paraId="4CC2AAC4" w14:textId="77777777" w:rsidR="006A6FB6" w:rsidRDefault="006A6FB6" w:rsidP="00102970">
      <w:pPr>
        <w:spacing w:after="240"/>
        <w:rPr>
          <w:rFonts w:eastAsiaTheme="minorEastAsia"/>
          <w:sz w:val="24"/>
          <w:szCs w:val="24"/>
        </w:rPr>
      </w:pPr>
    </w:p>
    <w:p w14:paraId="1317656F" w14:textId="56CE6F08" w:rsidR="006A6FB6" w:rsidRPr="003D5D24" w:rsidRDefault="006A6FB6" w:rsidP="00102970">
      <w:pPr>
        <w:spacing w:after="240"/>
        <w:rPr>
          <w:rFonts w:eastAsiaTheme="minorEastAsia"/>
        </w:rPr>
      </w:pPr>
      <w:r w:rsidRPr="003D5D24">
        <w:rPr>
          <w:rFonts w:eastAsiaTheme="minorEastAsia"/>
        </w:rPr>
        <w:t>Th</w:t>
      </w:r>
      <w:r w:rsidR="000D7F00" w:rsidRPr="003D5D24">
        <w:rPr>
          <w:rFonts w:eastAsiaTheme="minorEastAsia"/>
        </w:rPr>
        <w:t>ere was a moderate statistical</w:t>
      </w:r>
      <w:r w:rsidRPr="003D5D24">
        <w:rPr>
          <w:rFonts w:eastAsiaTheme="minorEastAsia"/>
        </w:rPr>
        <w:t xml:space="preserve"> correlation between </w:t>
      </w:r>
      <w:r w:rsidR="000D7F00" w:rsidRPr="003D5D24">
        <w:rPr>
          <w:rFonts w:eastAsiaTheme="minorEastAsia"/>
        </w:rPr>
        <w:t xml:space="preserve">the </w:t>
      </w:r>
      <w:r w:rsidRPr="003D5D24">
        <w:rPr>
          <w:rFonts w:eastAsiaTheme="minorEastAsia"/>
        </w:rPr>
        <w:t xml:space="preserve">CHU-9D utility scores and PedsQL™ total scores (Spearman’s rho=0.530; </w:t>
      </w:r>
      <w:r w:rsidRPr="003D5D24">
        <w:rPr>
          <w:rFonts w:eastAsiaTheme="minorEastAsia"/>
          <w:i/>
        </w:rPr>
        <w:t>p</w:t>
      </w:r>
      <w:r w:rsidRPr="003D5D24">
        <w:rPr>
          <w:rFonts w:eastAsiaTheme="minorEastAsia"/>
        </w:rPr>
        <w:t xml:space="preserve">&lt;0.0001). The correlation between CHU-9D utility score and physical, emotional, school and social functioning were 0.438, 0.585, 0.377 and 0.422 respectively. The </w:t>
      </w:r>
      <w:r w:rsidRPr="003D5D24">
        <w:rPr>
          <w:rFonts w:eastAsiaTheme="minorEastAsia"/>
          <w:noProof/>
        </w:rPr>
        <w:t>Spearman</w:t>
      </w:r>
      <w:r w:rsidRPr="003D5D24">
        <w:rPr>
          <w:rFonts w:eastAsiaTheme="minorEastAsia"/>
        </w:rPr>
        <w:t xml:space="preserve"> correlation coefficient between the CHU-9D dimensions and PedsQL™ subscale scores/functions ranged from -0.0672 and -0.4523. All correlations were statistically significant (</w:t>
      </w:r>
      <w:r w:rsidRPr="003D5D24">
        <w:rPr>
          <w:rFonts w:eastAsiaTheme="minorEastAsia"/>
          <w:i/>
        </w:rPr>
        <w:t>p</w:t>
      </w:r>
      <w:r w:rsidRPr="003D5D24">
        <w:rPr>
          <w:rFonts w:eastAsiaTheme="minorEastAsia"/>
        </w:rPr>
        <w:t>&lt;0.0001).</w:t>
      </w:r>
    </w:p>
    <w:p w14:paraId="5267CF8D" w14:textId="77777777" w:rsidR="00102970" w:rsidRPr="00094279" w:rsidRDefault="00102970" w:rsidP="00DB6A0E">
      <w:pPr>
        <w:pStyle w:val="Heading3"/>
      </w:pPr>
      <w:bookmarkStart w:id="16" w:name="_Toc476041063"/>
      <w:bookmarkStart w:id="17" w:name="_Toc478982332"/>
      <w:r w:rsidRPr="00094279">
        <w:t>Performance and validation</w:t>
      </w:r>
      <w:bookmarkEnd w:id="16"/>
      <w:bookmarkEnd w:id="17"/>
    </w:p>
    <w:p w14:paraId="73923660" w14:textId="0D166C12" w:rsidR="00102970" w:rsidRPr="003D5D24" w:rsidRDefault="006A6FB6" w:rsidP="00102970">
      <w:pPr>
        <w:spacing w:after="240"/>
      </w:pPr>
      <w:r>
        <w:fldChar w:fldCharType="begin"/>
      </w:r>
      <w:r>
        <w:instrText xml:space="preserve"> REF _Ref481065719 \h </w:instrText>
      </w:r>
      <w:r>
        <w:fldChar w:fldCharType="separate"/>
      </w:r>
      <w:r w:rsidR="00BF04FD">
        <w:t xml:space="preserve">Table </w:t>
      </w:r>
      <w:r w:rsidR="00BF04FD">
        <w:rPr>
          <w:noProof/>
        </w:rPr>
        <w:t>2</w:t>
      </w:r>
      <w:r>
        <w:fldChar w:fldCharType="end"/>
      </w:r>
      <w:r>
        <w:t xml:space="preserve"> </w:t>
      </w:r>
      <w:r w:rsidR="00102970" w:rsidRPr="003D5D24">
        <w:t>summarises the performance measures for all the model specifications, for both the estimation and the validation sample. Within the estimation sample, the models were able to reasonably predict the mean CHU9D value (0.93742; SD = 0.07898). Of the eighteen models, twelve were able to predict the precise mean value by up to one-ten-</w:t>
      </w:r>
      <w:r w:rsidRPr="003D5D24">
        <w:t>thousandth</w:t>
      </w:r>
      <w:r w:rsidR="00DE1B98" w:rsidRPr="003D5D24">
        <w:t xml:space="preserve"> of a utility value</w:t>
      </w:r>
      <w:r w:rsidR="00844AB2" w:rsidRPr="003D5D24">
        <w:t>, and were therefore shortlisted for the next selection process</w:t>
      </w:r>
      <w:r w:rsidR="00102970" w:rsidRPr="003D5D24">
        <w:t xml:space="preserve">. The exceptions were the six Tobit models. Within the validation </w:t>
      </w:r>
      <w:r w:rsidR="00102970" w:rsidRPr="003D5D24">
        <w:rPr>
          <w:noProof/>
        </w:rPr>
        <w:t>sample</w:t>
      </w:r>
      <w:r w:rsidR="00102970" w:rsidRPr="003D5D24">
        <w:t xml:space="preserve"> however, the models were less able </w:t>
      </w:r>
      <w:r w:rsidR="008568B0" w:rsidRPr="003D5D24">
        <w:t>to predict the mean CHU-9D score</w:t>
      </w:r>
      <w:r w:rsidR="00102970" w:rsidRPr="003D5D24">
        <w:t xml:space="preserve"> (0.94094</w:t>
      </w:r>
      <w:r w:rsidR="008568B0" w:rsidRPr="003D5D24">
        <w:t>; SD = 0.07174). The GLM_2 had the l</w:t>
      </w:r>
      <w:r w:rsidR="00102970" w:rsidRPr="003D5D24">
        <w:t xml:space="preserve">owest mean predicted value (0.93409) while Tobit_3 had the highest mean predicted value (0.96575) giving a difference between the observed and predicted mean values of 0.0069 and 0.0245, respectively. These differences were below the threshold of 0.03  - </w:t>
      </w:r>
      <w:r w:rsidR="00102970" w:rsidRPr="003D5D24">
        <w:rPr>
          <w:noProof/>
        </w:rPr>
        <w:t>generally</w:t>
      </w:r>
      <w:r w:rsidR="00102970" w:rsidRPr="003D5D24">
        <w:t xml:space="preserve"> considered to be </w:t>
      </w:r>
      <w:r w:rsidR="00102970" w:rsidRPr="000D7F00">
        <w:rPr>
          <w:sz w:val="24"/>
          <w:szCs w:val="24"/>
        </w:rPr>
        <w:t xml:space="preserve">a minimally important difference </w:t>
      </w:r>
      <w:r w:rsidR="00102970" w:rsidRPr="000D7F00">
        <w:rPr>
          <w:sz w:val="24"/>
          <w:szCs w:val="24"/>
        </w:rPr>
        <w:fldChar w:fldCharType="begin"/>
      </w:r>
      <w:r w:rsidR="00102970" w:rsidRPr="000D7F00">
        <w:rPr>
          <w:sz w:val="24"/>
          <w:szCs w:val="24"/>
        </w:rPr>
        <w:instrText>ADDIN RW.CITE{{1141 Drummond, Michael 2001; 1142 Marra, Carlo A 2005}}</w:instrText>
      </w:r>
      <w:r w:rsidR="00102970" w:rsidRPr="000D7F00">
        <w:rPr>
          <w:sz w:val="24"/>
          <w:szCs w:val="24"/>
        </w:rPr>
        <w:fldChar w:fldCharType="separate"/>
      </w:r>
      <w:r w:rsidR="00250A10">
        <w:rPr>
          <w:sz w:val="24"/>
          <w:szCs w:val="24"/>
        </w:rPr>
        <w:t>[38, 39]</w:t>
      </w:r>
      <w:r w:rsidR="00102970" w:rsidRPr="000D7F00">
        <w:rPr>
          <w:sz w:val="24"/>
          <w:szCs w:val="24"/>
        </w:rPr>
        <w:fldChar w:fldCharType="end"/>
      </w:r>
      <w:r w:rsidR="00102970" w:rsidRPr="000D7F00">
        <w:rPr>
          <w:sz w:val="24"/>
          <w:szCs w:val="24"/>
        </w:rPr>
        <w:t xml:space="preserve">. </w:t>
      </w:r>
      <w:r w:rsidR="00102970" w:rsidRPr="003D5D24">
        <w:t xml:space="preserve">A further observation was </w:t>
      </w:r>
      <w:r w:rsidR="00102970" w:rsidRPr="003D5D24">
        <w:lastRenderedPageBreak/>
        <w:t>that some OLS models and all the Tobit models had maximum predicted values beyond the upper limit of the CHU-9D utility scale (0.33 to 1.00). However, none of the models predicted a utility val</w:t>
      </w:r>
      <w:r w:rsidR="00AD77DA" w:rsidRPr="003D5D24">
        <w:t xml:space="preserve">ue below the lower limit of the </w:t>
      </w:r>
      <w:r w:rsidR="00102970" w:rsidRPr="003D5D24">
        <w:t>CHU-9D utility scale.</w:t>
      </w:r>
    </w:p>
    <w:p w14:paraId="40BF5FD1" w14:textId="77777777" w:rsidR="006A6FB6" w:rsidRDefault="006A6FB6" w:rsidP="00B83400">
      <w:pPr>
        <w:pStyle w:val="CaptionTable"/>
        <w:rPr>
          <w:rFonts w:ascii="Times New Roman" w:hAnsi="Times New Roman"/>
        </w:rPr>
        <w:sectPr w:rsidR="006A6FB6" w:rsidSect="00C81EE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lnNumType w:countBy="1"/>
          <w:cols w:space="708"/>
          <w:docGrid w:linePitch="360"/>
        </w:sectPr>
      </w:pPr>
      <w:bookmarkStart w:id="18" w:name="_Ref474922638"/>
      <w:bookmarkStart w:id="19" w:name="_Toc479177096"/>
    </w:p>
    <w:p w14:paraId="39B971D3" w14:textId="32FDDC04" w:rsidR="006A6FB6" w:rsidRDefault="006A6FB6" w:rsidP="006A6FB6">
      <w:pPr>
        <w:pStyle w:val="Caption"/>
      </w:pPr>
    </w:p>
    <w:tbl>
      <w:tblPr>
        <w:tblW w:w="5216" w:type="pct"/>
        <w:tblInd w:w="-612" w:type="dxa"/>
        <w:tblLayout w:type="fixed"/>
        <w:tblLook w:val="04A0" w:firstRow="1" w:lastRow="0" w:firstColumn="1" w:lastColumn="0" w:noHBand="0" w:noVBand="1"/>
      </w:tblPr>
      <w:tblGrid>
        <w:gridCol w:w="1078"/>
        <w:gridCol w:w="1801"/>
        <w:gridCol w:w="899"/>
        <w:gridCol w:w="899"/>
        <w:gridCol w:w="902"/>
        <w:gridCol w:w="899"/>
        <w:gridCol w:w="899"/>
        <w:gridCol w:w="902"/>
        <w:gridCol w:w="237"/>
        <w:gridCol w:w="1742"/>
        <w:gridCol w:w="902"/>
        <w:gridCol w:w="899"/>
        <w:gridCol w:w="902"/>
        <w:gridCol w:w="899"/>
        <w:gridCol w:w="926"/>
      </w:tblGrid>
      <w:tr w:rsidR="00844AB2" w:rsidRPr="008804F0" w14:paraId="1084CB5B" w14:textId="13B86C6F" w:rsidTr="00844AB2">
        <w:trPr>
          <w:trHeight w:val="300"/>
        </w:trPr>
        <w:tc>
          <w:tcPr>
            <w:tcW w:w="4687" w:type="pct"/>
            <w:gridSpan w:val="14"/>
            <w:tcBorders>
              <w:top w:val="nil"/>
              <w:left w:val="nil"/>
              <w:bottom w:val="nil"/>
              <w:right w:val="single" w:sz="4" w:space="0" w:color="auto"/>
            </w:tcBorders>
            <w:shd w:val="clear" w:color="000000" w:fill="000000"/>
            <w:noWrap/>
            <w:vAlign w:val="center"/>
            <w:hideMark/>
          </w:tcPr>
          <w:p w14:paraId="45E8D6CA" w14:textId="27D406C1" w:rsidR="00844AB2" w:rsidRPr="008804F0" w:rsidRDefault="00844AB2" w:rsidP="00B83400">
            <w:pPr>
              <w:pStyle w:val="CaptionTable"/>
              <w:rPr>
                <w:rFonts w:ascii="Times New Roman" w:hAnsi="Times New Roman"/>
                <w:color w:val="000000"/>
                <w:sz w:val="20"/>
                <w:szCs w:val="20"/>
              </w:rPr>
            </w:pPr>
            <w:bookmarkStart w:id="20" w:name="_Ref481065719"/>
            <w:bookmarkEnd w:id="18"/>
            <w:bookmarkEnd w:id="19"/>
            <w:r>
              <w:t xml:space="preserve">Table </w:t>
            </w:r>
            <w:fldSimple w:instr=" SEQ Table \* ARABIC ">
              <w:r w:rsidR="00BF04FD">
                <w:rPr>
                  <w:noProof/>
                </w:rPr>
                <w:t>2</w:t>
              </w:r>
            </w:fldSimple>
            <w:bookmarkEnd w:id="20"/>
            <w:r w:rsidR="003F54E5">
              <w:rPr>
                <w:rFonts w:ascii="Times New Roman" w:hAnsi="Times New Roman"/>
              </w:rPr>
              <w:t xml:space="preserve"> </w:t>
            </w:r>
            <w:r w:rsidRPr="008804F0">
              <w:rPr>
                <w:rFonts w:ascii="Times New Roman" w:hAnsi="Times New Roman"/>
              </w:rPr>
              <w:t xml:space="preserve"> </w:t>
            </w:r>
            <w:r w:rsidRPr="003F54E5">
              <w:rPr>
                <w:rFonts w:ascii="Times New Roman" w:hAnsi="Times New Roman"/>
                <w:b w:val="0"/>
              </w:rPr>
              <w:t>Performance of PedsQL™ to CHU-9D index score models in the estimation and validation samples</w:t>
            </w:r>
          </w:p>
        </w:tc>
        <w:tc>
          <w:tcPr>
            <w:tcW w:w="313" w:type="pct"/>
            <w:tcBorders>
              <w:top w:val="nil"/>
              <w:left w:val="single" w:sz="4" w:space="0" w:color="auto"/>
              <w:bottom w:val="nil"/>
              <w:right w:val="nil"/>
            </w:tcBorders>
            <w:shd w:val="clear" w:color="000000" w:fill="000000"/>
          </w:tcPr>
          <w:p w14:paraId="25249C97" w14:textId="77777777" w:rsidR="00844AB2" w:rsidRDefault="00844AB2" w:rsidP="00B83400">
            <w:pPr>
              <w:pStyle w:val="CaptionTable"/>
            </w:pPr>
          </w:p>
        </w:tc>
      </w:tr>
      <w:tr w:rsidR="00844AB2" w:rsidRPr="008804F0" w14:paraId="209BB546" w14:textId="08982486" w:rsidTr="0074056D">
        <w:trPr>
          <w:trHeight w:val="300"/>
        </w:trPr>
        <w:tc>
          <w:tcPr>
            <w:tcW w:w="365" w:type="pct"/>
            <w:vMerge w:val="restart"/>
            <w:tcBorders>
              <w:top w:val="nil"/>
              <w:left w:val="nil"/>
              <w:bottom w:val="single" w:sz="4" w:space="0" w:color="000000"/>
              <w:right w:val="nil"/>
            </w:tcBorders>
            <w:shd w:val="clear" w:color="000000" w:fill="F2F2F2"/>
            <w:vAlign w:val="center"/>
            <w:hideMark/>
          </w:tcPr>
          <w:p w14:paraId="517A1443" w14:textId="77777777" w:rsidR="00844AB2" w:rsidRPr="008804F0" w:rsidRDefault="00844AB2" w:rsidP="00B83400">
            <w:pPr>
              <w:spacing w:after="0" w:line="240" w:lineRule="auto"/>
              <w:rPr>
                <w:rFonts w:eastAsia="Times New Roman"/>
                <w:b/>
                <w:bCs/>
                <w:color w:val="000000"/>
                <w:sz w:val="19"/>
                <w:szCs w:val="19"/>
                <w:lang w:eastAsia="en-GB"/>
              </w:rPr>
            </w:pPr>
            <w:r w:rsidRPr="008804F0">
              <w:rPr>
                <w:rFonts w:eastAsia="Times New Roman"/>
                <w:b/>
                <w:bCs/>
                <w:color w:val="000000"/>
                <w:sz w:val="19"/>
                <w:szCs w:val="19"/>
                <w:lang w:eastAsia="en-GB"/>
              </w:rPr>
              <w:t> </w:t>
            </w:r>
          </w:p>
        </w:tc>
        <w:tc>
          <w:tcPr>
            <w:tcW w:w="2435" w:type="pct"/>
            <w:gridSpan w:val="7"/>
            <w:tcBorders>
              <w:top w:val="nil"/>
              <w:left w:val="nil"/>
              <w:bottom w:val="single" w:sz="4" w:space="0" w:color="auto"/>
              <w:right w:val="single" w:sz="4" w:space="0" w:color="000000"/>
            </w:tcBorders>
            <w:shd w:val="clear" w:color="000000" w:fill="F2F2F2"/>
            <w:noWrap/>
            <w:vAlign w:val="center"/>
            <w:hideMark/>
          </w:tcPr>
          <w:p w14:paraId="53681CA4" w14:textId="77777777" w:rsidR="00844AB2" w:rsidRPr="008804F0" w:rsidRDefault="00844AB2" w:rsidP="00B83400">
            <w:pPr>
              <w:spacing w:after="0" w:line="240" w:lineRule="auto"/>
              <w:jc w:val="center"/>
              <w:rPr>
                <w:rFonts w:eastAsia="Times New Roman"/>
                <w:b/>
                <w:bCs/>
                <w:color w:val="000000"/>
                <w:sz w:val="19"/>
                <w:szCs w:val="19"/>
                <w:lang w:eastAsia="en-GB"/>
              </w:rPr>
            </w:pPr>
            <w:r w:rsidRPr="008804F0">
              <w:rPr>
                <w:rFonts w:eastAsia="Times New Roman"/>
                <w:b/>
                <w:bCs/>
                <w:color w:val="000000"/>
                <w:sz w:val="19"/>
                <w:szCs w:val="19"/>
                <w:lang w:eastAsia="en-GB"/>
              </w:rPr>
              <w:t>Estimation Sample</w:t>
            </w:r>
          </w:p>
        </w:tc>
        <w:tc>
          <w:tcPr>
            <w:tcW w:w="80" w:type="pct"/>
            <w:tcBorders>
              <w:top w:val="nil"/>
              <w:left w:val="nil"/>
              <w:right w:val="single" w:sz="4" w:space="0" w:color="auto"/>
            </w:tcBorders>
            <w:shd w:val="clear" w:color="000000" w:fill="F2F2F2"/>
            <w:noWrap/>
            <w:vAlign w:val="center"/>
            <w:hideMark/>
          </w:tcPr>
          <w:p w14:paraId="5C1F924C" w14:textId="77777777" w:rsidR="00844AB2" w:rsidRPr="008804F0" w:rsidRDefault="00844AB2" w:rsidP="00B83400">
            <w:pPr>
              <w:spacing w:after="0" w:line="240" w:lineRule="auto"/>
              <w:rPr>
                <w:rFonts w:eastAsia="Times New Roman"/>
                <w:b/>
                <w:bCs/>
                <w:color w:val="000000"/>
                <w:sz w:val="19"/>
                <w:szCs w:val="19"/>
                <w:lang w:eastAsia="en-GB"/>
              </w:rPr>
            </w:pPr>
            <w:r w:rsidRPr="008804F0">
              <w:rPr>
                <w:rFonts w:eastAsia="Times New Roman"/>
                <w:b/>
                <w:bCs/>
                <w:color w:val="000000"/>
                <w:sz w:val="19"/>
                <w:szCs w:val="19"/>
                <w:lang w:eastAsia="en-GB"/>
              </w:rPr>
              <w:t> </w:t>
            </w:r>
          </w:p>
        </w:tc>
        <w:tc>
          <w:tcPr>
            <w:tcW w:w="1807" w:type="pct"/>
            <w:gridSpan w:val="5"/>
            <w:tcBorders>
              <w:top w:val="nil"/>
              <w:left w:val="nil"/>
              <w:bottom w:val="single" w:sz="4" w:space="0" w:color="auto"/>
              <w:right w:val="single" w:sz="4" w:space="0" w:color="auto"/>
            </w:tcBorders>
            <w:shd w:val="clear" w:color="000000" w:fill="F2F2F2"/>
            <w:noWrap/>
            <w:vAlign w:val="center"/>
            <w:hideMark/>
          </w:tcPr>
          <w:p w14:paraId="423C5BD4" w14:textId="77777777" w:rsidR="00844AB2" w:rsidRPr="008804F0" w:rsidRDefault="00844AB2" w:rsidP="00B83400">
            <w:pPr>
              <w:spacing w:after="0" w:line="240" w:lineRule="auto"/>
              <w:jc w:val="center"/>
              <w:rPr>
                <w:rFonts w:eastAsia="Times New Roman"/>
                <w:b/>
                <w:bCs/>
                <w:color w:val="000000"/>
                <w:sz w:val="19"/>
                <w:szCs w:val="19"/>
                <w:lang w:eastAsia="en-GB"/>
              </w:rPr>
            </w:pPr>
            <w:r w:rsidRPr="008804F0">
              <w:rPr>
                <w:rFonts w:eastAsia="Times New Roman"/>
                <w:b/>
                <w:bCs/>
                <w:color w:val="000000"/>
                <w:sz w:val="19"/>
                <w:szCs w:val="19"/>
                <w:lang w:eastAsia="en-GB"/>
              </w:rPr>
              <w:t>Validation sample</w:t>
            </w:r>
          </w:p>
        </w:tc>
        <w:tc>
          <w:tcPr>
            <w:tcW w:w="313" w:type="pct"/>
            <w:vMerge w:val="restart"/>
            <w:tcBorders>
              <w:top w:val="nil"/>
              <w:left w:val="single" w:sz="4" w:space="0" w:color="auto"/>
              <w:right w:val="nil"/>
            </w:tcBorders>
            <w:shd w:val="clear" w:color="000000" w:fill="F2F2F2"/>
          </w:tcPr>
          <w:p w14:paraId="4FBDF016" w14:textId="434F78A3" w:rsidR="00844AB2" w:rsidRPr="008804F0" w:rsidRDefault="00844AB2" w:rsidP="00B83400">
            <w:pPr>
              <w:spacing w:after="0" w:line="240" w:lineRule="auto"/>
              <w:jc w:val="center"/>
              <w:rPr>
                <w:rFonts w:eastAsia="Times New Roman"/>
                <w:b/>
                <w:bCs/>
                <w:color w:val="000000"/>
                <w:sz w:val="19"/>
                <w:szCs w:val="19"/>
                <w:lang w:eastAsia="en-GB"/>
              </w:rPr>
            </w:pPr>
            <w:r>
              <w:rPr>
                <w:rFonts w:eastAsia="Times New Roman"/>
                <w:b/>
                <w:bCs/>
                <w:color w:val="000000"/>
                <w:sz w:val="19"/>
                <w:szCs w:val="19"/>
                <w:lang w:eastAsia="en-GB"/>
              </w:rPr>
              <w:t>Average MAE across samples</w:t>
            </w:r>
          </w:p>
        </w:tc>
      </w:tr>
      <w:tr w:rsidR="00844AB2" w:rsidRPr="008804F0" w14:paraId="36E1154A" w14:textId="44B059CD" w:rsidTr="0074056D">
        <w:trPr>
          <w:trHeight w:val="300"/>
        </w:trPr>
        <w:tc>
          <w:tcPr>
            <w:tcW w:w="365" w:type="pct"/>
            <w:vMerge/>
            <w:tcBorders>
              <w:top w:val="nil"/>
              <w:left w:val="nil"/>
              <w:bottom w:val="single" w:sz="4" w:space="0" w:color="000000"/>
              <w:right w:val="nil"/>
            </w:tcBorders>
            <w:vAlign w:val="center"/>
            <w:hideMark/>
          </w:tcPr>
          <w:p w14:paraId="10860F6E" w14:textId="77777777" w:rsidR="00844AB2" w:rsidRPr="008804F0" w:rsidRDefault="00844AB2" w:rsidP="00B83400">
            <w:pPr>
              <w:spacing w:after="0" w:line="240" w:lineRule="auto"/>
              <w:rPr>
                <w:rFonts w:eastAsia="Times New Roman"/>
                <w:b/>
                <w:bCs/>
                <w:color w:val="000000"/>
                <w:sz w:val="19"/>
                <w:szCs w:val="19"/>
                <w:lang w:eastAsia="en-GB"/>
              </w:rPr>
            </w:pPr>
          </w:p>
        </w:tc>
        <w:tc>
          <w:tcPr>
            <w:tcW w:w="609" w:type="pct"/>
            <w:tcBorders>
              <w:top w:val="nil"/>
              <w:left w:val="nil"/>
              <w:bottom w:val="single" w:sz="4" w:space="0" w:color="auto"/>
              <w:right w:val="nil"/>
            </w:tcBorders>
            <w:shd w:val="clear" w:color="000000" w:fill="F2F2F2"/>
            <w:noWrap/>
            <w:vAlign w:val="center"/>
            <w:hideMark/>
          </w:tcPr>
          <w:p w14:paraId="020AB001"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Mean</w:t>
            </w:r>
          </w:p>
        </w:tc>
        <w:tc>
          <w:tcPr>
            <w:tcW w:w="304" w:type="pct"/>
            <w:tcBorders>
              <w:top w:val="nil"/>
              <w:left w:val="nil"/>
              <w:bottom w:val="single" w:sz="4" w:space="0" w:color="auto"/>
              <w:right w:val="nil"/>
            </w:tcBorders>
            <w:shd w:val="clear" w:color="000000" w:fill="F2F2F2"/>
            <w:noWrap/>
            <w:vAlign w:val="center"/>
            <w:hideMark/>
          </w:tcPr>
          <w:p w14:paraId="6F0EBCF3"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Min</w:t>
            </w:r>
          </w:p>
        </w:tc>
        <w:tc>
          <w:tcPr>
            <w:tcW w:w="304" w:type="pct"/>
            <w:tcBorders>
              <w:top w:val="nil"/>
              <w:left w:val="nil"/>
              <w:bottom w:val="single" w:sz="4" w:space="0" w:color="auto"/>
              <w:right w:val="nil"/>
            </w:tcBorders>
            <w:shd w:val="clear" w:color="000000" w:fill="F2F2F2"/>
            <w:noWrap/>
            <w:vAlign w:val="center"/>
            <w:hideMark/>
          </w:tcPr>
          <w:p w14:paraId="2373A507"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Max</w:t>
            </w:r>
          </w:p>
        </w:tc>
        <w:tc>
          <w:tcPr>
            <w:tcW w:w="305" w:type="pct"/>
            <w:tcBorders>
              <w:top w:val="nil"/>
              <w:left w:val="nil"/>
              <w:bottom w:val="single" w:sz="4" w:space="0" w:color="auto"/>
              <w:right w:val="nil"/>
            </w:tcBorders>
            <w:shd w:val="clear" w:color="000000" w:fill="F2F2F2"/>
            <w:noWrap/>
            <w:vAlign w:val="center"/>
            <w:hideMark/>
          </w:tcPr>
          <w:p w14:paraId="268EB36B"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MSE</w:t>
            </w:r>
          </w:p>
        </w:tc>
        <w:tc>
          <w:tcPr>
            <w:tcW w:w="304" w:type="pct"/>
            <w:tcBorders>
              <w:top w:val="nil"/>
              <w:left w:val="nil"/>
              <w:bottom w:val="single" w:sz="4" w:space="0" w:color="auto"/>
              <w:right w:val="nil"/>
            </w:tcBorders>
            <w:shd w:val="clear" w:color="000000" w:fill="F2F2F2"/>
            <w:noWrap/>
            <w:vAlign w:val="center"/>
            <w:hideMark/>
          </w:tcPr>
          <w:p w14:paraId="4B85DA59"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MAE</w:t>
            </w:r>
          </w:p>
        </w:tc>
        <w:tc>
          <w:tcPr>
            <w:tcW w:w="304" w:type="pct"/>
            <w:tcBorders>
              <w:top w:val="nil"/>
              <w:left w:val="nil"/>
              <w:bottom w:val="single" w:sz="4" w:space="0" w:color="auto"/>
              <w:right w:val="nil"/>
            </w:tcBorders>
            <w:shd w:val="clear" w:color="000000" w:fill="F2F2F2"/>
            <w:noWrap/>
            <w:vAlign w:val="center"/>
            <w:hideMark/>
          </w:tcPr>
          <w:p w14:paraId="6916774C"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AIC</w:t>
            </w:r>
          </w:p>
        </w:tc>
        <w:tc>
          <w:tcPr>
            <w:tcW w:w="305" w:type="pct"/>
            <w:tcBorders>
              <w:top w:val="nil"/>
              <w:left w:val="nil"/>
              <w:bottom w:val="single" w:sz="4" w:space="0" w:color="auto"/>
              <w:right w:val="single" w:sz="4" w:space="0" w:color="auto"/>
            </w:tcBorders>
            <w:shd w:val="clear" w:color="000000" w:fill="F2F2F2"/>
            <w:noWrap/>
            <w:vAlign w:val="center"/>
            <w:hideMark/>
          </w:tcPr>
          <w:p w14:paraId="1DEB9F30"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BIC</w:t>
            </w:r>
          </w:p>
        </w:tc>
        <w:tc>
          <w:tcPr>
            <w:tcW w:w="80" w:type="pct"/>
            <w:tcBorders>
              <w:top w:val="nil"/>
              <w:left w:val="single" w:sz="4" w:space="0" w:color="auto"/>
              <w:right w:val="single" w:sz="4" w:space="0" w:color="auto"/>
            </w:tcBorders>
            <w:shd w:val="clear" w:color="000000" w:fill="F2F2F2"/>
            <w:noWrap/>
            <w:vAlign w:val="center"/>
            <w:hideMark/>
          </w:tcPr>
          <w:p w14:paraId="7346C296"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 </w:t>
            </w:r>
          </w:p>
        </w:tc>
        <w:tc>
          <w:tcPr>
            <w:tcW w:w="589" w:type="pct"/>
            <w:tcBorders>
              <w:top w:val="nil"/>
              <w:left w:val="single" w:sz="4" w:space="0" w:color="auto"/>
              <w:bottom w:val="single" w:sz="4" w:space="0" w:color="auto"/>
              <w:right w:val="nil"/>
            </w:tcBorders>
            <w:shd w:val="clear" w:color="000000" w:fill="F2F2F2"/>
            <w:noWrap/>
            <w:vAlign w:val="center"/>
            <w:hideMark/>
          </w:tcPr>
          <w:p w14:paraId="7CA3DFA3"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Mean</w:t>
            </w:r>
          </w:p>
        </w:tc>
        <w:tc>
          <w:tcPr>
            <w:tcW w:w="305" w:type="pct"/>
            <w:tcBorders>
              <w:top w:val="nil"/>
              <w:left w:val="nil"/>
              <w:bottom w:val="single" w:sz="4" w:space="0" w:color="auto"/>
              <w:right w:val="nil"/>
            </w:tcBorders>
            <w:shd w:val="clear" w:color="000000" w:fill="F2F2F2"/>
            <w:noWrap/>
            <w:vAlign w:val="center"/>
            <w:hideMark/>
          </w:tcPr>
          <w:p w14:paraId="35C766AD"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Min</w:t>
            </w:r>
          </w:p>
        </w:tc>
        <w:tc>
          <w:tcPr>
            <w:tcW w:w="304" w:type="pct"/>
            <w:tcBorders>
              <w:top w:val="nil"/>
              <w:left w:val="nil"/>
              <w:bottom w:val="single" w:sz="4" w:space="0" w:color="auto"/>
              <w:right w:val="nil"/>
            </w:tcBorders>
            <w:shd w:val="clear" w:color="000000" w:fill="F2F2F2"/>
            <w:noWrap/>
            <w:vAlign w:val="center"/>
            <w:hideMark/>
          </w:tcPr>
          <w:p w14:paraId="3DBADB6E"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Max</w:t>
            </w:r>
          </w:p>
        </w:tc>
        <w:tc>
          <w:tcPr>
            <w:tcW w:w="305" w:type="pct"/>
            <w:tcBorders>
              <w:top w:val="nil"/>
              <w:left w:val="nil"/>
              <w:bottom w:val="single" w:sz="4" w:space="0" w:color="auto"/>
              <w:right w:val="nil"/>
            </w:tcBorders>
            <w:shd w:val="clear" w:color="000000" w:fill="F2F2F2"/>
            <w:noWrap/>
            <w:vAlign w:val="center"/>
            <w:hideMark/>
          </w:tcPr>
          <w:p w14:paraId="4480E9F8"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MSE</w:t>
            </w:r>
          </w:p>
        </w:tc>
        <w:tc>
          <w:tcPr>
            <w:tcW w:w="304" w:type="pct"/>
            <w:tcBorders>
              <w:top w:val="nil"/>
              <w:left w:val="nil"/>
              <w:bottom w:val="single" w:sz="4" w:space="0" w:color="auto"/>
              <w:right w:val="single" w:sz="4" w:space="0" w:color="auto"/>
            </w:tcBorders>
            <w:shd w:val="clear" w:color="000000" w:fill="F2F2F2"/>
            <w:noWrap/>
            <w:vAlign w:val="center"/>
            <w:hideMark/>
          </w:tcPr>
          <w:p w14:paraId="209CB539"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eastAsia="Times New Roman"/>
                <w:b/>
                <w:bCs/>
                <w:color w:val="000000"/>
                <w:sz w:val="19"/>
                <w:szCs w:val="19"/>
                <w:lang w:eastAsia="en-GB"/>
              </w:rPr>
              <w:t>MAE</w:t>
            </w:r>
          </w:p>
        </w:tc>
        <w:tc>
          <w:tcPr>
            <w:tcW w:w="313" w:type="pct"/>
            <w:vMerge/>
            <w:tcBorders>
              <w:left w:val="single" w:sz="4" w:space="0" w:color="auto"/>
              <w:bottom w:val="single" w:sz="4" w:space="0" w:color="auto"/>
              <w:right w:val="nil"/>
            </w:tcBorders>
            <w:shd w:val="clear" w:color="000000" w:fill="F2F2F2"/>
          </w:tcPr>
          <w:p w14:paraId="3C71F732" w14:textId="77777777" w:rsidR="00844AB2" w:rsidRPr="008804F0" w:rsidRDefault="00844AB2" w:rsidP="00B83400">
            <w:pPr>
              <w:spacing w:after="0" w:line="240" w:lineRule="auto"/>
              <w:jc w:val="right"/>
              <w:rPr>
                <w:rFonts w:eastAsia="Times New Roman"/>
                <w:b/>
                <w:bCs/>
                <w:color w:val="000000"/>
                <w:sz w:val="19"/>
                <w:szCs w:val="19"/>
                <w:lang w:eastAsia="en-GB"/>
              </w:rPr>
            </w:pPr>
          </w:p>
        </w:tc>
      </w:tr>
      <w:tr w:rsidR="00844AB2" w:rsidRPr="008804F0" w14:paraId="6FE9FC6A" w14:textId="7B251E50" w:rsidTr="00844AB2">
        <w:trPr>
          <w:trHeight w:val="300"/>
        </w:trPr>
        <w:tc>
          <w:tcPr>
            <w:tcW w:w="365" w:type="pct"/>
            <w:tcBorders>
              <w:top w:val="nil"/>
              <w:left w:val="nil"/>
              <w:bottom w:val="nil"/>
              <w:right w:val="nil"/>
            </w:tcBorders>
            <w:shd w:val="clear" w:color="000000" w:fill="F2F2F2"/>
            <w:noWrap/>
            <w:vAlign w:val="center"/>
            <w:hideMark/>
          </w:tcPr>
          <w:p w14:paraId="73FA7998" w14:textId="77777777" w:rsidR="00844AB2" w:rsidRPr="008804F0" w:rsidRDefault="00844AB2" w:rsidP="00B83400">
            <w:pPr>
              <w:spacing w:after="0" w:line="240" w:lineRule="auto"/>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Observed</w:t>
            </w:r>
          </w:p>
        </w:tc>
        <w:tc>
          <w:tcPr>
            <w:tcW w:w="609" w:type="pct"/>
            <w:tcBorders>
              <w:top w:val="nil"/>
              <w:left w:val="nil"/>
              <w:bottom w:val="nil"/>
              <w:right w:val="nil"/>
            </w:tcBorders>
            <w:shd w:val="clear" w:color="000000" w:fill="F2F2F2"/>
            <w:noWrap/>
            <w:vAlign w:val="center"/>
            <w:hideMark/>
          </w:tcPr>
          <w:p w14:paraId="6B17A185"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0.93742 (0.07898)</w:t>
            </w:r>
          </w:p>
        </w:tc>
        <w:tc>
          <w:tcPr>
            <w:tcW w:w="304" w:type="pct"/>
            <w:tcBorders>
              <w:left w:val="nil"/>
              <w:bottom w:val="nil"/>
              <w:right w:val="nil"/>
            </w:tcBorders>
            <w:shd w:val="clear" w:color="000000" w:fill="F2F2F2"/>
            <w:noWrap/>
            <w:vAlign w:val="center"/>
            <w:hideMark/>
          </w:tcPr>
          <w:p w14:paraId="049C5B57"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0.50940</w:t>
            </w:r>
          </w:p>
        </w:tc>
        <w:tc>
          <w:tcPr>
            <w:tcW w:w="304" w:type="pct"/>
            <w:tcBorders>
              <w:left w:val="nil"/>
              <w:bottom w:val="nil"/>
              <w:right w:val="nil"/>
            </w:tcBorders>
            <w:shd w:val="clear" w:color="000000" w:fill="F2F2F2"/>
            <w:noWrap/>
            <w:vAlign w:val="center"/>
            <w:hideMark/>
          </w:tcPr>
          <w:p w14:paraId="7D68BAFE"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1.00000</w:t>
            </w:r>
          </w:p>
        </w:tc>
        <w:tc>
          <w:tcPr>
            <w:tcW w:w="305" w:type="pct"/>
            <w:tcBorders>
              <w:left w:val="nil"/>
              <w:bottom w:val="nil"/>
              <w:right w:val="nil"/>
            </w:tcBorders>
            <w:shd w:val="clear" w:color="000000" w:fill="F2F2F2"/>
            <w:noWrap/>
            <w:vAlign w:val="center"/>
            <w:hideMark/>
          </w:tcPr>
          <w:p w14:paraId="35DAB0CA"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 </w:t>
            </w:r>
          </w:p>
        </w:tc>
        <w:tc>
          <w:tcPr>
            <w:tcW w:w="304" w:type="pct"/>
            <w:tcBorders>
              <w:left w:val="nil"/>
              <w:bottom w:val="nil"/>
              <w:right w:val="nil"/>
            </w:tcBorders>
            <w:shd w:val="clear" w:color="000000" w:fill="F2F2F2"/>
            <w:noWrap/>
            <w:vAlign w:val="center"/>
            <w:hideMark/>
          </w:tcPr>
          <w:p w14:paraId="21BCFB4B"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 </w:t>
            </w:r>
          </w:p>
        </w:tc>
        <w:tc>
          <w:tcPr>
            <w:tcW w:w="304" w:type="pct"/>
            <w:tcBorders>
              <w:left w:val="nil"/>
              <w:bottom w:val="nil"/>
              <w:right w:val="nil"/>
            </w:tcBorders>
            <w:shd w:val="clear" w:color="000000" w:fill="F2F2F2"/>
            <w:noWrap/>
            <w:vAlign w:val="center"/>
            <w:hideMark/>
          </w:tcPr>
          <w:p w14:paraId="6A0131C7"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 </w:t>
            </w:r>
          </w:p>
        </w:tc>
        <w:tc>
          <w:tcPr>
            <w:tcW w:w="305" w:type="pct"/>
            <w:tcBorders>
              <w:left w:val="nil"/>
              <w:bottom w:val="nil"/>
              <w:right w:val="single" w:sz="4" w:space="0" w:color="auto"/>
            </w:tcBorders>
            <w:shd w:val="clear" w:color="000000" w:fill="F2F2F2"/>
            <w:noWrap/>
            <w:vAlign w:val="center"/>
            <w:hideMark/>
          </w:tcPr>
          <w:p w14:paraId="4ADF8EB6"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 </w:t>
            </w:r>
          </w:p>
        </w:tc>
        <w:tc>
          <w:tcPr>
            <w:tcW w:w="80" w:type="pct"/>
            <w:tcBorders>
              <w:left w:val="nil"/>
              <w:bottom w:val="nil"/>
              <w:right w:val="single" w:sz="4" w:space="0" w:color="auto"/>
            </w:tcBorders>
            <w:shd w:val="clear" w:color="000000" w:fill="F2F2F2"/>
            <w:noWrap/>
            <w:vAlign w:val="center"/>
            <w:hideMark/>
          </w:tcPr>
          <w:p w14:paraId="7D72B9C6"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354DE315"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0.94094 (0.07174)</w:t>
            </w:r>
          </w:p>
        </w:tc>
        <w:tc>
          <w:tcPr>
            <w:tcW w:w="305" w:type="pct"/>
            <w:tcBorders>
              <w:top w:val="nil"/>
              <w:left w:val="nil"/>
              <w:bottom w:val="nil"/>
              <w:right w:val="nil"/>
            </w:tcBorders>
            <w:shd w:val="clear" w:color="000000" w:fill="F2F2F2"/>
            <w:noWrap/>
            <w:vAlign w:val="center"/>
            <w:hideMark/>
          </w:tcPr>
          <w:p w14:paraId="080D63BD"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0.65000</w:t>
            </w:r>
          </w:p>
        </w:tc>
        <w:tc>
          <w:tcPr>
            <w:tcW w:w="304" w:type="pct"/>
            <w:tcBorders>
              <w:top w:val="nil"/>
              <w:left w:val="nil"/>
              <w:bottom w:val="nil"/>
              <w:right w:val="nil"/>
            </w:tcBorders>
            <w:shd w:val="clear" w:color="000000" w:fill="F2F2F2"/>
            <w:noWrap/>
            <w:vAlign w:val="center"/>
            <w:hideMark/>
          </w:tcPr>
          <w:p w14:paraId="04B80B9A"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1.00000</w:t>
            </w:r>
          </w:p>
        </w:tc>
        <w:tc>
          <w:tcPr>
            <w:tcW w:w="305" w:type="pct"/>
            <w:tcBorders>
              <w:top w:val="nil"/>
              <w:left w:val="nil"/>
              <w:bottom w:val="nil"/>
              <w:right w:val="nil"/>
            </w:tcBorders>
            <w:shd w:val="clear" w:color="000000" w:fill="F2F2F2"/>
            <w:noWrap/>
            <w:vAlign w:val="center"/>
            <w:hideMark/>
          </w:tcPr>
          <w:p w14:paraId="23A1C06E"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 </w:t>
            </w:r>
          </w:p>
        </w:tc>
        <w:tc>
          <w:tcPr>
            <w:tcW w:w="304" w:type="pct"/>
            <w:tcBorders>
              <w:top w:val="nil"/>
              <w:left w:val="nil"/>
              <w:bottom w:val="nil"/>
              <w:right w:val="single" w:sz="4" w:space="0" w:color="auto"/>
            </w:tcBorders>
            <w:shd w:val="clear" w:color="000000" w:fill="F2F2F2"/>
            <w:noWrap/>
            <w:vAlign w:val="center"/>
            <w:hideMark/>
          </w:tcPr>
          <w:p w14:paraId="0F5FF941" w14:textId="77777777" w:rsidR="00844AB2" w:rsidRPr="008804F0" w:rsidRDefault="00844AB2" w:rsidP="00B83400">
            <w:pPr>
              <w:spacing w:after="0" w:line="240" w:lineRule="auto"/>
              <w:jc w:val="right"/>
              <w:rPr>
                <w:rFonts w:eastAsia="Times New Roman"/>
                <w:b/>
                <w:bCs/>
                <w:color w:val="000000"/>
                <w:sz w:val="19"/>
                <w:szCs w:val="19"/>
                <w:lang w:eastAsia="en-GB"/>
              </w:rPr>
            </w:pPr>
            <w:r w:rsidRPr="008804F0">
              <w:rPr>
                <w:rFonts w:ascii="Calibri" w:eastAsia="Times New Roman" w:hAnsi="Calibri"/>
                <w:b/>
                <w:bCs/>
                <w:color w:val="000000"/>
                <w:sz w:val="20"/>
                <w:szCs w:val="20"/>
                <w:lang w:eastAsia="en-GB"/>
              </w:rPr>
              <w:t> </w:t>
            </w:r>
          </w:p>
        </w:tc>
        <w:tc>
          <w:tcPr>
            <w:tcW w:w="313" w:type="pct"/>
            <w:tcBorders>
              <w:top w:val="nil"/>
              <w:left w:val="single" w:sz="4" w:space="0" w:color="auto"/>
              <w:bottom w:val="nil"/>
              <w:right w:val="nil"/>
            </w:tcBorders>
            <w:shd w:val="clear" w:color="000000" w:fill="F2F2F2"/>
          </w:tcPr>
          <w:p w14:paraId="5A08EB81" w14:textId="77777777" w:rsidR="00844AB2" w:rsidRPr="008804F0" w:rsidRDefault="00844AB2" w:rsidP="00B83400">
            <w:pPr>
              <w:spacing w:after="0" w:line="240" w:lineRule="auto"/>
              <w:jc w:val="right"/>
              <w:rPr>
                <w:rFonts w:ascii="Calibri" w:eastAsia="Times New Roman" w:hAnsi="Calibri"/>
                <w:b/>
                <w:bCs/>
                <w:color w:val="000000"/>
                <w:sz w:val="20"/>
                <w:szCs w:val="20"/>
                <w:lang w:eastAsia="en-GB"/>
              </w:rPr>
            </w:pPr>
          </w:p>
        </w:tc>
      </w:tr>
      <w:tr w:rsidR="00844AB2" w:rsidRPr="008804F0" w14:paraId="7CF064B5" w14:textId="233FAB3A" w:rsidTr="00844AB2">
        <w:trPr>
          <w:trHeight w:val="300"/>
        </w:trPr>
        <w:tc>
          <w:tcPr>
            <w:tcW w:w="365" w:type="pct"/>
            <w:tcBorders>
              <w:top w:val="nil"/>
              <w:left w:val="nil"/>
              <w:bottom w:val="nil"/>
              <w:right w:val="nil"/>
            </w:tcBorders>
            <w:shd w:val="clear" w:color="000000" w:fill="F2F2F2"/>
            <w:noWrap/>
            <w:vAlign w:val="center"/>
            <w:hideMark/>
          </w:tcPr>
          <w:p w14:paraId="7E856B7C" w14:textId="77777777" w:rsidR="00844AB2" w:rsidRPr="008804F0" w:rsidRDefault="00844AB2" w:rsidP="00B83400">
            <w:pPr>
              <w:spacing w:after="0" w:line="240" w:lineRule="auto"/>
              <w:rPr>
                <w:rFonts w:eastAsia="Times New Roman"/>
                <w:color w:val="000000"/>
                <w:sz w:val="19"/>
                <w:szCs w:val="19"/>
                <w:lang w:eastAsia="en-GB"/>
              </w:rPr>
            </w:pPr>
            <w:r w:rsidRPr="008804F0">
              <w:rPr>
                <w:rFonts w:ascii="Calibri" w:eastAsia="Times New Roman" w:hAnsi="Calibri"/>
                <w:color w:val="000000"/>
                <w:sz w:val="20"/>
                <w:szCs w:val="20"/>
                <w:lang w:eastAsia="en-GB"/>
              </w:rPr>
              <w:t>GLM_1</w:t>
            </w:r>
          </w:p>
        </w:tc>
        <w:tc>
          <w:tcPr>
            <w:tcW w:w="609" w:type="pct"/>
            <w:tcBorders>
              <w:top w:val="nil"/>
              <w:left w:val="nil"/>
              <w:bottom w:val="nil"/>
              <w:right w:val="nil"/>
            </w:tcBorders>
            <w:shd w:val="clear" w:color="000000" w:fill="F2F2F2"/>
            <w:noWrap/>
            <w:vAlign w:val="center"/>
            <w:hideMark/>
          </w:tcPr>
          <w:p w14:paraId="5F797359"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0.93742 (0.04433)</w:t>
            </w:r>
          </w:p>
        </w:tc>
        <w:tc>
          <w:tcPr>
            <w:tcW w:w="304" w:type="pct"/>
            <w:tcBorders>
              <w:top w:val="nil"/>
              <w:left w:val="nil"/>
              <w:bottom w:val="nil"/>
              <w:right w:val="nil"/>
            </w:tcBorders>
            <w:shd w:val="clear" w:color="000000" w:fill="F2F2F2"/>
            <w:noWrap/>
            <w:vAlign w:val="center"/>
            <w:hideMark/>
          </w:tcPr>
          <w:p w14:paraId="514B0E8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0.74143</w:t>
            </w:r>
          </w:p>
        </w:tc>
        <w:tc>
          <w:tcPr>
            <w:tcW w:w="304" w:type="pct"/>
            <w:tcBorders>
              <w:top w:val="nil"/>
              <w:left w:val="nil"/>
              <w:bottom w:val="nil"/>
              <w:right w:val="nil"/>
            </w:tcBorders>
            <w:shd w:val="clear" w:color="000000" w:fill="F2F2F2"/>
            <w:noWrap/>
            <w:vAlign w:val="center"/>
            <w:hideMark/>
          </w:tcPr>
          <w:p w14:paraId="4779FC4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0.97345</w:t>
            </w:r>
          </w:p>
        </w:tc>
        <w:tc>
          <w:tcPr>
            <w:tcW w:w="305" w:type="pct"/>
            <w:tcBorders>
              <w:top w:val="nil"/>
              <w:left w:val="nil"/>
              <w:bottom w:val="nil"/>
              <w:right w:val="nil"/>
            </w:tcBorders>
            <w:shd w:val="clear" w:color="000000" w:fill="F2F2F2"/>
            <w:noWrap/>
            <w:vAlign w:val="center"/>
            <w:hideMark/>
          </w:tcPr>
          <w:p w14:paraId="2DD1284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0.00466</w:t>
            </w:r>
          </w:p>
        </w:tc>
        <w:tc>
          <w:tcPr>
            <w:tcW w:w="304" w:type="pct"/>
            <w:tcBorders>
              <w:top w:val="nil"/>
              <w:left w:val="nil"/>
              <w:bottom w:val="nil"/>
              <w:right w:val="nil"/>
            </w:tcBorders>
            <w:shd w:val="clear" w:color="000000" w:fill="F2F2F2"/>
            <w:noWrap/>
            <w:vAlign w:val="center"/>
            <w:hideMark/>
          </w:tcPr>
          <w:p w14:paraId="4C042EB9"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0.04789</w:t>
            </w:r>
          </w:p>
        </w:tc>
        <w:tc>
          <w:tcPr>
            <w:tcW w:w="304" w:type="pct"/>
            <w:tcBorders>
              <w:top w:val="nil"/>
              <w:left w:val="nil"/>
              <w:bottom w:val="nil"/>
              <w:right w:val="nil"/>
            </w:tcBorders>
            <w:shd w:val="clear" w:color="000000" w:fill="F2F2F2"/>
            <w:noWrap/>
            <w:vAlign w:val="center"/>
            <w:hideMark/>
          </w:tcPr>
          <w:p w14:paraId="578148B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98.12</w:t>
            </w:r>
          </w:p>
        </w:tc>
        <w:tc>
          <w:tcPr>
            <w:tcW w:w="305" w:type="pct"/>
            <w:tcBorders>
              <w:top w:val="nil"/>
              <w:left w:val="nil"/>
              <w:bottom w:val="nil"/>
              <w:right w:val="nil"/>
            </w:tcBorders>
            <w:shd w:val="clear" w:color="000000" w:fill="F2F2F2"/>
            <w:noWrap/>
            <w:vAlign w:val="center"/>
            <w:hideMark/>
          </w:tcPr>
          <w:p w14:paraId="15D0A38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105.38</w:t>
            </w:r>
          </w:p>
        </w:tc>
        <w:tc>
          <w:tcPr>
            <w:tcW w:w="80" w:type="pct"/>
            <w:tcBorders>
              <w:top w:val="nil"/>
              <w:left w:val="single" w:sz="4" w:space="0" w:color="auto"/>
              <w:bottom w:val="nil"/>
              <w:right w:val="single" w:sz="4" w:space="0" w:color="auto"/>
            </w:tcBorders>
            <w:shd w:val="clear" w:color="000000" w:fill="F2F2F2"/>
            <w:noWrap/>
            <w:vAlign w:val="center"/>
            <w:hideMark/>
          </w:tcPr>
          <w:p w14:paraId="001F1BB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4477C80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0.93462 (0.05026)</w:t>
            </w:r>
          </w:p>
        </w:tc>
        <w:tc>
          <w:tcPr>
            <w:tcW w:w="305" w:type="pct"/>
            <w:tcBorders>
              <w:top w:val="nil"/>
              <w:left w:val="nil"/>
              <w:bottom w:val="nil"/>
              <w:right w:val="nil"/>
            </w:tcBorders>
            <w:shd w:val="clear" w:color="000000" w:fill="F2F2F2"/>
            <w:noWrap/>
            <w:vAlign w:val="center"/>
            <w:hideMark/>
          </w:tcPr>
          <w:p w14:paraId="42416805"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0.66582</w:t>
            </w:r>
          </w:p>
        </w:tc>
        <w:tc>
          <w:tcPr>
            <w:tcW w:w="304" w:type="pct"/>
            <w:tcBorders>
              <w:top w:val="nil"/>
              <w:left w:val="nil"/>
              <w:bottom w:val="nil"/>
              <w:right w:val="nil"/>
            </w:tcBorders>
            <w:shd w:val="clear" w:color="000000" w:fill="F2F2F2"/>
            <w:noWrap/>
            <w:vAlign w:val="center"/>
            <w:hideMark/>
          </w:tcPr>
          <w:p w14:paraId="624067D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0.97345</w:t>
            </w:r>
          </w:p>
        </w:tc>
        <w:tc>
          <w:tcPr>
            <w:tcW w:w="305" w:type="pct"/>
            <w:tcBorders>
              <w:top w:val="nil"/>
              <w:left w:val="nil"/>
              <w:bottom w:val="nil"/>
              <w:right w:val="nil"/>
            </w:tcBorders>
            <w:shd w:val="clear" w:color="000000" w:fill="F2F2F2"/>
            <w:noWrap/>
            <w:vAlign w:val="center"/>
            <w:hideMark/>
          </w:tcPr>
          <w:p w14:paraId="5BDDD0F8"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0.00366</w:t>
            </w:r>
          </w:p>
        </w:tc>
        <w:tc>
          <w:tcPr>
            <w:tcW w:w="304" w:type="pct"/>
            <w:tcBorders>
              <w:top w:val="nil"/>
              <w:left w:val="nil"/>
              <w:bottom w:val="nil"/>
              <w:right w:val="single" w:sz="4" w:space="0" w:color="auto"/>
            </w:tcBorders>
            <w:shd w:val="clear" w:color="000000" w:fill="F2F2F2"/>
            <w:noWrap/>
            <w:vAlign w:val="center"/>
            <w:hideMark/>
          </w:tcPr>
          <w:p w14:paraId="67A696B4"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0.04525</w:t>
            </w:r>
          </w:p>
        </w:tc>
        <w:tc>
          <w:tcPr>
            <w:tcW w:w="313" w:type="pct"/>
            <w:tcBorders>
              <w:top w:val="nil"/>
              <w:left w:val="single" w:sz="4" w:space="0" w:color="auto"/>
              <w:bottom w:val="nil"/>
              <w:right w:val="nil"/>
            </w:tcBorders>
            <w:shd w:val="clear" w:color="000000" w:fill="F2F2F2"/>
            <w:vAlign w:val="center"/>
          </w:tcPr>
          <w:p w14:paraId="5C98911B" w14:textId="50130398"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0.04657</w:t>
            </w:r>
          </w:p>
        </w:tc>
      </w:tr>
      <w:tr w:rsidR="00844AB2" w:rsidRPr="008804F0" w14:paraId="7D10FBC2" w14:textId="6403AC1F" w:rsidTr="00844AB2">
        <w:trPr>
          <w:trHeight w:val="300"/>
        </w:trPr>
        <w:tc>
          <w:tcPr>
            <w:tcW w:w="365" w:type="pct"/>
            <w:tcBorders>
              <w:top w:val="nil"/>
              <w:left w:val="nil"/>
              <w:bottom w:val="nil"/>
              <w:right w:val="nil"/>
            </w:tcBorders>
            <w:shd w:val="clear" w:color="000000" w:fill="F2F2F2"/>
            <w:noWrap/>
            <w:vAlign w:val="center"/>
            <w:hideMark/>
          </w:tcPr>
          <w:p w14:paraId="2D54747B" w14:textId="77777777" w:rsidR="00844AB2" w:rsidRPr="008804F0" w:rsidRDefault="00844AB2" w:rsidP="00B83400">
            <w:pPr>
              <w:spacing w:after="0" w:line="240" w:lineRule="auto"/>
              <w:rPr>
                <w:rFonts w:eastAsia="Times New Roman"/>
                <w:color w:val="000000"/>
                <w:sz w:val="19"/>
                <w:szCs w:val="19"/>
                <w:lang w:eastAsia="en-GB"/>
              </w:rPr>
            </w:pPr>
            <w:r w:rsidRPr="008804F0">
              <w:rPr>
                <w:rFonts w:ascii="Calibri" w:eastAsia="Times New Roman" w:hAnsi="Calibri"/>
                <w:color w:val="000000"/>
                <w:sz w:val="20"/>
                <w:szCs w:val="20"/>
                <w:lang w:eastAsia="en-GB"/>
              </w:rPr>
              <w:t>GLM_2</w:t>
            </w:r>
          </w:p>
        </w:tc>
        <w:tc>
          <w:tcPr>
            <w:tcW w:w="609" w:type="pct"/>
            <w:tcBorders>
              <w:top w:val="nil"/>
              <w:left w:val="nil"/>
              <w:bottom w:val="nil"/>
              <w:right w:val="nil"/>
            </w:tcBorders>
            <w:shd w:val="clear" w:color="000000" w:fill="F2F2F2"/>
            <w:noWrap/>
            <w:vAlign w:val="center"/>
            <w:hideMark/>
          </w:tcPr>
          <w:p w14:paraId="1C056EC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0.93742 (0.04535)</w:t>
            </w:r>
          </w:p>
        </w:tc>
        <w:tc>
          <w:tcPr>
            <w:tcW w:w="304" w:type="pct"/>
            <w:tcBorders>
              <w:top w:val="nil"/>
              <w:left w:val="nil"/>
              <w:bottom w:val="nil"/>
              <w:right w:val="nil"/>
            </w:tcBorders>
            <w:shd w:val="clear" w:color="000000" w:fill="F2F2F2"/>
            <w:noWrap/>
            <w:vAlign w:val="center"/>
            <w:hideMark/>
          </w:tcPr>
          <w:p w14:paraId="17775E79"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0.72021</w:t>
            </w:r>
          </w:p>
        </w:tc>
        <w:tc>
          <w:tcPr>
            <w:tcW w:w="304" w:type="pct"/>
            <w:tcBorders>
              <w:top w:val="nil"/>
              <w:left w:val="nil"/>
              <w:bottom w:val="nil"/>
              <w:right w:val="nil"/>
            </w:tcBorders>
            <w:shd w:val="clear" w:color="000000" w:fill="F2F2F2"/>
            <w:noWrap/>
            <w:vAlign w:val="center"/>
            <w:hideMark/>
          </w:tcPr>
          <w:p w14:paraId="597018C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0.98126</w:t>
            </w:r>
          </w:p>
        </w:tc>
        <w:tc>
          <w:tcPr>
            <w:tcW w:w="305" w:type="pct"/>
            <w:tcBorders>
              <w:top w:val="nil"/>
              <w:left w:val="nil"/>
              <w:bottom w:val="nil"/>
              <w:right w:val="nil"/>
            </w:tcBorders>
            <w:shd w:val="clear" w:color="000000" w:fill="F2F2F2"/>
            <w:noWrap/>
            <w:vAlign w:val="center"/>
            <w:hideMark/>
          </w:tcPr>
          <w:p w14:paraId="3C74704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0.00446</w:t>
            </w:r>
          </w:p>
        </w:tc>
        <w:tc>
          <w:tcPr>
            <w:tcW w:w="304" w:type="pct"/>
            <w:tcBorders>
              <w:top w:val="nil"/>
              <w:left w:val="nil"/>
              <w:bottom w:val="nil"/>
              <w:right w:val="nil"/>
            </w:tcBorders>
            <w:shd w:val="clear" w:color="000000" w:fill="F2F2F2"/>
            <w:noWrap/>
            <w:vAlign w:val="center"/>
            <w:hideMark/>
          </w:tcPr>
          <w:p w14:paraId="5A050F2A"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0.04704</w:t>
            </w:r>
          </w:p>
        </w:tc>
        <w:tc>
          <w:tcPr>
            <w:tcW w:w="304" w:type="pct"/>
            <w:tcBorders>
              <w:top w:val="nil"/>
              <w:left w:val="nil"/>
              <w:bottom w:val="nil"/>
              <w:right w:val="nil"/>
            </w:tcBorders>
            <w:shd w:val="clear" w:color="000000" w:fill="F2F2F2"/>
            <w:noWrap/>
            <w:vAlign w:val="center"/>
            <w:hideMark/>
          </w:tcPr>
          <w:p w14:paraId="0F23AC4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101.78</w:t>
            </w:r>
          </w:p>
        </w:tc>
        <w:tc>
          <w:tcPr>
            <w:tcW w:w="305" w:type="pct"/>
            <w:tcBorders>
              <w:top w:val="nil"/>
              <w:left w:val="nil"/>
              <w:bottom w:val="nil"/>
              <w:right w:val="nil"/>
            </w:tcBorders>
            <w:shd w:val="clear" w:color="000000" w:fill="F2F2F2"/>
            <w:noWrap/>
            <w:vAlign w:val="center"/>
            <w:hideMark/>
          </w:tcPr>
          <w:p w14:paraId="669405F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116.30</w:t>
            </w:r>
          </w:p>
        </w:tc>
        <w:tc>
          <w:tcPr>
            <w:tcW w:w="80" w:type="pct"/>
            <w:tcBorders>
              <w:top w:val="nil"/>
              <w:left w:val="single" w:sz="4" w:space="0" w:color="auto"/>
              <w:bottom w:val="nil"/>
              <w:right w:val="single" w:sz="4" w:space="0" w:color="auto"/>
            </w:tcBorders>
            <w:shd w:val="clear" w:color="000000" w:fill="F2F2F2"/>
            <w:noWrap/>
            <w:vAlign w:val="center"/>
            <w:hideMark/>
          </w:tcPr>
          <w:p w14:paraId="57B5B21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707E02A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0.93409 (0.05250)</w:t>
            </w:r>
          </w:p>
        </w:tc>
        <w:tc>
          <w:tcPr>
            <w:tcW w:w="305" w:type="pct"/>
            <w:tcBorders>
              <w:top w:val="nil"/>
              <w:left w:val="nil"/>
              <w:bottom w:val="nil"/>
              <w:right w:val="nil"/>
            </w:tcBorders>
            <w:shd w:val="clear" w:color="000000" w:fill="F2F2F2"/>
            <w:noWrap/>
            <w:vAlign w:val="center"/>
            <w:hideMark/>
          </w:tcPr>
          <w:p w14:paraId="2D37D85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0.66769</w:t>
            </w:r>
          </w:p>
        </w:tc>
        <w:tc>
          <w:tcPr>
            <w:tcW w:w="304" w:type="pct"/>
            <w:tcBorders>
              <w:top w:val="nil"/>
              <w:left w:val="nil"/>
              <w:bottom w:val="nil"/>
              <w:right w:val="nil"/>
            </w:tcBorders>
            <w:shd w:val="clear" w:color="000000" w:fill="F2F2F2"/>
            <w:noWrap/>
            <w:vAlign w:val="center"/>
            <w:hideMark/>
          </w:tcPr>
          <w:p w14:paraId="52746DFB"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0.98006</w:t>
            </w:r>
          </w:p>
        </w:tc>
        <w:tc>
          <w:tcPr>
            <w:tcW w:w="305" w:type="pct"/>
            <w:tcBorders>
              <w:top w:val="nil"/>
              <w:left w:val="nil"/>
              <w:bottom w:val="nil"/>
              <w:right w:val="nil"/>
            </w:tcBorders>
            <w:shd w:val="clear" w:color="000000" w:fill="F2F2F2"/>
            <w:noWrap/>
            <w:vAlign w:val="center"/>
            <w:hideMark/>
          </w:tcPr>
          <w:p w14:paraId="57AC1C3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0.00372</w:t>
            </w:r>
          </w:p>
        </w:tc>
        <w:tc>
          <w:tcPr>
            <w:tcW w:w="304" w:type="pct"/>
            <w:tcBorders>
              <w:top w:val="nil"/>
              <w:left w:val="nil"/>
              <w:bottom w:val="nil"/>
              <w:right w:val="single" w:sz="4" w:space="0" w:color="auto"/>
            </w:tcBorders>
            <w:shd w:val="clear" w:color="000000" w:fill="F2F2F2"/>
            <w:noWrap/>
            <w:vAlign w:val="center"/>
            <w:hideMark/>
          </w:tcPr>
          <w:p w14:paraId="00C412C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0.04579</w:t>
            </w:r>
          </w:p>
        </w:tc>
        <w:tc>
          <w:tcPr>
            <w:tcW w:w="313" w:type="pct"/>
            <w:tcBorders>
              <w:top w:val="nil"/>
              <w:left w:val="single" w:sz="4" w:space="0" w:color="auto"/>
              <w:bottom w:val="nil"/>
              <w:right w:val="nil"/>
            </w:tcBorders>
            <w:shd w:val="clear" w:color="000000" w:fill="F2F2F2"/>
            <w:vAlign w:val="center"/>
          </w:tcPr>
          <w:p w14:paraId="7BEF1001" w14:textId="047DBE48"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0.04642</w:t>
            </w:r>
          </w:p>
        </w:tc>
      </w:tr>
      <w:tr w:rsidR="00844AB2" w:rsidRPr="008804F0" w14:paraId="5DC5CDFB" w14:textId="1D45E20A" w:rsidTr="00844AB2">
        <w:trPr>
          <w:trHeight w:val="300"/>
        </w:trPr>
        <w:tc>
          <w:tcPr>
            <w:tcW w:w="365" w:type="pct"/>
            <w:tcBorders>
              <w:top w:val="nil"/>
              <w:left w:val="nil"/>
              <w:bottom w:val="nil"/>
              <w:right w:val="nil"/>
            </w:tcBorders>
            <w:shd w:val="clear" w:color="000000" w:fill="F2F2F2"/>
            <w:noWrap/>
            <w:vAlign w:val="center"/>
            <w:hideMark/>
          </w:tcPr>
          <w:p w14:paraId="0F974CC6" w14:textId="77777777" w:rsidR="00844AB2" w:rsidRPr="008804F0" w:rsidRDefault="00844AB2" w:rsidP="00B83400">
            <w:pPr>
              <w:spacing w:after="0" w:line="240" w:lineRule="auto"/>
              <w:rPr>
                <w:rFonts w:eastAsia="Times New Roman"/>
                <w:color w:val="000000"/>
                <w:sz w:val="19"/>
                <w:szCs w:val="19"/>
                <w:lang w:eastAsia="en-GB"/>
              </w:rPr>
            </w:pPr>
            <w:r w:rsidRPr="008804F0">
              <w:rPr>
                <w:rFonts w:ascii="Calibri" w:eastAsia="Times New Roman" w:hAnsi="Calibri"/>
                <w:color w:val="000000"/>
                <w:sz w:val="20"/>
                <w:szCs w:val="20"/>
                <w:lang w:eastAsia="en-GB"/>
              </w:rPr>
              <w:t>GLM_3</w:t>
            </w:r>
          </w:p>
        </w:tc>
        <w:tc>
          <w:tcPr>
            <w:tcW w:w="609" w:type="pct"/>
            <w:tcBorders>
              <w:top w:val="nil"/>
              <w:left w:val="nil"/>
              <w:bottom w:val="nil"/>
              <w:right w:val="nil"/>
            </w:tcBorders>
            <w:shd w:val="clear" w:color="000000" w:fill="F2F2F2"/>
            <w:noWrap/>
            <w:vAlign w:val="center"/>
            <w:hideMark/>
          </w:tcPr>
          <w:p w14:paraId="3A68FA35"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0.93742 (0.04978)</w:t>
            </w:r>
          </w:p>
        </w:tc>
        <w:tc>
          <w:tcPr>
            <w:tcW w:w="304" w:type="pct"/>
            <w:tcBorders>
              <w:top w:val="nil"/>
              <w:left w:val="nil"/>
              <w:bottom w:val="nil"/>
              <w:right w:val="nil"/>
            </w:tcBorders>
            <w:shd w:val="clear" w:color="000000" w:fill="F2F2F2"/>
            <w:noWrap/>
            <w:vAlign w:val="center"/>
            <w:hideMark/>
          </w:tcPr>
          <w:p w14:paraId="68539885"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0.72956</w:t>
            </w:r>
          </w:p>
        </w:tc>
        <w:tc>
          <w:tcPr>
            <w:tcW w:w="304" w:type="pct"/>
            <w:tcBorders>
              <w:top w:val="nil"/>
              <w:left w:val="nil"/>
              <w:bottom w:val="nil"/>
              <w:right w:val="nil"/>
            </w:tcBorders>
            <w:shd w:val="clear" w:color="000000" w:fill="F2F2F2"/>
            <w:noWrap/>
            <w:vAlign w:val="center"/>
            <w:hideMark/>
          </w:tcPr>
          <w:p w14:paraId="6A0F1B4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0.98071</w:t>
            </w:r>
          </w:p>
        </w:tc>
        <w:tc>
          <w:tcPr>
            <w:tcW w:w="305" w:type="pct"/>
            <w:tcBorders>
              <w:top w:val="nil"/>
              <w:left w:val="nil"/>
              <w:bottom w:val="nil"/>
              <w:right w:val="nil"/>
            </w:tcBorders>
            <w:shd w:val="clear" w:color="000000" w:fill="F2F2F2"/>
            <w:noWrap/>
            <w:vAlign w:val="center"/>
            <w:hideMark/>
          </w:tcPr>
          <w:p w14:paraId="60966163"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0.00403</w:t>
            </w:r>
          </w:p>
        </w:tc>
        <w:tc>
          <w:tcPr>
            <w:tcW w:w="304" w:type="pct"/>
            <w:tcBorders>
              <w:top w:val="nil"/>
              <w:left w:val="nil"/>
              <w:bottom w:val="nil"/>
              <w:right w:val="nil"/>
            </w:tcBorders>
            <w:shd w:val="clear" w:color="000000" w:fill="F2F2F2"/>
            <w:noWrap/>
            <w:vAlign w:val="center"/>
            <w:hideMark/>
          </w:tcPr>
          <w:p w14:paraId="0422F0B4"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0.04313</w:t>
            </w:r>
          </w:p>
        </w:tc>
        <w:tc>
          <w:tcPr>
            <w:tcW w:w="304" w:type="pct"/>
            <w:tcBorders>
              <w:top w:val="nil"/>
              <w:left w:val="nil"/>
              <w:bottom w:val="nil"/>
              <w:right w:val="nil"/>
            </w:tcBorders>
            <w:shd w:val="clear" w:color="000000" w:fill="F2F2F2"/>
            <w:noWrap/>
            <w:vAlign w:val="center"/>
            <w:hideMark/>
          </w:tcPr>
          <w:p w14:paraId="4B78E5C8"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101.91</w:t>
            </w:r>
          </w:p>
        </w:tc>
        <w:tc>
          <w:tcPr>
            <w:tcW w:w="305" w:type="pct"/>
            <w:tcBorders>
              <w:top w:val="nil"/>
              <w:left w:val="nil"/>
              <w:bottom w:val="nil"/>
              <w:right w:val="nil"/>
            </w:tcBorders>
            <w:shd w:val="clear" w:color="000000" w:fill="F2F2F2"/>
            <w:noWrap/>
            <w:vAlign w:val="center"/>
            <w:hideMark/>
          </w:tcPr>
          <w:p w14:paraId="781412E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120.06</w:t>
            </w:r>
          </w:p>
        </w:tc>
        <w:tc>
          <w:tcPr>
            <w:tcW w:w="80" w:type="pct"/>
            <w:tcBorders>
              <w:top w:val="nil"/>
              <w:left w:val="single" w:sz="4" w:space="0" w:color="auto"/>
              <w:bottom w:val="nil"/>
              <w:right w:val="single" w:sz="4" w:space="0" w:color="auto"/>
            </w:tcBorders>
            <w:shd w:val="clear" w:color="000000" w:fill="F2F2F2"/>
            <w:noWrap/>
            <w:vAlign w:val="center"/>
            <w:hideMark/>
          </w:tcPr>
          <w:p w14:paraId="3527162B"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378A441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0.93936 (0.05009)</w:t>
            </w:r>
          </w:p>
        </w:tc>
        <w:tc>
          <w:tcPr>
            <w:tcW w:w="305" w:type="pct"/>
            <w:tcBorders>
              <w:top w:val="nil"/>
              <w:left w:val="nil"/>
              <w:bottom w:val="nil"/>
              <w:right w:val="nil"/>
            </w:tcBorders>
            <w:shd w:val="clear" w:color="000000" w:fill="F2F2F2"/>
            <w:noWrap/>
            <w:vAlign w:val="center"/>
            <w:hideMark/>
          </w:tcPr>
          <w:p w14:paraId="4E620EDA"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0.64983</w:t>
            </w:r>
          </w:p>
        </w:tc>
        <w:tc>
          <w:tcPr>
            <w:tcW w:w="304" w:type="pct"/>
            <w:tcBorders>
              <w:top w:val="nil"/>
              <w:left w:val="nil"/>
              <w:bottom w:val="nil"/>
              <w:right w:val="nil"/>
            </w:tcBorders>
            <w:shd w:val="clear" w:color="000000" w:fill="F2F2F2"/>
            <w:noWrap/>
            <w:vAlign w:val="center"/>
            <w:hideMark/>
          </w:tcPr>
          <w:p w14:paraId="22E0906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0.97949</w:t>
            </w:r>
          </w:p>
        </w:tc>
        <w:tc>
          <w:tcPr>
            <w:tcW w:w="305" w:type="pct"/>
            <w:tcBorders>
              <w:top w:val="nil"/>
              <w:left w:val="nil"/>
              <w:bottom w:val="nil"/>
              <w:right w:val="nil"/>
            </w:tcBorders>
            <w:shd w:val="clear" w:color="000000" w:fill="F2F2F2"/>
            <w:noWrap/>
            <w:vAlign w:val="center"/>
            <w:hideMark/>
          </w:tcPr>
          <w:p w14:paraId="1C104C4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0.00326</w:t>
            </w:r>
          </w:p>
        </w:tc>
        <w:tc>
          <w:tcPr>
            <w:tcW w:w="304" w:type="pct"/>
            <w:tcBorders>
              <w:top w:val="nil"/>
              <w:left w:val="nil"/>
              <w:bottom w:val="nil"/>
              <w:right w:val="single" w:sz="4" w:space="0" w:color="auto"/>
            </w:tcBorders>
            <w:shd w:val="clear" w:color="000000" w:fill="F2F2F2"/>
            <w:noWrap/>
            <w:vAlign w:val="center"/>
            <w:hideMark/>
          </w:tcPr>
          <w:p w14:paraId="384C2F78"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0.04046</w:t>
            </w:r>
          </w:p>
        </w:tc>
        <w:tc>
          <w:tcPr>
            <w:tcW w:w="313" w:type="pct"/>
            <w:tcBorders>
              <w:top w:val="nil"/>
              <w:left w:val="single" w:sz="4" w:space="0" w:color="auto"/>
              <w:bottom w:val="nil"/>
              <w:right w:val="nil"/>
            </w:tcBorders>
            <w:shd w:val="clear" w:color="000000" w:fill="F2F2F2"/>
            <w:vAlign w:val="center"/>
          </w:tcPr>
          <w:p w14:paraId="1CFD4DDC" w14:textId="66F97E63"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0.04180</w:t>
            </w:r>
          </w:p>
        </w:tc>
      </w:tr>
      <w:tr w:rsidR="00844AB2" w:rsidRPr="008804F0" w14:paraId="64E58B48" w14:textId="3CA0BB8D" w:rsidTr="00844AB2">
        <w:trPr>
          <w:trHeight w:val="300"/>
        </w:trPr>
        <w:tc>
          <w:tcPr>
            <w:tcW w:w="365" w:type="pct"/>
            <w:tcBorders>
              <w:top w:val="nil"/>
              <w:left w:val="nil"/>
              <w:bottom w:val="nil"/>
              <w:right w:val="nil"/>
            </w:tcBorders>
            <w:shd w:val="clear" w:color="000000" w:fill="F2F2F2"/>
            <w:noWrap/>
            <w:vAlign w:val="center"/>
            <w:hideMark/>
          </w:tcPr>
          <w:p w14:paraId="087C09A7" w14:textId="77777777" w:rsidR="00844AB2" w:rsidRPr="008804F0" w:rsidRDefault="00844AB2" w:rsidP="00B83400">
            <w:pPr>
              <w:spacing w:after="0" w:line="240" w:lineRule="auto"/>
              <w:rPr>
                <w:rFonts w:eastAsia="Times New Roman"/>
                <w:color w:val="000000"/>
                <w:sz w:val="19"/>
                <w:szCs w:val="19"/>
                <w:lang w:eastAsia="en-GB"/>
              </w:rPr>
            </w:pPr>
            <w:r w:rsidRPr="008804F0">
              <w:rPr>
                <w:rFonts w:ascii="Calibri" w:eastAsia="Times New Roman" w:hAnsi="Calibri"/>
                <w:color w:val="000000"/>
                <w:sz w:val="20"/>
                <w:szCs w:val="20"/>
                <w:lang w:eastAsia="en-GB"/>
              </w:rPr>
              <w:t>GLM_4</w:t>
            </w:r>
          </w:p>
        </w:tc>
        <w:tc>
          <w:tcPr>
            <w:tcW w:w="609" w:type="pct"/>
            <w:tcBorders>
              <w:top w:val="nil"/>
              <w:left w:val="nil"/>
              <w:bottom w:val="nil"/>
              <w:right w:val="nil"/>
            </w:tcBorders>
            <w:shd w:val="clear" w:color="000000" w:fill="F2F2F2"/>
            <w:noWrap/>
            <w:vAlign w:val="center"/>
            <w:hideMark/>
          </w:tcPr>
          <w:p w14:paraId="198AFBA0"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0.93742 (0.05019)</w:t>
            </w:r>
          </w:p>
        </w:tc>
        <w:tc>
          <w:tcPr>
            <w:tcW w:w="304" w:type="pct"/>
            <w:tcBorders>
              <w:top w:val="nil"/>
              <w:left w:val="nil"/>
              <w:bottom w:val="nil"/>
              <w:right w:val="nil"/>
            </w:tcBorders>
            <w:shd w:val="clear" w:color="000000" w:fill="F2F2F2"/>
            <w:noWrap/>
            <w:vAlign w:val="center"/>
            <w:hideMark/>
          </w:tcPr>
          <w:p w14:paraId="03E3E632"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0.73330</w:t>
            </w:r>
          </w:p>
        </w:tc>
        <w:tc>
          <w:tcPr>
            <w:tcW w:w="304" w:type="pct"/>
            <w:tcBorders>
              <w:top w:val="nil"/>
              <w:left w:val="nil"/>
              <w:bottom w:val="nil"/>
              <w:right w:val="nil"/>
            </w:tcBorders>
            <w:shd w:val="clear" w:color="000000" w:fill="F2F2F2"/>
            <w:noWrap/>
            <w:vAlign w:val="center"/>
            <w:hideMark/>
          </w:tcPr>
          <w:p w14:paraId="5902C110"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0.98309</w:t>
            </w:r>
          </w:p>
        </w:tc>
        <w:tc>
          <w:tcPr>
            <w:tcW w:w="305" w:type="pct"/>
            <w:tcBorders>
              <w:top w:val="nil"/>
              <w:left w:val="nil"/>
              <w:bottom w:val="nil"/>
              <w:right w:val="nil"/>
            </w:tcBorders>
            <w:shd w:val="clear" w:color="000000" w:fill="F2F2F2"/>
            <w:noWrap/>
            <w:vAlign w:val="center"/>
            <w:hideMark/>
          </w:tcPr>
          <w:p w14:paraId="59B565CB"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0.00393</w:t>
            </w:r>
          </w:p>
        </w:tc>
        <w:tc>
          <w:tcPr>
            <w:tcW w:w="304" w:type="pct"/>
            <w:tcBorders>
              <w:top w:val="nil"/>
              <w:left w:val="nil"/>
              <w:bottom w:val="nil"/>
              <w:right w:val="nil"/>
            </w:tcBorders>
            <w:shd w:val="clear" w:color="000000" w:fill="F2F2F2"/>
            <w:noWrap/>
            <w:vAlign w:val="center"/>
            <w:hideMark/>
          </w:tcPr>
          <w:p w14:paraId="1F0EF490"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0.04254</w:t>
            </w:r>
          </w:p>
        </w:tc>
        <w:tc>
          <w:tcPr>
            <w:tcW w:w="304" w:type="pct"/>
            <w:tcBorders>
              <w:top w:val="nil"/>
              <w:left w:val="nil"/>
              <w:bottom w:val="nil"/>
              <w:right w:val="nil"/>
            </w:tcBorders>
            <w:shd w:val="clear" w:color="000000" w:fill="F2F2F2"/>
            <w:noWrap/>
            <w:vAlign w:val="center"/>
            <w:hideMark/>
          </w:tcPr>
          <w:p w14:paraId="1BC90DA9"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105.77</w:t>
            </w:r>
          </w:p>
        </w:tc>
        <w:tc>
          <w:tcPr>
            <w:tcW w:w="305" w:type="pct"/>
            <w:tcBorders>
              <w:top w:val="nil"/>
              <w:left w:val="nil"/>
              <w:bottom w:val="nil"/>
              <w:right w:val="nil"/>
            </w:tcBorders>
            <w:shd w:val="clear" w:color="000000" w:fill="F2F2F2"/>
            <w:noWrap/>
            <w:vAlign w:val="center"/>
            <w:hideMark/>
          </w:tcPr>
          <w:p w14:paraId="0B1DBB9A"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131.19</w:t>
            </w:r>
          </w:p>
        </w:tc>
        <w:tc>
          <w:tcPr>
            <w:tcW w:w="80" w:type="pct"/>
            <w:tcBorders>
              <w:top w:val="nil"/>
              <w:left w:val="single" w:sz="4" w:space="0" w:color="auto"/>
              <w:bottom w:val="nil"/>
              <w:right w:val="single" w:sz="4" w:space="0" w:color="auto"/>
            </w:tcBorders>
            <w:shd w:val="clear" w:color="000000" w:fill="F2F2F2"/>
            <w:noWrap/>
            <w:vAlign w:val="center"/>
            <w:hideMark/>
          </w:tcPr>
          <w:p w14:paraId="0EB2C70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7B8B423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0.93907 (0.05061)</w:t>
            </w:r>
          </w:p>
        </w:tc>
        <w:tc>
          <w:tcPr>
            <w:tcW w:w="305" w:type="pct"/>
            <w:tcBorders>
              <w:top w:val="nil"/>
              <w:left w:val="nil"/>
              <w:bottom w:val="nil"/>
              <w:right w:val="nil"/>
            </w:tcBorders>
            <w:shd w:val="clear" w:color="000000" w:fill="F2F2F2"/>
            <w:noWrap/>
            <w:vAlign w:val="center"/>
            <w:hideMark/>
          </w:tcPr>
          <w:p w14:paraId="2877576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0.65902</w:t>
            </w:r>
          </w:p>
        </w:tc>
        <w:tc>
          <w:tcPr>
            <w:tcW w:w="304" w:type="pct"/>
            <w:tcBorders>
              <w:top w:val="nil"/>
              <w:left w:val="nil"/>
              <w:bottom w:val="nil"/>
              <w:right w:val="nil"/>
            </w:tcBorders>
            <w:shd w:val="clear" w:color="000000" w:fill="F2F2F2"/>
            <w:noWrap/>
            <w:vAlign w:val="center"/>
            <w:hideMark/>
          </w:tcPr>
          <w:p w14:paraId="0560B8C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0.98256</w:t>
            </w:r>
          </w:p>
        </w:tc>
        <w:tc>
          <w:tcPr>
            <w:tcW w:w="305" w:type="pct"/>
            <w:tcBorders>
              <w:top w:val="nil"/>
              <w:left w:val="nil"/>
              <w:bottom w:val="nil"/>
              <w:right w:val="nil"/>
            </w:tcBorders>
            <w:shd w:val="clear" w:color="000000" w:fill="F2F2F2"/>
            <w:noWrap/>
            <w:vAlign w:val="center"/>
            <w:hideMark/>
          </w:tcPr>
          <w:p w14:paraId="6A9E54A8"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0.00324</w:t>
            </w:r>
          </w:p>
        </w:tc>
        <w:tc>
          <w:tcPr>
            <w:tcW w:w="304" w:type="pct"/>
            <w:tcBorders>
              <w:top w:val="nil"/>
              <w:left w:val="nil"/>
              <w:bottom w:val="nil"/>
              <w:right w:val="single" w:sz="4" w:space="0" w:color="auto"/>
            </w:tcBorders>
            <w:shd w:val="clear" w:color="000000" w:fill="F2F2F2"/>
            <w:noWrap/>
            <w:vAlign w:val="center"/>
            <w:hideMark/>
          </w:tcPr>
          <w:p w14:paraId="5722961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0.04060</w:t>
            </w:r>
          </w:p>
        </w:tc>
        <w:tc>
          <w:tcPr>
            <w:tcW w:w="313" w:type="pct"/>
            <w:tcBorders>
              <w:top w:val="nil"/>
              <w:left w:val="single" w:sz="4" w:space="0" w:color="auto"/>
              <w:bottom w:val="nil"/>
              <w:right w:val="nil"/>
            </w:tcBorders>
            <w:shd w:val="clear" w:color="000000" w:fill="F2F2F2"/>
            <w:vAlign w:val="center"/>
          </w:tcPr>
          <w:p w14:paraId="7D47E6C3" w14:textId="0C727894"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0.04157</w:t>
            </w:r>
          </w:p>
        </w:tc>
      </w:tr>
      <w:tr w:rsidR="00844AB2" w:rsidRPr="008804F0" w14:paraId="07598016" w14:textId="4A6CBF2D" w:rsidTr="00844AB2">
        <w:trPr>
          <w:trHeight w:val="300"/>
        </w:trPr>
        <w:tc>
          <w:tcPr>
            <w:tcW w:w="365" w:type="pct"/>
            <w:tcBorders>
              <w:top w:val="nil"/>
              <w:left w:val="nil"/>
              <w:bottom w:val="nil"/>
              <w:right w:val="nil"/>
            </w:tcBorders>
            <w:shd w:val="clear" w:color="000000" w:fill="F2F2F2"/>
            <w:noWrap/>
            <w:vAlign w:val="center"/>
            <w:hideMark/>
          </w:tcPr>
          <w:p w14:paraId="551D4490" w14:textId="77777777" w:rsidR="00844AB2" w:rsidRPr="00844AB2" w:rsidRDefault="00844AB2" w:rsidP="00B83400">
            <w:pPr>
              <w:spacing w:after="0" w:line="240" w:lineRule="auto"/>
              <w:rPr>
                <w:rFonts w:eastAsia="Times New Roman"/>
                <w:color w:val="000000"/>
                <w:sz w:val="19"/>
                <w:szCs w:val="19"/>
                <w:lang w:eastAsia="en-GB"/>
              </w:rPr>
            </w:pPr>
            <w:r w:rsidRPr="00844AB2">
              <w:rPr>
                <w:rFonts w:ascii="Calibri" w:eastAsia="Times New Roman" w:hAnsi="Calibri"/>
                <w:color w:val="000000"/>
                <w:sz w:val="20"/>
                <w:szCs w:val="20"/>
                <w:lang w:eastAsia="en-GB"/>
              </w:rPr>
              <w:t>GLM_5</w:t>
            </w:r>
          </w:p>
        </w:tc>
        <w:tc>
          <w:tcPr>
            <w:tcW w:w="609" w:type="pct"/>
            <w:tcBorders>
              <w:top w:val="nil"/>
              <w:left w:val="nil"/>
              <w:bottom w:val="nil"/>
              <w:right w:val="nil"/>
            </w:tcBorders>
            <w:shd w:val="clear" w:color="000000" w:fill="F2F2F2"/>
            <w:noWrap/>
            <w:vAlign w:val="center"/>
            <w:hideMark/>
          </w:tcPr>
          <w:p w14:paraId="5EDC285E"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0.93742 (0.05176)</w:t>
            </w:r>
          </w:p>
        </w:tc>
        <w:tc>
          <w:tcPr>
            <w:tcW w:w="304" w:type="pct"/>
            <w:tcBorders>
              <w:top w:val="nil"/>
              <w:left w:val="nil"/>
              <w:bottom w:val="nil"/>
              <w:right w:val="nil"/>
            </w:tcBorders>
            <w:shd w:val="clear" w:color="000000" w:fill="F2F2F2"/>
            <w:noWrap/>
            <w:vAlign w:val="center"/>
            <w:hideMark/>
          </w:tcPr>
          <w:p w14:paraId="3F05991B"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0.65715</w:t>
            </w:r>
          </w:p>
        </w:tc>
        <w:tc>
          <w:tcPr>
            <w:tcW w:w="304" w:type="pct"/>
            <w:tcBorders>
              <w:top w:val="nil"/>
              <w:left w:val="nil"/>
              <w:bottom w:val="nil"/>
              <w:right w:val="nil"/>
            </w:tcBorders>
            <w:shd w:val="clear" w:color="000000" w:fill="F2F2F2"/>
            <w:noWrap/>
            <w:vAlign w:val="center"/>
            <w:hideMark/>
          </w:tcPr>
          <w:p w14:paraId="54CF7D6B"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0.98975</w:t>
            </w:r>
          </w:p>
        </w:tc>
        <w:tc>
          <w:tcPr>
            <w:tcW w:w="305" w:type="pct"/>
            <w:tcBorders>
              <w:top w:val="nil"/>
              <w:left w:val="nil"/>
              <w:bottom w:val="nil"/>
              <w:right w:val="nil"/>
            </w:tcBorders>
            <w:shd w:val="clear" w:color="000000" w:fill="F2F2F2"/>
            <w:noWrap/>
            <w:vAlign w:val="center"/>
            <w:hideMark/>
          </w:tcPr>
          <w:p w14:paraId="370B5F31"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0.00356</w:t>
            </w:r>
          </w:p>
        </w:tc>
        <w:tc>
          <w:tcPr>
            <w:tcW w:w="304" w:type="pct"/>
            <w:tcBorders>
              <w:top w:val="nil"/>
              <w:left w:val="nil"/>
              <w:bottom w:val="nil"/>
              <w:right w:val="nil"/>
            </w:tcBorders>
            <w:shd w:val="clear" w:color="000000" w:fill="F2F2F2"/>
            <w:noWrap/>
            <w:vAlign w:val="center"/>
            <w:hideMark/>
          </w:tcPr>
          <w:p w14:paraId="4A4FB52A"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0.04109</w:t>
            </w:r>
          </w:p>
        </w:tc>
        <w:tc>
          <w:tcPr>
            <w:tcW w:w="304" w:type="pct"/>
            <w:tcBorders>
              <w:top w:val="nil"/>
              <w:left w:val="nil"/>
              <w:bottom w:val="nil"/>
              <w:right w:val="nil"/>
            </w:tcBorders>
            <w:shd w:val="clear" w:color="000000" w:fill="F2F2F2"/>
            <w:noWrap/>
            <w:vAlign w:val="center"/>
            <w:hideMark/>
          </w:tcPr>
          <w:p w14:paraId="6EE5E858"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112.75</w:t>
            </w:r>
          </w:p>
        </w:tc>
        <w:tc>
          <w:tcPr>
            <w:tcW w:w="305" w:type="pct"/>
            <w:tcBorders>
              <w:top w:val="nil"/>
              <w:left w:val="nil"/>
              <w:bottom w:val="nil"/>
              <w:right w:val="nil"/>
            </w:tcBorders>
            <w:shd w:val="clear" w:color="000000" w:fill="F2F2F2"/>
            <w:noWrap/>
            <w:vAlign w:val="center"/>
            <w:hideMark/>
          </w:tcPr>
          <w:p w14:paraId="050F5AE1"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152.70</w:t>
            </w:r>
          </w:p>
        </w:tc>
        <w:tc>
          <w:tcPr>
            <w:tcW w:w="80" w:type="pct"/>
            <w:tcBorders>
              <w:top w:val="nil"/>
              <w:left w:val="single" w:sz="4" w:space="0" w:color="auto"/>
              <w:bottom w:val="nil"/>
              <w:right w:val="single" w:sz="4" w:space="0" w:color="auto"/>
            </w:tcBorders>
            <w:shd w:val="clear" w:color="000000" w:fill="F2F2F2"/>
            <w:noWrap/>
            <w:vAlign w:val="center"/>
            <w:hideMark/>
          </w:tcPr>
          <w:p w14:paraId="391E1439"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51FAA82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0.93756 (0.05431)</w:t>
            </w:r>
          </w:p>
        </w:tc>
        <w:tc>
          <w:tcPr>
            <w:tcW w:w="305" w:type="pct"/>
            <w:tcBorders>
              <w:top w:val="nil"/>
              <w:left w:val="nil"/>
              <w:bottom w:val="nil"/>
              <w:right w:val="nil"/>
            </w:tcBorders>
            <w:shd w:val="clear" w:color="000000" w:fill="F2F2F2"/>
            <w:noWrap/>
            <w:vAlign w:val="center"/>
            <w:hideMark/>
          </w:tcPr>
          <w:p w14:paraId="1812752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0.71233</w:t>
            </w:r>
          </w:p>
        </w:tc>
        <w:tc>
          <w:tcPr>
            <w:tcW w:w="304" w:type="pct"/>
            <w:tcBorders>
              <w:top w:val="nil"/>
              <w:left w:val="nil"/>
              <w:bottom w:val="nil"/>
              <w:right w:val="nil"/>
            </w:tcBorders>
            <w:shd w:val="clear" w:color="000000" w:fill="F2F2F2"/>
            <w:noWrap/>
            <w:vAlign w:val="center"/>
            <w:hideMark/>
          </w:tcPr>
          <w:p w14:paraId="17262D58"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0.98512</w:t>
            </w:r>
          </w:p>
        </w:tc>
        <w:tc>
          <w:tcPr>
            <w:tcW w:w="305" w:type="pct"/>
            <w:tcBorders>
              <w:top w:val="nil"/>
              <w:left w:val="nil"/>
              <w:bottom w:val="nil"/>
              <w:right w:val="nil"/>
            </w:tcBorders>
            <w:shd w:val="clear" w:color="000000" w:fill="F2F2F2"/>
            <w:noWrap/>
            <w:vAlign w:val="center"/>
            <w:hideMark/>
          </w:tcPr>
          <w:p w14:paraId="2EA65552"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0.00344</w:t>
            </w:r>
          </w:p>
        </w:tc>
        <w:tc>
          <w:tcPr>
            <w:tcW w:w="304" w:type="pct"/>
            <w:tcBorders>
              <w:top w:val="nil"/>
              <w:left w:val="nil"/>
              <w:bottom w:val="nil"/>
              <w:right w:val="single" w:sz="4" w:space="0" w:color="auto"/>
            </w:tcBorders>
            <w:shd w:val="clear" w:color="000000" w:fill="F2F2F2"/>
            <w:noWrap/>
            <w:vAlign w:val="center"/>
            <w:hideMark/>
          </w:tcPr>
          <w:p w14:paraId="3E24082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0.04172</w:t>
            </w:r>
          </w:p>
        </w:tc>
        <w:tc>
          <w:tcPr>
            <w:tcW w:w="313" w:type="pct"/>
            <w:tcBorders>
              <w:top w:val="nil"/>
              <w:left w:val="single" w:sz="4" w:space="0" w:color="auto"/>
              <w:bottom w:val="nil"/>
              <w:right w:val="nil"/>
            </w:tcBorders>
            <w:shd w:val="clear" w:color="000000" w:fill="F2F2F2"/>
            <w:vAlign w:val="center"/>
          </w:tcPr>
          <w:p w14:paraId="48EEF03F" w14:textId="1E888CBA"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i/>
                <w:iCs/>
                <w:color w:val="000000"/>
                <w:sz w:val="20"/>
                <w:szCs w:val="20"/>
                <w:lang w:eastAsia="en-GB"/>
              </w:rPr>
              <w:t>0.04141</w:t>
            </w:r>
          </w:p>
        </w:tc>
      </w:tr>
      <w:tr w:rsidR="00844AB2" w:rsidRPr="008804F0" w14:paraId="4FED083E" w14:textId="118384FE" w:rsidTr="00844AB2">
        <w:trPr>
          <w:trHeight w:val="300"/>
        </w:trPr>
        <w:tc>
          <w:tcPr>
            <w:tcW w:w="365" w:type="pct"/>
            <w:tcBorders>
              <w:top w:val="nil"/>
              <w:left w:val="nil"/>
              <w:bottom w:val="nil"/>
              <w:right w:val="nil"/>
            </w:tcBorders>
            <w:shd w:val="clear" w:color="000000" w:fill="F2F2F2"/>
            <w:noWrap/>
            <w:vAlign w:val="center"/>
            <w:hideMark/>
          </w:tcPr>
          <w:p w14:paraId="0F937D26" w14:textId="77777777" w:rsidR="00844AB2" w:rsidRPr="00844AB2" w:rsidRDefault="00844AB2" w:rsidP="00B83400">
            <w:pPr>
              <w:spacing w:after="0" w:line="240" w:lineRule="auto"/>
              <w:rPr>
                <w:rFonts w:eastAsia="Times New Roman"/>
                <w:color w:val="000000"/>
                <w:sz w:val="19"/>
                <w:szCs w:val="19"/>
                <w:lang w:eastAsia="en-GB"/>
              </w:rPr>
            </w:pPr>
            <w:r w:rsidRPr="00844AB2">
              <w:rPr>
                <w:rFonts w:ascii="Calibri" w:eastAsia="Times New Roman" w:hAnsi="Calibri"/>
                <w:color w:val="000000"/>
                <w:sz w:val="20"/>
                <w:szCs w:val="20"/>
                <w:lang w:eastAsia="en-GB"/>
              </w:rPr>
              <w:t>GLM_6</w:t>
            </w:r>
          </w:p>
        </w:tc>
        <w:tc>
          <w:tcPr>
            <w:tcW w:w="609" w:type="pct"/>
            <w:tcBorders>
              <w:top w:val="nil"/>
              <w:left w:val="nil"/>
              <w:bottom w:val="nil"/>
              <w:right w:val="nil"/>
            </w:tcBorders>
            <w:shd w:val="clear" w:color="000000" w:fill="F2F2F2"/>
            <w:noWrap/>
            <w:vAlign w:val="center"/>
            <w:hideMark/>
          </w:tcPr>
          <w:p w14:paraId="2834D447"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0.93742 (0.05193)</w:t>
            </w:r>
          </w:p>
        </w:tc>
        <w:tc>
          <w:tcPr>
            <w:tcW w:w="304" w:type="pct"/>
            <w:tcBorders>
              <w:top w:val="nil"/>
              <w:left w:val="nil"/>
              <w:bottom w:val="nil"/>
              <w:right w:val="nil"/>
            </w:tcBorders>
            <w:shd w:val="clear" w:color="000000" w:fill="F2F2F2"/>
            <w:noWrap/>
            <w:vAlign w:val="center"/>
            <w:hideMark/>
          </w:tcPr>
          <w:p w14:paraId="0DC0677C"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0.66093</w:t>
            </w:r>
          </w:p>
        </w:tc>
        <w:tc>
          <w:tcPr>
            <w:tcW w:w="304" w:type="pct"/>
            <w:tcBorders>
              <w:top w:val="nil"/>
              <w:left w:val="nil"/>
              <w:bottom w:val="nil"/>
              <w:right w:val="nil"/>
            </w:tcBorders>
            <w:shd w:val="clear" w:color="000000" w:fill="F2F2F2"/>
            <w:noWrap/>
            <w:vAlign w:val="center"/>
            <w:hideMark/>
          </w:tcPr>
          <w:p w14:paraId="294EC2A9"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0.98935</w:t>
            </w:r>
          </w:p>
        </w:tc>
        <w:tc>
          <w:tcPr>
            <w:tcW w:w="305" w:type="pct"/>
            <w:tcBorders>
              <w:top w:val="nil"/>
              <w:left w:val="nil"/>
              <w:bottom w:val="nil"/>
              <w:right w:val="nil"/>
            </w:tcBorders>
            <w:shd w:val="clear" w:color="000000" w:fill="F2F2F2"/>
            <w:noWrap/>
            <w:vAlign w:val="center"/>
            <w:hideMark/>
          </w:tcPr>
          <w:p w14:paraId="4D8E933A"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0.00353</w:t>
            </w:r>
          </w:p>
        </w:tc>
        <w:tc>
          <w:tcPr>
            <w:tcW w:w="304" w:type="pct"/>
            <w:tcBorders>
              <w:top w:val="nil"/>
              <w:left w:val="nil"/>
              <w:bottom w:val="nil"/>
              <w:right w:val="nil"/>
            </w:tcBorders>
            <w:shd w:val="clear" w:color="000000" w:fill="F2F2F2"/>
            <w:noWrap/>
            <w:vAlign w:val="center"/>
            <w:hideMark/>
          </w:tcPr>
          <w:p w14:paraId="71B2FCFF"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0.04078</w:t>
            </w:r>
          </w:p>
        </w:tc>
        <w:tc>
          <w:tcPr>
            <w:tcW w:w="304" w:type="pct"/>
            <w:tcBorders>
              <w:top w:val="nil"/>
              <w:left w:val="nil"/>
              <w:bottom w:val="nil"/>
              <w:right w:val="nil"/>
            </w:tcBorders>
            <w:shd w:val="clear" w:color="000000" w:fill="F2F2F2"/>
            <w:noWrap/>
            <w:vAlign w:val="center"/>
            <w:hideMark/>
          </w:tcPr>
          <w:p w14:paraId="7AA0B62C"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116.70</w:t>
            </w:r>
          </w:p>
        </w:tc>
        <w:tc>
          <w:tcPr>
            <w:tcW w:w="305" w:type="pct"/>
            <w:tcBorders>
              <w:top w:val="nil"/>
              <w:left w:val="nil"/>
              <w:bottom w:val="nil"/>
              <w:right w:val="nil"/>
            </w:tcBorders>
            <w:shd w:val="clear" w:color="000000" w:fill="F2F2F2"/>
            <w:noWrap/>
            <w:vAlign w:val="center"/>
            <w:hideMark/>
          </w:tcPr>
          <w:p w14:paraId="0279B9A3"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163.90</w:t>
            </w:r>
          </w:p>
        </w:tc>
        <w:tc>
          <w:tcPr>
            <w:tcW w:w="80" w:type="pct"/>
            <w:tcBorders>
              <w:top w:val="nil"/>
              <w:left w:val="single" w:sz="4" w:space="0" w:color="auto"/>
              <w:bottom w:val="nil"/>
              <w:right w:val="single" w:sz="4" w:space="0" w:color="auto"/>
            </w:tcBorders>
            <w:shd w:val="clear" w:color="000000" w:fill="F2F2F2"/>
            <w:noWrap/>
            <w:vAlign w:val="center"/>
            <w:hideMark/>
          </w:tcPr>
          <w:p w14:paraId="12D35B3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515FEF6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0.93761 (0.05476)</w:t>
            </w:r>
          </w:p>
        </w:tc>
        <w:tc>
          <w:tcPr>
            <w:tcW w:w="305" w:type="pct"/>
            <w:tcBorders>
              <w:top w:val="nil"/>
              <w:left w:val="nil"/>
              <w:bottom w:val="nil"/>
              <w:right w:val="nil"/>
            </w:tcBorders>
            <w:shd w:val="clear" w:color="000000" w:fill="F2F2F2"/>
            <w:noWrap/>
            <w:vAlign w:val="center"/>
            <w:hideMark/>
          </w:tcPr>
          <w:p w14:paraId="687034C2"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0.70516</w:t>
            </w:r>
          </w:p>
        </w:tc>
        <w:tc>
          <w:tcPr>
            <w:tcW w:w="304" w:type="pct"/>
            <w:tcBorders>
              <w:top w:val="nil"/>
              <w:left w:val="nil"/>
              <w:bottom w:val="nil"/>
              <w:right w:val="nil"/>
            </w:tcBorders>
            <w:shd w:val="clear" w:color="000000" w:fill="F2F2F2"/>
            <w:noWrap/>
            <w:vAlign w:val="center"/>
            <w:hideMark/>
          </w:tcPr>
          <w:p w14:paraId="33A4D75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0.98550</w:t>
            </w:r>
          </w:p>
        </w:tc>
        <w:tc>
          <w:tcPr>
            <w:tcW w:w="305" w:type="pct"/>
            <w:tcBorders>
              <w:top w:val="nil"/>
              <w:left w:val="nil"/>
              <w:bottom w:val="nil"/>
              <w:right w:val="nil"/>
            </w:tcBorders>
            <w:shd w:val="clear" w:color="000000" w:fill="F2F2F2"/>
            <w:noWrap/>
            <w:vAlign w:val="center"/>
            <w:hideMark/>
          </w:tcPr>
          <w:p w14:paraId="55E6B8F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0.00345</w:t>
            </w:r>
          </w:p>
        </w:tc>
        <w:tc>
          <w:tcPr>
            <w:tcW w:w="304" w:type="pct"/>
            <w:tcBorders>
              <w:top w:val="nil"/>
              <w:left w:val="nil"/>
              <w:bottom w:val="nil"/>
              <w:right w:val="single" w:sz="4" w:space="0" w:color="auto"/>
            </w:tcBorders>
            <w:shd w:val="clear" w:color="000000" w:fill="F2F2F2"/>
            <w:noWrap/>
            <w:vAlign w:val="center"/>
            <w:hideMark/>
          </w:tcPr>
          <w:p w14:paraId="0F51CB32"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0.04182</w:t>
            </w:r>
          </w:p>
        </w:tc>
        <w:tc>
          <w:tcPr>
            <w:tcW w:w="313" w:type="pct"/>
            <w:tcBorders>
              <w:top w:val="nil"/>
              <w:left w:val="single" w:sz="4" w:space="0" w:color="auto"/>
              <w:bottom w:val="nil"/>
              <w:right w:val="nil"/>
            </w:tcBorders>
            <w:shd w:val="clear" w:color="000000" w:fill="F2F2F2"/>
            <w:vAlign w:val="center"/>
          </w:tcPr>
          <w:p w14:paraId="7D91D185" w14:textId="778B6F91"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i/>
                <w:iCs/>
                <w:color w:val="000000"/>
                <w:sz w:val="20"/>
                <w:szCs w:val="20"/>
                <w:lang w:eastAsia="en-GB"/>
              </w:rPr>
              <w:t>0.04130</w:t>
            </w:r>
          </w:p>
        </w:tc>
      </w:tr>
      <w:tr w:rsidR="00844AB2" w:rsidRPr="008804F0" w14:paraId="63AC7B41" w14:textId="5E1FE5EF" w:rsidTr="00844AB2">
        <w:trPr>
          <w:trHeight w:val="300"/>
        </w:trPr>
        <w:tc>
          <w:tcPr>
            <w:tcW w:w="365" w:type="pct"/>
            <w:tcBorders>
              <w:top w:val="nil"/>
              <w:left w:val="nil"/>
              <w:bottom w:val="nil"/>
              <w:right w:val="nil"/>
            </w:tcBorders>
            <w:shd w:val="clear" w:color="000000" w:fill="F2F2F2"/>
            <w:noWrap/>
            <w:vAlign w:val="center"/>
            <w:hideMark/>
          </w:tcPr>
          <w:p w14:paraId="53620C83" w14:textId="77777777" w:rsidR="00844AB2" w:rsidRPr="008804F0" w:rsidRDefault="00844AB2" w:rsidP="00B83400">
            <w:pPr>
              <w:spacing w:after="0" w:line="240" w:lineRule="auto"/>
              <w:rPr>
                <w:rFonts w:eastAsia="Times New Roman"/>
                <w:color w:val="000000"/>
                <w:sz w:val="19"/>
                <w:szCs w:val="19"/>
                <w:lang w:eastAsia="en-GB"/>
              </w:rPr>
            </w:pPr>
            <w:r w:rsidRPr="008804F0">
              <w:rPr>
                <w:rFonts w:ascii="Calibri" w:eastAsia="Times New Roman" w:hAnsi="Calibri"/>
                <w:color w:val="000000"/>
                <w:sz w:val="20"/>
                <w:szCs w:val="20"/>
                <w:lang w:eastAsia="en-GB"/>
              </w:rPr>
              <w:t>OLS_1</w:t>
            </w:r>
          </w:p>
        </w:tc>
        <w:tc>
          <w:tcPr>
            <w:tcW w:w="609" w:type="pct"/>
            <w:tcBorders>
              <w:top w:val="nil"/>
              <w:left w:val="nil"/>
              <w:bottom w:val="nil"/>
              <w:right w:val="nil"/>
            </w:tcBorders>
            <w:shd w:val="clear" w:color="000000" w:fill="F2F2F2"/>
            <w:noWrap/>
            <w:vAlign w:val="center"/>
            <w:hideMark/>
          </w:tcPr>
          <w:p w14:paraId="7386DD32"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0.93742 (0.04266)</w:t>
            </w:r>
          </w:p>
        </w:tc>
        <w:tc>
          <w:tcPr>
            <w:tcW w:w="304" w:type="pct"/>
            <w:tcBorders>
              <w:top w:val="nil"/>
              <w:left w:val="nil"/>
              <w:bottom w:val="nil"/>
              <w:right w:val="nil"/>
            </w:tcBorders>
            <w:shd w:val="clear" w:color="000000" w:fill="F2F2F2"/>
            <w:noWrap/>
            <w:vAlign w:val="center"/>
            <w:hideMark/>
          </w:tcPr>
          <w:p w14:paraId="17E0BEA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0.81166</w:t>
            </w:r>
          </w:p>
        </w:tc>
        <w:tc>
          <w:tcPr>
            <w:tcW w:w="304" w:type="pct"/>
            <w:tcBorders>
              <w:top w:val="nil"/>
              <w:left w:val="nil"/>
              <w:bottom w:val="nil"/>
              <w:right w:val="nil"/>
            </w:tcBorders>
            <w:shd w:val="clear" w:color="000000" w:fill="F2F2F2"/>
            <w:noWrap/>
            <w:vAlign w:val="center"/>
            <w:hideMark/>
          </w:tcPr>
          <w:p w14:paraId="23FFC1E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0.98597</w:t>
            </w:r>
          </w:p>
        </w:tc>
        <w:tc>
          <w:tcPr>
            <w:tcW w:w="305" w:type="pct"/>
            <w:tcBorders>
              <w:top w:val="nil"/>
              <w:left w:val="nil"/>
              <w:bottom w:val="nil"/>
              <w:right w:val="nil"/>
            </w:tcBorders>
            <w:shd w:val="clear" w:color="000000" w:fill="F2F2F2"/>
            <w:noWrap/>
            <w:vAlign w:val="center"/>
            <w:hideMark/>
          </w:tcPr>
          <w:p w14:paraId="25BE603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0.00440</w:t>
            </w:r>
          </w:p>
        </w:tc>
        <w:tc>
          <w:tcPr>
            <w:tcW w:w="304" w:type="pct"/>
            <w:tcBorders>
              <w:top w:val="nil"/>
              <w:left w:val="nil"/>
              <w:bottom w:val="nil"/>
              <w:right w:val="nil"/>
            </w:tcBorders>
            <w:shd w:val="clear" w:color="000000" w:fill="F2F2F2"/>
            <w:noWrap/>
            <w:vAlign w:val="center"/>
            <w:hideMark/>
          </w:tcPr>
          <w:p w14:paraId="137EA2C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0.04595</w:t>
            </w:r>
          </w:p>
        </w:tc>
        <w:tc>
          <w:tcPr>
            <w:tcW w:w="304" w:type="pct"/>
            <w:tcBorders>
              <w:top w:val="nil"/>
              <w:left w:val="nil"/>
              <w:bottom w:val="nil"/>
              <w:right w:val="nil"/>
            </w:tcBorders>
            <w:shd w:val="clear" w:color="000000" w:fill="F2F2F2"/>
            <w:noWrap/>
            <w:vAlign w:val="center"/>
            <w:hideMark/>
          </w:tcPr>
          <w:p w14:paraId="7C389DD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-718.03</w:t>
            </w:r>
          </w:p>
        </w:tc>
        <w:tc>
          <w:tcPr>
            <w:tcW w:w="305" w:type="pct"/>
            <w:tcBorders>
              <w:top w:val="nil"/>
              <w:left w:val="nil"/>
              <w:bottom w:val="nil"/>
              <w:right w:val="nil"/>
            </w:tcBorders>
            <w:shd w:val="clear" w:color="000000" w:fill="F2F2F2"/>
            <w:noWrap/>
            <w:vAlign w:val="center"/>
            <w:hideMark/>
          </w:tcPr>
          <w:p w14:paraId="230C154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-710.77</w:t>
            </w:r>
          </w:p>
        </w:tc>
        <w:tc>
          <w:tcPr>
            <w:tcW w:w="80" w:type="pct"/>
            <w:tcBorders>
              <w:top w:val="nil"/>
              <w:left w:val="single" w:sz="4" w:space="0" w:color="auto"/>
              <w:bottom w:val="nil"/>
              <w:right w:val="single" w:sz="4" w:space="0" w:color="auto"/>
            </w:tcBorders>
            <w:shd w:val="clear" w:color="000000" w:fill="F2F2F2"/>
            <w:noWrap/>
            <w:vAlign w:val="center"/>
            <w:hideMark/>
          </w:tcPr>
          <w:p w14:paraId="2198117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61E3CF0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0.93586 (0.04530)</w:t>
            </w:r>
          </w:p>
        </w:tc>
        <w:tc>
          <w:tcPr>
            <w:tcW w:w="305" w:type="pct"/>
            <w:tcBorders>
              <w:top w:val="nil"/>
              <w:left w:val="nil"/>
              <w:bottom w:val="nil"/>
              <w:right w:val="nil"/>
            </w:tcBorders>
            <w:shd w:val="clear" w:color="000000" w:fill="F2F2F2"/>
            <w:noWrap/>
            <w:vAlign w:val="center"/>
            <w:hideMark/>
          </w:tcPr>
          <w:p w14:paraId="7B8B6CC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0.78676</w:t>
            </w:r>
          </w:p>
        </w:tc>
        <w:tc>
          <w:tcPr>
            <w:tcW w:w="304" w:type="pct"/>
            <w:tcBorders>
              <w:top w:val="nil"/>
              <w:left w:val="nil"/>
              <w:bottom w:val="nil"/>
              <w:right w:val="nil"/>
            </w:tcBorders>
            <w:shd w:val="clear" w:color="000000" w:fill="F2F2F2"/>
            <w:noWrap/>
            <w:vAlign w:val="center"/>
            <w:hideMark/>
          </w:tcPr>
          <w:p w14:paraId="2EDA0C6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0.98597</w:t>
            </w:r>
          </w:p>
        </w:tc>
        <w:tc>
          <w:tcPr>
            <w:tcW w:w="305" w:type="pct"/>
            <w:tcBorders>
              <w:top w:val="nil"/>
              <w:left w:val="nil"/>
              <w:bottom w:val="nil"/>
              <w:right w:val="nil"/>
            </w:tcBorders>
            <w:shd w:val="clear" w:color="000000" w:fill="F2F2F2"/>
            <w:noWrap/>
            <w:vAlign w:val="center"/>
            <w:hideMark/>
          </w:tcPr>
          <w:p w14:paraId="7E1B9985"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0.00348</w:t>
            </w:r>
          </w:p>
        </w:tc>
        <w:tc>
          <w:tcPr>
            <w:tcW w:w="304" w:type="pct"/>
            <w:tcBorders>
              <w:top w:val="nil"/>
              <w:left w:val="nil"/>
              <w:bottom w:val="nil"/>
              <w:right w:val="single" w:sz="4" w:space="0" w:color="auto"/>
            </w:tcBorders>
            <w:shd w:val="clear" w:color="000000" w:fill="F2F2F2"/>
            <w:noWrap/>
            <w:vAlign w:val="center"/>
            <w:hideMark/>
          </w:tcPr>
          <w:p w14:paraId="03DD810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0.04429</w:t>
            </w:r>
          </w:p>
        </w:tc>
        <w:tc>
          <w:tcPr>
            <w:tcW w:w="313" w:type="pct"/>
            <w:tcBorders>
              <w:top w:val="nil"/>
              <w:left w:val="single" w:sz="4" w:space="0" w:color="auto"/>
              <w:bottom w:val="nil"/>
              <w:right w:val="nil"/>
            </w:tcBorders>
            <w:shd w:val="clear" w:color="000000" w:fill="F2F2F2"/>
            <w:vAlign w:val="center"/>
          </w:tcPr>
          <w:p w14:paraId="08C4DD04" w14:textId="3B441020"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0.04512</w:t>
            </w:r>
          </w:p>
        </w:tc>
      </w:tr>
      <w:tr w:rsidR="00844AB2" w:rsidRPr="008804F0" w14:paraId="13462CB7" w14:textId="035F981B" w:rsidTr="00844AB2">
        <w:trPr>
          <w:trHeight w:val="300"/>
        </w:trPr>
        <w:tc>
          <w:tcPr>
            <w:tcW w:w="365" w:type="pct"/>
            <w:tcBorders>
              <w:top w:val="nil"/>
              <w:left w:val="nil"/>
              <w:bottom w:val="nil"/>
              <w:right w:val="nil"/>
            </w:tcBorders>
            <w:shd w:val="clear" w:color="000000" w:fill="F2F2F2"/>
            <w:noWrap/>
            <w:vAlign w:val="center"/>
            <w:hideMark/>
          </w:tcPr>
          <w:p w14:paraId="6B015AE8" w14:textId="77777777" w:rsidR="00844AB2" w:rsidRPr="008804F0" w:rsidRDefault="00844AB2" w:rsidP="00B83400">
            <w:pPr>
              <w:spacing w:after="0" w:line="240" w:lineRule="auto"/>
              <w:rPr>
                <w:rFonts w:eastAsia="Times New Roman"/>
                <w:color w:val="000000"/>
                <w:sz w:val="19"/>
                <w:szCs w:val="19"/>
                <w:lang w:eastAsia="en-GB"/>
              </w:rPr>
            </w:pPr>
            <w:r w:rsidRPr="008804F0">
              <w:rPr>
                <w:rFonts w:ascii="Calibri" w:eastAsia="Times New Roman" w:hAnsi="Calibri"/>
                <w:color w:val="000000"/>
                <w:sz w:val="20"/>
                <w:szCs w:val="20"/>
                <w:lang w:eastAsia="en-GB"/>
              </w:rPr>
              <w:t>OLS_2</w:t>
            </w:r>
          </w:p>
        </w:tc>
        <w:tc>
          <w:tcPr>
            <w:tcW w:w="609" w:type="pct"/>
            <w:tcBorders>
              <w:top w:val="nil"/>
              <w:left w:val="nil"/>
              <w:bottom w:val="nil"/>
              <w:right w:val="nil"/>
            </w:tcBorders>
            <w:shd w:val="clear" w:color="000000" w:fill="F2F2F2"/>
            <w:noWrap/>
            <w:vAlign w:val="center"/>
            <w:hideMark/>
          </w:tcPr>
          <w:p w14:paraId="2E095E82"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0.93742 (0.04338)</w:t>
            </w:r>
          </w:p>
        </w:tc>
        <w:tc>
          <w:tcPr>
            <w:tcW w:w="304" w:type="pct"/>
            <w:tcBorders>
              <w:top w:val="nil"/>
              <w:left w:val="nil"/>
              <w:bottom w:val="nil"/>
              <w:right w:val="nil"/>
            </w:tcBorders>
            <w:shd w:val="clear" w:color="000000" w:fill="F2F2F2"/>
            <w:noWrap/>
            <w:vAlign w:val="center"/>
            <w:hideMark/>
          </w:tcPr>
          <w:p w14:paraId="387B6E2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0.80481</w:t>
            </w:r>
          </w:p>
        </w:tc>
        <w:tc>
          <w:tcPr>
            <w:tcW w:w="304" w:type="pct"/>
            <w:tcBorders>
              <w:top w:val="nil"/>
              <w:left w:val="nil"/>
              <w:bottom w:val="nil"/>
              <w:right w:val="nil"/>
            </w:tcBorders>
            <w:shd w:val="clear" w:color="000000" w:fill="F2F2F2"/>
            <w:noWrap/>
            <w:vAlign w:val="center"/>
            <w:hideMark/>
          </w:tcPr>
          <w:p w14:paraId="723EA31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1.00366</w:t>
            </w:r>
          </w:p>
        </w:tc>
        <w:tc>
          <w:tcPr>
            <w:tcW w:w="305" w:type="pct"/>
            <w:tcBorders>
              <w:top w:val="nil"/>
              <w:left w:val="nil"/>
              <w:bottom w:val="nil"/>
              <w:right w:val="nil"/>
            </w:tcBorders>
            <w:shd w:val="clear" w:color="000000" w:fill="F2F2F2"/>
            <w:noWrap/>
            <w:vAlign w:val="center"/>
            <w:hideMark/>
          </w:tcPr>
          <w:p w14:paraId="6803950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0.00434</w:t>
            </w:r>
          </w:p>
        </w:tc>
        <w:tc>
          <w:tcPr>
            <w:tcW w:w="304" w:type="pct"/>
            <w:tcBorders>
              <w:top w:val="nil"/>
              <w:left w:val="nil"/>
              <w:bottom w:val="nil"/>
              <w:right w:val="nil"/>
            </w:tcBorders>
            <w:shd w:val="clear" w:color="000000" w:fill="F2F2F2"/>
            <w:noWrap/>
            <w:vAlign w:val="center"/>
            <w:hideMark/>
          </w:tcPr>
          <w:p w14:paraId="6C79082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0.04575</w:t>
            </w:r>
          </w:p>
        </w:tc>
        <w:tc>
          <w:tcPr>
            <w:tcW w:w="304" w:type="pct"/>
            <w:tcBorders>
              <w:top w:val="nil"/>
              <w:left w:val="nil"/>
              <w:bottom w:val="nil"/>
              <w:right w:val="nil"/>
            </w:tcBorders>
            <w:shd w:val="clear" w:color="000000" w:fill="F2F2F2"/>
            <w:noWrap/>
            <w:vAlign w:val="center"/>
            <w:hideMark/>
          </w:tcPr>
          <w:p w14:paraId="7A39CAFA"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-717.97</w:t>
            </w:r>
          </w:p>
        </w:tc>
        <w:tc>
          <w:tcPr>
            <w:tcW w:w="305" w:type="pct"/>
            <w:tcBorders>
              <w:top w:val="nil"/>
              <w:left w:val="nil"/>
              <w:bottom w:val="nil"/>
              <w:right w:val="nil"/>
            </w:tcBorders>
            <w:shd w:val="clear" w:color="000000" w:fill="F2F2F2"/>
            <w:noWrap/>
            <w:vAlign w:val="center"/>
            <w:hideMark/>
          </w:tcPr>
          <w:p w14:paraId="162CD5BB"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-703.44</w:t>
            </w:r>
          </w:p>
        </w:tc>
        <w:tc>
          <w:tcPr>
            <w:tcW w:w="80" w:type="pct"/>
            <w:tcBorders>
              <w:top w:val="nil"/>
              <w:left w:val="single" w:sz="4" w:space="0" w:color="auto"/>
              <w:bottom w:val="nil"/>
              <w:right w:val="single" w:sz="4" w:space="0" w:color="auto"/>
            </w:tcBorders>
            <w:shd w:val="clear" w:color="000000" w:fill="F2F2F2"/>
            <w:noWrap/>
            <w:vAlign w:val="center"/>
            <w:hideMark/>
          </w:tcPr>
          <w:p w14:paraId="5110129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70A70D43"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0.93579 (0.04651)</w:t>
            </w:r>
          </w:p>
        </w:tc>
        <w:tc>
          <w:tcPr>
            <w:tcW w:w="305" w:type="pct"/>
            <w:tcBorders>
              <w:top w:val="nil"/>
              <w:left w:val="nil"/>
              <w:bottom w:val="nil"/>
              <w:right w:val="nil"/>
            </w:tcBorders>
            <w:shd w:val="clear" w:color="000000" w:fill="F2F2F2"/>
            <w:noWrap/>
            <w:vAlign w:val="center"/>
            <w:hideMark/>
          </w:tcPr>
          <w:p w14:paraId="53B4C9A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0.78818</w:t>
            </w:r>
          </w:p>
        </w:tc>
        <w:tc>
          <w:tcPr>
            <w:tcW w:w="304" w:type="pct"/>
            <w:tcBorders>
              <w:top w:val="nil"/>
              <w:left w:val="nil"/>
              <w:bottom w:val="nil"/>
              <w:right w:val="nil"/>
            </w:tcBorders>
            <w:shd w:val="clear" w:color="000000" w:fill="F2F2F2"/>
            <w:noWrap/>
            <w:vAlign w:val="center"/>
            <w:hideMark/>
          </w:tcPr>
          <w:p w14:paraId="59AA32A3"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1.00054</w:t>
            </w:r>
          </w:p>
        </w:tc>
        <w:tc>
          <w:tcPr>
            <w:tcW w:w="305" w:type="pct"/>
            <w:tcBorders>
              <w:top w:val="nil"/>
              <w:left w:val="nil"/>
              <w:bottom w:val="nil"/>
              <w:right w:val="nil"/>
            </w:tcBorders>
            <w:shd w:val="clear" w:color="000000" w:fill="F2F2F2"/>
            <w:noWrap/>
            <w:vAlign w:val="center"/>
            <w:hideMark/>
          </w:tcPr>
          <w:p w14:paraId="71657EEA"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0.00348</w:t>
            </w:r>
          </w:p>
        </w:tc>
        <w:tc>
          <w:tcPr>
            <w:tcW w:w="304" w:type="pct"/>
            <w:tcBorders>
              <w:top w:val="nil"/>
              <w:left w:val="nil"/>
              <w:bottom w:val="nil"/>
              <w:right w:val="single" w:sz="4" w:space="0" w:color="auto"/>
            </w:tcBorders>
            <w:shd w:val="clear" w:color="000000" w:fill="F2F2F2"/>
            <w:noWrap/>
            <w:vAlign w:val="center"/>
            <w:hideMark/>
          </w:tcPr>
          <w:p w14:paraId="5DC2BFD5"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0.04460</w:t>
            </w:r>
          </w:p>
        </w:tc>
        <w:tc>
          <w:tcPr>
            <w:tcW w:w="313" w:type="pct"/>
            <w:tcBorders>
              <w:top w:val="nil"/>
              <w:left w:val="single" w:sz="4" w:space="0" w:color="auto"/>
              <w:bottom w:val="nil"/>
              <w:right w:val="nil"/>
            </w:tcBorders>
            <w:shd w:val="clear" w:color="000000" w:fill="F2F2F2"/>
            <w:vAlign w:val="center"/>
          </w:tcPr>
          <w:p w14:paraId="055AF963" w14:textId="3D2B7E9B"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0.04518</w:t>
            </w:r>
          </w:p>
        </w:tc>
      </w:tr>
      <w:tr w:rsidR="00844AB2" w:rsidRPr="008804F0" w14:paraId="5D032FE2" w14:textId="0E1DF993" w:rsidTr="00844AB2">
        <w:trPr>
          <w:trHeight w:val="300"/>
        </w:trPr>
        <w:tc>
          <w:tcPr>
            <w:tcW w:w="365" w:type="pct"/>
            <w:tcBorders>
              <w:top w:val="nil"/>
              <w:left w:val="nil"/>
              <w:bottom w:val="nil"/>
              <w:right w:val="nil"/>
            </w:tcBorders>
            <w:shd w:val="clear" w:color="000000" w:fill="F2F2F2"/>
            <w:noWrap/>
            <w:vAlign w:val="center"/>
            <w:hideMark/>
          </w:tcPr>
          <w:p w14:paraId="062E3643" w14:textId="77777777" w:rsidR="00844AB2" w:rsidRPr="00844AB2" w:rsidRDefault="00844AB2" w:rsidP="00B83400">
            <w:pPr>
              <w:spacing w:after="0" w:line="240" w:lineRule="auto"/>
              <w:rPr>
                <w:rFonts w:eastAsia="Times New Roman"/>
                <w:color w:val="000000"/>
                <w:sz w:val="19"/>
                <w:szCs w:val="19"/>
                <w:lang w:eastAsia="en-GB"/>
              </w:rPr>
            </w:pPr>
            <w:r w:rsidRPr="00844AB2">
              <w:rPr>
                <w:rFonts w:ascii="Calibri" w:eastAsia="Times New Roman" w:hAnsi="Calibri"/>
                <w:color w:val="000000"/>
                <w:sz w:val="20"/>
                <w:szCs w:val="20"/>
                <w:lang w:eastAsia="en-GB"/>
              </w:rPr>
              <w:t>OLS_3</w:t>
            </w:r>
          </w:p>
        </w:tc>
        <w:tc>
          <w:tcPr>
            <w:tcW w:w="609" w:type="pct"/>
            <w:tcBorders>
              <w:top w:val="nil"/>
              <w:left w:val="nil"/>
              <w:bottom w:val="nil"/>
              <w:right w:val="nil"/>
            </w:tcBorders>
            <w:shd w:val="clear" w:color="000000" w:fill="F2F2F2"/>
            <w:noWrap/>
            <w:vAlign w:val="center"/>
            <w:hideMark/>
          </w:tcPr>
          <w:p w14:paraId="35E44A49"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0.93742 (0.04732)</w:t>
            </w:r>
          </w:p>
        </w:tc>
        <w:tc>
          <w:tcPr>
            <w:tcW w:w="304" w:type="pct"/>
            <w:tcBorders>
              <w:top w:val="nil"/>
              <w:left w:val="nil"/>
              <w:bottom w:val="nil"/>
              <w:right w:val="nil"/>
            </w:tcBorders>
            <w:shd w:val="clear" w:color="000000" w:fill="F2F2F2"/>
            <w:noWrap/>
            <w:vAlign w:val="center"/>
            <w:hideMark/>
          </w:tcPr>
          <w:p w14:paraId="120290DD"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0.81207</w:t>
            </w:r>
          </w:p>
        </w:tc>
        <w:tc>
          <w:tcPr>
            <w:tcW w:w="304" w:type="pct"/>
            <w:tcBorders>
              <w:top w:val="nil"/>
              <w:left w:val="nil"/>
              <w:bottom w:val="nil"/>
              <w:right w:val="nil"/>
            </w:tcBorders>
            <w:shd w:val="clear" w:color="000000" w:fill="F2F2F2"/>
            <w:noWrap/>
            <w:vAlign w:val="center"/>
            <w:hideMark/>
          </w:tcPr>
          <w:p w14:paraId="077C268F"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0.99522</w:t>
            </w:r>
          </w:p>
        </w:tc>
        <w:tc>
          <w:tcPr>
            <w:tcW w:w="305" w:type="pct"/>
            <w:tcBorders>
              <w:top w:val="nil"/>
              <w:left w:val="nil"/>
              <w:bottom w:val="nil"/>
              <w:right w:val="nil"/>
            </w:tcBorders>
            <w:shd w:val="clear" w:color="000000" w:fill="F2F2F2"/>
            <w:noWrap/>
            <w:vAlign w:val="center"/>
            <w:hideMark/>
          </w:tcPr>
          <w:p w14:paraId="40DFFF3C"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0.00398</w:t>
            </w:r>
          </w:p>
        </w:tc>
        <w:tc>
          <w:tcPr>
            <w:tcW w:w="304" w:type="pct"/>
            <w:tcBorders>
              <w:top w:val="nil"/>
              <w:left w:val="nil"/>
              <w:bottom w:val="nil"/>
              <w:right w:val="nil"/>
            </w:tcBorders>
            <w:shd w:val="clear" w:color="000000" w:fill="F2F2F2"/>
            <w:noWrap/>
            <w:vAlign w:val="center"/>
            <w:hideMark/>
          </w:tcPr>
          <w:p w14:paraId="6C4F7EFB"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0.04245</w:t>
            </w:r>
          </w:p>
        </w:tc>
        <w:tc>
          <w:tcPr>
            <w:tcW w:w="304" w:type="pct"/>
            <w:tcBorders>
              <w:top w:val="nil"/>
              <w:left w:val="nil"/>
              <w:bottom w:val="nil"/>
              <w:right w:val="nil"/>
            </w:tcBorders>
            <w:shd w:val="clear" w:color="000000" w:fill="F2F2F2"/>
            <w:noWrap/>
            <w:vAlign w:val="center"/>
            <w:hideMark/>
          </w:tcPr>
          <w:p w14:paraId="40C74963"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-739.82</w:t>
            </w:r>
          </w:p>
        </w:tc>
        <w:tc>
          <w:tcPr>
            <w:tcW w:w="305" w:type="pct"/>
            <w:tcBorders>
              <w:top w:val="nil"/>
              <w:left w:val="nil"/>
              <w:bottom w:val="nil"/>
              <w:right w:val="nil"/>
            </w:tcBorders>
            <w:shd w:val="clear" w:color="000000" w:fill="F2F2F2"/>
            <w:noWrap/>
            <w:vAlign w:val="center"/>
            <w:hideMark/>
          </w:tcPr>
          <w:p w14:paraId="38572B83"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-721.67</w:t>
            </w:r>
          </w:p>
        </w:tc>
        <w:tc>
          <w:tcPr>
            <w:tcW w:w="80" w:type="pct"/>
            <w:tcBorders>
              <w:top w:val="nil"/>
              <w:left w:val="single" w:sz="4" w:space="0" w:color="auto"/>
              <w:bottom w:val="nil"/>
              <w:right w:val="single" w:sz="4" w:space="0" w:color="auto"/>
            </w:tcBorders>
            <w:shd w:val="clear" w:color="000000" w:fill="F2F2F2"/>
            <w:noWrap/>
            <w:vAlign w:val="center"/>
            <w:hideMark/>
          </w:tcPr>
          <w:p w14:paraId="032D248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75DFCE2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0.93902 (0.04632)</w:t>
            </w:r>
          </w:p>
        </w:tc>
        <w:tc>
          <w:tcPr>
            <w:tcW w:w="305" w:type="pct"/>
            <w:tcBorders>
              <w:top w:val="nil"/>
              <w:left w:val="nil"/>
              <w:bottom w:val="nil"/>
              <w:right w:val="nil"/>
            </w:tcBorders>
            <w:shd w:val="clear" w:color="000000" w:fill="F2F2F2"/>
            <w:noWrap/>
            <w:vAlign w:val="center"/>
            <w:hideMark/>
          </w:tcPr>
          <w:p w14:paraId="25F55A7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0.78872</w:t>
            </w:r>
          </w:p>
        </w:tc>
        <w:tc>
          <w:tcPr>
            <w:tcW w:w="304" w:type="pct"/>
            <w:tcBorders>
              <w:top w:val="nil"/>
              <w:left w:val="nil"/>
              <w:bottom w:val="nil"/>
              <w:right w:val="nil"/>
            </w:tcBorders>
            <w:shd w:val="clear" w:color="000000" w:fill="F2F2F2"/>
            <w:noWrap/>
            <w:vAlign w:val="center"/>
            <w:hideMark/>
          </w:tcPr>
          <w:p w14:paraId="509D120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0.99389</w:t>
            </w:r>
          </w:p>
        </w:tc>
        <w:tc>
          <w:tcPr>
            <w:tcW w:w="305" w:type="pct"/>
            <w:tcBorders>
              <w:top w:val="nil"/>
              <w:left w:val="nil"/>
              <w:bottom w:val="nil"/>
              <w:right w:val="nil"/>
            </w:tcBorders>
            <w:shd w:val="clear" w:color="000000" w:fill="F2F2F2"/>
            <w:noWrap/>
            <w:vAlign w:val="center"/>
            <w:hideMark/>
          </w:tcPr>
          <w:p w14:paraId="34CA4FB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0.00310</w:t>
            </w:r>
          </w:p>
        </w:tc>
        <w:tc>
          <w:tcPr>
            <w:tcW w:w="304" w:type="pct"/>
            <w:tcBorders>
              <w:top w:val="nil"/>
              <w:left w:val="nil"/>
              <w:bottom w:val="nil"/>
              <w:right w:val="single" w:sz="4" w:space="0" w:color="auto"/>
            </w:tcBorders>
            <w:shd w:val="clear" w:color="000000" w:fill="F2F2F2"/>
            <w:noWrap/>
            <w:vAlign w:val="center"/>
            <w:hideMark/>
          </w:tcPr>
          <w:p w14:paraId="50620FC1" w14:textId="77777777" w:rsidR="00844AB2" w:rsidRPr="008804F0" w:rsidRDefault="00844AB2" w:rsidP="00B83400">
            <w:pPr>
              <w:spacing w:after="0" w:line="240" w:lineRule="auto"/>
              <w:jc w:val="right"/>
              <w:rPr>
                <w:rFonts w:eastAsia="Times New Roman"/>
                <w:color w:val="000000"/>
                <w:sz w:val="19"/>
                <w:szCs w:val="19"/>
                <w:lang w:eastAsia="en-GB"/>
              </w:rPr>
            </w:pPr>
            <w:r>
              <w:rPr>
                <w:rFonts w:ascii="Calibri" w:eastAsia="Times New Roman" w:hAnsi="Calibri"/>
                <w:color w:val="000000"/>
                <w:sz w:val="20"/>
                <w:szCs w:val="20"/>
                <w:lang w:eastAsia="en-GB"/>
              </w:rPr>
              <w:t>0.039</w:t>
            </w:r>
            <w:r w:rsidRPr="008804F0">
              <w:rPr>
                <w:rFonts w:ascii="Calibri" w:eastAsia="Times New Roman" w:hAnsi="Calibri"/>
                <w:color w:val="000000"/>
                <w:sz w:val="20"/>
                <w:szCs w:val="20"/>
                <w:lang w:eastAsia="en-GB"/>
              </w:rPr>
              <w:t>81</w:t>
            </w:r>
          </w:p>
        </w:tc>
        <w:tc>
          <w:tcPr>
            <w:tcW w:w="313" w:type="pct"/>
            <w:tcBorders>
              <w:top w:val="nil"/>
              <w:left w:val="single" w:sz="4" w:space="0" w:color="auto"/>
              <w:bottom w:val="nil"/>
              <w:right w:val="nil"/>
            </w:tcBorders>
            <w:shd w:val="clear" w:color="000000" w:fill="F2F2F2"/>
            <w:vAlign w:val="center"/>
          </w:tcPr>
          <w:p w14:paraId="2EFC2F21" w14:textId="48A4D820"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i/>
                <w:iCs/>
                <w:color w:val="000000"/>
                <w:sz w:val="20"/>
                <w:szCs w:val="20"/>
                <w:lang w:eastAsia="en-GB"/>
              </w:rPr>
              <w:t>0.04113</w:t>
            </w:r>
          </w:p>
        </w:tc>
      </w:tr>
      <w:tr w:rsidR="00844AB2" w:rsidRPr="008804F0" w14:paraId="45675F27" w14:textId="1BA8DDB5" w:rsidTr="00844AB2">
        <w:trPr>
          <w:trHeight w:val="300"/>
        </w:trPr>
        <w:tc>
          <w:tcPr>
            <w:tcW w:w="365" w:type="pct"/>
            <w:tcBorders>
              <w:top w:val="nil"/>
              <w:left w:val="nil"/>
              <w:bottom w:val="nil"/>
              <w:right w:val="nil"/>
            </w:tcBorders>
            <w:shd w:val="clear" w:color="000000" w:fill="F2F2F2"/>
            <w:noWrap/>
            <w:vAlign w:val="center"/>
            <w:hideMark/>
          </w:tcPr>
          <w:p w14:paraId="5E50E9F6" w14:textId="77777777" w:rsidR="00844AB2" w:rsidRPr="008804F0" w:rsidRDefault="00844AB2" w:rsidP="00B83400">
            <w:pPr>
              <w:spacing w:after="0" w:line="240" w:lineRule="auto"/>
              <w:rPr>
                <w:rFonts w:eastAsia="Times New Roman"/>
                <w:color w:val="000000"/>
                <w:sz w:val="19"/>
                <w:szCs w:val="19"/>
                <w:lang w:eastAsia="en-GB"/>
              </w:rPr>
            </w:pPr>
            <w:r w:rsidRPr="008804F0">
              <w:rPr>
                <w:rFonts w:ascii="Calibri" w:eastAsia="Times New Roman" w:hAnsi="Calibri"/>
                <w:color w:val="000000"/>
                <w:sz w:val="20"/>
                <w:szCs w:val="20"/>
                <w:lang w:eastAsia="en-GB"/>
              </w:rPr>
              <w:t>OLS_4</w:t>
            </w:r>
          </w:p>
        </w:tc>
        <w:tc>
          <w:tcPr>
            <w:tcW w:w="609" w:type="pct"/>
            <w:tcBorders>
              <w:top w:val="nil"/>
              <w:left w:val="nil"/>
              <w:bottom w:val="nil"/>
              <w:right w:val="nil"/>
            </w:tcBorders>
            <w:shd w:val="clear" w:color="000000" w:fill="F2F2F2"/>
            <w:noWrap/>
            <w:vAlign w:val="center"/>
            <w:hideMark/>
          </w:tcPr>
          <w:p w14:paraId="612C5BA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0.93742 (0.04762)</w:t>
            </w:r>
          </w:p>
        </w:tc>
        <w:tc>
          <w:tcPr>
            <w:tcW w:w="304" w:type="pct"/>
            <w:tcBorders>
              <w:top w:val="nil"/>
              <w:left w:val="nil"/>
              <w:bottom w:val="nil"/>
              <w:right w:val="nil"/>
            </w:tcBorders>
            <w:shd w:val="clear" w:color="000000" w:fill="F2F2F2"/>
            <w:noWrap/>
            <w:vAlign w:val="center"/>
            <w:hideMark/>
          </w:tcPr>
          <w:p w14:paraId="7DC60FD4"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0.81562</w:t>
            </w:r>
          </w:p>
        </w:tc>
        <w:tc>
          <w:tcPr>
            <w:tcW w:w="304" w:type="pct"/>
            <w:tcBorders>
              <w:top w:val="nil"/>
              <w:left w:val="nil"/>
              <w:bottom w:val="nil"/>
              <w:right w:val="nil"/>
            </w:tcBorders>
            <w:shd w:val="clear" w:color="000000" w:fill="F2F2F2"/>
            <w:noWrap/>
            <w:vAlign w:val="center"/>
            <w:hideMark/>
          </w:tcPr>
          <w:p w14:paraId="325A2E4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1.00483</w:t>
            </w:r>
          </w:p>
        </w:tc>
        <w:tc>
          <w:tcPr>
            <w:tcW w:w="305" w:type="pct"/>
            <w:tcBorders>
              <w:top w:val="nil"/>
              <w:left w:val="nil"/>
              <w:bottom w:val="nil"/>
              <w:right w:val="nil"/>
            </w:tcBorders>
            <w:shd w:val="clear" w:color="000000" w:fill="F2F2F2"/>
            <w:noWrap/>
            <w:vAlign w:val="center"/>
            <w:hideMark/>
          </w:tcPr>
          <w:p w14:paraId="48AD3F3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0.00396</w:t>
            </w:r>
          </w:p>
        </w:tc>
        <w:tc>
          <w:tcPr>
            <w:tcW w:w="304" w:type="pct"/>
            <w:tcBorders>
              <w:top w:val="nil"/>
              <w:left w:val="nil"/>
              <w:bottom w:val="nil"/>
              <w:right w:val="nil"/>
            </w:tcBorders>
            <w:shd w:val="clear" w:color="000000" w:fill="F2F2F2"/>
            <w:noWrap/>
            <w:vAlign w:val="center"/>
            <w:hideMark/>
          </w:tcPr>
          <w:p w14:paraId="395F0563"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0.04236</w:t>
            </w:r>
          </w:p>
        </w:tc>
        <w:tc>
          <w:tcPr>
            <w:tcW w:w="304" w:type="pct"/>
            <w:tcBorders>
              <w:top w:val="nil"/>
              <w:left w:val="nil"/>
              <w:bottom w:val="nil"/>
              <w:right w:val="nil"/>
            </w:tcBorders>
            <w:shd w:val="clear" w:color="000000" w:fill="F2F2F2"/>
            <w:noWrap/>
            <w:vAlign w:val="center"/>
            <w:hideMark/>
          </w:tcPr>
          <w:p w14:paraId="0D5E69BB"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-737.82</w:t>
            </w:r>
          </w:p>
        </w:tc>
        <w:tc>
          <w:tcPr>
            <w:tcW w:w="305" w:type="pct"/>
            <w:tcBorders>
              <w:top w:val="nil"/>
              <w:left w:val="nil"/>
              <w:bottom w:val="nil"/>
              <w:right w:val="nil"/>
            </w:tcBorders>
            <w:shd w:val="clear" w:color="000000" w:fill="F2F2F2"/>
            <w:noWrap/>
            <w:vAlign w:val="center"/>
            <w:hideMark/>
          </w:tcPr>
          <w:p w14:paraId="7A0AD85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-712.40</w:t>
            </w:r>
          </w:p>
        </w:tc>
        <w:tc>
          <w:tcPr>
            <w:tcW w:w="80" w:type="pct"/>
            <w:tcBorders>
              <w:top w:val="nil"/>
              <w:left w:val="single" w:sz="4" w:space="0" w:color="auto"/>
              <w:bottom w:val="nil"/>
              <w:right w:val="single" w:sz="4" w:space="0" w:color="auto"/>
            </w:tcBorders>
            <w:shd w:val="clear" w:color="000000" w:fill="F2F2F2"/>
            <w:noWrap/>
            <w:vAlign w:val="center"/>
            <w:hideMark/>
          </w:tcPr>
          <w:p w14:paraId="0D1A5E4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47A0313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0.93884 (0.04693)</w:t>
            </w:r>
          </w:p>
        </w:tc>
        <w:tc>
          <w:tcPr>
            <w:tcW w:w="305" w:type="pct"/>
            <w:tcBorders>
              <w:top w:val="nil"/>
              <w:left w:val="nil"/>
              <w:bottom w:val="nil"/>
              <w:right w:val="nil"/>
            </w:tcBorders>
            <w:shd w:val="clear" w:color="000000" w:fill="F2F2F2"/>
            <w:noWrap/>
            <w:vAlign w:val="center"/>
            <w:hideMark/>
          </w:tcPr>
          <w:p w14:paraId="678E1B18"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0.79050</w:t>
            </w:r>
          </w:p>
        </w:tc>
        <w:tc>
          <w:tcPr>
            <w:tcW w:w="304" w:type="pct"/>
            <w:tcBorders>
              <w:top w:val="nil"/>
              <w:left w:val="nil"/>
              <w:bottom w:val="nil"/>
              <w:right w:val="nil"/>
            </w:tcBorders>
            <w:shd w:val="clear" w:color="000000" w:fill="F2F2F2"/>
            <w:noWrap/>
            <w:vAlign w:val="center"/>
            <w:hideMark/>
          </w:tcPr>
          <w:p w14:paraId="51B2666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1.00305</w:t>
            </w:r>
          </w:p>
        </w:tc>
        <w:tc>
          <w:tcPr>
            <w:tcW w:w="305" w:type="pct"/>
            <w:tcBorders>
              <w:top w:val="nil"/>
              <w:left w:val="nil"/>
              <w:bottom w:val="nil"/>
              <w:right w:val="nil"/>
            </w:tcBorders>
            <w:shd w:val="clear" w:color="000000" w:fill="F2F2F2"/>
            <w:noWrap/>
            <w:vAlign w:val="center"/>
            <w:hideMark/>
          </w:tcPr>
          <w:p w14:paraId="44101CF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0.00310</w:t>
            </w:r>
          </w:p>
        </w:tc>
        <w:tc>
          <w:tcPr>
            <w:tcW w:w="304" w:type="pct"/>
            <w:tcBorders>
              <w:top w:val="nil"/>
              <w:left w:val="nil"/>
              <w:bottom w:val="nil"/>
              <w:right w:val="single" w:sz="4" w:space="0" w:color="auto"/>
            </w:tcBorders>
            <w:shd w:val="clear" w:color="000000" w:fill="F2F2F2"/>
            <w:noWrap/>
            <w:vAlign w:val="center"/>
            <w:hideMark/>
          </w:tcPr>
          <w:p w14:paraId="39351B5C" w14:textId="77777777" w:rsidR="00844AB2" w:rsidRPr="008804F0" w:rsidRDefault="00844AB2" w:rsidP="00B83400">
            <w:pPr>
              <w:spacing w:after="0" w:line="240" w:lineRule="auto"/>
              <w:jc w:val="right"/>
              <w:rPr>
                <w:rFonts w:eastAsia="Times New Roman"/>
                <w:color w:val="000000"/>
                <w:sz w:val="19"/>
                <w:szCs w:val="19"/>
                <w:lang w:eastAsia="en-GB"/>
              </w:rPr>
            </w:pPr>
            <w:r>
              <w:rPr>
                <w:rFonts w:ascii="Calibri" w:eastAsia="Times New Roman" w:hAnsi="Calibri"/>
                <w:color w:val="000000"/>
                <w:sz w:val="20"/>
                <w:szCs w:val="20"/>
                <w:lang w:eastAsia="en-GB"/>
              </w:rPr>
              <w:t>0.039</w:t>
            </w:r>
            <w:r w:rsidRPr="008804F0">
              <w:rPr>
                <w:rFonts w:ascii="Calibri" w:eastAsia="Times New Roman" w:hAnsi="Calibri"/>
                <w:color w:val="000000"/>
                <w:sz w:val="20"/>
                <w:szCs w:val="20"/>
                <w:lang w:eastAsia="en-GB"/>
              </w:rPr>
              <w:t>89</w:t>
            </w:r>
          </w:p>
        </w:tc>
        <w:tc>
          <w:tcPr>
            <w:tcW w:w="313" w:type="pct"/>
            <w:tcBorders>
              <w:top w:val="nil"/>
              <w:left w:val="single" w:sz="4" w:space="0" w:color="auto"/>
              <w:bottom w:val="nil"/>
              <w:right w:val="nil"/>
            </w:tcBorders>
            <w:shd w:val="clear" w:color="000000" w:fill="F2F2F2"/>
            <w:vAlign w:val="center"/>
          </w:tcPr>
          <w:p w14:paraId="384E1EA1" w14:textId="770418F7"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i/>
                <w:iCs/>
                <w:color w:val="000000"/>
                <w:sz w:val="20"/>
                <w:szCs w:val="20"/>
                <w:lang w:eastAsia="en-GB"/>
              </w:rPr>
              <w:t>0.04113</w:t>
            </w:r>
          </w:p>
        </w:tc>
      </w:tr>
      <w:tr w:rsidR="00844AB2" w:rsidRPr="008804F0" w14:paraId="099E4A34" w14:textId="27F9D0F8" w:rsidTr="00844AB2">
        <w:trPr>
          <w:trHeight w:val="300"/>
        </w:trPr>
        <w:tc>
          <w:tcPr>
            <w:tcW w:w="365" w:type="pct"/>
            <w:tcBorders>
              <w:top w:val="nil"/>
              <w:left w:val="nil"/>
              <w:bottom w:val="nil"/>
              <w:right w:val="nil"/>
            </w:tcBorders>
            <w:shd w:val="clear" w:color="000000" w:fill="F2F2F2"/>
            <w:noWrap/>
            <w:vAlign w:val="center"/>
            <w:hideMark/>
          </w:tcPr>
          <w:p w14:paraId="29BA46FE" w14:textId="77777777" w:rsidR="00844AB2" w:rsidRPr="00844AB2" w:rsidRDefault="00844AB2" w:rsidP="00B83400">
            <w:pPr>
              <w:spacing w:after="0" w:line="240" w:lineRule="auto"/>
              <w:rPr>
                <w:rFonts w:eastAsia="Times New Roman"/>
                <w:color w:val="000000"/>
                <w:sz w:val="19"/>
                <w:szCs w:val="19"/>
                <w:lang w:eastAsia="en-GB"/>
              </w:rPr>
            </w:pPr>
            <w:r w:rsidRPr="00844AB2">
              <w:rPr>
                <w:rFonts w:ascii="Calibri" w:eastAsia="Times New Roman" w:hAnsi="Calibri"/>
                <w:color w:val="000000"/>
                <w:sz w:val="20"/>
                <w:szCs w:val="20"/>
                <w:lang w:eastAsia="en-GB"/>
              </w:rPr>
              <w:t>OLS_5</w:t>
            </w:r>
          </w:p>
        </w:tc>
        <w:tc>
          <w:tcPr>
            <w:tcW w:w="609" w:type="pct"/>
            <w:tcBorders>
              <w:top w:val="nil"/>
              <w:left w:val="nil"/>
              <w:bottom w:val="nil"/>
              <w:right w:val="nil"/>
            </w:tcBorders>
            <w:shd w:val="clear" w:color="000000" w:fill="F2F2F2"/>
            <w:noWrap/>
            <w:vAlign w:val="center"/>
            <w:hideMark/>
          </w:tcPr>
          <w:p w14:paraId="6A42405C"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0.93742 (0.04924)</w:t>
            </w:r>
          </w:p>
        </w:tc>
        <w:tc>
          <w:tcPr>
            <w:tcW w:w="304" w:type="pct"/>
            <w:tcBorders>
              <w:top w:val="nil"/>
              <w:left w:val="nil"/>
              <w:bottom w:val="nil"/>
              <w:right w:val="nil"/>
            </w:tcBorders>
            <w:shd w:val="clear" w:color="000000" w:fill="F2F2F2"/>
            <w:noWrap/>
            <w:vAlign w:val="center"/>
            <w:hideMark/>
          </w:tcPr>
          <w:p w14:paraId="0AABEB35"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0.76241</w:t>
            </w:r>
          </w:p>
        </w:tc>
        <w:tc>
          <w:tcPr>
            <w:tcW w:w="304" w:type="pct"/>
            <w:tcBorders>
              <w:top w:val="nil"/>
              <w:left w:val="nil"/>
              <w:bottom w:val="nil"/>
              <w:right w:val="nil"/>
            </w:tcBorders>
            <w:shd w:val="clear" w:color="000000" w:fill="F2F2F2"/>
            <w:noWrap/>
            <w:vAlign w:val="center"/>
            <w:hideMark/>
          </w:tcPr>
          <w:p w14:paraId="006B054F"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1.01474</w:t>
            </w:r>
          </w:p>
        </w:tc>
        <w:tc>
          <w:tcPr>
            <w:tcW w:w="305" w:type="pct"/>
            <w:tcBorders>
              <w:top w:val="nil"/>
              <w:left w:val="nil"/>
              <w:bottom w:val="nil"/>
              <w:right w:val="nil"/>
            </w:tcBorders>
            <w:shd w:val="clear" w:color="000000" w:fill="F2F2F2"/>
            <w:noWrap/>
            <w:vAlign w:val="center"/>
            <w:hideMark/>
          </w:tcPr>
          <w:p w14:paraId="24B74BE4"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0.00380</w:t>
            </w:r>
          </w:p>
        </w:tc>
        <w:tc>
          <w:tcPr>
            <w:tcW w:w="304" w:type="pct"/>
            <w:tcBorders>
              <w:top w:val="nil"/>
              <w:left w:val="nil"/>
              <w:bottom w:val="nil"/>
              <w:right w:val="nil"/>
            </w:tcBorders>
            <w:shd w:val="clear" w:color="000000" w:fill="F2F2F2"/>
            <w:noWrap/>
            <w:vAlign w:val="center"/>
            <w:hideMark/>
          </w:tcPr>
          <w:p w14:paraId="26E73968"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0.04218</w:t>
            </w:r>
          </w:p>
        </w:tc>
        <w:tc>
          <w:tcPr>
            <w:tcW w:w="304" w:type="pct"/>
            <w:tcBorders>
              <w:top w:val="nil"/>
              <w:left w:val="nil"/>
              <w:bottom w:val="nil"/>
              <w:right w:val="nil"/>
            </w:tcBorders>
            <w:shd w:val="clear" w:color="000000" w:fill="F2F2F2"/>
            <w:noWrap/>
            <w:vAlign w:val="center"/>
            <w:hideMark/>
          </w:tcPr>
          <w:p w14:paraId="0F920604"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-741.10</w:t>
            </w:r>
          </w:p>
        </w:tc>
        <w:tc>
          <w:tcPr>
            <w:tcW w:w="305" w:type="pct"/>
            <w:tcBorders>
              <w:top w:val="nil"/>
              <w:left w:val="nil"/>
              <w:bottom w:val="nil"/>
              <w:right w:val="nil"/>
            </w:tcBorders>
            <w:shd w:val="clear" w:color="000000" w:fill="F2F2F2"/>
            <w:noWrap/>
            <w:vAlign w:val="center"/>
            <w:hideMark/>
          </w:tcPr>
          <w:p w14:paraId="6FFD7E43"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-701.16</w:t>
            </w:r>
          </w:p>
        </w:tc>
        <w:tc>
          <w:tcPr>
            <w:tcW w:w="80" w:type="pct"/>
            <w:tcBorders>
              <w:top w:val="nil"/>
              <w:left w:val="single" w:sz="4" w:space="0" w:color="auto"/>
              <w:bottom w:val="nil"/>
              <w:right w:val="single" w:sz="4" w:space="0" w:color="auto"/>
            </w:tcBorders>
            <w:shd w:val="clear" w:color="000000" w:fill="F2F2F2"/>
            <w:noWrap/>
            <w:vAlign w:val="center"/>
            <w:hideMark/>
          </w:tcPr>
          <w:p w14:paraId="6AE1B860"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706B2FD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0.93777 (0.05063)</w:t>
            </w:r>
          </w:p>
        </w:tc>
        <w:tc>
          <w:tcPr>
            <w:tcW w:w="305" w:type="pct"/>
            <w:tcBorders>
              <w:top w:val="nil"/>
              <w:left w:val="nil"/>
              <w:bottom w:val="nil"/>
              <w:right w:val="nil"/>
            </w:tcBorders>
            <w:shd w:val="clear" w:color="000000" w:fill="F2F2F2"/>
            <w:noWrap/>
            <w:vAlign w:val="center"/>
            <w:hideMark/>
          </w:tcPr>
          <w:p w14:paraId="5B171369"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0.77988</w:t>
            </w:r>
          </w:p>
        </w:tc>
        <w:tc>
          <w:tcPr>
            <w:tcW w:w="304" w:type="pct"/>
            <w:tcBorders>
              <w:top w:val="nil"/>
              <w:left w:val="nil"/>
              <w:bottom w:val="nil"/>
              <w:right w:val="nil"/>
            </w:tcBorders>
            <w:shd w:val="clear" w:color="000000" w:fill="F2F2F2"/>
            <w:noWrap/>
            <w:vAlign w:val="center"/>
            <w:hideMark/>
          </w:tcPr>
          <w:p w14:paraId="1F5087E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1.01377</w:t>
            </w:r>
          </w:p>
        </w:tc>
        <w:tc>
          <w:tcPr>
            <w:tcW w:w="305" w:type="pct"/>
            <w:tcBorders>
              <w:top w:val="nil"/>
              <w:left w:val="nil"/>
              <w:bottom w:val="nil"/>
              <w:right w:val="nil"/>
            </w:tcBorders>
            <w:shd w:val="clear" w:color="000000" w:fill="F2F2F2"/>
            <w:noWrap/>
            <w:vAlign w:val="center"/>
            <w:hideMark/>
          </w:tcPr>
          <w:p w14:paraId="6F7B4E5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0.00327</w:t>
            </w:r>
          </w:p>
        </w:tc>
        <w:tc>
          <w:tcPr>
            <w:tcW w:w="304" w:type="pct"/>
            <w:tcBorders>
              <w:top w:val="nil"/>
              <w:left w:val="nil"/>
              <w:bottom w:val="nil"/>
              <w:right w:val="single" w:sz="4" w:space="0" w:color="auto"/>
            </w:tcBorders>
            <w:shd w:val="clear" w:color="000000" w:fill="F2F2F2"/>
            <w:noWrap/>
            <w:vAlign w:val="center"/>
            <w:hideMark/>
          </w:tcPr>
          <w:p w14:paraId="68791EC5" w14:textId="77777777" w:rsidR="00844AB2" w:rsidRPr="008804F0" w:rsidRDefault="00844AB2" w:rsidP="00B83400">
            <w:pPr>
              <w:spacing w:after="0" w:line="240" w:lineRule="auto"/>
              <w:jc w:val="right"/>
              <w:rPr>
                <w:rFonts w:eastAsia="Times New Roman"/>
                <w:color w:val="000000"/>
                <w:sz w:val="19"/>
                <w:szCs w:val="19"/>
                <w:lang w:eastAsia="en-GB"/>
              </w:rPr>
            </w:pPr>
            <w:r>
              <w:rPr>
                <w:rFonts w:ascii="Calibri" w:eastAsia="Times New Roman" w:hAnsi="Calibri"/>
                <w:color w:val="000000"/>
                <w:sz w:val="20"/>
                <w:szCs w:val="20"/>
                <w:lang w:eastAsia="en-GB"/>
              </w:rPr>
              <w:t>0.0405</w:t>
            </w:r>
            <w:r w:rsidRPr="008804F0">
              <w:rPr>
                <w:rFonts w:ascii="Calibri" w:eastAsia="Times New Roman" w:hAnsi="Calibri"/>
                <w:color w:val="000000"/>
                <w:sz w:val="20"/>
                <w:szCs w:val="20"/>
                <w:lang w:eastAsia="en-GB"/>
              </w:rPr>
              <w:t>0</w:t>
            </w:r>
          </w:p>
        </w:tc>
        <w:tc>
          <w:tcPr>
            <w:tcW w:w="313" w:type="pct"/>
            <w:tcBorders>
              <w:top w:val="nil"/>
              <w:left w:val="single" w:sz="4" w:space="0" w:color="auto"/>
              <w:bottom w:val="nil"/>
              <w:right w:val="nil"/>
            </w:tcBorders>
            <w:shd w:val="clear" w:color="000000" w:fill="F2F2F2"/>
            <w:vAlign w:val="center"/>
          </w:tcPr>
          <w:p w14:paraId="35D282B3" w14:textId="733EB7A9"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0.04134</w:t>
            </w:r>
          </w:p>
        </w:tc>
      </w:tr>
      <w:tr w:rsidR="00844AB2" w:rsidRPr="008804F0" w14:paraId="0EF1CF32" w14:textId="67ECE73D" w:rsidTr="00844AB2">
        <w:trPr>
          <w:trHeight w:val="300"/>
        </w:trPr>
        <w:tc>
          <w:tcPr>
            <w:tcW w:w="365" w:type="pct"/>
            <w:tcBorders>
              <w:top w:val="nil"/>
              <w:left w:val="nil"/>
              <w:bottom w:val="nil"/>
              <w:right w:val="nil"/>
            </w:tcBorders>
            <w:shd w:val="clear" w:color="000000" w:fill="F2F2F2"/>
            <w:noWrap/>
            <w:vAlign w:val="center"/>
            <w:hideMark/>
          </w:tcPr>
          <w:p w14:paraId="1891702E" w14:textId="77777777" w:rsidR="00844AB2" w:rsidRPr="008804F0" w:rsidRDefault="00844AB2" w:rsidP="00B83400">
            <w:pPr>
              <w:spacing w:after="0" w:line="240" w:lineRule="auto"/>
              <w:rPr>
                <w:rFonts w:eastAsia="Times New Roman"/>
                <w:color w:val="000000"/>
                <w:sz w:val="19"/>
                <w:szCs w:val="19"/>
                <w:lang w:eastAsia="en-GB"/>
              </w:rPr>
            </w:pPr>
            <w:r w:rsidRPr="008804F0">
              <w:rPr>
                <w:rFonts w:ascii="Calibri" w:eastAsia="Times New Roman" w:hAnsi="Calibri"/>
                <w:color w:val="000000"/>
                <w:sz w:val="20"/>
                <w:szCs w:val="20"/>
                <w:lang w:eastAsia="en-GB"/>
              </w:rPr>
              <w:t>OLS_6</w:t>
            </w:r>
          </w:p>
        </w:tc>
        <w:tc>
          <w:tcPr>
            <w:tcW w:w="609" w:type="pct"/>
            <w:tcBorders>
              <w:top w:val="nil"/>
              <w:left w:val="nil"/>
              <w:bottom w:val="nil"/>
              <w:right w:val="nil"/>
            </w:tcBorders>
            <w:shd w:val="clear" w:color="000000" w:fill="F2F2F2"/>
            <w:noWrap/>
            <w:vAlign w:val="center"/>
            <w:hideMark/>
          </w:tcPr>
          <w:p w14:paraId="1E894C89"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0.93742 (0.04935)</w:t>
            </w:r>
          </w:p>
        </w:tc>
        <w:tc>
          <w:tcPr>
            <w:tcW w:w="304" w:type="pct"/>
            <w:tcBorders>
              <w:top w:val="nil"/>
              <w:left w:val="nil"/>
              <w:bottom w:val="nil"/>
              <w:right w:val="nil"/>
            </w:tcBorders>
            <w:shd w:val="clear" w:color="000000" w:fill="F2F2F2"/>
            <w:noWrap/>
            <w:vAlign w:val="center"/>
            <w:hideMark/>
          </w:tcPr>
          <w:p w14:paraId="1449E39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0.76394</w:t>
            </w:r>
          </w:p>
        </w:tc>
        <w:tc>
          <w:tcPr>
            <w:tcW w:w="304" w:type="pct"/>
            <w:tcBorders>
              <w:top w:val="nil"/>
              <w:left w:val="nil"/>
              <w:bottom w:val="nil"/>
              <w:right w:val="nil"/>
            </w:tcBorders>
            <w:shd w:val="clear" w:color="000000" w:fill="F2F2F2"/>
            <w:noWrap/>
            <w:vAlign w:val="center"/>
            <w:hideMark/>
          </w:tcPr>
          <w:p w14:paraId="71ADA838"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1.01301</w:t>
            </w:r>
          </w:p>
        </w:tc>
        <w:tc>
          <w:tcPr>
            <w:tcW w:w="305" w:type="pct"/>
            <w:tcBorders>
              <w:top w:val="nil"/>
              <w:left w:val="nil"/>
              <w:bottom w:val="nil"/>
              <w:right w:val="nil"/>
            </w:tcBorders>
            <w:shd w:val="clear" w:color="000000" w:fill="F2F2F2"/>
            <w:noWrap/>
            <w:vAlign w:val="center"/>
            <w:hideMark/>
          </w:tcPr>
          <w:p w14:paraId="2E1B504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0.00379</w:t>
            </w:r>
          </w:p>
        </w:tc>
        <w:tc>
          <w:tcPr>
            <w:tcW w:w="304" w:type="pct"/>
            <w:tcBorders>
              <w:top w:val="nil"/>
              <w:left w:val="nil"/>
              <w:bottom w:val="nil"/>
              <w:right w:val="nil"/>
            </w:tcBorders>
            <w:shd w:val="clear" w:color="000000" w:fill="F2F2F2"/>
            <w:noWrap/>
            <w:vAlign w:val="center"/>
            <w:hideMark/>
          </w:tcPr>
          <w:p w14:paraId="68E45949"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0.04219</w:t>
            </w:r>
          </w:p>
        </w:tc>
        <w:tc>
          <w:tcPr>
            <w:tcW w:w="304" w:type="pct"/>
            <w:tcBorders>
              <w:top w:val="nil"/>
              <w:left w:val="nil"/>
              <w:bottom w:val="nil"/>
              <w:right w:val="nil"/>
            </w:tcBorders>
            <w:shd w:val="clear" w:color="000000" w:fill="F2F2F2"/>
            <w:noWrap/>
            <w:vAlign w:val="center"/>
            <w:hideMark/>
          </w:tcPr>
          <w:p w14:paraId="1B423205"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-737.88</w:t>
            </w:r>
          </w:p>
        </w:tc>
        <w:tc>
          <w:tcPr>
            <w:tcW w:w="305" w:type="pct"/>
            <w:tcBorders>
              <w:top w:val="nil"/>
              <w:left w:val="nil"/>
              <w:bottom w:val="nil"/>
              <w:right w:val="nil"/>
            </w:tcBorders>
            <w:shd w:val="clear" w:color="000000" w:fill="F2F2F2"/>
            <w:noWrap/>
            <w:vAlign w:val="center"/>
            <w:hideMark/>
          </w:tcPr>
          <w:p w14:paraId="55859DE4"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-690.67</w:t>
            </w:r>
          </w:p>
        </w:tc>
        <w:tc>
          <w:tcPr>
            <w:tcW w:w="80" w:type="pct"/>
            <w:tcBorders>
              <w:top w:val="nil"/>
              <w:left w:val="single" w:sz="4" w:space="0" w:color="auto"/>
              <w:bottom w:val="nil"/>
              <w:right w:val="single" w:sz="4" w:space="0" w:color="auto"/>
            </w:tcBorders>
            <w:shd w:val="clear" w:color="000000" w:fill="F2F2F2"/>
            <w:noWrap/>
            <w:vAlign w:val="center"/>
            <w:hideMark/>
          </w:tcPr>
          <w:p w14:paraId="020716E3"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6505BAE2"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0.93778 (0.05071)</w:t>
            </w:r>
          </w:p>
        </w:tc>
        <w:tc>
          <w:tcPr>
            <w:tcW w:w="305" w:type="pct"/>
            <w:tcBorders>
              <w:top w:val="nil"/>
              <w:left w:val="nil"/>
              <w:bottom w:val="nil"/>
              <w:right w:val="nil"/>
            </w:tcBorders>
            <w:shd w:val="clear" w:color="000000" w:fill="F2F2F2"/>
            <w:noWrap/>
            <w:vAlign w:val="center"/>
            <w:hideMark/>
          </w:tcPr>
          <w:p w14:paraId="27DF67B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0.77576</w:t>
            </w:r>
          </w:p>
        </w:tc>
        <w:tc>
          <w:tcPr>
            <w:tcW w:w="304" w:type="pct"/>
            <w:tcBorders>
              <w:top w:val="nil"/>
              <w:left w:val="nil"/>
              <w:bottom w:val="nil"/>
              <w:right w:val="nil"/>
            </w:tcBorders>
            <w:shd w:val="clear" w:color="000000" w:fill="F2F2F2"/>
            <w:noWrap/>
            <w:vAlign w:val="center"/>
            <w:hideMark/>
          </w:tcPr>
          <w:p w14:paraId="4099B7E2"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1.01234</w:t>
            </w:r>
          </w:p>
        </w:tc>
        <w:tc>
          <w:tcPr>
            <w:tcW w:w="305" w:type="pct"/>
            <w:tcBorders>
              <w:top w:val="nil"/>
              <w:left w:val="nil"/>
              <w:bottom w:val="nil"/>
              <w:right w:val="nil"/>
            </w:tcBorders>
            <w:shd w:val="clear" w:color="000000" w:fill="F2F2F2"/>
            <w:noWrap/>
            <w:vAlign w:val="center"/>
            <w:hideMark/>
          </w:tcPr>
          <w:p w14:paraId="643036F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0.00326</w:t>
            </w:r>
          </w:p>
        </w:tc>
        <w:tc>
          <w:tcPr>
            <w:tcW w:w="304" w:type="pct"/>
            <w:tcBorders>
              <w:top w:val="nil"/>
              <w:left w:val="nil"/>
              <w:bottom w:val="nil"/>
              <w:right w:val="single" w:sz="4" w:space="0" w:color="auto"/>
            </w:tcBorders>
            <w:shd w:val="clear" w:color="000000" w:fill="F2F2F2"/>
            <w:noWrap/>
            <w:vAlign w:val="center"/>
            <w:hideMark/>
          </w:tcPr>
          <w:p w14:paraId="28BA523E" w14:textId="77777777" w:rsidR="00844AB2" w:rsidRPr="008804F0" w:rsidRDefault="00844AB2" w:rsidP="00B83400">
            <w:pPr>
              <w:spacing w:after="0" w:line="240" w:lineRule="auto"/>
              <w:jc w:val="right"/>
              <w:rPr>
                <w:rFonts w:eastAsia="Times New Roman"/>
                <w:color w:val="000000"/>
                <w:sz w:val="19"/>
                <w:szCs w:val="19"/>
                <w:lang w:eastAsia="en-GB"/>
              </w:rPr>
            </w:pPr>
            <w:r>
              <w:rPr>
                <w:rFonts w:ascii="Calibri" w:eastAsia="Times New Roman" w:hAnsi="Calibri"/>
                <w:color w:val="000000"/>
                <w:sz w:val="20"/>
                <w:szCs w:val="20"/>
                <w:lang w:eastAsia="en-GB"/>
              </w:rPr>
              <w:t>0.0405</w:t>
            </w:r>
            <w:r w:rsidRPr="008804F0">
              <w:rPr>
                <w:rFonts w:ascii="Calibri" w:eastAsia="Times New Roman" w:hAnsi="Calibri"/>
                <w:color w:val="000000"/>
                <w:sz w:val="20"/>
                <w:szCs w:val="20"/>
                <w:lang w:eastAsia="en-GB"/>
              </w:rPr>
              <w:t>2</w:t>
            </w:r>
          </w:p>
        </w:tc>
        <w:tc>
          <w:tcPr>
            <w:tcW w:w="313" w:type="pct"/>
            <w:tcBorders>
              <w:top w:val="nil"/>
              <w:left w:val="single" w:sz="4" w:space="0" w:color="auto"/>
              <w:bottom w:val="nil"/>
              <w:right w:val="nil"/>
            </w:tcBorders>
            <w:shd w:val="clear" w:color="000000" w:fill="F2F2F2"/>
            <w:vAlign w:val="center"/>
          </w:tcPr>
          <w:p w14:paraId="067003AD" w14:textId="4818B8DE"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0.04136</w:t>
            </w:r>
          </w:p>
        </w:tc>
      </w:tr>
      <w:tr w:rsidR="00844AB2" w:rsidRPr="008804F0" w14:paraId="368B6481" w14:textId="1249C8A3" w:rsidTr="00844AB2">
        <w:trPr>
          <w:trHeight w:val="300"/>
        </w:trPr>
        <w:tc>
          <w:tcPr>
            <w:tcW w:w="365" w:type="pct"/>
            <w:tcBorders>
              <w:top w:val="nil"/>
              <w:left w:val="nil"/>
              <w:bottom w:val="nil"/>
              <w:right w:val="nil"/>
            </w:tcBorders>
            <w:shd w:val="clear" w:color="000000" w:fill="F2F2F2"/>
            <w:noWrap/>
            <w:vAlign w:val="center"/>
            <w:hideMark/>
          </w:tcPr>
          <w:p w14:paraId="6DA66D41" w14:textId="77777777" w:rsidR="00844AB2" w:rsidRPr="008804F0" w:rsidRDefault="00844AB2" w:rsidP="00B83400">
            <w:pPr>
              <w:spacing w:after="0" w:line="240" w:lineRule="auto"/>
              <w:rPr>
                <w:rFonts w:eastAsia="Times New Roman"/>
                <w:color w:val="000000"/>
                <w:sz w:val="19"/>
                <w:szCs w:val="19"/>
                <w:lang w:eastAsia="en-GB"/>
              </w:rPr>
            </w:pPr>
            <w:r w:rsidRPr="008804F0">
              <w:rPr>
                <w:rFonts w:ascii="Calibri" w:eastAsia="Times New Roman" w:hAnsi="Calibri"/>
                <w:color w:val="000000"/>
                <w:sz w:val="20"/>
                <w:szCs w:val="20"/>
                <w:lang w:eastAsia="en-GB"/>
              </w:rPr>
              <w:t>Tobit_1</w:t>
            </w:r>
          </w:p>
        </w:tc>
        <w:tc>
          <w:tcPr>
            <w:tcW w:w="609" w:type="pct"/>
            <w:tcBorders>
              <w:top w:val="nil"/>
              <w:left w:val="nil"/>
              <w:bottom w:val="nil"/>
              <w:right w:val="nil"/>
            </w:tcBorders>
            <w:shd w:val="clear" w:color="000000" w:fill="F2F2F2"/>
            <w:noWrap/>
            <w:vAlign w:val="center"/>
            <w:hideMark/>
          </w:tcPr>
          <w:p w14:paraId="24BA4A6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0.96369 (0.05818)</w:t>
            </w:r>
          </w:p>
        </w:tc>
        <w:tc>
          <w:tcPr>
            <w:tcW w:w="304" w:type="pct"/>
            <w:tcBorders>
              <w:top w:val="nil"/>
              <w:left w:val="nil"/>
              <w:bottom w:val="nil"/>
              <w:right w:val="nil"/>
            </w:tcBorders>
            <w:shd w:val="clear" w:color="000000" w:fill="F2F2F2"/>
            <w:noWrap/>
            <w:vAlign w:val="center"/>
            <w:hideMark/>
          </w:tcPr>
          <w:p w14:paraId="19C43725"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0.79220</w:t>
            </w:r>
          </w:p>
        </w:tc>
        <w:tc>
          <w:tcPr>
            <w:tcW w:w="304" w:type="pct"/>
            <w:tcBorders>
              <w:top w:val="nil"/>
              <w:left w:val="nil"/>
              <w:bottom w:val="nil"/>
              <w:right w:val="nil"/>
            </w:tcBorders>
            <w:shd w:val="clear" w:color="000000" w:fill="F2F2F2"/>
            <w:noWrap/>
            <w:vAlign w:val="center"/>
            <w:hideMark/>
          </w:tcPr>
          <w:p w14:paraId="178439F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1.02990</w:t>
            </w:r>
          </w:p>
        </w:tc>
        <w:tc>
          <w:tcPr>
            <w:tcW w:w="305" w:type="pct"/>
            <w:tcBorders>
              <w:top w:val="nil"/>
              <w:left w:val="nil"/>
              <w:bottom w:val="nil"/>
              <w:right w:val="nil"/>
            </w:tcBorders>
            <w:shd w:val="clear" w:color="000000" w:fill="F2F2F2"/>
            <w:noWrap/>
            <w:vAlign w:val="center"/>
            <w:hideMark/>
          </w:tcPr>
          <w:p w14:paraId="46B19DEA"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0.00533</w:t>
            </w:r>
          </w:p>
        </w:tc>
        <w:tc>
          <w:tcPr>
            <w:tcW w:w="304" w:type="pct"/>
            <w:tcBorders>
              <w:top w:val="nil"/>
              <w:left w:val="nil"/>
              <w:bottom w:val="nil"/>
              <w:right w:val="nil"/>
            </w:tcBorders>
            <w:shd w:val="clear" w:color="000000" w:fill="F2F2F2"/>
            <w:noWrap/>
            <w:vAlign w:val="center"/>
            <w:hideMark/>
          </w:tcPr>
          <w:p w14:paraId="2703EF4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0.05285</w:t>
            </w:r>
          </w:p>
        </w:tc>
        <w:tc>
          <w:tcPr>
            <w:tcW w:w="304" w:type="pct"/>
            <w:tcBorders>
              <w:top w:val="nil"/>
              <w:left w:val="nil"/>
              <w:bottom w:val="nil"/>
              <w:right w:val="nil"/>
            </w:tcBorders>
            <w:shd w:val="clear" w:color="000000" w:fill="F2F2F2"/>
            <w:noWrap/>
            <w:vAlign w:val="center"/>
            <w:hideMark/>
          </w:tcPr>
          <w:p w14:paraId="5CFF4564"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-185.28</w:t>
            </w:r>
          </w:p>
        </w:tc>
        <w:tc>
          <w:tcPr>
            <w:tcW w:w="305" w:type="pct"/>
            <w:tcBorders>
              <w:top w:val="nil"/>
              <w:left w:val="nil"/>
              <w:bottom w:val="nil"/>
              <w:right w:val="nil"/>
            </w:tcBorders>
            <w:shd w:val="clear" w:color="000000" w:fill="F2F2F2"/>
            <w:noWrap/>
            <w:vAlign w:val="center"/>
            <w:hideMark/>
          </w:tcPr>
          <w:p w14:paraId="4815FBE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-174.39</w:t>
            </w:r>
          </w:p>
        </w:tc>
        <w:tc>
          <w:tcPr>
            <w:tcW w:w="80" w:type="pct"/>
            <w:tcBorders>
              <w:top w:val="nil"/>
              <w:left w:val="single" w:sz="4" w:space="0" w:color="auto"/>
              <w:bottom w:val="nil"/>
              <w:right w:val="single" w:sz="4" w:space="0" w:color="auto"/>
            </w:tcBorders>
            <w:shd w:val="clear" w:color="000000" w:fill="F2F2F2"/>
            <w:noWrap/>
            <w:vAlign w:val="center"/>
            <w:hideMark/>
          </w:tcPr>
          <w:p w14:paraId="0E6E6A79"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3CF7605A"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0.96156 (0.06177)</w:t>
            </w:r>
          </w:p>
        </w:tc>
        <w:tc>
          <w:tcPr>
            <w:tcW w:w="305" w:type="pct"/>
            <w:tcBorders>
              <w:top w:val="nil"/>
              <w:left w:val="nil"/>
              <w:bottom w:val="nil"/>
              <w:right w:val="nil"/>
            </w:tcBorders>
            <w:shd w:val="clear" w:color="000000" w:fill="F2F2F2"/>
            <w:noWrap/>
            <w:vAlign w:val="center"/>
            <w:hideMark/>
          </w:tcPr>
          <w:p w14:paraId="79381F9A"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0.75824</w:t>
            </w:r>
          </w:p>
        </w:tc>
        <w:tc>
          <w:tcPr>
            <w:tcW w:w="304" w:type="pct"/>
            <w:tcBorders>
              <w:top w:val="nil"/>
              <w:left w:val="nil"/>
              <w:bottom w:val="nil"/>
              <w:right w:val="nil"/>
            </w:tcBorders>
            <w:shd w:val="clear" w:color="000000" w:fill="F2F2F2"/>
            <w:noWrap/>
            <w:vAlign w:val="center"/>
            <w:hideMark/>
          </w:tcPr>
          <w:p w14:paraId="79215F03"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1.02990</w:t>
            </w:r>
          </w:p>
        </w:tc>
        <w:tc>
          <w:tcPr>
            <w:tcW w:w="305" w:type="pct"/>
            <w:tcBorders>
              <w:top w:val="nil"/>
              <w:left w:val="nil"/>
              <w:bottom w:val="nil"/>
              <w:right w:val="nil"/>
            </w:tcBorders>
            <w:shd w:val="clear" w:color="000000" w:fill="F2F2F2"/>
            <w:noWrap/>
            <w:vAlign w:val="center"/>
            <w:hideMark/>
          </w:tcPr>
          <w:p w14:paraId="1046F0E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0.00428</w:t>
            </w:r>
          </w:p>
        </w:tc>
        <w:tc>
          <w:tcPr>
            <w:tcW w:w="304" w:type="pct"/>
            <w:tcBorders>
              <w:top w:val="nil"/>
              <w:left w:val="nil"/>
              <w:bottom w:val="nil"/>
              <w:right w:val="single" w:sz="4" w:space="0" w:color="auto"/>
            </w:tcBorders>
            <w:shd w:val="clear" w:color="000000" w:fill="F2F2F2"/>
            <w:noWrap/>
            <w:vAlign w:val="center"/>
            <w:hideMark/>
          </w:tcPr>
          <w:p w14:paraId="0C94764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0.05003</w:t>
            </w:r>
          </w:p>
        </w:tc>
        <w:tc>
          <w:tcPr>
            <w:tcW w:w="313" w:type="pct"/>
            <w:tcBorders>
              <w:top w:val="nil"/>
              <w:left w:val="single" w:sz="4" w:space="0" w:color="auto"/>
              <w:bottom w:val="nil"/>
              <w:right w:val="nil"/>
            </w:tcBorders>
            <w:shd w:val="clear" w:color="000000" w:fill="F2F2F2"/>
            <w:vAlign w:val="center"/>
          </w:tcPr>
          <w:p w14:paraId="33A2BEF3" w14:textId="7778FAD5"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0.05144</w:t>
            </w:r>
          </w:p>
        </w:tc>
      </w:tr>
      <w:tr w:rsidR="00844AB2" w:rsidRPr="008804F0" w14:paraId="418E020A" w14:textId="058450CA" w:rsidTr="00844AB2">
        <w:trPr>
          <w:trHeight w:val="300"/>
        </w:trPr>
        <w:tc>
          <w:tcPr>
            <w:tcW w:w="365" w:type="pct"/>
            <w:tcBorders>
              <w:top w:val="nil"/>
              <w:left w:val="nil"/>
              <w:bottom w:val="nil"/>
              <w:right w:val="nil"/>
            </w:tcBorders>
            <w:shd w:val="clear" w:color="000000" w:fill="F2F2F2"/>
            <w:noWrap/>
            <w:vAlign w:val="center"/>
            <w:hideMark/>
          </w:tcPr>
          <w:p w14:paraId="1C9B7E5C" w14:textId="77777777" w:rsidR="00844AB2" w:rsidRPr="008804F0" w:rsidRDefault="00844AB2" w:rsidP="00B83400">
            <w:pPr>
              <w:spacing w:after="0" w:line="240" w:lineRule="auto"/>
              <w:rPr>
                <w:rFonts w:eastAsia="Times New Roman"/>
                <w:color w:val="000000"/>
                <w:sz w:val="19"/>
                <w:szCs w:val="19"/>
                <w:lang w:eastAsia="en-GB"/>
              </w:rPr>
            </w:pPr>
            <w:r w:rsidRPr="008804F0">
              <w:rPr>
                <w:rFonts w:ascii="Calibri" w:eastAsia="Times New Roman" w:hAnsi="Calibri"/>
                <w:color w:val="000000"/>
                <w:sz w:val="20"/>
                <w:szCs w:val="20"/>
                <w:lang w:eastAsia="en-GB"/>
              </w:rPr>
              <w:t>Tobit_2</w:t>
            </w:r>
          </w:p>
        </w:tc>
        <w:tc>
          <w:tcPr>
            <w:tcW w:w="609" w:type="pct"/>
            <w:tcBorders>
              <w:top w:val="nil"/>
              <w:left w:val="nil"/>
              <w:bottom w:val="nil"/>
              <w:right w:val="nil"/>
            </w:tcBorders>
            <w:shd w:val="clear" w:color="000000" w:fill="F2F2F2"/>
            <w:noWrap/>
            <w:vAlign w:val="center"/>
            <w:hideMark/>
          </w:tcPr>
          <w:p w14:paraId="144B4C9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0.96348 (0.05855)</w:t>
            </w:r>
          </w:p>
        </w:tc>
        <w:tc>
          <w:tcPr>
            <w:tcW w:w="304" w:type="pct"/>
            <w:tcBorders>
              <w:top w:val="nil"/>
              <w:left w:val="nil"/>
              <w:bottom w:val="nil"/>
              <w:right w:val="nil"/>
            </w:tcBorders>
            <w:shd w:val="clear" w:color="000000" w:fill="F2F2F2"/>
            <w:noWrap/>
            <w:vAlign w:val="center"/>
            <w:hideMark/>
          </w:tcPr>
          <w:p w14:paraId="27C5128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0.78748</w:t>
            </w:r>
          </w:p>
        </w:tc>
        <w:tc>
          <w:tcPr>
            <w:tcW w:w="304" w:type="pct"/>
            <w:tcBorders>
              <w:top w:val="nil"/>
              <w:left w:val="nil"/>
              <w:bottom w:val="nil"/>
              <w:right w:val="nil"/>
            </w:tcBorders>
            <w:shd w:val="clear" w:color="000000" w:fill="F2F2F2"/>
            <w:noWrap/>
            <w:vAlign w:val="center"/>
            <w:hideMark/>
          </w:tcPr>
          <w:p w14:paraId="4E653D5B"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1.04827</w:t>
            </w:r>
          </w:p>
        </w:tc>
        <w:tc>
          <w:tcPr>
            <w:tcW w:w="305" w:type="pct"/>
            <w:tcBorders>
              <w:top w:val="nil"/>
              <w:left w:val="nil"/>
              <w:bottom w:val="nil"/>
              <w:right w:val="nil"/>
            </w:tcBorders>
            <w:shd w:val="clear" w:color="000000" w:fill="F2F2F2"/>
            <w:noWrap/>
            <w:vAlign w:val="center"/>
            <w:hideMark/>
          </w:tcPr>
          <w:p w14:paraId="1CEFA440"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0.00526</w:t>
            </w:r>
          </w:p>
        </w:tc>
        <w:tc>
          <w:tcPr>
            <w:tcW w:w="304" w:type="pct"/>
            <w:tcBorders>
              <w:top w:val="nil"/>
              <w:left w:val="nil"/>
              <w:bottom w:val="nil"/>
              <w:right w:val="nil"/>
            </w:tcBorders>
            <w:shd w:val="clear" w:color="000000" w:fill="F2F2F2"/>
            <w:noWrap/>
            <w:vAlign w:val="center"/>
            <w:hideMark/>
          </w:tcPr>
          <w:p w14:paraId="307CFD13"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0.05242</w:t>
            </w:r>
          </w:p>
        </w:tc>
        <w:tc>
          <w:tcPr>
            <w:tcW w:w="304" w:type="pct"/>
            <w:tcBorders>
              <w:top w:val="nil"/>
              <w:left w:val="nil"/>
              <w:bottom w:val="nil"/>
              <w:right w:val="nil"/>
            </w:tcBorders>
            <w:shd w:val="clear" w:color="000000" w:fill="F2F2F2"/>
            <w:noWrap/>
            <w:vAlign w:val="center"/>
            <w:hideMark/>
          </w:tcPr>
          <w:p w14:paraId="460582D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-183.12</w:t>
            </w:r>
          </w:p>
        </w:tc>
        <w:tc>
          <w:tcPr>
            <w:tcW w:w="305" w:type="pct"/>
            <w:tcBorders>
              <w:top w:val="nil"/>
              <w:left w:val="nil"/>
              <w:bottom w:val="nil"/>
              <w:right w:val="nil"/>
            </w:tcBorders>
            <w:shd w:val="clear" w:color="000000" w:fill="F2F2F2"/>
            <w:noWrap/>
            <w:vAlign w:val="center"/>
            <w:hideMark/>
          </w:tcPr>
          <w:p w14:paraId="5C7A44A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-164.97</w:t>
            </w:r>
          </w:p>
        </w:tc>
        <w:tc>
          <w:tcPr>
            <w:tcW w:w="80" w:type="pct"/>
            <w:tcBorders>
              <w:top w:val="nil"/>
              <w:left w:val="single" w:sz="4" w:space="0" w:color="auto"/>
              <w:bottom w:val="nil"/>
              <w:right w:val="single" w:sz="4" w:space="0" w:color="auto"/>
            </w:tcBorders>
            <w:shd w:val="clear" w:color="000000" w:fill="F2F2F2"/>
            <w:noWrap/>
            <w:vAlign w:val="center"/>
            <w:hideMark/>
          </w:tcPr>
          <w:p w14:paraId="59A7C75A"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1497B2F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0.96136 (0.06271)</w:t>
            </w:r>
          </w:p>
        </w:tc>
        <w:tc>
          <w:tcPr>
            <w:tcW w:w="305" w:type="pct"/>
            <w:tcBorders>
              <w:top w:val="nil"/>
              <w:left w:val="nil"/>
              <w:bottom w:val="nil"/>
              <w:right w:val="nil"/>
            </w:tcBorders>
            <w:shd w:val="clear" w:color="000000" w:fill="F2F2F2"/>
            <w:noWrap/>
            <w:vAlign w:val="center"/>
            <w:hideMark/>
          </w:tcPr>
          <w:p w14:paraId="1ABA9850"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0.75878</w:t>
            </w:r>
          </w:p>
        </w:tc>
        <w:tc>
          <w:tcPr>
            <w:tcW w:w="304" w:type="pct"/>
            <w:tcBorders>
              <w:top w:val="nil"/>
              <w:left w:val="nil"/>
              <w:bottom w:val="nil"/>
              <w:right w:val="nil"/>
            </w:tcBorders>
            <w:shd w:val="clear" w:color="000000" w:fill="F2F2F2"/>
            <w:noWrap/>
            <w:vAlign w:val="center"/>
            <w:hideMark/>
          </w:tcPr>
          <w:p w14:paraId="0371E6F8"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1.04466</w:t>
            </w:r>
          </w:p>
        </w:tc>
        <w:tc>
          <w:tcPr>
            <w:tcW w:w="305" w:type="pct"/>
            <w:tcBorders>
              <w:top w:val="nil"/>
              <w:left w:val="nil"/>
              <w:bottom w:val="nil"/>
              <w:right w:val="nil"/>
            </w:tcBorders>
            <w:shd w:val="clear" w:color="000000" w:fill="F2F2F2"/>
            <w:noWrap/>
            <w:vAlign w:val="center"/>
            <w:hideMark/>
          </w:tcPr>
          <w:p w14:paraId="43B66A85"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0.00431</w:t>
            </w:r>
          </w:p>
        </w:tc>
        <w:tc>
          <w:tcPr>
            <w:tcW w:w="304" w:type="pct"/>
            <w:tcBorders>
              <w:top w:val="nil"/>
              <w:left w:val="nil"/>
              <w:bottom w:val="nil"/>
              <w:right w:val="single" w:sz="4" w:space="0" w:color="auto"/>
            </w:tcBorders>
            <w:shd w:val="clear" w:color="000000" w:fill="F2F2F2"/>
            <w:noWrap/>
            <w:vAlign w:val="center"/>
            <w:hideMark/>
          </w:tcPr>
          <w:p w14:paraId="48215385"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0.05063</w:t>
            </w:r>
          </w:p>
        </w:tc>
        <w:tc>
          <w:tcPr>
            <w:tcW w:w="313" w:type="pct"/>
            <w:tcBorders>
              <w:top w:val="nil"/>
              <w:left w:val="single" w:sz="4" w:space="0" w:color="auto"/>
              <w:bottom w:val="nil"/>
              <w:right w:val="nil"/>
            </w:tcBorders>
            <w:shd w:val="clear" w:color="000000" w:fill="F2F2F2"/>
            <w:vAlign w:val="center"/>
          </w:tcPr>
          <w:p w14:paraId="401C0710" w14:textId="773BA394"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0.05153</w:t>
            </w:r>
          </w:p>
        </w:tc>
      </w:tr>
      <w:tr w:rsidR="00844AB2" w:rsidRPr="008804F0" w14:paraId="3591BF4C" w14:textId="0E47B4B3" w:rsidTr="00844AB2">
        <w:trPr>
          <w:trHeight w:val="300"/>
        </w:trPr>
        <w:tc>
          <w:tcPr>
            <w:tcW w:w="365" w:type="pct"/>
            <w:tcBorders>
              <w:top w:val="nil"/>
              <w:left w:val="nil"/>
              <w:bottom w:val="nil"/>
              <w:right w:val="nil"/>
            </w:tcBorders>
            <w:shd w:val="clear" w:color="000000" w:fill="F2F2F2"/>
            <w:noWrap/>
            <w:vAlign w:val="center"/>
            <w:hideMark/>
          </w:tcPr>
          <w:p w14:paraId="7FF1029C" w14:textId="77777777" w:rsidR="00844AB2" w:rsidRPr="00844AB2" w:rsidRDefault="00844AB2" w:rsidP="00B83400">
            <w:pPr>
              <w:spacing w:after="0" w:line="240" w:lineRule="auto"/>
              <w:rPr>
                <w:rFonts w:eastAsia="Times New Roman"/>
                <w:color w:val="000000"/>
                <w:sz w:val="19"/>
                <w:szCs w:val="19"/>
                <w:lang w:eastAsia="en-GB"/>
              </w:rPr>
            </w:pPr>
            <w:r w:rsidRPr="00844AB2">
              <w:rPr>
                <w:rFonts w:ascii="Calibri" w:eastAsia="Times New Roman" w:hAnsi="Calibri"/>
                <w:color w:val="000000"/>
                <w:sz w:val="20"/>
                <w:szCs w:val="20"/>
                <w:lang w:eastAsia="en-GB"/>
              </w:rPr>
              <w:t>Tobit_3</w:t>
            </w:r>
          </w:p>
        </w:tc>
        <w:tc>
          <w:tcPr>
            <w:tcW w:w="609" w:type="pct"/>
            <w:tcBorders>
              <w:top w:val="nil"/>
              <w:left w:val="nil"/>
              <w:bottom w:val="nil"/>
              <w:right w:val="nil"/>
            </w:tcBorders>
            <w:shd w:val="clear" w:color="000000" w:fill="F2F2F2"/>
            <w:noWrap/>
            <w:vAlign w:val="center"/>
            <w:hideMark/>
          </w:tcPr>
          <w:p w14:paraId="5BFE17BA"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0.96319 (0.06452)</w:t>
            </w:r>
          </w:p>
        </w:tc>
        <w:tc>
          <w:tcPr>
            <w:tcW w:w="304" w:type="pct"/>
            <w:tcBorders>
              <w:top w:val="nil"/>
              <w:left w:val="nil"/>
              <w:bottom w:val="nil"/>
              <w:right w:val="nil"/>
            </w:tcBorders>
            <w:shd w:val="clear" w:color="000000" w:fill="F2F2F2"/>
            <w:noWrap/>
            <w:vAlign w:val="center"/>
            <w:hideMark/>
          </w:tcPr>
          <w:p w14:paraId="3DE11A8E"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0.79299</w:t>
            </w:r>
          </w:p>
        </w:tc>
        <w:tc>
          <w:tcPr>
            <w:tcW w:w="304" w:type="pct"/>
            <w:tcBorders>
              <w:top w:val="nil"/>
              <w:left w:val="nil"/>
              <w:bottom w:val="nil"/>
              <w:right w:val="nil"/>
            </w:tcBorders>
            <w:shd w:val="clear" w:color="000000" w:fill="F2F2F2"/>
            <w:noWrap/>
            <w:vAlign w:val="center"/>
            <w:hideMark/>
          </w:tcPr>
          <w:p w14:paraId="7FC48735"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1.04910</w:t>
            </w:r>
          </w:p>
        </w:tc>
        <w:tc>
          <w:tcPr>
            <w:tcW w:w="305" w:type="pct"/>
            <w:tcBorders>
              <w:top w:val="nil"/>
              <w:left w:val="nil"/>
              <w:bottom w:val="nil"/>
              <w:right w:val="nil"/>
            </w:tcBorders>
            <w:shd w:val="clear" w:color="000000" w:fill="F2F2F2"/>
            <w:noWrap/>
            <w:vAlign w:val="center"/>
            <w:hideMark/>
          </w:tcPr>
          <w:p w14:paraId="3184035A"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0.00496</w:t>
            </w:r>
          </w:p>
        </w:tc>
        <w:tc>
          <w:tcPr>
            <w:tcW w:w="304" w:type="pct"/>
            <w:tcBorders>
              <w:top w:val="nil"/>
              <w:left w:val="nil"/>
              <w:bottom w:val="nil"/>
              <w:right w:val="nil"/>
            </w:tcBorders>
            <w:shd w:val="clear" w:color="000000" w:fill="F2F2F2"/>
            <w:noWrap/>
            <w:vAlign w:val="center"/>
            <w:hideMark/>
          </w:tcPr>
          <w:p w14:paraId="30815A5B"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0.05195</w:t>
            </w:r>
          </w:p>
        </w:tc>
        <w:tc>
          <w:tcPr>
            <w:tcW w:w="304" w:type="pct"/>
            <w:tcBorders>
              <w:top w:val="nil"/>
              <w:left w:val="nil"/>
              <w:bottom w:val="nil"/>
              <w:right w:val="nil"/>
            </w:tcBorders>
            <w:shd w:val="clear" w:color="000000" w:fill="F2F2F2"/>
            <w:noWrap/>
            <w:vAlign w:val="center"/>
            <w:hideMark/>
          </w:tcPr>
          <w:p w14:paraId="6D74138C"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-205.65</w:t>
            </w:r>
          </w:p>
        </w:tc>
        <w:tc>
          <w:tcPr>
            <w:tcW w:w="305" w:type="pct"/>
            <w:tcBorders>
              <w:top w:val="nil"/>
              <w:left w:val="nil"/>
              <w:bottom w:val="nil"/>
              <w:right w:val="nil"/>
            </w:tcBorders>
            <w:shd w:val="clear" w:color="000000" w:fill="F2F2F2"/>
            <w:noWrap/>
            <w:vAlign w:val="center"/>
            <w:hideMark/>
          </w:tcPr>
          <w:p w14:paraId="191ECE6F"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-183.86</w:t>
            </w:r>
          </w:p>
        </w:tc>
        <w:tc>
          <w:tcPr>
            <w:tcW w:w="80" w:type="pct"/>
            <w:tcBorders>
              <w:top w:val="nil"/>
              <w:left w:val="single" w:sz="4" w:space="0" w:color="auto"/>
              <w:bottom w:val="nil"/>
              <w:right w:val="single" w:sz="4" w:space="0" w:color="auto"/>
            </w:tcBorders>
            <w:shd w:val="clear" w:color="000000" w:fill="F2F2F2"/>
            <w:noWrap/>
            <w:vAlign w:val="center"/>
            <w:hideMark/>
          </w:tcPr>
          <w:p w14:paraId="4DE2337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79DC5BF3"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0.96575 (0.06269)</w:t>
            </w:r>
          </w:p>
        </w:tc>
        <w:tc>
          <w:tcPr>
            <w:tcW w:w="305" w:type="pct"/>
            <w:tcBorders>
              <w:top w:val="nil"/>
              <w:left w:val="nil"/>
              <w:bottom w:val="nil"/>
              <w:right w:val="nil"/>
            </w:tcBorders>
            <w:shd w:val="clear" w:color="000000" w:fill="F2F2F2"/>
            <w:noWrap/>
            <w:vAlign w:val="center"/>
            <w:hideMark/>
          </w:tcPr>
          <w:p w14:paraId="15C07AA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0.76089</w:t>
            </w:r>
          </w:p>
        </w:tc>
        <w:tc>
          <w:tcPr>
            <w:tcW w:w="304" w:type="pct"/>
            <w:tcBorders>
              <w:top w:val="nil"/>
              <w:left w:val="nil"/>
              <w:bottom w:val="nil"/>
              <w:right w:val="nil"/>
            </w:tcBorders>
            <w:shd w:val="clear" w:color="000000" w:fill="F2F2F2"/>
            <w:noWrap/>
            <w:vAlign w:val="center"/>
            <w:hideMark/>
          </w:tcPr>
          <w:p w14:paraId="142F335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1.04170</w:t>
            </w:r>
          </w:p>
        </w:tc>
        <w:tc>
          <w:tcPr>
            <w:tcW w:w="305" w:type="pct"/>
            <w:tcBorders>
              <w:top w:val="nil"/>
              <w:left w:val="nil"/>
              <w:bottom w:val="nil"/>
              <w:right w:val="nil"/>
            </w:tcBorders>
            <w:shd w:val="clear" w:color="000000" w:fill="F2F2F2"/>
            <w:noWrap/>
            <w:vAlign w:val="center"/>
            <w:hideMark/>
          </w:tcPr>
          <w:p w14:paraId="71D23B9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0.00405</w:t>
            </w:r>
          </w:p>
        </w:tc>
        <w:tc>
          <w:tcPr>
            <w:tcW w:w="304" w:type="pct"/>
            <w:tcBorders>
              <w:top w:val="nil"/>
              <w:left w:val="nil"/>
              <w:bottom w:val="nil"/>
              <w:right w:val="single" w:sz="4" w:space="0" w:color="auto"/>
            </w:tcBorders>
            <w:shd w:val="clear" w:color="000000" w:fill="F2F2F2"/>
            <w:noWrap/>
            <w:vAlign w:val="center"/>
            <w:hideMark/>
          </w:tcPr>
          <w:p w14:paraId="29442024"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0.04816</w:t>
            </w:r>
          </w:p>
        </w:tc>
        <w:tc>
          <w:tcPr>
            <w:tcW w:w="313" w:type="pct"/>
            <w:tcBorders>
              <w:top w:val="nil"/>
              <w:left w:val="single" w:sz="4" w:space="0" w:color="auto"/>
              <w:bottom w:val="nil"/>
              <w:right w:val="nil"/>
            </w:tcBorders>
            <w:shd w:val="clear" w:color="000000" w:fill="F2F2F2"/>
            <w:vAlign w:val="center"/>
          </w:tcPr>
          <w:p w14:paraId="6FEC003B" w14:textId="45FF5BAD"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0.05006</w:t>
            </w:r>
          </w:p>
        </w:tc>
      </w:tr>
      <w:tr w:rsidR="00844AB2" w:rsidRPr="008804F0" w14:paraId="596933AB" w14:textId="4BD1C308" w:rsidTr="00844AB2">
        <w:trPr>
          <w:trHeight w:val="300"/>
        </w:trPr>
        <w:tc>
          <w:tcPr>
            <w:tcW w:w="365" w:type="pct"/>
            <w:tcBorders>
              <w:top w:val="nil"/>
              <w:left w:val="nil"/>
              <w:bottom w:val="nil"/>
              <w:right w:val="nil"/>
            </w:tcBorders>
            <w:shd w:val="clear" w:color="000000" w:fill="F2F2F2"/>
            <w:noWrap/>
            <w:vAlign w:val="center"/>
            <w:hideMark/>
          </w:tcPr>
          <w:p w14:paraId="3364A59F" w14:textId="77777777" w:rsidR="00844AB2" w:rsidRPr="008804F0" w:rsidRDefault="00844AB2" w:rsidP="00B83400">
            <w:pPr>
              <w:spacing w:after="0" w:line="240" w:lineRule="auto"/>
              <w:rPr>
                <w:rFonts w:eastAsia="Times New Roman"/>
                <w:color w:val="000000"/>
                <w:sz w:val="19"/>
                <w:szCs w:val="19"/>
                <w:lang w:eastAsia="en-GB"/>
              </w:rPr>
            </w:pPr>
            <w:r w:rsidRPr="008804F0">
              <w:rPr>
                <w:rFonts w:ascii="Calibri" w:eastAsia="Times New Roman" w:hAnsi="Calibri"/>
                <w:color w:val="000000"/>
                <w:sz w:val="20"/>
                <w:szCs w:val="20"/>
                <w:lang w:eastAsia="en-GB"/>
              </w:rPr>
              <w:t>Tobit_4</w:t>
            </w:r>
          </w:p>
        </w:tc>
        <w:tc>
          <w:tcPr>
            <w:tcW w:w="609" w:type="pct"/>
            <w:tcBorders>
              <w:top w:val="nil"/>
              <w:left w:val="nil"/>
              <w:bottom w:val="nil"/>
              <w:right w:val="nil"/>
            </w:tcBorders>
            <w:shd w:val="clear" w:color="000000" w:fill="F2F2F2"/>
            <w:noWrap/>
            <w:vAlign w:val="center"/>
            <w:hideMark/>
          </w:tcPr>
          <w:p w14:paraId="3732848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0.96307 (0.06456)</w:t>
            </w:r>
          </w:p>
        </w:tc>
        <w:tc>
          <w:tcPr>
            <w:tcW w:w="304" w:type="pct"/>
            <w:tcBorders>
              <w:top w:val="nil"/>
              <w:left w:val="nil"/>
              <w:bottom w:val="nil"/>
              <w:right w:val="nil"/>
            </w:tcBorders>
            <w:shd w:val="clear" w:color="000000" w:fill="F2F2F2"/>
            <w:noWrap/>
            <w:vAlign w:val="center"/>
            <w:hideMark/>
          </w:tcPr>
          <w:p w14:paraId="2812F8A0"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0.79396</w:t>
            </w:r>
          </w:p>
        </w:tc>
        <w:tc>
          <w:tcPr>
            <w:tcW w:w="304" w:type="pct"/>
            <w:tcBorders>
              <w:top w:val="nil"/>
              <w:left w:val="nil"/>
              <w:bottom w:val="nil"/>
              <w:right w:val="nil"/>
            </w:tcBorders>
            <w:shd w:val="clear" w:color="000000" w:fill="F2F2F2"/>
            <w:noWrap/>
            <w:vAlign w:val="center"/>
            <w:hideMark/>
          </w:tcPr>
          <w:p w14:paraId="7AD8D3D5"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1.05047</w:t>
            </w:r>
          </w:p>
        </w:tc>
        <w:tc>
          <w:tcPr>
            <w:tcW w:w="305" w:type="pct"/>
            <w:tcBorders>
              <w:top w:val="nil"/>
              <w:left w:val="nil"/>
              <w:bottom w:val="nil"/>
              <w:right w:val="nil"/>
            </w:tcBorders>
            <w:shd w:val="clear" w:color="000000" w:fill="F2F2F2"/>
            <w:noWrap/>
            <w:vAlign w:val="center"/>
            <w:hideMark/>
          </w:tcPr>
          <w:p w14:paraId="6B439E0B"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0.00492</w:t>
            </w:r>
          </w:p>
        </w:tc>
        <w:tc>
          <w:tcPr>
            <w:tcW w:w="304" w:type="pct"/>
            <w:tcBorders>
              <w:top w:val="nil"/>
              <w:left w:val="nil"/>
              <w:bottom w:val="nil"/>
              <w:right w:val="nil"/>
            </w:tcBorders>
            <w:shd w:val="clear" w:color="000000" w:fill="F2F2F2"/>
            <w:noWrap/>
            <w:vAlign w:val="center"/>
            <w:hideMark/>
          </w:tcPr>
          <w:p w14:paraId="1C12FC04"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0.05159</w:t>
            </w:r>
          </w:p>
        </w:tc>
        <w:tc>
          <w:tcPr>
            <w:tcW w:w="304" w:type="pct"/>
            <w:tcBorders>
              <w:top w:val="nil"/>
              <w:left w:val="nil"/>
              <w:bottom w:val="nil"/>
              <w:right w:val="nil"/>
            </w:tcBorders>
            <w:shd w:val="clear" w:color="000000" w:fill="F2F2F2"/>
            <w:noWrap/>
            <w:vAlign w:val="center"/>
            <w:hideMark/>
          </w:tcPr>
          <w:p w14:paraId="1F5AEE3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-202.25</w:t>
            </w:r>
          </w:p>
        </w:tc>
        <w:tc>
          <w:tcPr>
            <w:tcW w:w="305" w:type="pct"/>
            <w:tcBorders>
              <w:top w:val="nil"/>
              <w:left w:val="nil"/>
              <w:bottom w:val="nil"/>
              <w:right w:val="nil"/>
            </w:tcBorders>
            <w:shd w:val="clear" w:color="000000" w:fill="F2F2F2"/>
            <w:noWrap/>
            <w:vAlign w:val="center"/>
            <w:hideMark/>
          </w:tcPr>
          <w:p w14:paraId="7E714F6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-173.20</w:t>
            </w:r>
          </w:p>
        </w:tc>
        <w:tc>
          <w:tcPr>
            <w:tcW w:w="80" w:type="pct"/>
            <w:tcBorders>
              <w:top w:val="nil"/>
              <w:left w:val="single" w:sz="4" w:space="0" w:color="auto"/>
              <w:bottom w:val="nil"/>
              <w:right w:val="single" w:sz="4" w:space="0" w:color="auto"/>
            </w:tcBorders>
            <w:shd w:val="clear" w:color="000000" w:fill="F2F2F2"/>
            <w:noWrap/>
            <w:vAlign w:val="center"/>
            <w:hideMark/>
          </w:tcPr>
          <w:p w14:paraId="5C000EB0"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094061EA"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0.96549 (0.06296)</w:t>
            </w:r>
          </w:p>
        </w:tc>
        <w:tc>
          <w:tcPr>
            <w:tcW w:w="305" w:type="pct"/>
            <w:tcBorders>
              <w:top w:val="nil"/>
              <w:left w:val="nil"/>
              <w:bottom w:val="nil"/>
              <w:right w:val="nil"/>
            </w:tcBorders>
            <w:shd w:val="clear" w:color="000000" w:fill="F2F2F2"/>
            <w:noWrap/>
            <w:vAlign w:val="center"/>
            <w:hideMark/>
          </w:tcPr>
          <w:p w14:paraId="05F8F7A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0.76257</w:t>
            </w:r>
          </w:p>
        </w:tc>
        <w:tc>
          <w:tcPr>
            <w:tcW w:w="304" w:type="pct"/>
            <w:tcBorders>
              <w:top w:val="nil"/>
              <w:left w:val="nil"/>
              <w:bottom w:val="nil"/>
              <w:right w:val="nil"/>
            </w:tcBorders>
            <w:shd w:val="clear" w:color="000000" w:fill="F2F2F2"/>
            <w:noWrap/>
            <w:vAlign w:val="center"/>
            <w:hideMark/>
          </w:tcPr>
          <w:p w14:paraId="3B4234A9"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1.04897</w:t>
            </w:r>
          </w:p>
        </w:tc>
        <w:tc>
          <w:tcPr>
            <w:tcW w:w="305" w:type="pct"/>
            <w:tcBorders>
              <w:top w:val="nil"/>
              <w:left w:val="nil"/>
              <w:bottom w:val="nil"/>
              <w:right w:val="nil"/>
            </w:tcBorders>
            <w:shd w:val="clear" w:color="000000" w:fill="F2F2F2"/>
            <w:noWrap/>
            <w:vAlign w:val="center"/>
            <w:hideMark/>
          </w:tcPr>
          <w:p w14:paraId="75EB138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0.00403</w:t>
            </w:r>
          </w:p>
        </w:tc>
        <w:tc>
          <w:tcPr>
            <w:tcW w:w="304" w:type="pct"/>
            <w:tcBorders>
              <w:top w:val="nil"/>
              <w:left w:val="nil"/>
              <w:bottom w:val="nil"/>
              <w:right w:val="single" w:sz="4" w:space="0" w:color="auto"/>
            </w:tcBorders>
            <w:shd w:val="clear" w:color="000000" w:fill="F2F2F2"/>
            <w:noWrap/>
            <w:vAlign w:val="center"/>
            <w:hideMark/>
          </w:tcPr>
          <w:p w14:paraId="565A1875"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0.04806</w:t>
            </w:r>
          </w:p>
        </w:tc>
        <w:tc>
          <w:tcPr>
            <w:tcW w:w="313" w:type="pct"/>
            <w:tcBorders>
              <w:top w:val="nil"/>
              <w:left w:val="single" w:sz="4" w:space="0" w:color="auto"/>
              <w:bottom w:val="nil"/>
              <w:right w:val="nil"/>
            </w:tcBorders>
            <w:shd w:val="clear" w:color="000000" w:fill="F2F2F2"/>
            <w:vAlign w:val="center"/>
          </w:tcPr>
          <w:p w14:paraId="4933DD73" w14:textId="706CDFE0"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0.04983</w:t>
            </w:r>
          </w:p>
        </w:tc>
      </w:tr>
      <w:tr w:rsidR="00844AB2" w:rsidRPr="008804F0" w14:paraId="701D9428" w14:textId="65C372EC" w:rsidTr="00844AB2">
        <w:trPr>
          <w:trHeight w:val="300"/>
        </w:trPr>
        <w:tc>
          <w:tcPr>
            <w:tcW w:w="365" w:type="pct"/>
            <w:tcBorders>
              <w:top w:val="nil"/>
              <w:left w:val="nil"/>
              <w:bottom w:val="nil"/>
              <w:right w:val="nil"/>
            </w:tcBorders>
            <w:shd w:val="clear" w:color="000000" w:fill="F2F2F2"/>
            <w:noWrap/>
            <w:vAlign w:val="center"/>
            <w:hideMark/>
          </w:tcPr>
          <w:p w14:paraId="33F007EE" w14:textId="77777777" w:rsidR="00844AB2" w:rsidRPr="00844AB2" w:rsidRDefault="00844AB2" w:rsidP="00B83400">
            <w:pPr>
              <w:spacing w:after="0" w:line="240" w:lineRule="auto"/>
              <w:rPr>
                <w:rFonts w:eastAsia="Times New Roman"/>
                <w:color w:val="000000"/>
                <w:sz w:val="19"/>
                <w:szCs w:val="19"/>
                <w:lang w:eastAsia="en-GB"/>
              </w:rPr>
            </w:pPr>
            <w:r w:rsidRPr="00844AB2">
              <w:rPr>
                <w:rFonts w:ascii="Calibri" w:eastAsia="Times New Roman" w:hAnsi="Calibri"/>
                <w:color w:val="000000"/>
                <w:sz w:val="20"/>
                <w:szCs w:val="20"/>
                <w:lang w:eastAsia="en-GB"/>
              </w:rPr>
              <w:t>Tobit_5</w:t>
            </w:r>
          </w:p>
        </w:tc>
        <w:tc>
          <w:tcPr>
            <w:tcW w:w="609" w:type="pct"/>
            <w:tcBorders>
              <w:top w:val="nil"/>
              <w:left w:val="nil"/>
              <w:bottom w:val="nil"/>
              <w:right w:val="nil"/>
            </w:tcBorders>
            <w:shd w:val="clear" w:color="000000" w:fill="F2F2F2"/>
            <w:noWrap/>
            <w:vAlign w:val="center"/>
            <w:hideMark/>
          </w:tcPr>
          <w:p w14:paraId="1A6D0304"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0.96304 (0.06735)</w:t>
            </w:r>
          </w:p>
        </w:tc>
        <w:tc>
          <w:tcPr>
            <w:tcW w:w="304" w:type="pct"/>
            <w:tcBorders>
              <w:top w:val="nil"/>
              <w:left w:val="nil"/>
              <w:bottom w:val="nil"/>
              <w:right w:val="nil"/>
            </w:tcBorders>
            <w:shd w:val="clear" w:color="000000" w:fill="F2F2F2"/>
            <w:noWrap/>
            <w:vAlign w:val="center"/>
            <w:hideMark/>
          </w:tcPr>
          <w:p w14:paraId="631963DA"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0.74322</w:t>
            </w:r>
          </w:p>
        </w:tc>
        <w:tc>
          <w:tcPr>
            <w:tcW w:w="304" w:type="pct"/>
            <w:tcBorders>
              <w:top w:val="nil"/>
              <w:left w:val="nil"/>
              <w:bottom w:val="nil"/>
              <w:right w:val="nil"/>
            </w:tcBorders>
            <w:shd w:val="clear" w:color="000000" w:fill="F2F2F2"/>
            <w:noWrap/>
            <w:vAlign w:val="center"/>
            <w:hideMark/>
          </w:tcPr>
          <w:p w14:paraId="60189343"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1.07926</w:t>
            </w:r>
          </w:p>
        </w:tc>
        <w:tc>
          <w:tcPr>
            <w:tcW w:w="305" w:type="pct"/>
            <w:tcBorders>
              <w:top w:val="nil"/>
              <w:left w:val="nil"/>
              <w:bottom w:val="nil"/>
              <w:right w:val="nil"/>
            </w:tcBorders>
            <w:shd w:val="clear" w:color="000000" w:fill="F2F2F2"/>
            <w:noWrap/>
            <w:vAlign w:val="center"/>
            <w:hideMark/>
          </w:tcPr>
          <w:p w14:paraId="29D64EDA"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0.00482</w:t>
            </w:r>
          </w:p>
        </w:tc>
        <w:tc>
          <w:tcPr>
            <w:tcW w:w="304" w:type="pct"/>
            <w:tcBorders>
              <w:top w:val="nil"/>
              <w:left w:val="nil"/>
              <w:bottom w:val="nil"/>
              <w:right w:val="nil"/>
            </w:tcBorders>
            <w:shd w:val="clear" w:color="000000" w:fill="F2F2F2"/>
            <w:noWrap/>
            <w:vAlign w:val="center"/>
            <w:hideMark/>
          </w:tcPr>
          <w:p w14:paraId="1D9BCF0C"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0.05284</w:t>
            </w:r>
          </w:p>
        </w:tc>
        <w:tc>
          <w:tcPr>
            <w:tcW w:w="304" w:type="pct"/>
            <w:tcBorders>
              <w:top w:val="nil"/>
              <w:left w:val="nil"/>
              <w:bottom w:val="nil"/>
              <w:right w:val="nil"/>
            </w:tcBorders>
            <w:shd w:val="clear" w:color="000000" w:fill="F2F2F2"/>
            <w:noWrap/>
            <w:vAlign w:val="center"/>
            <w:hideMark/>
          </w:tcPr>
          <w:p w14:paraId="7D62CEA1"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-205.81</w:t>
            </w:r>
          </w:p>
        </w:tc>
        <w:tc>
          <w:tcPr>
            <w:tcW w:w="305" w:type="pct"/>
            <w:tcBorders>
              <w:top w:val="nil"/>
              <w:left w:val="nil"/>
              <w:bottom w:val="nil"/>
              <w:right w:val="nil"/>
            </w:tcBorders>
            <w:shd w:val="clear" w:color="000000" w:fill="F2F2F2"/>
            <w:noWrap/>
            <w:vAlign w:val="center"/>
            <w:hideMark/>
          </w:tcPr>
          <w:p w14:paraId="529DFD6F" w14:textId="77777777" w:rsidR="00844AB2" w:rsidRPr="00844AB2" w:rsidRDefault="00844AB2" w:rsidP="00B83400">
            <w:pPr>
              <w:spacing w:after="0" w:line="240" w:lineRule="auto"/>
              <w:jc w:val="right"/>
              <w:rPr>
                <w:rFonts w:eastAsia="Times New Roman"/>
                <w:color w:val="000000"/>
                <w:sz w:val="19"/>
                <w:szCs w:val="19"/>
                <w:lang w:eastAsia="en-GB"/>
              </w:rPr>
            </w:pPr>
            <w:r w:rsidRPr="00844AB2">
              <w:rPr>
                <w:rFonts w:ascii="Calibri" w:eastAsia="Times New Roman" w:hAnsi="Calibri"/>
                <w:color w:val="000000"/>
                <w:sz w:val="20"/>
                <w:szCs w:val="20"/>
                <w:lang w:eastAsia="en-GB"/>
              </w:rPr>
              <w:t>-162.23</w:t>
            </w:r>
          </w:p>
        </w:tc>
        <w:tc>
          <w:tcPr>
            <w:tcW w:w="80" w:type="pct"/>
            <w:tcBorders>
              <w:top w:val="nil"/>
              <w:left w:val="single" w:sz="4" w:space="0" w:color="auto"/>
              <w:bottom w:val="nil"/>
              <w:right w:val="single" w:sz="4" w:space="0" w:color="auto"/>
            </w:tcBorders>
            <w:shd w:val="clear" w:color="000000" w:fill="F2F2F2"/>
            <w:noWrap/>
            <w:vAlign w:val="center"/>
            <w:hideMark/>
          </w:tcPr>
          <w:p w14:paraId="12106A69"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nil"/>
              <w:right w:val="nil"/>
            </w:tcBorders>
            <w:shd w:val="clear" w:color="000000" w:fill="F2F2F2"/>
            <w:noWrap/>
            <w:vAlign w:val="center"/>
            <w:hideMark/>
          </w:tcPr>
          <w:p w14:paraId="1ACF04E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0.96387 (0.06842)</w:t>
            </w:r>
          </w:p>
        </w:tc>
        <w:tc>
          <w:tcPr>
            <w:tcW w:w="305" w:type="pct"/>
            <w:tcBorders>
              <w:top w:val="nil"/>
              <w:left w:val="nil"/>
              <w:bottom w:val="nil"/>
              <w:right w:val="nil"/>
            </w:tcBorders>
            <w:shd w:val="clear" w:color="000000" w:fill="F2F2F2"/>
            <w:noWrap/>
            <w:vAlign w:val="center"/>
            <w:hideMark/>
          </w:tcPr>
          <w:p w14:paraId="12FAF133"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0.76384</w:t>
            </w:r>
          </w:p>
        </w:tc>
        <w:tc>
          <w:tcPr>
            <w:tcW w:w="304" w:type="pct"/>
            <w:tcBorders>
              <w:top w:val="nil"/>
              <w:left w:val="nil"/>
              <w:bottom w:val="nil"/>
              <w:right w:val="nil"/>
            </w:tcBorders>
            <w:shd w:val="clear" w:color="000000" w:fill="F2F2F2"/>
            <w:noWrap/>
            <w:vAlign w:val="center"/>
            <w:hideMark/>
          </w:tcPr>
          <w:p w14:paraId="4003F39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1.04872</w:t>
            </w:r>
          </w:p>
        </w:tc>
        <w:tc>
          <w:tcPr>
            <w:tcW w:w="305" w:type="pct"/>
            <w:tcBorders>
              <w:top w:val="nil"/>
              <w:left w:val="nil"/>
              <w:bottom w:val="nil"/>
              <w:right w:val="nil"/>
            </w:tcBorders>
            <w:shd w:val="clear" w:color="000000" w:fill="F2F2F2"/>
            <w:noWrap/>
            <w:vAlign w:val="center"/>
            <w:hideMark/>
          </w:tcPr>
          <w:p w14:paraId="72A5AFD0"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0.00434</w:t>
            </w:r>
          </w:p>
        </w:tc>
        <w:tc>
          <w:tcPr>
            <w:tcW w:w="304" w:type="pct"/>
            <w:tcBorders>
              <w:top w:val="nil"/>
              <w:left w:val="nil"/>
              <w:bottom w:val="nil"/>
              <w:right w:val="single" w:sz="4" w:space="0" w:color="auto"/>
            </w:tcBorders>
            <w:shd w:val="clear" w:color="000000" w:fill="F2F2F2"/>
            <w:noWrap/>
            <w:vAlign w:val="center"/>
            <w:hideMark/>
          </w:tcPr>
          <w:p w14:paraId="5956C056"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0.05107</w:t>
            </w:r>
          </w:p>
        </w:tc>
        <w:tc>
          <w:tcPr>
            <w:tcW w:w="313" w:type="pct"/>
            <w:tcBorders>
              <w:top w:val="nil"/>
              <w:left w:val="single" w:sz="4" w:space="0" w:color="auto"/>
              <w:bottom w:val="nil"/>
              <w:right w:val="nil"/>
            </w:tcBorders>
            <w:shd w:val="clear" w:color="000000" w:fill="F2F2F2"/>
            <w:vAlign w:val="center"/>
          </w:tcPr>
          <w:p w14:paraId="161CA207" w14:textId="1BD58106"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0.05196</w:t>
            </w:r>
          </w:p>
        </w:tc>
      </w:tr>
      <w:tr w:rsidR="00844AB2" w:rsidRPr="008804F0" w14:paraId="6A98E141" w14:textId="6380954C" w:rsidTr="00844AB2">
        <w:trPr>
          <w:trHeight w:val="300"/>
        </w:trPr>
        <w:tc>
          <w:tcPr>
            <w:tcW w:w="365" w:type="pct"/>
            <w:tcBorders>
              <w:top w:val="nil"/>
              <w:left w:val="nil"/>
              <w:bottom w:val="single" w:sz="4" w:space="0" w:color="auto"/>
              <w:right w:val="nil"/>
            </w:tcBorders>
            <w:shd w:val="clear" w:color="000000" w:fill="F2F2F2"/>
            <w:noWrap/>
            <w:vAlign w:val="center"/>
            <w:hideMark/>
          </w:tcPr>
          <w:p w14:paraId="39C9B878" w14:textId="5C09273A" w:rsidR="00844AB2" w:rsidRPr="008804F0" w:rsidRDefault="00844AB2" w:rsidP="00B83400">
            <w:pPr>
              <w:spacing w:after="0" w:line="240" w:lineRule="auto"/>
              <w:rPr>
                <w:rFonts w:eastAsia="Times New Roman"/>
                <w:color w:val="000000"/>
                <w:sz w:val="19"/>
                <w:szCs w:val="19"/>
                <w:lang w:eastAsia="en-GB"/>
              </w:rPr>
            </w:pPr>
            <w:r>
              <w:rPr>
                <w:rFonts w:ascii="Calibri" w:eastAsia="Times New Roman" w:hAnsi="Calibri"/>
                <w:color w:val="000000"/>
                <w:sz w:val="20"/>
                <w:szCs w:val="20"/>
                <w:lang w:eastAsia="en-GB"/>
              </w:rPr>
              <w:t>Tobit_6</w:t>
            </w:r>
          </w:p>
        </w:tc>
        <w:tc>
          <w:tcPr>
            <w:tcW w:w="609" w:type="pct"/>
            <w:tcBorders>
              <w:top w:val="nil"/>
              <w:left w:val="nil"/>
              <w:bottom w:val="single" w:sz="4" w:space="0" w:color="auto"/>
              <w:right w:val="nil"/>
            </w:tcBorders>
            <w:shd w:val="clear" w:color="000000" w:fill="F2F2F2"/>
            <w:noWrap/>
            <w:vAlign w:val="center"/>
            <w:hideMark/>
          </w:tcPr>
          <w:p w14:paraId="0AB6A9B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0.96300 (0.06734)</w:t>
            </w:r>
          </w:p>
        </w:tc>
        <w:tc>
          <w:tcPr>
            <w:tcW w:w="304" w:type="pct"/>
            <w:tcBorders>
              <w:top w:val="nil"/>
              <w:left w:val="nil"/>
              <w:bottom w:val="single" w:sz="4" w:space="0" w:color="auto"/>
              <w:right w:val="nil"/>
            </w:tcBorders>
            <w:shd w:val="clear" w:color="000000" w:fill="F2F2F2"/>
            <w:noWrap/>
            <w:vAlign w:val="center"/>
            <w:hideMark/>
          </w:tcPr>
          <w:p w14:paraId="1C98937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0.74480</w:t>
            </w:r>
          </w:p>
        </w:tc>
        <w:tc>
          <w:tcPr>
            <w:tcW w:w="304" w:type="pct"/>
            <w:tcBorders>
              <w:top w:val="nil"/>
              <w:left w:val="nil"/>
              <w:bottom w:val="single" w:sz="4" w:space="0" w:color="auto"/>
              <w:right w:val="nil"/>
            </w:tcBorders>
            <w:shd w:val="clear" w:color="000000" w:fill="F2F2F2"/>
            <w:noWrap/>
            <w:vAlign w:val="center"/>
            <w:hideMark/>
          </w:tcPr>
          <w:p w14:paraId="245DFD7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1.07843</w:t>
            </w:r>
          </w:p>
        </w:tc>
        <w:tc>
          <w:tcPr>
            <w:tcW w:w="305" w:type="pct"/>
            <w:tcBorders>
              <w:top w:val="nil"/>
              <w:left w:val="nil"/>
              <w:bottom w:val="single" w:sz="4" w:space="0" w:color="auto"/>
              <w:right w:val="nil"/>
            </w:tcBorders>
            <w:shd w:val="clear" w:color="000000" w:fill="F2F2F2"/>
            <w:noWrap/>
            <w:vAlign w:val="center"/>
            <w:hideMark/>
          </w:tcPr>
          <w:p w14:paraId="44D2ACA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0.00481</w:t>
            </w:r>
          </w:p>
        </w:tc>
        <w:tc>
          <w:tcPr>
            <w:tcW w:w="304" w:type="pct"/>
            <w:tcBorders>
              <w:top w:val="nil"/>
              <w:left w:val="nil"/>
              <w:bottom w:val="single" w:sz="4" w:space="0" w:color="auto"/>
              <w:right w:val="nil"/>
            </w:tcBorders>
            <w:shd w:val="clear" w:color="000000" w:fill="F2F2F2"/>
            <w:noWrap/>
            <w:vAlign w:val="center"/>
            <w:hideMark/>
          </w:tcPr>
          <w:p w14:paraId="61357EDE"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0.05270</w:t>
            </w:r>
          </w:p>
        </w:tc>
        <w:tc>
          <w:tcPr>
            <w:tcW w:w="304" w:type="pct"/>
            <w:tcBorders>
              <w:top w:val="nil"/>
              <w:left w:val="nil"/>
              <w:bottom w:val="single" w:sz="4" w:space="0" w:color="auto"/>
              <w:right w:val="nil"/>
            </w:tcBorders>
            <w:shd w:val="clear" w:color="000000" w:fill="F2F2F2"/>
            <w:noWrap/>
            <w:vAlign w:val="center"/>
            <w:hideMark/>
          </w:tcPr>
          <w:p w14:paraId="5C50F771"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-201.93</w:t>
            </w:r>
          </w:p>
        </w:tc>
        <w:tc>
          <w:tcPr>
            <w:tcW w:w="305" w:type="pct"/>
            <w:tcBorders>
              <w:top w:val="nil"/>
              <w:left w:val="nil"/>
              <w:bottom w:val="single" w:sz="4" w:space="0" w:color="auto"/>
              <w:right w:val="single" w:sz="4" w:space="0" w:color="auto"/>
            </w:tcBorders>
            <w:shd w:val="clear" w:color="000000" w:fill="F2F2F2"/>
            <w:noWrap/>
            <w:vAlign w:val="center"/>
            <w:hideMark/>
          </w:tcPr>
          <w:p w14:paraId="2931A05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-151.09</w:t>
            </w:r>
          </w:p>
        </w:tc>
        <w:tc>
          <w:tcPr>
            <w:tcW w:w="80" w:type="pct"/>
            <w:tcBorders>
              <w:top w:val="nil"/>
              <w:left w:val="nil"/>
              <w:bottom w:val="single" w:sz="4" w:space="0" w:color="auto"/>
              <w:right w:val="single" w:sz="4" w:space="0" w:color="auto"/>
            </w:tcBorders>
            <w:shd w:val="clear" w:color="000000" w:fill="F2F2F2"/>
            <w:noWrap/>
            <w:vAlign w:val="center"/>
            <w:hideMark/>
          </w:tcPr>
          <w:p w14:paraId="6FE1E25B"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 </w:t>
            </w:r>
          </w:p>
        </w:tc>
        <w:tc>
          <w:tcPr>
            <w:tcW w:w="589" w:type="pct"/>
            <w:tcBorders>
              <w:top w:val="nil"/>
              <w:left w:val="nil"/>
              <w:bottom w:val="single" w:sz="4" w:space="0" w:color="auto"/>
              <w:right w:val="nil"/>
            </w:tcBorders>
            <w:shd w:val="clear" w:color="000000" w:fill="F2F2F2"/>
            <w:noWrap/>
            <w:vAlign w:val="center"/>
            <w:hideMark/>
          </w:tcPr>
          <w:p w14:paraId="47B59D57"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0.96385 (0.06838)</w:t>
            </w:r>
          </w:p>
        </w:tc>
        <w:tc>
          <w:tcPr>
            <w:tcW w:w="305" w:type="pct"/>
            <w:tcBorders>
              <w:top w:val="nil"/>
              <w:left w:val="nil"/>
              <w:bottom w:val="single" w:sz="4" w:space="0" w:color="auto"/>
              <w:right w:val="nil"/>
            </w:tcBorders>
            <w:shd w:val="clear" w:color="000000" w:fill="F2F2F2"/>
            <w:noWrap/>
            <w:vAlign w:val="center"/>
            <w:hideMark/>
          </w:tcPr>
          <w:p w14:paraId="1D61FC2F"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0.76169</w:t>
            </w:r>
          </w:p>
        </w:tc>
        <w:tc>
          <w:tcPr>
            <w:tcW w:w="304" w:type="pct"/>
            <w:tcBorders>
              <w:top w:val="nil"/>
              <w:left w:val="nil"/>
              <w:bottom w:val="single" w:sz="4" w:space="0" w:color="auto"/>
              <w:right w:val="nil"/>
            </w:tcBorders>
            <w:shd w:val="clear" w:color="000000" w:fill="F2F2F2"/>
            <w:noWrap/>
            <w:vAlign w:val="center"/>
            <w:hideMark/>
          </w:tcPr>
          <w:p w14:paraId="531447ED"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1.05209</w:t>
            </w:r>
          </w:p>
        </w:tc>
        <w:tc>
          <w:tcPr>
            <w:tcW w:w="305" w:type="pct"/>
            <w:tcBorders>
              <w:top w:val="nil"/>
              <w:left w:val="nil"/>
              <w:bottom w:val="single" w:sz="4" w:space="0" w:color="auto"/>
              <w:right w:val="nil"/>
            </w:tcBorders>
            <w:shd w:val="clear" w:color="000000" w:fill="F2F2F2"/>
            <w:noWrap/>
            <w:vAlign w:val="center"/>
            <w:hideMark/>
          </w:tcPr>
          <w:p w14:paraId="4C18396C"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0.00433</w:t>
            </w:r>
          </w:p>
        </w:tc>
        <w:tc>
          <w:tcPr>
            <w:tcW w:w="304" w:type="pct"/>
            <w:tcBorders>
              <w:top w:val="nil"/>
              <w:left w:val="nil"/>
              <w:bottom w:val="single" w:sz="4" w:space="0" w:color="auto"/>
              <w:right w:val="single" w:sz="4" w:space="0" w:color="auto"/>
            </w:tcBorders>
            <w:shd w:val="clear" w:color="000000" w:fill="F2F2F2"/>
            <w:noWrap/>
            <w:vAlign w:val="center"/>
            <w:hideMark/>
          </w:tcPr>
          <w:p w14:paraId="585FB468" w14:textId="77777777" w:rsidR="00844AB2" w:rsidRPr="008804F0" w:rsidRDefault="00844AB2" w:rsidP="00B83400">
            <w:pPr>
              <w:spacing w:after="0" w:line="240" w:lineRule="auto"/>
              <w:jc w:val="right"/>
              <w:rPr>
                <w:rFonts w:eastAsia="Times New Roman"/>
                <w:color w:val="000000"/>
                <w:sz w:val="19"/>
                <w:szCs w:val="19"/>
                <w:lang w:eastAsia="en-GB"/>
              </w:rPr>
            </w:pPr>
            <w:r w:rsidRPr="008804F0">
              <w:rPr>
                <w:rFonts w:ascii="Calibri" w:eastAsia="Times New Roman" w:hAnsi="Calibri"/>
                <w:color w:val="000000"/>
                <w:sz w:val="20"/>
                <w:szCs w:val="20"/>
                <w:lang w:eastAsia="en-GB"/>
              </w:rPr>
              <w:t>0.05099</w:t>
            </w:r>
          </w:p>
        </w:tc>
        <w:tc>
          <w:tcPr>
            <w:tcW w:w="313" w:type="pct"/>
            <w:tcBorders>
              <w:top w:val="nil"/>
              <w:left w:val="single" w:sz="4" w:space="0" w:color="auto"/>
              <w:bottom w:val="single" w:sz="4" w:space="0" w:color="auto"/>
              <w:right w:val="nil"/>
            </w:tcBorders>
            <w:shd w:val="clear" w:color="000000" w:fill="F2F2F2"/>
            <w:vAlign w:val="center"/>
          </w:tcPr>
          <w:p w14:paraId="56EC6BA2" w14:textId="68C38530" w:rsidR="00844AB2" w:rsidRPr="00844AB2" w:rsidRDefault="00844AB2" w:rsidP="00B83400">
            <w:pPr>
              <w:spacing w:after="0" w:line="240" w:lineRule="auto"/>
              <w:jc w:val="right"/>
              <w:rPr>
                <w:rFonts w:ascii="Calibri" w:eastAsia="Times New Roman" w:hAnsi="Calibri"/>
                <w:color w:val="000000"/>
                <w:sz w:val="20"/>
                <w:szCs w:val="20"/>
                <w:lang w:eastAsia="en-GB"/>
              </w:rPr>
            </w:pPr>
            <w:r w:rsidRPr="00844AB2">
              <w:rPr>
                <w:rFonts w:ascii="Calibri" w:eastAsia="Times New Roman" w:hAnsi="Calibri"/>
                <w:color w:val="000000"/>
                <w:sz w:val="20"/>
                <w:szCs w:val="20"/>
                <w:lang w:eastAsia="en-GB"/>
              </w:rPr>
              <w:t>0.05185</w:t>
            </w:r>
          </w:p>
        </w:tc>
      </w:tr>
    </w:tbl>
    <w:p w14:paraId="024F3793" w14:textId="3413AF6F" w:rsidR="00844AB2" w:rsidRDefault="00CE08C5" w:rsidP="00844AB2">
      <w:pPr>
        <w:spacing w:after="0" w:line="240" w:lineRule="auto"/>
        <w:rPr>
          <w:sz w:val="18"/>
          <w:szCs w:val="18"/>
        </w:rPr>
      </w:pPr>
      <w:r w:rsidRPr="00CE08C5">
        <w:rPr>
          <w:sz w:val="18"/>
          <w:szCs w:val="18"/>
        </w:rPr>
        <w:t>AIC= Akaike information criterion ; BIC= Bayesian information criterion; Min = Minimum</w:t>
      </w:r>
      <w:r w:rsidR="00844AB2">
        <w:rPr>
          <w:sz w:val="18"/>
          <w:szCs w:val="18"/>
        </w:rPr>
        <w:t xml:space="preserve"> value</w:t>
      </w:r>
      <w:r w:rsidRPr="00CE08C5">
        <w:rPr>
          <w:sz w:val="18"/>
          <w:szCs w:val="18"/>
        </w:rPr>
        <w:t xml:space="preserve"> ; Max= Maximum</w:t>
      </w:r>
      <w:r w:rsidR="00844AB2">
        <w:rPr>
          <w:sz w:val="18"/>
          <w:szCs w:val="18"/>
        </w:rPr>
        <w:t xml:space="preserve"> value</w:t>
      </w:r>
    </w:p>
    <w:p w14:paraId="723E1588" w14:textId="022730AD" w:rsidR="00844AB2" w:rsidRPr="00CE08C5" w:rsidRDefault="00844AB2" w:rsidP="00844AB2">
      <w:pPr>
        <w:spacing w:after="0" w:line="240" w:lineRule="auto"/>
        <w:rPr>
          <w:sz w:val="18"/>
          <w:szCs w:val="18"/>
        </w:rPr>
        <w:sectPr w:rsidR="00844AB2" w:rsidRPr="00CE08C5" w:rsidSect="006A6FB6">
          <w:pgSz w:w="16838" w:h="11906" w:orient="landscape"/>
          <w:pgMar w:top="1440" w:right="1440" w:bottom="1440" w:left="1440" w:header="709" w:footer="709" w:gutter="0"/>
          <w:cols w:space="708"/>
          <w:docGrid w:linePitch="360"/>
        </w:sectPr>
      </w:pPr>
      <w:r>
        <w:rPr>
          <w:sz w:val="18"/>
          <w:szCs w:val="18"/>
        </w:rPr>
        <w:t>A model had</w:t>
      </w:r>
      <w:r w:rsidRPr="00844AB2">
        <w:rPr>
          <w:sz w:val="18"/>
          <w:szCs w:val="18"/>
        </w:rPr>
        <w:t xml:space="preserve"> the best prediction accurac</w:t>
      </w:r>
      <w:r>
        <w:rPr>
          <w:sz w:val="18"/>
          <w:szCs w:val="18"/>
        </w:rPr>
        <w:t>y for its functional form if it had the lowest MAE across</w:t>
      </w:r>
      <w:r w:rsidRPr="00844AB2">
        <w:rPr>
          <w:sz w:val="18"/>
          <w:szCs w:val="18"/>
        </w:rPr>
        <w:t xml:space="preserve"> the estimation and validation sample.</w:t>
      </w:r>
    </w:p>
    <w:p w14:paraId="1E5B68ED" w14:textId="77777777" w:rsidR="00844AB2" w:rsidRDefault="00844AB2" w:rsidP="00102970">
      <w:pPr>
        <w:spacing w:after="240"/>
      </w:pPr>
    </w:p>
    <w:p w14:paraId="4B3CFF21" w14:textId="3A7A67A4" w:rsidR="00102970" w:rsidRPr="00094279" w:rsidRDefault="00844AB2" w:rsidP="00102970">
      <w:pPr>
        <w:spacing w:after="240"/>
      </w:pPr>
      <w:r>
        <w:t>All Tobit models were excluded from further analysis after the first selection criteria. For step two, GLM 6 and OLS 3</w:t>
      </w:r>
      <w:r w:rsidR="00102970" w:rsidRPr="00094279">
        <w:t xml:space="preserve"> had the </w:t>
      </w:r>
      <w:r w:rsidR="00102970">
        <w:t>‘</w:t>
      </w:r>
      <w:r w:rsidR="00102970" w:rsidRPr="00094279">
        <w:t>best</w:t>
      </w:r>
      <w:r w:rsidR="00102970">
        <w:t>’</w:t>
      </w:r>
      <w:r w:rsidR="00102970" w:rsidRPr="00094279">
        <w:t xml:space="preserve"> performance </w:t>
      </w:r>
      <w:r w:rsidR="00102970" w:rsidRPr="00D41833">
        <w:rPr>
          <w:noProof/>
        </w:rPr>
        <w:t>in terms of</w:t>
      </w:r>
      <w:r w:rsidR="00AD77DA">
        <w:t xml:space="preserve"> MAE in</w:t>
      </w:r>
      <w:r w:rsidR="00102970" w:rsidRPr="00094279">
        <w:t xml:space="preserve"> the e</w:t>
      </w:r>
      <w:r w:rsidR="00AD77DA">
        <w:t>stimation and validation sample</w:t>
      </w:r>
      <w:r>
        <w:t xml:space="preserve"> for their respective functional forms</w:t>
      </w:r>
      <w:r w:rsidR="00AD77DA">
        <w:t>, and</w:t>
      </w:r>
      <w:r w:rsidR="00102970" w:rsidRPr="00094279">
        <w:t xml:space="preserve"> </w:t>
      </w:r>
      <w:r w:rsidR="00102970" w:rsidRPr="006A6FB6">
        <w:rPr>
          <w:noProof/>
        </w:rPr>
        <w:t xml:space="preserve">were </w:t>
      </w:r>
      <w:r w:rsidR="00AD77DA">
        <w:rPr>
          <w:noProof/>
        </w:rPr>
        <w:t xml:space="preserve">therefore </w:t>
      </w:r>
      <w:r w:rsidR="00102970" w:rsidRPr="006A6FB6">
        <w:rPr>
          <w:noProof/>
        </w:rPr>
        <w:t>selected</w:t>
      </w:r>
      <w:r w:rsidR="00102970" w:rsidRPr="00094279">
        <w:t xml:space="preserve"> for a final comparison</w:t>
      </w:r>
      <w:r w:rsidR="00102970">
        <w:t xml:space="preserve"> – ‘step 3’</w:t>
      </w:r>
      <w:r w:rsidR="00102970" w:rsidRPr="00094279">
        <w:t xml:space="preserve">. </w:t>
      </w:r>
      <w:r w:rsidR="00AD77DA">
        <w:t xml:space="preserve"> GLM 6 performed better than OLS 3 in the estimation </w:t>
      </w:r>
      <w:r w:rsidR="00AD77DA" w:rsidRPr="00D41833">
        <w:rPr>
          <w:noProof/>
        </w:rPr>
        <w:t>sample</w:t>
      </w:r>
      <w:r w:rsidR="00AD77DA">
        <w:t xml:space="preserve"> but the reverse </w:t>
      </w:r>
      <w:r w:rsidR="00AD77DA" w:rsidRPr="00D41833">
        <w:rPr>
          <w:noProof/>
        </w:rPr>
        <w:t>was observed</w:t>
      </w:r>
      <w:r w:rsidR="00AD77DA">
        <w:t xml:space="preserve"> in the validation sample. </w:t>
      </w:r>
      <w:r w:rsidR="00102970" w:rsidRPr="00094279">
        <w:fldChar w:fldCharType="begin"/>
      </w:r>
      <w:r w:rsidR="00102970" w:rsidRPr="00094279">
        <w:instrText xml:space="preserve"> REF _Ref475009191 \h  \* MERGEFORMAT </w:instrText>
      </w:r>
      <w:r w:rsidR="00102970" w:rsidRPr="00094279">
        <w:fldChar w:fldCharType="separate"/>
      </w:r>
      <w:r w:rsidR="00BF04FD" w:rsidRPr="00C922FE">
        <w:t xml:space="preserve">Table </w:t>
      </w:r>
      <w:r w:rsidR="00BF04FD">
        <w:t>3</w:t>
      </w:r>
      <w:r w:rsidR="00102970" w:rsidRPr="00094279">
        <w:fldChar w:fldCharType="end"/>
      </w:r>
      <w:r w:rsidR="00102970" w:rsidRPr="00094279">
        <w:t xml:space="preserve"> contains the mod</w:t>
      </w:r>
      <w:r w:rsidR="00AD77DA">
        <w:t>el performance results</w:t>
      </w:r>
      <w:r w:rsidR="00102970" w:rsidRPr="00094279">
        <w:t>. For the final models</w:t>
      </w:r>
      <w:r w:rsidR="00102970">
        <w:t xml:space="preserve"> in step 3</w:t>
      </w:r>
      <w:r w:rsidR="00102970" w:rsidRPr="00094279">
        <w:t xml:space="preserve">, the distribution of the predicted score </w:t>
      </w:r>
      <w:r w:rsidR="00102970" w:rsidRPr="00D41833">
        <w:rPr>
          <w:noProof/>
        </w:rPr>
        <w:t>was also examined</w:t>
      </w:r>
      <w:r w:rsidR="00102970" w:rsidRPr="00094279">
        <w:t xml:space="preserve"> (</w:t>
      </w:r>
      <w:r w:rsidR="003F54E5">
        <w:fldChar w:fldCharType="begin"/>
      </w:r>
      <w:r w:rsidR="003F54E5">
        <w:instrText xml:space="preserve"> REF _Ref486860811 \h </w:instrText>
      </w:r>
      <w:r w:rsidR="003F54E5">
        <w:fldChar w:fldCharType="separate"/>
      </w:r>
      <w:r w:rsidR="00BF04FD">
        <w:t xml:space="preserve">Fig. </w:t>
      </w:r>
      <w:r w:rsidR="00BF04FD">
        <w:rPr>
          <w:noProof/>
        </w:rPr>
        <w:t>2</w:t>
      </w:r>
      <w:r w:rsidR="003F54E5">
        <w:fldChar w:fldCharType="end"/>
      </w:r>
      <w:r w:rsidR="00AD77DA">
        <w:t>). GLM</w:t>
      </w:r>
      <w:r w:rsidR="00102970" w:rsidRPr="00094279">
        <w:t xml:space="preserve"> 6 had a wide range of predicted CHU-9D score</w:t>
      </w:r>
      <w:r w:rsidR="00816CDB">
        <w:t>s</w:t>
      </w:r>
      <w:r w:rsidR="00102970" w:rsidRPr="00094279">
        <w:t xml:space="preserve"> </w:t>
      </w:r>
      <w:bookmarkStart w:id="21" w:name="RANGE!M6"/>
      <w:r w:rsidR="00102970" w:rsidRPr="00094279">
        <w:t>compared to OLS</w:t>
      </w:r>
      <w:r w:rsidR="00CB1A00">
        <w:t xml:space="preserve"> </w:t>
      </w:r>
      <w:r w:rsidR="00102970" w:rsidRPr="00094279">
        <w:t>3</w:t>
      </w:r>
      <w:r w:rsidR="0065538A">
        <w:t xml:space="preserve"> (Fig. 2)</w:t>
      </w:r>
      <w:r w:rsidR="00102970">
        <w:t>.</w:t>
      </w:r>
    </w:p>
    <w:tbl>
      <w:tblPr>
        <w:tblW w:w="9149" w:type="dxa"/>
        <w:tblInd w:w="93" w:type="dxa"/>
        <w:tblLook w:val="04A0" w:firstRow="1" w:lastRow="0" w:firstColumn="1" w:lastColumn="0" w:noHBand="0" w:noVBand="1"/>
      </w:tblPr>
      <w:tblGrid>
        <w:gridCol w:w="1751"/>
        <w:gridCol w:w="1144"/>
        <w:gridCol w:w="1072"/>
        <w:gridCol w:w="1102"/>
        <w:gridCol w:w="1792"/>
        <w:gridCol w:w="1099"/>
        <w:gridCol w:w="1189"/>
      </w:tblGrid>
      <w:tr w:rsidR="00102970" w:rsidRPr="00C922FE" w14:paraId="714E484A" w14:textId="77777777" w:rsidTr="00E82B90">
        <w:trPr>
          <w:trHeight w:val="304"/>
        </w:trPr>
        <w:tc>
          <w:tcPr>
            <w:tcW w:w="9149" w:type="dxa"/>
            <w:gridSpan w:val="7"/>
            <w:tcBorders>
              <w:top w:val="nil"/>
              <w:left w:val="nil"/>
              <w:bottom w:val="nil"/>
              <w:right w:val="nil"/>
            </w:tcBorders>
            <w:shd w:val="clear" w:color="000000" w:fill="000000"/>
            <w:noWrap/>
            <w:vAlign w:val="center"/>
            <w:hideMark/>
          </w:tcPr>
          <w:p w14:paraId="7E14715F" w14:textId="567644EF" w:rsidR="00102970" w:rsidRPr="00C922FE" w:rsidRDefault="00102970" w:rsidP="00E82B90">
            <w:pPr>
              <w:pStyle w:val="CaptionTable"/>
              <w:rPr>
                <w:rFonts w:ascii="Times New Roman" w:hAnsi="Times New Roman"/>
              </w:rPr>
            </w:pPr>
            <w:bookmarkStart w:id="22" w:name="_Ref475009191"/>
            <w:bookmarkStart w:id="23" w:name="_Toc479177277"/>
            <w:r w:rsidRPr="00C922FE">
              <w:rPr>
                <w:rFonts w:ascii="Times New Roman" w:hAnsi="Times New Roman"/>
              </w:rPr>
              <w:t xml:space="preserve">Table </w:t>
            </w:r>
            <w:r w:rsidRPr="00C922FE">
              <w:rPr>
                <w:rFonts w:ascii="Times New Roman" w:hAnsi="Times New Roman"/>
              </w:rPr>
              <w:fldChar w:fldCharType="begin"/>
            </w:r>
            <w:r w:rsidRPr="00C922FE">
              <w:rPr>
                <w:rFonts w:ascii="Times New Roman" w:hAnsi="Times New Roman"/>
              </w:rPr>
              <w:instrText xml:space="preserve"> SEQ Table \* ARABIC </w:instrText>
            </w:r>
            <w:r w:rsidRPr="00C922FE">
              <w:rPr>
                <w:rFonts w:ascii="Times New Roman" w:hAnsi="Times New Roman"/>
              </w:rPr>
              <w:fldChar w:fldCharType="separate"/>
            </w:r>
            <w:r w:rsidR="00BF04FD">
              <w:rPr>
                <w:rFonts w:ascii="Times New Roman" w:hAnsi="Times New Roman"/>
                <w:noProof/>
              </w:rPr>
              <w:t>3</w:t>
            </w:r>
            <w:r w:rsidRPr="00C922FE">
              <w:rPr>
                <w:rFonts w:ascii="Times New Roman" w:hAnsi="Times New Roman"/>
                <w:noProof/>
              </w:rPr>
              <w:fldChar w:fldCharType="end"/>
            </w:r>
            <w:bookmarkEnd w:id="22"/>
            <w:r w:rsidR="003F54E5">
              <w:rPr>
                <w:rFonts w:ascii="Times New Roman" w:hAnsi="Times New Roman"/>
              </w:rPr>
              <w:t xml:space="preserve"> </w:t>
            </w:r>
            <w:r w:rsidRPr="00C922FE">
              <w:rPr>
                <w:rFonts w:ascii="Times New Roman" w:hAnsi="Times New Roman"/>
              </w:rPr>
              <w:t xml:space="preserve"> </w:t>
            </w:r>
            <w:r w:rsidRPr="003F54E5">
              <w:rPr>
                <w:rFonts w:ascii="Times New Roman" w:hAnsi="Times New Roman"/>
                <w:b w:val="0"/>
              </w:rPr>
              <w:t>Model performance of the two best-fitting models</w:t>
            </w:r>
            <w:bookmarkEnd w:id="23"/>
          </w:p>
        </w:tc>
      </w:tr>
      <w:tr w:rsidR="00102970" w:rsidRPr="00C922FE" w14:paraId="4B9D8BFB" w14:textId="77777777" w:rsidTr="00E82B90">
        <w:trPr>
          <w:trHeight w:val="304"/>
        </w:trPr>
        <w:tc>
          <w:tcPr>
            <w:tcW w:w="1751" w:type="dxa"/>
            <w:tcBorders>
              <w:top w:val="nil"/>
              <w:left w:val="nil"/>
              <w:bottom w:val="nil"/>
              <w:right w:val="nil"/>
            </w:tcBorders>
            <w:shd w:val="clear" w:color="000000" w:fill="F2F2F2"/>
            <w:noWrap/>
            <w:vAlign w:val="center"/>
            <w:hideMark/>
          </w:tcPr>
          <w:p w14:paraId="6338259C"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3318" w:type="dxa"/>
            <w:gridSpan w:val="3"/>
            <w:tcBorders>
              <w:top w:val="nil"/>
              <w:left w:val="nil"/>
              <w:bottom w:val="single" w:sz="4" w:space="0" w:color="auto"/>
              <w:right w:val="nil"/>
            </w:tcBorders>
            <w:shd w:val="clear" w:color="000000" w:fill="F2F2F2"/>
            <w:noWrap/>
            <w:vAlign w:val="center"/>
            <w:hideMark/>
          </w:tcPr>
          <w:p w14:paraId="7C07ACB5" w14:textId="77777777" w:rsidR="00102970" w:rsidRPr="00C922FE" w:rsidRDefault="00102970" w:rsidP="00E82B90">
            <w:pPr>
              <w:spacing w:after="0" w:line="240" w:lineRule="auto"/>
              <w:jc w:val="center"/>
              <w:rPr>
                <w:rFonts w:eastAsia="Times New Roman"/>
                <w:b/>
                <w:bCs/>
                <w:color w:val="000000"/>
                <w:sz w:val="18"/>
                <w:szCs w:val="18"/>
                <w:lang w:eastAsia="en-GB"/>
              </w:rPr>
            </w:pPr>
            <w:r w:rsidRPr="00C922FE">
              <w:rPr>
                <w:rFonts w:eastAsia="Times New Roman"/>
                <w:b/>
                <w:bCs/>
                <w:color w:val="000000"/>
                <w:sz w:val="18"/>
                <w:szCs w:val="18"/>
                <w:lang w:eastAsia="en-GB"/>
              </w:rPr>
              <w:t>Estimation Sample</w:t>
            </w:r>
          </w:p>
        </w:tc>
        <w:tc>
          <w:tcPr>
            <w:tcW w:w="4080" w:type="dxa"/>
            <w:gridSpan w:val="3"/>
            <w:tcBorders>
              <w:top w:val="nil"/>
              <w:left w:val="nil"/>
              <w:bottom w:val="single" w:sz="4" w:space="0" w:color="auto"/>
              <w:right w:val="nil"/>
            </w:tcBorders>
            <w:shd w:val="clear" w:color="000000" w:fill="F2F2F2"/>
            <w:noWrap/>
            <w:vAlign w:val="center"/>
            <w:hideMark/>
          </w:tcPr>
          <w:p w14:paraId="4D799031" w14:textId="77777777" w:rsidR="00102970" w:rsidRPr="00C922FE" w:rsidRDefault="00102970" w:rsidP="00E82B90">
            <w:pPr>
              <w:spacing w:after="0" w:line="240" w:lineRule="auto"/>
              <w:jc w:val="center"/>
              <w:rPr>
                <w:rFonts w:eastAsia="Times New Roman"/>
                <w:b/>
                <w:bCs/>
                <w:color w:val="000000"/>
                <w:sz w:val="18"/>
                <w:szCs w:val="18"/>
                <w:lang w:eastAsia="en-GB"/>
              </w:rPr>
            </w:pPr>
            <w:r w:rsidRPr="00C922FE">
              <w:rPr>
                <w:rFonts w:eastAsia="Times New Roman"/>
                <w:b/>
                <w:bCs/>
                <w:color w:val="000000"/>
                <w:sz w:val="18"/>
                <w:szCs w:val="18"/>
                <w:lang w:eastAsia="en-GB"/>
              </w:rPr>
              <w:t>Validation Sample</w:t>
            </w:r>
          </w:p>
        </w:tc>
      </w:tr>
      <w:tr w:rsidR="00102970" w:rsidRPr="00C922FE" w14:paraId="39F9CFA6" w14:textId="77777777" w:rsidTr="00E82B90">
        <w:trPr>
          <w:trHeight w:val="304"/>
        </w:trPr>
        <w:tc>
          <w:tcPr>
            <w:tcW w:w="1751" w:type="dxa"/>
            <w:tcBorders>
              <w:top w:val="nil"/>
              <w:left w:val="nil"/>
              <w:bottom w:val="single" w:sz="4" w:space="0" w:color="auto"/>
              <w:right w:val="nil"/>
            </w:tcBorders>
            <w:shd w:val="clear" w:color="000000" w:fill="F2F2F2"/>
            <w:noWrap/>
            <w:vAlign w:val="center"/>
            <w:hideMark/>
          </w:tcPr>
          <w:p w14:paraId="760FF066"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 </w:t>
            </w:r>
          </w:p>
        </w:tc>
        <w:tc>
          <w:tcPr>
            <w:tcW w:w="1144" w:type="dxa"/>
            <w:tcBorders>
              <w:top w:val="nil"/>
              <w:left w:val="nil"/>
              <w:bottom w:val="single" w:sz="4" w:space="0" w:color="auto"/>
              <w:right w:val="nil"/>
            </w:tcBorders>
            <w:shd w:val="clear" w:color="000000" w:fill="F2F2F2"/>
            <w:noWrap/>
            <w:vAlign w:val="center"/>
            <w:hideMark/>
          </w:tcPr>
          <w:p w14:paraId="5C867F8D" w14:textId="77777777" w:rsidR="00102970" w:rsidRPr="00C922FE" w:rsidRDefault="00102970" w:rsidP="00E82B90">
            <w:pPr>
              <w:spacing w:after="0" w:line="240" w:lineRule="auto"/>
              <w:jc w:val="right"/>
              <w:rPr>
                <w:rFonts w:eastAsia="Times New Roman"/>
                <w:b/>
                <w:bCs/>
                <w:color w:val="000000"/>
                <w:sz w:val="18"/>
                <w:szCs w:val="18"/>
                <w:lang w:eastAsia="en-GB"/>
              </w:rPr>
            </w:pPr>
            <w:r w:rsidRPr="00C922FE">
              <w:rPr>
                <w:rFonts w:eastAsia="Times New Roman"/>
                <w:b/>
                <w:bCs/>
                <w:color w:val="000000"/>
                <w:sz w:val="18"/>
                <w:szCs w:val="18"/>
                <w:lang w:eastAsia="en-GB"/>
              </w:rPr>
              <w:t>Observed</w:t>
            </w:r>
          </w:p>
        </w:tc>
        <w:tc>
          <w:tcPr>
            <w:tcW w:w="1072" w:type="dxa"/>
            <w:tcBorders>
              <w:top w:val="nil"/>
              <w:left w:val="nil"/>
              <w:bottom w:val="single" w:sz="4" w:space="0" w:color="auto"/>
              <w:right w:val="nil"/>
            </w:tcBorders>
            <w:shd w:val="clear" w:color="000000" w:fill="F2F2F2"/>
            <w:noWrap/>
            <w:vAlign w:val="center"/>
            <w:hideMark/>
          </w:tcPr>
          <w:p w14:paraId="2ED81FDD" w14:textId="77777777" w:rsidR="00102970" w:rsidRPr="00C922FE" w:rsidRDefault="00102970" w:rsidP="00E82B90">
            <w:pPr>
              <w:spacing w:after="0" w:line="240" w:lineRule="auto"/>
              <w:jc w:val="right"/>
              <w:rPr>
                <w:rFonts w:eastAsia="Times New Roman"/>
                <w:b/>
                <w:bCs/>
                <w:color w:val="000000"/>
                <w:sz w:val="18"/>
                <w:szCs w:val="18"/>
                <w:lang w:eastAsia="en-GB"/>
              </w:rPr>
            </w:pPr>
            <w:r w:rsidRPr="00C922FE">
              <w:rPr>
                <w:rFonts w:eastAsia="Times New Roman"/>
                <w:b/>
                <w:bCs/>
                <w:color w:val="000000"/>
                <w:sz w:val="18"/>
                <w:szCs w:val="18"/>
                <w:lang w:eastAsia="en-GB"/>
              </w:rPr>
              <w:t>GLM_6</w:t>
            </w:r>
          </w:p>
        </w:tc>
        <w:tc>
          <w:tcPr>
            <w:tcW w:w="1102" w:type="dxa"/>
            <w:tcBorders>
              <w:top w:val="nil"/>
              <w:left w:val="nil"/>
              <w:bottom w:val="single" w:sz="4" w:space="0" w:color="auto"/>
              <w:right w:val="nil"/>
            </w:tcBorders>
            <w:shd w:val="clear" w:color="000000" w:fill="F2F2F2"/>
            <w:noWrap/>
            <w:vAlign w:val="center"/>
            <w:hideMark/>
          </w:tcPr>
          <w:p w14:paraId="344B1A62" w14:textId="77777777" w:rsidR="00102970" w:rsidRPr="00C922FE" w:rsidRDefault="00102970" w:rsidP="00E82B90">
            <w:pPr>
              <w:spacing w:after="0" w:line="240" w:lineRule="auto"/>
              <w:jc w:val="right"/>
              <w:rPr>
                <w:rFonts w:eastAsia="Times New Roman"/>
                <w:b/>
                <w:bCs/>
                <w:color w:val="000000"/>
                <w:sz w:val="18"/>
                <w:szCs w:val="18"/>
                <w:lang w:eastAsia="en-GB"/>
              </w:rPr>
            </w:pPr>
            <w:r w:rsidRPr="00C922FE">
              <w:rPr>
                <w:rFonts w:eastAsia="Times New Roman"/>
                <w:b/>
                <w:bCs/>
                <w:color w:val="000000"/>
                <w:sz w:val="18"/>
                <w:szCs w:val="18"/>
                <w:lang w:eastAsia="en-GB"/>
              </w:rPr>
              <w:t>OLS_3</w:t>
            </w:r>
          </w:p>
        </w:tc>
        <w:tc>
          <w:tcPr>
            <w:tcW w:w="1792" w:type="dxa"/>
            <w:tcBorders>
              <w:top w:val="nil"/>
              <w:left w:val="nil"/>
              <w:bottom w:val="single" w:sz="4" w:space="0" w:color="auto"/>
              <w:right w:val="nil"/>
            </w:tcBorders>
            <w:shd w:val="clear" w:color="000000" w:fill="F2F2F2"/>
            <w:noWrap/>
            <w:vAlign w:val="center"/>
            <w:hideMark/>
          </w:tcPr>
          <w:p w14:paraId="403FE4D0" w14:textId="77777777" w:rsidR="00102970" w:rsidRPr="00C922FE" w:rsidRDefault="00102970" w:rsidP="00E82B90">
            <w:pPr>
              <w:spacing w:after="0" w:line="240" w:lineRule="auto"/>
              <w:jc w:val="right"/>
              <w:rPr>
                <w:rFonts w:eastAsia="Times New Roman"/>
                <w:b/>
                <w:bCs/>
                <w:color w:val="000000"/>
                <w:sz w:val="18"/>
                <w:szCs w:val="18"/>
                <w:lang w:eastAsia="en-GB"/>
              </w:rPr>
            </w:pPr>
            <w:r w:rsidRPr="00C922FE">
              <w:rPr>
                <w:rFonts w:eastAsia="Times New Roman"/>
                <w:b/>
                <w:bCs/>
                <w:color w:val="000000"/>
                <w:sz w:val="18"/>
                <w:szCs w:val="18"/>
                <w:lang w:eastAsia="en-GB"/>
              </w:rPr>
              <w:t>Observed</w:t>
            </w:r>
          </w:p>
        </w:tc>
        <w:tc>
          <w:tcPr>
            <w:tcW w:w="1099" w:type="dxa"/>
            <w:tcBorders>
              <w:top w:val="nil"/>
              <w:left w:val="nil"/>
              <w:bottom w:val="single" w:sz="4" w:space="0" w:color="auto"/>
              <w:right w:val="nil"/>
            </w:tcBorders>
            <w:shd w:val="clear" w:color="000000" w:fill="F2F2F2"/>
            <w:noWrap/>
            <w:vAlign w:val="center"/>
            <w:hideMark/>
          </w:tcPr>
          <w:p w14:paraId="6E39D6C7" w14:textId="77777777" w:rsidR="00102970" w:rsidRPr="00C922FE" w:rsidRDefault="00102970" w:rsidP="00E82B90">
            <w:pPr>
              <w:spacing w:after="0" w:line="240" w:lineRule="auto"/>
              <w:jc w:val="right"/>
              <w:rPr>
                <w:rFonts w:eastAsia="Times New Roman"/>
                <w:b/>
                <w:bCs/>
                <w:color w:val="000000"/>
                <w:sz w:val="18"/>
                <w:szCs w:val="18"/>
                <w:lang w:eastAsia="en-GB"/>
              </w:rPr>
            </w:pPr>
            <w:r w:rsidRPr="00C922FE">
              <w:rPr>
                <w:rFonts w:eastAsia="Times New Roman"/>
                <w:b/>
                <w:bCs/>
                <w:color w:val="000000"/>
                <w:sz w:val="18"/>
                <w:szCs w:val="18"/>
                <w:lang w:eastAsia="en-GB"/>
              </w:rPr>
              <w:t>GLM_6</w:t>
            </w:r>
          </w:p>
        </w:tc>
        <w:tc>
          <w:tcPr>
            <w:tcW w:w="1189" w:type="dxa"/>
            <w:tcBorders>
              <w:top w:val="nil"/>
              <w:left w:val="nil"/>
              <w:bottom w:val="single" w:sz="4" w:space="0" w:color="auto"/>
              <w:right w:val="nil"/>
            </w:tcBorders>
            <w:shd w:val="clear" w:color="000000" w:fill="F2F2F2"/>
            <w:noWrap/>
            <w:vAlign w:val="center"/>
            <w:hideMark/>
          </w:tcPr>
          <w:p w14:paraId="3BF17A9E" w14:textId="77777777" w:rsidR="00102970" w:rsidRPr="00C922FE" w:rsidRDefault="00102970" w:rsidP="00E82B90">
            <w:pPr>
              <w:spacing w:after="0" w:line="240" w:lineRule="auto"/>
              <w:jc w:val="right"/>
              <w:rPr>
                <w:rFonts w:eastAsia="Times New Roman"/>
                <w:b/>
                <w:bCs/>
                <w:color w:val="000000"/>
                <w:sz w:val="18"/>
                <w:szCs w:val="18"/>
                <w:lang w:eastAsia="en-GB"/>
              </w:rPr>
            </w:pPr>
            <w:r w:rsidRPr="00C922FE">
              <w:rPr>
                <w:rFonts w:eastAsia="Times New Roman"/>
                <w:b/>
                <w:bCs/>
                <w:color w:val="000000"/>
                <w:sz w:val="18"/>
                <w:szCs w:val="18"/>
                <w:lang w:eastAsia="en-GB"/>
              </w:rPr>
              <w:t>OLS_3</w:t>
            </w:r>
          </w:p>
        </w:tc>
      </w:tr>
      <w:tr w:rsidR="00102970" w:rsidRPr="00C922FE" w14:paraId="718645DE" w14:textId="77777777" w:rsidTr="00E82B90">
        <w:trPr>
          <w:trHeight w:val="304"/>
        </w:trPr>
        <w:tc>
          <w:tcPr>
            <w:tcW w:w="1751" w:type="dxa"/>
            <w:tcBorders>
              <w:top w:val="nil"/>
              <w:left w:val="nil"/>
              <w:bottom w:val="nil"/>
              <w:right w:val="nil"/>
            </w:tcBorders>
            <w:shd w:val="clear" w:color="000000" w:fill="F2F2F2"/>
            <w:noWrap/>
            <w:vAlign w:val="center"/>
            <w:hideMark/>
          </w:tcPr>
          <w:p w14:paraId="3F9FDB63"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Mean</w:t>
            </w:r>
          </w:p>
        </w:tc>
        <w:tc>
          <w:tcPr>
            <w:tcW w:w="1144" w:type="dxa"/>
            <w:tcBorders>
              <w:top w:val="nil"/>
              <w:left w:val="nil"/>
              <w:bottom w:val="nil"/>
              <w:right w:val="nil"/>
            </w:tcBorders>
            <w:shd w:val="clear" w:color="000000" w:fill="F2F2F2"/>
            <w:noWrap/>
            <w:vAlign w:val="bottom"/>
            <w:hideMark/>
          </w:tcPr>
          <w:p w14:paraId="72B034C3"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0.937419</w:t>
            </w:r>
          </w:p>
        </w:tc>
        <w:tc>
          <w:tcPr>
            <w:tcW w:w="1072" w:type="dxa"/>
            <w:tcBorders>
              <w:top w:val="nil"/>
              <w:left w:val="nil"/>
              <w:bottom w:val="nil"/>
              <w:right w:val="nil"/>
            </w:tcBorders>
            <w:shd w:val="clear" w:color="000000" w:fill="F2F2F2"/>
            <w:noWrap/>
            <w:vAlign w:val="bottom"/>
            <w:hideMark/>
          </w:tcPr>
          <w:p w14:paraId="6CE507D6"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0.937419</w:t>
            </w:r>
          </w:p>
        </w:tc>
        <w:tc>
          <w:tcPr>
            <w:tcW w:w="1102" w:type="dxa"/>
            <w:tcBorders>
              <w:top w:val="nil"/>
              <w:left w:val="nil"/>
              <w:bottom w:val="nil"/>
              <w:right w:val="nil"/>
            </w:tcBorders>
            <w:shd w:val="clear" w:color="000000" w:fill="F2F2F2"/>
            <w:noWrap/>
            <w:vAlign w:val="bottom"/>
            <w:hideMark/>
          </w:tcPr>
          <w:p w14:paraId="296A8545"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0.937419</w:t>
            </w:r>
          </w:p>
        </w:tc>
        <w:tc>
          <w:tcPr>
            <w:tcW w:w="1792" w:type="dxa"/>
            <w:tcBorders>
              <w:top w:val="nil"/>
              <w:left w:val="nil"/>
              <w:bottom w:val="nil"/>
              <w:right w:val="nil"/>
            </w:tcBorders>
            <w:shd w:val="clear" w:color="000000" w:fill="F2F2F2"/>
            <w:noWrap/>
            <w:vAlign w:val="bottom"/>
            <w:hideMark/>
          </w:tcPr>
          <w:p w14:paraId="76876A86"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0.940941</w:t>
            </w:r>
          </w:p>
        </w:tc>
        <w:tc>
          <w:tcPr>
            <w:tcW w:w="1099" w:type="dxa"/>
            <w:tcBorders>
              <w:top w:val="nil"/>
              <w:left w:val="nil"/>
              <w:bottom w:val="nil"/>
              <w:right w:val="nil"/>
            </w:tcBorders>
            <w:shd w:val="clear" w:color="000000" w:fill="F2F2F2"/>
            <w:noWrap/>
            <w:vAlign w:val="bottom"/>
            <w:hideMark/>
          </w:tcPr>
          <w:p w14:paraId="440E9B4E"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0.937612</w:t>
            </w:r>
          </w:p>
        </w:tc>
        <w:tc>
          <w:tcPr>
            <w:tcW w:w="1189" w:type="dxa"/>
            <w:tcBorders>
              <w:top w:val="nil"/>
              <w:left w:val="nil"/>
              <w:bottom w:val="nil"/>
              <w:right w:val="nil"/>
            </w:tcBorders>
            <w:shd w:val="clear" w:color="000000" w:fill="F2F2F2"/>
            <w:noWrap/>
            <w:vAlign w:val="bottom"/>
            <w:hideMark/>
          </w:tcPr>
          <w:p w14:paraId="7F68C624"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0.939018</w:t>
            </w:r>
          </w:p>
        </w:tc>
      </w:tr>
      <w:tr w:rsidR="00102970" w:rsidRPr="00C922FE" w14:paraId="47F1F70D" w14:textId="77777777" w:rsidTr="00E82B90">
        <w:trPr>
          <w:trHeight w:val="304"/>
        </w:trPr>
        <w:tc>
          <w:tcPr>
            <w:tcW w:w="1751" w:type="dxa"/>
            <w:tcBorders>
              <w:top w:val="nil"/>
              <w:left w:val="nil"/>
              <w:bottom w:val="nil"/>
              <w:right w:val="nil"/>
            </w:tcBorders>
            <w:shd w:val="clear" w:color="000000" w:fill="F2F2F2"/>
            <w:noWrap/>
            <w:vAlign w:val="center"/>
            <w:hideMark/>
          </w:tcPr>
          <w:p w14:paraId="473339FA"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SD</w:t>
            </w:r>
          </w:p>
        </w:tc>
        <w:tc>
          <w:tcPr>
            <w:tcW w:w="1144" w:type="dxa"/>
            <w:tcBorders>
              <w:top w:val="nil"/>
              <w:left w:val="nil"/>
              <w:bottom w:val="nil"/>
              <w:right w:val="nil"/>
            </w:tcBorders>
            <w:shd w:val="clear" w:color="000000" w:fill="F2F2F2"/>
            <w:noWrap/>
            <w:vAlign w:val="bottom"/>
            <w:hideMark/>
          </w:tcPr>
          <w:p w14:paraId="13440E0E"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0.078978</w:t>
            </w:r>
          </w:p>
        </w:tc>
        <w:tc>
          <w:tcPr>
            <w:tcW w:w="1072" w:type="dxa"/>
            <w:tcBorders>
              <w:top w:val="nil"/>
              <w:left w:val="nil"/>
              <w:bottom w:val="nil"/>
              <w:right w:val="nil"/>
            </w:tcBorders>
            <w:shd w:val="clear" w:color="000000" w:fill="F2F2F2"/>
            <w:noWrap/>
            <w:vAlign w:val="bottom"/>
            <w:hideMark/>
          </w:tcPr>
          <w:p w14:paraId="34DBE795"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0.051926</w:t>
            </w:r>
          </w:p>
        </w:tc>
        <w:tc>
          <w:tcPr>
            <w:tcW w:w="1102" w:type="dxa"/>
            <w:tcBorders>
              <w:top w:val="nil"/>
              <w:left w:val="nil"/>
              <w:bottom w:val="nil"/>
              <w:right w:val="nil"/>
            </w:tcBorders>
            <w:shd w:val="clear" w:color="000000" w:fill="F2F2F2"/>
            <w:noWrap/>
            <w:vAlign w:val="bottom"/>
            <w:hideMark/>
          </w:tcPr>
          <w:p w14:paraId="73501751"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0.047318</w:t>
            </w:r>
          </w:p>
        </w:tc>
        <w:tc>
          <w:tcPr>
            <w:tcW w:w="1792" w:type="dxa"/>
            <w:tcBorders>
              <w:top w:val="nil"/>
              <w:left w:val="nil"/>
              <w:bottom w:val="nil"/>
              <w:right w:val="nil"/>
            </w:tcBorders>
            <w:shd w:val="clear" w:color="000000" w:fill="F2F2F2"/>
            <w:noWrap/>
            <w:vAlign w:val="bottom"/>
            <w:hideMark/>
          </w:tcPr>
          <w:p w14:paraId="629B769C"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0.071737</w:t>
            </w:r>
          </w:p>
        </w:tc>
        <w:tc>
          <w:tcPr>
            <w:tcW w:w="1099" w:type="dxa"/>
            <w:tcBorders>
              <w:top w:val="nil"/>
              <w:left w:val="nil"/>
              <w:bottom w:val="nil"/>
              <w:right w:val="nil"/>
            </w:tcBorders>
            <w:shd w:val="clear" w:color="000000" w:fill="F2F2F2"/>
            <w:noWrap/>
            <w:vAlign w:val="bottom"/>
            <w:hideMark/>
          </w:tcPr>
          <w:p w14:paraId="01222601"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0.054762</w:t>
            </w:r>
          </w:p>
        </w:tc>
        <w:tc>
          <w:tcPr>
            <w:tcW w:w="1189" w:type="dxa"/>
            <w:tcBorders>
              <w:top w:val="nil"/>
              <w:left w:val="nil"/>
              <w:bottom w:val="nil"/>
              <w:right w:val="nil"/>
            </w:tcBorders>
            <w:shd w:val="clear" w:color="000000" w:fill="F2F2F2"/>
            <w:noWrap/>
            <w:vAlign w:val="bottom"/>
            <w:hideMark/>
          </w:tcPr>
          <w:p w14:paraId="161893FC"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0.046323</w:t>
            </w:r>
          </w:p>
        </w:tc>
      </w:tr>
      <w:tr w:rsidR="00102970" w:rsidRPr="00C922FE" w14:paraId="7336D671" w14:textId="77777777" w:rsidTr="00E82B90">
        <w:trPr>
          <w:trHeight w:val="304"/>
        </w:trPr>
        <w:tc>
          <w:tcPr>
            <w:tcW w:w="1751" w:type="dxa"/>
            <w:tcBorders>
              <w:top w:val="nil"/>
              <w:left w:val="nil"/>
              <w:bottom w:val="nil"/>
              <w:right w:val="nil"/>
            </w:tcBorders>
            <w:shd w:val="clear" w:color="000000" w:fill="F2F2F2"/>
            <w:noWrap/>
            <w:vAlign w:val="center"/>
            <w:hideMark/>
          </w:tcPr>
          <w:p w14:paraId="289F7E29"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CV</w:t>
            </w:r>
          </w:p>
        </w:tc>
        <w:tc>
          <w:tcPr>
            <w:tcW w:w="1144" w:type="dxa"/>
            <w:tcBorders>
              <w:top w:val="nil"/>
              <w:left w:val="nil"/>
              <w:bottom w:val="nil"/>
              <w:right w:val="nil"/>
            </w:tcBorders>
            <w:shd w:val="clear" w:color="000000" w:fill="F2F2F2"/>
            <w:noWrap/>
            <w:vAlign w:val="bottom"/>
            <w:hideMark/>
          </w:tcPr>
          <w:p w14:paraId="09B7B141"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0.084251</w:t>
            </w:r>
          </w:p>
        </w:tc>
        <w:tc>
          <w:tcPr>
            <w:tcW w:w="1072" w:type="dxa"/>
            <w:tcBorders>
              <w:top w:val="nil"/>
              <w:left w:val="nil"/>
              <w:bottom w:val="nil"/>
              <w:right w:val="nil"/>
            </w:tcBorders>
            <w:shd w:val="clear" w:color="000000" w:fill="F2F2F2"/>
            <w:noWrap/>
            <w:vAlign w:val="bottom"/>
            <w:hideMark/>
          </w:tcPr>
          <w:p w14:paraId="6717D397"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0.055393</w:t>
            </w:r>
          </w:p>
        </w:tc>
        <w:tc>
          <w:tcPr>
            <w:tcW w:w="1102" w:type="dxa"/>
            <w:tcBorders>
              <w:top w:val="nil"/>
              <w:left w:val="nil"/>
              <w:bottom w:val="nil"/>
              <w:right w:val="nil"/>
            </w:tcBorders>
            <w:shd w:val="clear" w:color="000000" w:fill="F2F2F2"/>
            <w:noWrap/>
            <w:vAlign w:val="bottom"/>
            <w:hideMark/>
          </w:tcPr>
          <w:p w14:paraId="181D44EA"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0.050477</w:t>
            </w:r>
          </w:p>
        </w:tc>
        <w:tc>
          <w:tcPr>
            <w:tcW w:w="1792" w:type="dxa"/>
            <w:tcBorders>
              <w:top w:val="nil"/>
              <w:left w:val="nil"/>
              <w:bottom w:val="nil"/>
              <w:right w:val="nil"/>
            </w:tcBorders>
            <w:shd w:val="clear" w:color="000000" w:fill="F2F2F2"/>
            <w:noWrap/>
            <w:vAlign w:val="bottom"/>
            <w:hideMark/>
          </w:tcPr>
          <w:p w14:paraId="35E97E8E"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0.076240</w:t>
            </w:r>
          </w:p>
        </w:tc>
        <w:tc>
          <w:tcPr>
            <w:tcW w:w="1099" w:type="dxa"/>
            <w:tcBorders>
              <w:top w:val="nil"/>
              <w:left w:val="nil"/>
              <w:bottom w:val="nil"/>
              <w:right w:val="nil"/>
            </w:tcBorders>
            <w:shd w:val="clear" w:color="000000" w:fill="F2F2F2"/>
            <w:noWrap/>
            <w:vAlign w:val="bottom"/>
            <w:hideMark/>
          </w:tcPr>
          <w:p w14:paraId="59A8D43E"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0.058406</w:t>
            </w:r>
          </w:p>
        </w:tc>
        <w:tc>
          <w:tcPr>
            <w:tcW w:w="1189" w:type="dxa"/>
            <w:tcBorders>
              <w:top w:val="nil"/>
              <w:left w:val="nil"/>
              <w:bottom w:val="nil"/>
              <w:right w:val="nil"/>
            </w:tcBorders>
            <w:shd w:val="clear" w:color="000000" w:fill="F2F2F2"/>
            <w:noWrap/>
            <w:vAlign w:val="bottom"/>
            <w:hideMark/>
          </w:tcPr>
          <w:p w14:paraId="3CE33361"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0.049331</w:t>
            </w:r>
          </w:p>
        </w:tc>
      </w:tr>
      <w:tr w:rsidR="00102970" w:rsidRPr="00C922FE" w14:paraId="1A41FC2D" w14:textId="77777777" w:rsidTr="00E82B90">
        <w:trPr>
          <w:trHeight w:val="304"/>
        </w:trPr>
        <w:tc>
          <w:tcPr>
            <w:tcW w:w="1751" w:type="dxa"/>
            <w:tcBorders>
              <w:top w:val="nil"/>
              <w:left w:val="nil"/>
              <w:bottom w:val="nil"/>
              <w:right w:val="nil"/>
            </w:tcBorders>
            <w:shd w:val="clear" w:color="000000" w:fill="F2F2F2"/>
            <w:noWrap/>
            <w:vAlign w:val="center"/>
            <w:hideMark/>
          </w:tcPr>
          <w:p w14:paraId="19CDB4D3"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Min</w:t>
            </w:r>
          </w:p>
        </w:tc>
        <w:tc>
          <w:tcPr>
            <w:tcW w:w="1144" w:type="dxa"/>
            <w:tcBorders>
              <w:top w:val="nil"/>
              <w:left w:val="nil"/>
              <w:bottom w:val="nil"/>
              <w:right w:val="nil"/>
            </w:tcBorders>
            <w:shd w:val="clear" w:color="000000" w:fill="F2F2F2"/>
            <w:noWrap/>
            <w:vAlign w:val="bottom"/>
            <w:hideMark/>
          </w:tcPr>
          <w:p w14:paraId="039EBB3A"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0.509400</w:t>
            </w:r>
          </w:p>
        </w:tc>
        <w:tc>
          <w:tcPr>
            <w:tcW w:w="1072" w:type="dxa"/>
            <w:tcBorders>
              <w:top w:val="nil"/>
              <w:left w:val="nil"/>
              <w:bottom w:val="nil"/>
              <w:right w:val="nil"/>
            </w:tcBorders>
            <w:shd w:val="clear" w:color="000000" w:fill="F2F2F2"/>
            <w:noWrap/>
            <w:vAlign w:val="bottom"/>
            <w:hideMark/>
          </w:tcPr>
          <w:p w14:paraId="7B8158DD"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0.660930</w:t>
            </w:r>
          </w:p>
        </w:tc>
        <w:tc>
          <w:tcPr>
            <w:tcW w:w="1102" w:type="dxa"/>
            <w:tcBorders>
              <w:top w:val="nil"/>
              <w:left w:val="nil"/>
              <w:bottom w:val="nil"/>
              <w:right w:val="nil"/>
            </w:tcBorders>
            <w:shd w:val="clear" w:color="000000" w:fill="F2F2F2"/>
            <w:noWrap/>
            <w:vAlign w:val="bottom"/>
            <w:hideMark/>
          </w:tcPr>
          <w:p w14:paraId="2C3B0A5A"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0.812068</w:t>
            </w:r>
          </w:p>
        </w:tc>
        <w:tc>
          <w:tcPr>
            <w:tcW w:w="1792" w:type="dxa"/>
            <w:tcBorders>
              <w:top w:val="nil"/>
              <w:left w:val="nil"/>
              <w:bottom w:val="nil"/>
              <w:right w:val="nil"/>
            </w:tcBorders>
            <w:shd w:val="clear" w:color="000000" w:fill="F2F2F2"/>
            <w:noWrap/>
            <w:vAlign w:val="bottom"/>
            <w:hideMark/>
          </w:tcPr>
          <w:p w14:paraId="7008E01B"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0.650000</w:t>
            </w:r>
          </w:p>
        </w:tc>
        <w:tc>
          <w:tcPr>
            <w:tcW w:w="1099" w:type="dxa"/>
            <w:tcBorders>
              <w:top w:val="nil"/>
              <w:left w:val="nil"/>
              <w:bottom w:val="nil"/>
              <w:right w:val="nil"/>
            </w:tcBorders>
            <w:shd w:val="clear" w:color="000000" w:fill="F2F2F2"/>
            <w:noWrap/>
            <w:vAlign w:val="bottom"/>
            <w:hideMark/>
          </w:tcPr>
          <w:p w14:paraId="1F8A5B9B"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0.705160</w:t>
            </w:r>
          </w:p>
        </w:tc>
        <w:tc>
          <w:tcPr>
            <w:tcW w:w="1189" w:type="dxa"/>
            <w:tcBorders>
              <w:top w:val="nil"/>
              <w:left w:val="nil"/>
              <w:bottom w:val="nil"/>
              <w:right w:val="nil"/>
            </w:tcBorders>
            <w:shd w:val="clear" w:color="000000" w:fill="F2F2F2"/>
            <w:noWrap/>
            <w:vAlign w:val="bottom"/>
            <w:hideMark/>
          </w:tcPr>
          <w:p w14:paraId="19E8FD16"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0.788717</w:t>
            </w:r>
          </w:p>
        </w:tc>
      </w:tr>
      <w:tr w:rsidR="00102970" w:rsidRPr="00C922FE" w14:paraId="5D14967B" w14:textId="77777777" w:rsidTr="00E82B90">
        <w:trPr>
          <w:trHeight w:val="304"/>
        </w:trPr>
        <w:tc>
          <w:tcPr>
            <w:tcW w:w="1751" w:type="dxa"/>
            <w:tcBorders>
              <w:top w:val="nil"/>
              <w:left w:val="nil"/>
              <w:bottom w:val="nil"/>
              <w:right w:val="nil"/>
            </w:tcBorders>
            <w:shd w:val="clear" w:color="000000" w:fill="F2F2F2"/>
            <w:noWrap/>
            <w:vAlign w:val="center"/>
            <w:hideMark/>
          </w:tcPr>
          <w:p w14:paraId="70741340"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P</w:t>
            </w:r>
            <w:r w:rsidRPr="00C922FE">
              <w:rPr>
                <w:rFonts w:eastAsia="Times New Roman"/>
                <w:color w:val="000000"/>
                <w:sz w:val="18"/>
                <w:szCs w:val="18"/>
                <w:vertAlign w:val="subscript"/>
                <w:lang w:eastAsia="en-GB"/>
              </w:rPr>
              <w:t>25</w:t>
            </w:r>
          </w:p>
        </w:tc>
        <w:tc>
          <w:tcPr>
            <w:tcW w:w="1144" w:type="dxa"/>
            <w:tcBorders>
              <w:top w:val="nil"/>
              <w:left w:val="nil"/>
              <w:bottom w:val="nil"/>
              <w:right w:val="nil"/>
            </w:tcBorders>
            <w:shd w:val="clear" w:color="000000" w:fill="F2F2F2"/>
            <w:noWrap/>
            <w:vAlign w:val="bottom"/>
            <w:hideMark/>
          </w:tcPr>
          <w:p w14:paraId="30137457"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0.907600</w:t>
            </w:r>
          </w:p>
        </w:tc>
        <w:tc>
          <w:tcPr>
            <w:tcW w:w="1072" w:type="dxa"/>
            <w:tcBorders>
              <w:top w:val="nil"/>
              <w:left w:val="nil"/>
              <w:bottom w:val="nil"/>
              <w:right w:val="nil"/>
            </w:tcBorders>
            <w:shd w:val="clear" w:color="000000" w:fill="F2F2F2"/>
            <w:noWrap/>
            <w:vAlign w:val="bottom"/>
            <w:hideMark/>
          </w:tcPr>
          <w:p w14:paraId="7562EB45"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0.910639</w:t>
            </w:r>
          </w:p>
        </w:tc>
        <w:tc>
          <w:tcPr>
            <w:tcW w:w="1102" w:type="dxa"/>
            <w:tcBorders>
              <w:top w:val="nil"/>
              <w:left w:val="nil"/>
              <w:bottom w:val="nil"/>
              <w:right w:val="nil"/>
            </w:tcBorders>
            <w:shd w:val="clear" w:color="000000" w:fill="F2F2F2"/>
            <w:noWrap/>
            <w:vAlign w:val="bottom"/>
            <w:hideMark/>
          </w:tcPr>
          <w:p w14:paraId="6EE8A2B6"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0.900076</w:t>
            </w:r>
          </w:p>
        </w:tc>
        <w:tc>
          <w:tcPr>
            <w:tcW w:w="1792" w:type="dxa"/>
            <w:tcBorders>
              <w:top w:val="nil"/>
              <w:left w:val="nil"/>
              <w:bottom w:val="nil"/>
              <w:right w:val="nil"/>
            </w:tcBorders>
            <w:shd w:val="clear" w:color="000000" w:fill="F2F2F2"/>
            <w:noWrap/>
            <w:vAlign w:val="bottom"/>
            <w:hideMark/>
          </w:tcPr>
          <w:p w14:paraId="6DB7087D"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0.912300</w:t>
            </w:r>
          </w:p>
        </w:tc>
        <w:tc>
          <w:tcPr>
            <w:tcW w:w="1099" w:type="dxa"/>
            <w:tcBorders>
              <w:top w:val="nil"/>
              <w:left w:val="nil"/>
              <w:bottom w:val="nil"/>
              <w:right w:val="nil"/>
            </w:tcBorders>
            <w:shd w:val="clear" w:color="000000" w:fill="F2F2F2"/>
            <w:noWrap/>
            <w:vAlign w:val="bottom"/>
            <w:hideMark/>
          </w:tcPr>
          <w:p w14:paraId="21CDA4AA"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0.914908</w:t>
            </w:r>
          </w:p>
        </w:tc>
        <w:tc>
          <w:tcPr>
            <w:tcW w:w="1189" w:type="dxa"/>
            <w:tcBorders>
              <w:top w:val="nil"/>
              <w:left w:val="nil"/>
              <w:bottom w:val="nil"/>
              <w:right w:val="nil"/>
            </w:tcBorders>
            <w:shd w:val="clear" w:color="000000" w:fill="F2F2F2"/>
            <w:noWrap/>
            <w:vAlign w:val="bottom"/>
            <w:hideMark/>
          </w:tcPr>
          <w:p w14:paraId="6932CDF8"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0.905183</w:t>
            </w:r>
          </w:p>
        </w:tc>
      </w:tr>
      <w:tr w:rsidR="00102970" w:rsidRPr="00C922FE" w14:paraId="152C17CC" w14:textId="77777777" w:rsidTr="00E82B90">
        <w:trPr>
          <w:trHeight w:val="304"/>
        </w:trPr>
        <w:tc>
          <w:tcPr>
            <w:tcW w:w="1751" w:type="dxa"/>
            <w:tcBorders>
              <w:top w:val="nil"/>
              <w:left w:val="nil"/>
              <w:bottom w:val="nil"/>
              <w:right w:val="nil"/>
            </w:tcBorders>
            <w:shd w:val="clear" w:color="000000" w:fill="F2F2F2"/>
            <w:noWrap/>
            <w:vAlign w:val="center"/>
            <w:hideMark/>
          </w:tcPr>
          <w:p w14:paraId="79DDE265"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P</w:t>
            </w:r>
            <w:r w:rsidRPr="00C922FE">
              <w:rPr>
                <w:rFonts w:eastAsia="Times New Roman"/>
                <w:color w:val="000000"/>
                <w:sz w:val="18"/>
                <w:szCs w:val="18"/>
                <w:vertAlign w:val="subscript"/>
                <w:lang w:eastAsia="en-GB"/>
              </w:rPr>
              <w:t>50</w:t>
            </w:r>
          </w:p>
        </w:tc>
        <w:tc>
          <w:tcPr>
            <w:tcW w:w="1144" w:type="dxa"/>
            <w:tcBorders>
              <w:top w:val="nil"/>
              <w:left w:val="nil"/>
              <w:bottom w:val="nil"/>
              <w:right w:val="nil"/>
            </w:tcBorders>
            <w:shd w:val="clear" w:color="000000" w:fill="F2F2F2"/>
            <w:noWrap/>
            <w:vAlign w:val="bottom"/>
            <w:hideMark/>
          </w:tcPr>
          <w:p w14:paraId="5043243E"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0.952100</w:t>
            </w:r>
          </w:p>
        </w:tc>
        <w:tc>
          <w:tcPr>
            <w:tcW w:w="1072" w:type="dxa"/>
            <w:tcBorders>
              <w:top w:val="nil"/>
              <w:left w:val="nil"/>
              <w:bottom w:val="nil"/>
              <w:right w:val="nil"/>
            </w:tcBorders>
            <w:shd w:val="clear" w:color="000000" w:fill="F2F2F2"/>
            <w:noWrap/>
            <w:vAlign w:val="bottom"/>
            <w:hideMark/>
          </w:tcPr>
          <w:p w14:paraId="3AD23969"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0.957229</w:t>
            </w:r>
          </w:p>
        </w:tc>
        <w:tc>
          <w:tcPr>
            <w:tcW w:w="1102" w:type="dxa"/>
            <w:tcBorders>
              <w:top w:val="nil"/>
              <w:left w:val="nil"/>
              <w:bottom w:val="nil"/>
              <w:right w:val="nil"/>
            </w:tcBorders>
            <w:shd w:val="clear" w:color="000000" w:fill="F2F2F2"/>
            <w:noWrap/>
            <w:vAlign w:val="bottom"/>
            <w:hideMark/>
          </w:tcPr>
          <w:p w14:paraId="2DF157A6"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0.946303</w:t>
            </w:r>
          </w:p>
        </w:tc>
        <w:tc>
          <w:tcPr>
            <w:tcW w:w="1792" w:type="dxa"/>
            <w:tcBorders>
              <w:top w:val="nil"/>
              <w:left w:val="nil"/>
              <w:bottom w:val="nil"/>
              <w:right w:val="nil"/>
            </w:tcBorders>
            <w:shd w:val="clear" w:color="000000" w:fill="F2F2F2"/>
            <w:noWrap/>
            <w:vAlign w:val="bottom"/>
            <w:hideMark/>
          </w:tcPr>
          <w:p w14:paraId="1EBC415D"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0.952100</w:t>
            </w:r>
          </w:p>
        </w:tc>
        <w:tc>
          <w:tcPr>
            <w:tcW w:w="1099" w:type="dxa"/>
            <w:tcBorders>
              <w:top w:val="nil"/>
              <w:left w:val="nil"/>
              <w:bottom w:val="nil"/>
              <w:right w:val="nil"/>
            </w:tcBorders>
            <w:shd w:val="clear" w:color="000000" w:fill="F2F2F2"/>
            <w:noWrap/>
            <w:vAlign w:val="bottom"/>
            <w:hideMark/>
          </w:tcPr>
          <w:p w14:paraId="37246042"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0.958496</w:t>
            </w:r>
          </w:p>
        </w:tc>
        <w:tc>
          <w:tcPr>
            <w:tcW w:w="1189" w:type="dxa"/>
            <w:tcBorders>
              <w:top w:val="nil"/>
              <w:left w:val="nil"/>
              <w:bottom w:val="nil"/>
              <w:right w:val="nil"/>
            </w:tcBorders>
            <w:shd w:val="clear" w:color="000000" w:fill="F2F2F2"/>
            <w:noWrap/>
            <w:vAlign w:val="bottom"/>
            <w:hideMark/>
          </w:tcPr>
          <w:p w14:paraId="098D84CB"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0.950063</w:t>
            </w:r>
          </w:p>
        </w:tc>
      </w:tr>
      <w:tr w:rsidR="00102970" w:rsidRPr="00C922FE" w14:paraId="52EEB4F0" w14:textId="77777777" w:rsidTr="00E82B90">
        <w:trPr>
          <w:trHeight w:val="304"/>
        </w:trPr>
        <w:tc>
          <w:tcPr>
            <w:tcW w:w="1751" w:type="dxa"/>
            <w:tcBorders>
              <w:top w:val="nil"/>
              <w:left w:val="nil"/>
              <w:bottom w:val="nil"/>
              <w:right w:val="nil"/>
            </w:tcBorders>
            <w:shd w:val="clear" w:color="000000" w:fill="F2F2F2"/>
            <w:noWrap/>
            <w:vAlign w:val="center"/>
            <w:hideMark/>
          </w:tcPr>
          <w:p w14:paraId="57999B7D"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P</w:t>
            </w:r>
            <w:r w:rsidRPr="00C922FE">
              <w:rPr>
                <w:rFonts w:eastAsia="Times New Roman"/>
                <w:color w:val="000000"/>
                <w:sz w:val="18"/>
                <w:szCs w:val="18"/>
                <w:vertAlign w:val="subscript"/>
                <w:lang w:eastAsia="en-GB"/>
              </w:rPr>
              <w:t>75</w:t>
            </w:r>
          </w:p>
        </w:tc>
        <w:tc>
          <w:tcPr>
            <w:tcW w:w="1144" w:type="dxa"/>
            <w:tcBorders>
              <w:top w:val="nil"/>
              <w:left w:val="nil"/>
              <w:bottom w:val="nil"/>
              <w:right w:val="nil"/>
            </w:tcBorders>
            <w:shd w:val="clear" w:color="000000" w:fill="F2F2F2"/>
            <w:noWrap/>
            <w:vAlign w:val="bottom"/>
            <w:hideMark/>
          </w:tcPr>
          <w:p w14:paraId="3AEEF4F5"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1.000000</w:t>
            </w:r>
          </w:p>
        </w:tc>
        <w:tc>
          <w:tcPr>
            <w:tcW w:w="1072" w:type="dxa"/>
            <w:tcBorders>
              <w:top w:val="nil"/>
              <w:left w:val="nil"/>
              <w:bottom w:val="nil"/>
              <w:right w:val="nil"/>
            </w:tcBorders>
            <w:shd w:val="clear" w:color="000000" w:fill="F2F2F2"/>
            <w:noWrap/>
            <w:vAlign w:val="bottom"/>
            <w:hideMark/>
          </w:tcPr>
          <w:p w14:paraId="7C384014"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0.978902</w:t>
            </w:r>
          </w:p>
        </w:tc>
        <w:tc>
          <w:tcPr>
            <w:tcW w:w="1102" w:type="dxa"/>
            <w:tcBorders>
              <w:top w:val="nil"/>
              <w:left w:val="nil"/>
              <w:bottom w:val="nil"/>
              <w:right w:val="nil"/>
            </w:tcBorders>
            <w:shd w:val="clear" w:color="000000" w:fill="F2F2F2"/>
            <w:noWrap/>
            <w:vAlign w:val="bottom"/>
            <w:hideMark/>
          </w:tcPr>
          <w:p w14:paraId="14FF40BF"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0.980433</w:t>
            </w:r>
          </w:p>
        </w:tc>
        <w:tc>
          <w:tcPr>
            <w:tcW w:w="1792" w:type="dxa"/>
            <w:tcBorders>
              <w:top w:val="nil"/>
              <w:left w:val="nil"/>
              <w:bottom w:val="nil"/>
              <w:right w:val="nil"/>
            </w:tcBorders>
            <w:shd w:val="clear" w:color="000000" w:fill="F2F2F2"/>
            <w:noWrap/>
            <w:vAlign w:val="bottom"/>
            <w:hideMark/>
          </w:tcPr>
          <w:p w14:paraId="1F638E12"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1.000000</w:t>
            </w:r>
          </w:p>
        </w:tc>
        <w:tc>
          <w:tcPr>
            <w:tcW w:w="1099" w:type="dxa"/>
            <w:tcBorders>
              <w:top w:val="nil"/>
              <w:left w:val="nil"/>
              <w:bottom w:val="nil"/>
              <w:right w:val="nil"/>
            </w:tcBorders>
            <w:shd w:val="clear" w:color="000000" w:fill="F2F2F2"/>
            <w:noWrap/>
            <w:vAlign w:val="bottom"/>
            <w:hideMark/>
          </w:tcPr>
          <w:p w14:paraId="494E023C"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0.977276</w:t>
            </w:r>
          </w:p>
        </w:tc>
        <w:tc>
          <w:tcPr>
            <w:tcW w:w="1189" w:type="dxa"/>
            <w:tcBorders>
              <w:top w:val="nil"/>
              <w:left w:val="nil"/>
              <w:bottom w:val="nil"/>
              <w:right w:val="nil"/>
            </w:tcBorders>
            <w:shd w:val="clear" w:color="000000" w:fill="F2F2F2"/>
            <w:noWrap/>
            <w:vAlign w:val="bottom"/>
            <w:hideMark/>
          </w:tcPr>
          <w:p w14:paraId="50B88C64"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0.977413</w:t>
            </w:r>
          </w:p>
        </w:tc>
      </w:tr>
      <w:tr w:rsidR="00102970" w:rsidRPr="00C922FE" w14:paraId="27DD4FFD" w14:textId="77777777" w:rsidTr="00E82B90">
        <w:trPr>
          <w:trHeight w:val="304"/>
        </w:trPr>
        <w:tc>
          <w:tcPr>
            <w:tcW w:w="1751" w:type="dxa"/>
            <w:tcBorders>
              <w:top w:val="nil"/>
              <w:left w:val="nil"/>
              <w:bottom w:val="nil"/>
              <w:right w:val="nil"/>
            </w:tcBorders>
            <w:shd w:val="clear" w:color="000000" w:fill="F2F2F2"/>
            <w:noWrap/>
            <w:vAlign w:val="center"/>
            <w:hideMark/>
          </w:tcPr>
          <w:p w14:paraId="2AA04882"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Max</w:t>
            </w:r>
          </w:p>
        </w:tc>
        <w:tc>
          <w:tcPr>
            <w:tcW w:w="1144" w:type="dxa"/>
            <w:tcBorders>
              <w:top w:val="nil"/>
              <w:left w:val="nil"/>
              <w:bottom w:val="nil"/>
              <w:right w:val="nil"/>
            </w:tcBorders>
            <w:shd w:val="clear" w:color="000000" w:fill="F2F2F2"/>
            <w:noWrap/>
            <w:vAlign w:val="bottom"/>
            <w:hideMark/>
          </w:tcPr>
          <w:p w14:paraId="620A7D97"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1.000000</w:t>
            </w:r>
          </w:p>
        </w:tc>
        <w:tc>
          <w:tcPr>
            <w:tcW w:w="1072" w:type="dxa"/>
            <w:tcBorders>
              <w:top w:val="nil"/>
              <w:left w:val="nil"/>
              <w:bottom w:val="nil"/>
              <w:right w:val="nil"/>
            </w:tcBorders>
            <w:shd w:val="clear" w:color="000000" w:fill="F2F2F2"/>
            <w:noWrap/>
            <w:vAlign w:val="bottom"/>
            <w:hideMark/>
          </w:tcPr>
          <w:p w14:paraId="4780E5F1"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0.989350</w:t>
            </w:r>
          </w:p>
        </w:tc>
        <w:tc>
          <w:tcPr>
            <w:tcW w:w="1102" w:type="dxa"/>
            <w:tcBorders>
              <w:top w:val="nil"/>
              <w:left w:val="nil"/>
              <w:bottom w:val="nil"/>
              <w:right w:val="nil"/>
            </w:tcBorders>
            <w:shd w:val="clear" w:color="000000" w:fill="F2F2F2"/>
            <w:noWrap/>
            <w:vAlign w:val="bottom"/>
            <w:hideMark/>
          </w:tcPr>
          <w:p w14:paraId="37023175"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0.995221</w:t>
            </w:r>
          </w:p>
        </w:tc>
        <w:tc>
          <w:tcPr>
            <w:tcW w:w="1792" w:type="dxa"/>
            <w:tcBorders>
              <w:top w:val="nil"/>
              <w:left w:val="nil"/>
              <w:bottom w:val="nil"/>
              <w:right w:val="nil"/>
            </w:tcBorders>
            <w:shd w:val="clear" w:color="000000" w:fill="F2F2F2"/>
            <w:noWrap/>
            <w:vAlign w:val="bottom"/>
            <w:hideMark/>
          </w:tcPr>
          <w:p w14:paraId="6A302659"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1.000000</w:t>
            </w:r>
          </w:p>
        </w:tc>
        <w:tc>
          <w:tcPr>
            <w:tcW w:w="1099" w:type="dxa"/>
            <w:tcBorders>
              <w:top w:val="nil"/>
              <w:left w:val="nil"/>
              <w:bottom w:val="nil"/>
              <w:right w:val="nil"/>
            </w:tcBorders>
            <w:shd w:val="clear" w:color="000000" w:fill="F2F2F2"/>
            <w:noWrap/>
            <w:vAlign w:val="bottom"/>
            <w:hideMark/>
          </w:tcPr>
          <w:p w14:paraId="543C2429"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0.985504</w:t>
            </w:r>
          </w:p>
        </w:tc>
        <w:tc>
          <w:tcPr>
            <w:tcW w:w="1189" w:type="dxa"/>
            <w:tcBorders>
              <w:top w:val="nil"/>
              <w:left w:val="nil"/>
              <w:bottom w:val="nil"/>
              <w:right w:val="nil"/>
            </w:tcBorders>
            <w:shd w:val="clear" w:color="000000" w:fill="F2F2F2"/>
            <w:noWrap/>
            <w:vAlign w:val="bottom"/>
            <w:hideMark/>
          </w:tcPr>
          <w:p w14:paraId="22440E17"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0.993891</w:t>
            </w:r>
          </w:p>
        </w:tc>
      </w:tr>
      <w:tr w:rsidR="00102970" w:rsidRPr="00C922FE" w14:paraId="5FC60D4B" w14:textId="77777777" w:rsidTr="00E82B90">
        <w:trPr>
          <w:trHeight w:val="304"/>
        </w:trPr>
        <w:tc>
          <w:tcPr>
            <w:tcW w:w="1751" w:type="dxa"/>
            <w:tcBorders>
              <w:top w:val="nil"/>
              <w:left w:val="nil"/>
              <w:bottom w:val="nil"/>
              <w:right w:val="nil"/>
            </w:tcBorders>
            <w:shd w:val="clear" w:color="000000" w:fill="F2F2F2"/>
            <w:noWrap/>
            <w:vAlign w:val="center"/>
            <w:hideMark/>
          </w:tcPr>
          <w:p w14:paraId="70526942"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MSE</w:t>
            </w:r>
          </w:p>
        </w:tc>
        <w:tc>
          <w:tcPr>
            <w:tcW w:w="1144" w:type="dxa"/>
            <w:tcBorders>
              <w:top w:val="nil"/>
              <w:left w:val="nil"/>
              <w:bottom w:val="nil"/>
              <w:right w:val="nil"/>
            </w:tcBorders>
            <w:shd w:val="clear" w:color="000000" w:fill="F2F2F2"/>
            <w:noWrap/>
            <w:vAlign w:val="center"/>
            <w:hideMark/>
          </w:tcPr>
          <w:p w14:paraId="249D0CB4"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w:t>
            </w:r>
          </w:p>
        </w:tc>
        <w:tc>
          <w:tcPr>
            <w:tcW w:w="1072" w:type="dxa"/>
            <w:tcBorders>
              <w:top w:val="nil"/>
              <w:left w:val="nil"/>
              <w:bottom w:val="nil"/>
              <w:right w:val="nil"/>
            </w:tcBorders>
            <w:shd w:val="clear" w:color="000000" w:fill="F2F2F2"/>
            <w:noWrap/>
            <w:vAlign w:val="center"/>
            <w:hideMark/>
          </w:tcPr>
          <w:p w14:paraId="37FD154E"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0.00353</w:t>
            </w:r>
          </w:p>
        </w:tc>
        <w:tc>
          <w:tcPr>
            <w:tcW w:w="1102" w:type="dxa"/>
            <w:tcBorders>
              <w:top w:val="nil"/>
              <w:left w:val="nil"/>
              <w:bottom w:val="nil"/>
              <w:right w:val="nil"/>
            </w:tcBorders>
            <w:shd w:val="clear" w:color="000000" w:fill="F2F2F2"/>
            <w:noWrap/>
            <w:vAlign w:val="center"/>
            <w:hideMark/>
          </w:tcPr>
          <w:p w14:paraId="032728DB"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0.00398</w:t>
            </w:r>
          </w:p>
        </w:tc>
        <w:tc>
          <w:tcPr>
            <w:tcW w:w="1792" w:type="dxa"/>
            <w:tcBorders>
              <w:top w:val="nil"/>
              <w:left w:val="nil"/>
              <w:bottom w:val="nil"/>
              <w:right w:val="nil"/>
            </w:tcBorders>
            <w:shd w:val="clear" w:color="000000" w:fill="F2F2F2"/>
            <w:noWrap/>
            <w:vAlign w:val="center"/>
            <w:hideMark/>
          </w:tcPr>
          <w:p w14:paraId="10571308"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w:t>
            </w:r>
          </w:p>
        </w:tc>
        <w:tc>
          <w:tcPr>
            <w:tcW w:w="1099" w:type="dxa"/>
            <w:tcBorders>
              <w:top w:val="nil"/>
              <w:left w:val="nil"/>
              <w:bottom w:val="nil"/>
              <w:right w:val="nil"/>
            </w:tcBorders>
            <w:shd w:val="clear" w:color="000000" w:fill="F2F2F2"/>
            <w:noWrap/>
            <w:vAlign w:val="center"/>
            <w:hideMark/>
          </w:tcPr>
          <w:p w14:paraId="7781D998"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0.00345</w:t>
            </w:r>
          </w:p>
        </w:tc>
        <w:tc>
          <w:tcPr>
            <w:tcW w:w="1189" w:type="dxa"/>
            <w:tcBorders>
              <w:top w:val="nil"/>
              <w:left w:val="nil"/>
              <w:bottom w:val="nil"/>
              <w:right w:val="nil"/>
            </w:tcBorders>
            <w:shd w:val="clear" w:color="000000" w:fill="F2F2F2"/>
            <w:noWrap/>
            <w:vAlign w:val="center"/>
            <w:hideMark/>
          </w:tcPr>
          <w:p w14:paraId="4B859C32"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0.00310</w:t>
            </w:r>
          </w:p>
        </w:tc>
      </w:tr>
      <w:tr w:rsidR="00102970" w:rsidRPr="00C922FE" w14:paraId="0D4F4FDC" w14:textId="77777777" w:rsidTr="00E82B90">
        <w:trPr>
          <w:trHeight w:val="304"/>
        </w:trPr>
        <w:tc>
          <w:tcPr>
            <w:tcW w:w="1751" w:type="dxa"/>
            <w:tcBorders>
              <w:top w:val="nil"/>
              <w:left w:val="nil"/>
              <w:bottom w:val="nil"/>
              <w:right w:val="nil"/>
            </w:tcBorders>
            <w:shd w:val="clear" w:color="000000" w:fill="F2F2F2"/>
            <w:noWrap/>
            <w:vAlign w:val="center"/>
            <w:hideMark/>
          </w:tcPr>
          <w:p w14:paraId="4BF8DC00"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MAE</w:t>
            </w:r>
          </w:p>
        </w:tc>
        <w:tc>
          <w:tcPr>
            <w:tcW w:w="1144" w:type="dxa"/>
            <w:tcBorders>
              <w:top w:val="nil"/>
              <w:left w:val="nil"/>
              <w:bottom w:val="nil"/>
              <w:right w:val="nil"/>
            </w:tcBorders>
            <w:shd w:val="clear" w:color="000000" w:fill="F2F2F2"/>
            <w:noWrap/>
            <w:vAlign w:val="center"/>
            <w:hideMark/>
          </w:tcPr>
          <w:p w14:paraId="251CB91A"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w:t>
            </w:r>
          </w:p>
        </w:tc>
        <w:tc>
          <w:tcPr>
            <w:tcW w:w="1072" w:type="dxa"/>
            <w:tcBorders>
              <w:top w:val="nil"/>
              <w:left w:val="nil"/>
              <w:bottom w:val="nil"/>
              <w:right w:val="nil"/>
            </w:tcBorders>
            <w:shd w:val="clear" w:color="000000" w:fill="F2F2F2"/>
            <w:noWrap/>
            <w:vAlign w:val="center"/>
            <w:hideMark/>
          </w:tcPr>
          <w:p w14:paraId="59F5F0C3"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0.04078</w:t>
            </w:r>
          </w:p>
        </w:tc>
        <w:tc>
          <w:tcPr>
            <w:tcW w:w="1102" w:type="dxa"/>
            <w:tcBorders>
              <w:top w:val="nil"/>
              <w:left w:val="nil"/>
              <w:bottom w:val="nil"/>
              <w:right w:val="nil"/>
            </w:tcBorders>
            <w:shd w:val="clear" w:color="000000" w:fill="F2F2F2"/>
            <w:noWrap/>
            <w:vAlign w:val="center"/>
            <w:hideMark/>
          </w:tcPr>
          <w:p w14:paraId="4B224C45"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0.04245</w:t>
            </w:r>
          </w:p>
        </w:tc>
        <w:tc>
          <w:tcPr>
            <w:tcW w:w="1792" w:type="dxa"/>
            <w:tcBorders>
              <w:top w:val="nil"/>
              <w:left w:val="nil"/>
              <w:bottom w:val="nil"/>
              <w:right w:val="nil"/>
            </w:tcBorders>
            <w:shd w:val="clear" w:color="000000" w:fill="F2F2F2"/>
            <w:noWrap/>
            <w:vAlign w:val="center"/>
            <w:hideMark/>
          </w:tcPr>
          <w:p w14:paraId="7DD4CE53"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w:t>
            </w:r>
          </w:p>
        </w:tc>
        <w:tc>
          <w:tcPr>
            <w:tcW w:w="1099" w:type="dxa"/>
            <w:tcBorders>
              <w:top w:val="nil"/>
              <w:left w:val="nil"/>
              <w:bottom w:val="nil"/>
              <w:right w:val="nil"/>
            </w:tcBorders>
            <w:shd w:val="clear" w:color="000000" w:fill="F2F2F2"/>
            <w:noWrap/>
            <w:vAlign w:val="center"/>
            <w:hideMark/>
          </w:tcPr>
          <w:p w14:paraId="67FC4F7E"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0.04182</w:t>
            </w:r>
          </w:p>
        </w:tc>
        <w:tc>
          <w:tcPr>
            <w:tcW w:w="1189" w:type="dxa"/>
            <w:tcBorders>
              <w:top w:val="nil"/>
              <w:left w:val="nil"/>
              <w:bottom w:val="nil"/>
              <w:right w:val="nil"/>
            </w:tcBorders>
            <w:shd w:val="clear" w:color="000000" w:fill="F2F2F2"/>
            <w:noWrap/>
            <w:vAlign w:val="center"/>
            <w:hideMark/>
          </w:tcPr>
          <w:p w14:paraId="55829307"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0.03981</w:t>
            </w:r>
          </w:p>
        </w:tc>
      </w:tr>
      <w:tr w:rsidR="00102970" w:rsidRPr="00C922FE" w14:paraId="1F40BE63" w14:textId="77777777" w:rsidTr="00E82B90">
        <w:trPr>
          <w:trHeight w:val="304"/>
        </w:trPr>
        <w:tc>
          <w:tcPr>
            <w:tcW w:w="1751" w:type="dxa"/>
            <w:tcBorders>
              <w:top w:val="nil"/>
              <w:left w:val="nil"/>
              <w:bottom w:val="nil"/>
              <w:right w:val="nil"/>
            </w:tcBorders>
            <w:shd w:val="clear" w:color="000000" w:fill="F2F2F2"/>
            <w:noWrap/>
            <w:vAlign w:val="center"/>
            <w:hideMark/>
          </w:tcPr>
          <w:p w14:paraId="36B75602"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&lt;0.03 AE (%)</w:t>
            </w:r>
          </w:p>
        </w:tc>
        <w:tc>
          <w:tcPr>
            <w:tcW w:w="1144" w:type="dxa"/>
            <w:tcBorders>
              <w:top w:val="nil"/>
              <w:left w:val="nil"/>
              <w:bottom w:val="nil"/>
              <w:right w:val="nil"/>
            </w:tcBorders>
            <w:shd w:val="clear" w:color="000000" w:fill="F2F2F2"/>
            <w:noWrap/>
            <w:vAlign w:val="center"/>
            <w:hideMark/>
          </w:tcPr>
          <w:p w14:paraId="326B4F36"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w:t>
            </w:r>
          </w:p>
        </w:tc>
        <w:tc>
          <w:tcPr>
            <w:tcW w:w="1072" w:type="dxa"/>
            <w:tcBorders>
              <w:top w:val="nil"/>
              <w:left w:val="nil"/>
              <w:bottom w:val="nil"/>
              <w:right w:val="nil"/>
            </w:tcBorders>
            <w:shd w:val="clear" w:color="000000" w:fill="F2F2F2"/>
            <w:noWrap/>
            <w:vAlign w:val="center"/>
            <w:hideMark/>
          </w:tcPr>
          <w:p w14:paraId="59CAA534"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53.40%</w:t>
            </w:r>
          </w:p>
        </w:tc>
        <w:tc>
          <w:tcPr>
            <w:tcW w:w="1102" w:type="dxa"/>
            <w:tcBorders>
              <w:top w:val="nil"/>
              <w:left w:val="nil"/>
              <w:bottom w:val="nil"/>
              <w:right w:val="nil"/>
            </w:tcBorders>
            <w:shd w:val="clear" w:color="000000" w:fill="F2F2F2"/>
            <w:noWrap/>
            <w:vAlign w:val="center"/>
            <w:hideMark/>
          </w:tcPr>
          <w:p w14:paraId="4E30ACE2"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51.61%</w:t>
            </w:r>
          </w:p>
        </w:tc>
        <w:tc>
          <w:tcPr>
            <w:tcW w:w="1792" w:type="dxa"/>
            <w:tcBorders>
              <w:top w:val="nil"/>
              <w:left w:val="nil"/>
              <w:bottom w:val="nil"/>
              <w:right w:val="nil"/>
            </w:tcBorders>
            <w:shd w:val="clear" w:color="000000" w:fill="F2F2F2"/>
            <w:noWrap/>
            <w:vAlign w:val="center"/>
            <w:hideMark/>
          </w:tcPr>
          <w:p w14:paraId="3C6530A5"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w:t>
            </w:r>
          </w:p>
        </w:tc>
        <w:tc>
          <w:tcPr>
            <w:tcW w:w="1099" w:type="dxa"/>
            <w:tcBorders>
              <w:top w:val="nil"/>
              <w:left w:val="nil"/>
              <w:bottom w:val="nil"/>
              <w:right w:val="nil"/>
            </w:tcBorders>
            <w:shd w:val="clear" w:color="000000" w:fill="F2F2F2"/>
            <w:noWrap/>
            <w:vAlign w:val="center"/>
            <w:hideMark/>
          </w:tcPr>
          <w:p w14:paraId="1107FBEB"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55.89%</w:t>
            </w:r>
          </w:p>
        </w:tc>
        <w:tc>
          <w:tcPr>
            <w:tcW w:w="1189" w:type="dxa"/>
            <w:tcBorders>
              <w:top w:val="nil"/>
              <w:left w:val="nil"/>
              <w:bottom w:val="nil"/>
              <w:right w:val="nil"/>
            </w:tcBorders>
            <w:shd w:val="clear" w:color="000000" w:fill="F2F2F2"/>
            <w:noWrap/>
            <w:vAlign w:val="center"/>
            <w:hideMark/>
          </w:tcPr>
          <w:p w14:paraId="7A580EE7"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53.17%</w:t>
            </w:r>
          </w:p>
        </w:tc>
      </w:tr>
      <w:tr w:rsidR="00102970" w:rsidRPr="00C922FE" w14:paraId="17342E4D" w14:textId="77777777" w:rsidTr="00E82B90">
        <w:trPr>
          <w:trHeight w:val="304"/>
        </w:trPr>
        <w:tc>
          <w:tcPr>
            <w:tcW w:w="1751" w:type="dxa"/>
            <w:tcBorders>
              <w:top w:val="nil"/>
              <w:left w:val="nil"/>
              <w:bottom w:val="nil"/>
              <w:right w:val="nil"/>
            </w:tcBorders>
            <w:shd w:val="clear" w:color="000000" w:fill="F2F2F2"/>
            <w:noWrap/>
            <w:vAlign w:val="center"/>
            <w:hideMark/>
          </w:tcPr>
          <w:p w14:paraId="11D4A938"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&lt;0.05 AE (%)</w:t>
            </w:r>
          </w:p>
        </w:tc>
        <w:tc>
          <w:tcPr>
            <w:tcW w:w="1144" w:type="dxa"/>
            <w:tcBorders>
              <w:top w:val="nil"/>
              <w:left w:val="nil"/>
              <w:bottom w:val="nil"/>
              <w:right w:val="nil"/>
            </w:tcBorders>
            <w:shd w:val="clear" w:color="000000" w:fill="F2F2F2"/>
            <w:noWrap/>
            <w:vAlign w:val="center"/>
            <w:hideMark/>
          </w:tcPr>
          <w:p w14:paraId="266C873D"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w:t>
            </w:r>
          </w:p>
        </w:tc>
        <w:tc>
          <w:tcPr>
            <w:tcW w:w="1072" w:type="dxa"/>
            <w:tcBorders>
              <w:top w:val="nil"/>
              <w:left w:val="nil"/>
              <w:bottom w:val="nil"/>
              <w:right w:val="nil"/>
            </w:tcBorders>
            <w:shd w:val="clear" w:color="000000" w:fill="F2F2F2"/>
            <w:noWrap/>
            <w:vAlign w:val="center"/>
            <w:hideMark/>
          </w:tcPr>
          <w:p w14:paraId="2C8CE3FC"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72.04%</w:t>
            </w:r>
          </w:p>
        </w:tc>
        <w:tc>
          <w:tcPr>
            <w:tcW w:w="1102" w:type="dxa"/>
            <w:tcBorders>
              <w:top w:val="nil"/>
              <w:left w:val="nil"/>
              <w:bottom w:val="nil"/>
              <w:right w:val="nil"/>
            </w:tcBorders>
            <w:shd w:val="clear" w:color="000000" w:fill="F2F2F2"/>
            <w:noWrap/>
            <w:vAlign w:val="center"/>
            <w:hideMark/>
          </w:tcPr>
          <w:p w14:paraId="3413168F"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70.25%</w:t>
            </w:r>
          </w:p>
        </w:tc>
        <w:tc>
          <w:tcPr>
            <w:tcW w:w="1792" w:type="dxa"/>
            <w:tcBorders>
              <w:top w:val="nil"/>
              <w:left w:val="nil"/>
              <w:bottom w:val="nil"/>
              <w:right w:val="nil"/>
            </w:tcBorders>
            <w:shd w:val="clear" w:color="000000" w:fill="F2F2F2"/>
            <w:noWrap/>
            <w:vAlign w:val="center"/>
            <w:hideMark/>
          </w:tcPr>
          <w:p w14:paraId="5B5547E3"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w:t>
            </w:r>
          </w:p>
        </w:tc>
        <w:tc>
          <w:tcPr>
            <w:tcW w:w="1099" w:type="dxa"/>
            <w:tcBorders>
              <w:top w:val="nil"/>
              <w:left w:val="nil"/>
              <w:bottom w:val="nil"/>
              <w:right w:val="nil"/>
            </w:tcBorders>
            <w:shd w:val="clear" w:color="000000" w:fill="F2F2F2"/>
            <w:noWrap/>
            <w:vAlign w:val="center"/>
            <w:hideMark/>
          </w:tcPr>
          <w:p w14:paraId="71B3A46E"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73.23%</w:t>
            </w:r>
          </w:p>
        </w:tc>
        <w:tc>
          <w:tcPr>
            <w:tcW w:w="1189" w:type="dxa"/>
            <w:tcBorders>
              <w:top w:val="nil"/>
              <w:left w:val="nil"/>
              <w:bottom w:val="nil"/>
              <w:right w:val="nil"/>
            </w:tcBorders>
            <w:shd w:val="clear" w:color="000000" w:fill="F2F2F2"/>
            <w:noWrap/>
            <w:vAlign w:val="center"/>
            <w:hideMark/>
          </w:tcPr>
          <w:p w14:paraId="13B80F6B"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70.77%</w:t>
            </w:r>
          </w:p>
        </w:tc>
      </w:tr>
      <w:tr w:rsidR="00102970" w:rsidRPr="00C922FE" w14:paraId="75AEF218" w14:textId="77777777" w:rsidTr="00E82B90">
        <w:trPr>
          <w:trHeight w:val="319"/>
        </w:trPr>
        <w:tc>
          <w:tcPr>
            <w:tcW w:w="1751" w:type="dxa"/>
            <w:tcBorders>
              <w:top w:val="nil"/>
              <w:left w:val="nil"/>
              <w:bottom w:val="single" w:sz="8" w:space="0" w:color="auto"/>
              <w:right w:val="nil"/>
            </w:tcBorders>
            <w:shd w:val="clear" w:color="000000" w:fill="F2F2F2"/>
            <w:noWrap/>
            <w:vAlign w:val="center"/>
            <w:hideMark/>
          </w:tcPr>
          <w:p w14:paraId="47E0FCD0" w14:textId="77777777" w:rsidR="00102970" w:rsidRPr="00C922FE" w:rsidRDefault="00102970" w:rsidP="00E82B90">
            <w:pPr>
              <w:spacing w:after="0" w:line="240" w:lineRule="auto"/>
              <w:rPr>
                <w:rFonts w:eastAsia="Times New Roman"/>
                <w:color w:val="000000"/>
                <w:sz w:val="18"/>
                <w:szCs w:val="18"/>
                <w:lang w:eastAsia="en-GB"/>
              </w:rPr>
            </w:pPr>
            <w:r w:rsidRPr="00C922FE">
              <w:rPr>
                <w:rFonts w:eastAsia="Times New Roman"/>
                <w:color w:val="000000"/>
                <w:sz w:val="18"/>
                <w:szCs w:val="18"/>
                <w:lang w:eastAsia="en-GB"/>
              </w:rPr>
              <w:t>&lt;0.10 AE (%)</w:t>
            </w:r>
          </w:p>
        </w:tc>
        <w:tc>
          <w:tcPr>
            <w:tcW w:w="1144" w:type="dxa"/>
            <w:tcBorders>
              <w:top w:val="nil"/>
              <w:left w:val="nil"/>
              <w:bottom w:val="single" w:sz="8" w:space="0" w:color="auto"/>
              <w:right w:val="nil"/>
            </w:tcBorders>
            <w:shd w:val="clear" w:color="000000" w:fill="F2F2F2"/>
            <w:noWrap/>
            <w:vAlign w:val="center"/>
            <w:hideMark/>
          </w:tcPr>
          <w:p w14:paraId="1D4FA449"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w:t>
            </w:r>
          </w:p>
        </w:tc>
        <w:tc>
          <w:tcPr>
            <w:tcW w:w="1072" w:type="dxa"/>
            <w:tcBorders>
              <w:top w:val="nil"/>
              <w:left w:val="nil"/>
              <w:bottom w:val="single" w:sz="8" w:space="0" w:color="auto"/>
              <w:right w:val="nil"/>
            </w:tcBorders>
            <w:shd w:val="clear" w:color="000000" w:fill="F2F2F2"/>
            <w:noWrap/>
            <w:vAlign w:val="center"/>
            <w:hideMark/>
          </w:tcPr>
          <w:p w14:paraId="135E4D81"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92.27%</w:t>
            </w:r>
          </w:p>
        </w:tc>
        <w:tc>
          <w:tcPr>
            <w:tcW w:w="1102" w:type="dxa"/>
            <w:tcBorders>
              <w:top w:val="nil"/>
              <w:left w:val="nil"/>
              <w:bottom w:val="single" w:sz="8" w:space="0" w:color="auto"/>
              <w:right w:val="nil"/>
            </w:tcBorders>
            <w:shd w:val="clear" w:color="000000" w:fill="F2F2F2"/>
            <w:noWrap/>
            <w:vAlign w:val="center"/>
            <w:hideMark/>
          </w:tcPr>
          <w:p w14:paraId="23CFFE32"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90.32%</w:t>
            </w:r>
          </w:p>
        </w:tc>
        <w:tc>
          <w:tcPr>
            <w:tcW w:w="1792" w:type="dxa"/>
            <w:tcBorders>
              <w:top w:val="nil"/>
              <w:left w:val="nil"/>
              <w:bottom w:val="single" w:sz="8" w:space="0" w:color="auto"/>
              <w:right w:val="nil"/>
            </w:tcBorders>
            <w:shd w:val="clear" w:color="000000" w:fill="F2F2F2"/>
            <w:noWrap/>
            <w:vAlign w:val="center"/>
            <w:hideMark/>
          </w:tcPr>
          <w:p w14:paraId="7D577DB5"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w:t>
            </w:r>
          </w:p>
        </w:tc>
        <w:tc>
          <w:tcPr>
            <w:tcW w:w="1099" w:type="dxa"/>
            <w:tcBorders>
              <w:top w:val="nil"/>
              <w:left w:val="nil"/>
              <w:bottom w:val="single" w:sz="8" w:space="0" w:color="auto"/>
              <w:right w:val="nil"/>
            </w:tcBorders>
            <w:shd w:val="clear" w:color="000000" w:fill="F2F2F2"/>
            <w:noWrap/>
            <w:vAlign w:val="center"/>
            <w:hideMark/>
          </w:tcPr>
          <w:p w14:paraId="207E75C7"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91.20%</w:t>
            </w:r>
          </w:p>
        </w:tc>
        <w:tc>
          <w:tcPr>
            <w:tcW w:w="1189" w:type="dxa"/>
            <w:tcBorders>
              <w:top w:val="nil"/>
              <w:left w:val="nil"/>
              <w:bottom w:val="single" w:sz="8" w:space="0" w:color="auto"/>
              <w:right w:val="nil"/>
            </w:tcBorders>
            <w:shd w:val="clear" w:color="000000" w:fill="F2F2F2"/>
            <w:noWrap/>
            <w:vAlign w:val="center"/>
            <w:hideMark/>
          </w:tcPr>
          <w:p w14:paraId="2E7911DC" w14:textId="77777777" w:rsidR="00102970" w:rsidRPr="00C922FE" w:rsidRDefault="00102970" w:rsidP="00E82B90">
            <w:pPr>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93.31%</w:t>
            </w:r>
          </w:p>
        </w:tc>
      </w:tr>
    </w:tbl>
    <w:p w14:paraId="538A865E" w14:textId="77777777" w:rsidR="00102970" w:rsidRDefault="00102970" w:rsidP="00102970">
      <w:pPr>
        <w:pStyle w:val="FootNote"/>
      </w:pPr>
      <w:r>
        <w:t>SD = Standard deviation, CV = Coefficient of variation, Min = Minimum value, P</w:t>
      </w:r>
      <w:r w:rsidRPr="00092F26">
        <w:rPr>
          <w:vertAlign w:val="subscript"/>
        </w:rPr>
        <w:t>25</w:t>
      </w:r>
      <w:r>
        <w:t xml:space="preserve"> = 25</w:t>
      </w:r>
      <w:r w:rsidRPr="00092F26">
        <w:rPr>
          <w:vertAlign w:val="superscript"/>
        </w:rPr>
        <w:t>th</w:t>
      </w:r>
      <w:r>
        <w:t xml:space="preserve"> percentile, P</w:t>
      </w:r>
      <w:r w:rsidRPr="00092F26">
        <w:rPr>
          <w:vertAlign w:val="subscript"/>
        </w:rPr>
        <w:t>50</w:t>
      </w:r>
      <w:r>
        <w:t xml:space="preserve"> = 50</w:t>
      </w:r>
      <w:r w:rsidRPr="00092F26">
        <w:rPr>
          <w:vertAlign w:val="superscript"/>
        </w:rPr>
        <w:t>th</w:t>
      </w:r>
      <w:r>
        <w:t xml:space="preserve"> percentile, P</w:t>
      </w:r>
      <w:r w:rsidRPr="00092F26">
        <w:rPr>
          <w:vertAlign w:val="subscript"/>
        </w:rPr>
        <w:t>75</w:t>
      </w:r>
      <w:r>
        <w:t xml:space="preserve"> = 75</w:t>
      </w:r>
      <w:r w:rsidRPr="00092F26">
        <w:rPr>
          <w:vertAlign w:val="superscript"/>
        </w:rPr>
        <w:t>th</w:t>
      </w:r>
      <w:r>
        <w:t xml:space="preserve"> percentile, Max = Maximum value, MSE = Mean squared error, MAE = Mean absolute error, &lt;0.05 AE (%) = percentage with absolute error below 0.05, &lt;0.10 AE (%) = percentage with absolute error below 0.10</w:t>
      </w:r>
    </w:p>
    <w:p w14:paraId="0451A389" w14:textId="77777777" w:rsidR="00102970" w:rsidRDefault="00102970" w:rsidP="00102970">
      <w:pPr>
        <w:spacing w:after="0"/>
      </w:pPr>
    </w:p>
    <w:p w14:paraId="4AFB7B03" w14:textId="7B9B8A9C" w:rsidR="00102970" w:rsidRDefault="00102970" w:rsidP="00102970">
      <w:pPr>
        <w:spacing w:before="240" w:after="240"/>
      </w:pPr>
      <w:r>
        <w:t>Approximately 56% of the</w:t>
      </w:r>
      <w:r w:rsidR="00AD77DA">
        <w:t xml:space="preserve"> predicted values from GLM</w:t>
      </w:r>
      <w:r>
        <w:t xml:space="preserve"> 6 in the validation</w:t>
      </w:r>
      <w:r w:rsidR="00DE1B98">
        <w:t xml:space="preserve"> sample had absolute errors lower</w:t>
      </w:r>
      <w:r>
        <w:t xml:space="preserve"> than the minimally important difference value of 0.03, the corres</w:t>
      </w:r>
      <w:r w:rsidR="00AD77DA">
        <w:t>ponding values for the OLS</w:t>
      </w:r>
      <w:r>
        <w:t xml:space="preserve"> </w:t>
      </w:r>
      <w:r w:rsidRPr="00C922FE">
        <w:t xml:space="preserve">3 </w:t>
      </w:r>
      <w:r w:rsidR="00AD77DA">
        <w:t>was 53%. GLM</w:t>
      </w:r>
      <w:r>
        <w:t xml:space="preserve"> 6 remained the preferred model specification when the error thresh</w:t>
      </w:r>
      <w:r w:rsidR="002C5217">
        <w:t xml:space="preserve">old </w:t>
      </w:r>
      <w:r w:rsidR="002C5217" w:rsidRPr="001F0125">
        <w:rPr>
          <w:noProof/>
        </w:rPr>
        <w:t>was extended</w:t>
      </w:r>
      <w:r w:rsidR="002C5217">
        <w:t xml:space="preserve"> to 0.05</w:t>
      </w:r>
      <w:r>
        <w:t>.</w:t>
      </w:r>
    </w:p>
    <w:tbl>
      <w:tblPr>
        <w:tblW w:w="5000" w:type="pct"/>
        <w:tblLook w:val="04A0" w:firstRow="1" w:lastRow="0" w:firstColumn="1" w:lastColumn="0" w:noHBand="0" w:noVBand="1"/>
      </w:tblPr>
      <w:tblGrid>
        <w:gridCol w:w="2979"/>
        <w:gridCol w:w="1025"/>
        <w:gridCol w:w="1309"/>
        <w:gridCol w:w="1311"/>
        <w:gridCol w:w="1309"/>
        <w:gridCol w:w="1309"/>
      </w:tblGrid>
      <w:tr w:rsidR="00102970" w:rsidRPr="00C922FE" w14:paraId="36C9288C" w14:textId="77777777" w:rsidTr="00E82B90">
        <w:trPr>
          <w:trHeight w:val="300"/>
        </w:trPr>
        <w:tc>
          <w:tcPr>
            <w:tcW w:w="5000" w:type="pct"/>
            <w:gridSpan w:val="6"/>
            <w:tcBorders>
              <w:top w:val="nil"/>
              <w:left w:val="nil"/>
              <w:bottom w:val="nil"/>
              <w:right w:val="nil"/>
            </w:tcBorders>
            <w:shd w:val="clear" w:color="000000" w:fill="000000"/>
            <w:noWrap/>
            <w:vAlign w:val="bottom"/>
            <w:hideMark/>
          </w:tcPr>
          <w:p w14:paraId="2CAAFD6E" w14:textId="58DB46A1" w:rsidR="00102970" w:rsidRPr="00C922FE" w:rsidRDefault="00102970" w:rsidP="006A6FB6">
            <w:pPr>
              <w:pStyle w:val="CaptionTable"/>
              <w:rPr>
                <w:rFonts w:ascii="Times New Roman" w:hAnsi="Times New Roman"/>
              </w:rPr>
            </w:pPr>
            <w:r w:rsidRPr="00C922FE">
              <w:rPr>
                <w:rFonts w:ascii="Times New Roman" w:hAnsi="Times New Roman"/>
              </w:rPr>
              <w:lastRenderedPageBreak/>
              <w:t> </w:t>
            </w:r>
            <w:r w:rsidRPr="00355303">
              <w:t> </w:t>
            </w:r>
            <w:bookmarkStart w:id="24" w:name="_Ref475017448"/>
            <w:bookmarkStart w:id="25" w:name="_Toc479177278"/>
            <w:r w:rsidRPr="00355303">
              <w:t xml:space="preserve">Table </w:t>
            </w:r>
            <w:fldSimple w:instr=" SEQ Table \* ARABIC ">
              <w:r w:rsidR="00BF04FD">
                <w:rPr>
                  <w:noProof/>
                </w:rPr>
                <w:t>4</w:t>
              </w:r>
            </w:fldSimple>
            <w:bookmarkEnd w:id="24"/>
            <w:r w:rsidR="003F54E5">
              <w:t xml:space="preserve"> </w:t>
            </w:r>
            <w:r w:rsidRPr="00355303">
              <w:t xml:space="preserve"> </w:t>
            </w:r>
            <w:r w:rsidRPr="003F54E5">
              <w:rPr>
                <w:b w:val="0"/>
              </w:rPr>
              <w:t>Distribution of errors by observed CHU-9D range</w:t>
            </w:r>
            <w:bookmarkEnd w:id="25"/>
          </w:p>
        </w:tc>
      </w:tr>
      <w:tr w:rsidR="00102970" w:rsidRPr="00C922FE" w14:paraId="1D7C0594" w14:textId="77777777" w:rsidTr="00E82B90">
        <w:trPr>
          <w:trHeight w:val="300"/>
        </w:trPr>
        <w:tc>
          <w:tcPr>
            <w:tcW w:w="1612" w:type="pct"/>
            <w:tcBorders>
              <w:top w:val="nil"/>
              <w:left w:val="nil"/>
              <w:bottom w:val="single" w:sz="4" w:space="0" w:color="auto"/>
              <w:right w:val="nil"/>
            </w:tcBorders>
            <w:shd w:val="clear" w:color="000000" w:fill="F2F2F2"/>
            <w:noWrap/>
            <w:vAlign w:val="bottom"/>
            <w:hideMark/>
          </w:tcPr>
          <w:p w14:paraId="5E25568E"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CHU-9D range</w:t>
            </w:r>
          </w:p>
        </w:tc>
        <w:tc>
          <w:tcPr>
            <w:tcW w:w="555" w:type="pct"/>
            <w:tcBorders>
              <w:top w:val="nil"/>
              <w:left w:val="nil"/>
              <w:bottom w:val="single" w:sz="4" w:space="0" w:color="auto"/>
              <w:right w:val="nil"/>
            </w:tcBorders>
            <w:shd w:val="clear" w:color="000000" w:fill="F2F2F2"/>
            <w:noWrap/>
            <w:vAlign w:val="bottom"/>
            <w:hideMark/>
          </w:tcPr>
          <w:p w14:paraId="59765B4D"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1417" w:type="pct"/>
            <w:gridSpan w:val="2"/>
            <w:tcBorders>
              <w:top w:val="nil"/>
              <w:left w:val="nil"/>
              <w:bottom w:val="single" w:sz="4" w:space="0" w:color="auto"/>
              <w:right w:val="nil"/>
            </w:tcBorders>
            <w:shd w:val="clear" w:color="000000" w:fill="F2F2F2"/>
            <w:noWrap/>
            <w:vAlign w:val="bottom"/>
            <w:hideMark/>
          </w:tcPr>
          <w:p w14:paraId="2C999162" w14:textId="77777777" w:rsidR="00102970" w:rsidRPr="00C922FE" w:rsidRDefault="00102970" w:rsidP="006A6FB6">
            <w:pPr>
              <w:keepNext/>
              <w:spacing w:after="0" w:line="240" w:lineRule="auto"/>
              <w:jc w:val="center"/>
              <w:rPr>
                <w:rFonts w:eastAsia="Times New Roman"/>
                <w:color w:val="000000"/>
                <w:sz w:val="18"/>
                <w:szCs w:val="18"/>
                <w:lang w:eastAsia="en-GB"/>
              </w:rPr>
            </w:pPr>
            <w:r>
              <w:rPr>
                <w:rFonts w:eastAsia="Times New Roman"/>
                <w:color w:val="000000"/>
                <w:sz w:val="18"/>
                <w:szCs w:val="18"/>
                <w:lang w:eastAsia="en-GB"/>
              </w:rPr>
              <w:t>GLM_</w:t>
            </w:r>
            <w:r w:rsidRPr="00C922FE">
              <w:rPr>
                <w:rFonts w:eastAsia="Times New Roman"/>
                <w:color w:val="000000"/>
                <w:sz w:val="18"/>
                <w:szCs w:val="18"/>
                <w:lang w:eastAsia="en-GB"/>
              </w:rPr>
              <w:t>6</w:t>
            </w:r>
          </w:p>
        </w:tc>
        <w:tc>
          <w:tcPr>
            <w:tcW w:w="1417" w:type="pct"/>
            <w:gridSpan w:val="2"/>
            <w:tcBorders>
              <w:top w:val="nil"/>
              <w:left w:val="nil"/>
              <w:bottom w:val="single" w:sz="4" w:space="0" w:color="auto"/>
              <w:right w:val="nil"/>
            </w:tcBorders>
            <w:shd w:val="clear" w:color="000000" w:fill="F2F2F2"/>
            <w:noWrap/>
            <w:vAlign w:val="bottom"/>
            <w:hideMark/>
          </w:tcPr>
          <w:p w14:paraId="1A6B3279" w14:textId="77777777" w:rsidR="00102970" w:rsidRPr="00C922FE" w:rsidRDefault="00102970" w:rsidP="006A6FB6">
            <w:pPr>
              <w:keepNext/>
              <w:spacing w:after="0" w:line="240" w:lineRule="auto"/>
              <w:jc w:val="center"/>
              <w:rPr>
                <w:rFonts w:eastAsia="Times New Roman"/>
                <w:color w:val="000000"/>
                <w:sz w:val="18"/>
                <w:szCs w:val="18"/>
                <w:lang w:eastAsia="en-GB"/>
              </w:rPr>
            </w:pPr>
            <w:r>
              <w:rPr>
                <w:rFonts w:eastAsia="Times New Roman"/>
                <w:color w:val="000000"/>
                <w:sz w:val="18"/>
                <w:szCs w:val="18"/>
                <w:lang w:eastAsia="en-GB"/>
              </w:rPr>
              <w:t>OLS_</w:t>
            </w:r>
            <w:r w:rsidRPr="00C922FE">
              <w:rPr>
                <w:rFonts w:eastAsia="Times New Roman"/>
                <w:color w:val="000000"/>
                <w:sz w:val="18"/>
                <w:szCs w:val="18"/>
                <w:lang w:eastAsia="en-GB"/>
              </w:rPr>
              <w:t>3</w:t>
            </w:r>
          </w:p>
        </w:tc>
      </w:tr>
      <w:tr w:rsidR="00102970" w:rsidRPr="00C922FE" w14:paraId="1274C635" w14:textId="77777777" w:rsidTr="00E82B90">
        <w:trPr>
          <w:trHeight w:val="300"/>
        </w:trPr>
        <w:tc>
          <w:tcPr>
            <w:tcW w:w="1612" w:type="pct"/>
            <w:tcBorders>
              <w:top w:val="nil"/>
              <w:left w:val="nil"/>
              <w:bottom w:val="nil"/>
              <w:right w:val="nil"/>
            </w:tcBorders>
            <w:shd w:val="clear" w:color="000000" w:fill="F2F2F2"/>
            <w:noWrap/>
            <w:vAlign w:val="bottom"/>
            <w:hideMark/>
          </w:tcPr>
          <w:p w14:paraId="39EECC64"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555" w:type="pct"/>
            <w:tcBorders>
              <w:top w:val="nil"/>
              <w:left w:val="nil"/>
              <w:bottom w:val="nil"/>
              <w:right w:val="nil"/>
            </w:tcBorders>
            <w:shd w:val="clear" w:color="000000" w:fill="F2F2F2"/>
            <w:noWrap/>
            <w:vAlign w:val="bottom"/>
            <w:hideMark/>
          </w:tcPr>
          <w:p w14:paraId="1923F910"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708" w:type="pct"/>
            <w:tcBorders>
              <w:top w:val="nil"/>
              <w:left w:val="nil"/>
              <w:bottom w:val="single" w:sz="4" w:space="0" w:color="auto"/>
              <w:right w:val="nil"/>
            </w:tcBorders>
            <w:shd w:val="clear" w:color="000000" w:fill="F2F2F2"/>
            <w:noWrap/>
            <w:vAlign w:val="bottom"/>
            <w:hideMark/>
          </w:tcPr>
          <w:p w14:paraId="1416A166"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MSE</w:t>
            </w:r>
          </w:p>
        </w:tc>
        <w:tc>
          <w:tcPr>
            <w:tcW w:w="708" w:type="pct"/>
            <w:tcBorders>
              <w:top w:val="nil"/>
              <w:left w:val="nil"/>
              <w:bottom w:val="single" w:sz="4" w:space="0" w:color="auto"/>
              <w:right w:val="nil"/>
            </w:tcBorders>
            <w:shd w:val="clear" w:color="000000" w:fill="F2F2F2"/>
            <w:noWrap/>
            <w:vAlign w:val="bottom"/>
            <w:hideMark/>
          </w:tcPr>
          <w:p w14:paraId="433A7D94"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MAE</w:t>
            </w:r>
          </w:p>
        </w:tc>
        <w:tc>
          <w:tcPr>
            <w:tcW w:w="708" w:type="pct"/>
            <w:tcBorders>
              <w:top w:val="nil"/>
              <w:left w:val="nil"/>
              <w:bottom w:val="single" w:sz="4" w:space="0" w:color="auto"/>
              <w:right w:val="nil"/>
            </w:tcBorders>
            <w:shd w:val="clear" w:color="000000" w:fill="F2F2F2"/>
            <w:noWrap/>
            <w:vAlign w:val="bottom"/>
            <w:hideMark/>
          </w:tcPr>
          <w:p w14:paraId="35F06118"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MSE</w:t>
            </w:r>
          </w:p>
        </w:tc>
        <w:tc>
          <w:tcPr>
            <w:tcW w:w="708" w:type="pct"/>
            <w:tcBorders>
              <w:top w:val="nil"/>
              <w:left w:val="nil"/>
              <w:bottom w:val="single" w:sz="4" w:space="0" w:color="auto"/>
              <w:right w:val="nil"/>
            </w:tcBorders>
            <w:shd w:val="clear" w:color="000000" w:fill="F2F2F2"/>
            <w:noWrap/>
            <w:vAlign w:val="bottom"/>
            <w:hideMark/>
          </w:tcPr>
          <w:p w14:paraId="61C9B6C0"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MAE</w:t>
            </w:r>
          </w:p>
        </w:tc>
      </w:tr>
      <w:tr w:rsidR="00102970" w:rsidRPr="00C922FE" w14:paraId="19DC5228" w14:textId="77777777" w:rsidTr="00E82B90">
        <w:trPr>
          <w:trHeight w:val="300"/>
        </w:trPr>
        <w:tc>
          <w:tcPr>
            <w:tcW w:w="1612" w:type="pct"/>
            <w:tcBorders>
              <w:top w:val="nil"/>
              <w:left w:val="nil"/>
              <w:bottom w:val="nil"/>
              <w:right w:val="nil"/>
            </w:tcBorders>
            <w:shd w:val="clear" w:color="000000" w:fill="F2F2F2"/>
            <w:noWrap/>
            <w:vAlign w:val="bottom"/>
            <w:hideMark/>
          </w:tcPr>
          <w:p w14:paraId="24E4ACA8" w14:textId="77777777" w:rsidR="00102970" w:rsidRPr="00C922FE" w:rsidRDefault="00102970" w:rsidP="006A6FB6">
            <w:pPr>
              <w:keepNext/>
              <w:spacing w:after="0" w:line="240" w:lineRule="auto"/>
              <w:rPr>
                <w:rFonts w:eastAsia="Times New Roman"/>
                <w:b/>
                <w:bCs/>
                <w:color w:val="000000"/>
                <w:sz w:val="18"/>
                <w:szCs w:val="18"/>
                <w:lang w:eastAsia="en-GB"/>
              </w:rPr>
            </w:pPr>
            <w:r w:rsidRPr="00C922FE">
              <w:rPr>
                <w:rFonts w:eastAsia="Times New Roman"/>
                <w:b/>
                <w:bCs/>
                <w:color w:val="000000"/>
                <w:sz w:val="18"/>
                <w:szCs w:val="18"/>
                <w:lang w:eastAsia="en-GB"/>
              </w:rPr>
              <w:t>Estimation</w:t>
            </w:r>
          </w:p>
        </w:tc>
        <w:tc>
          <w:tcPr>
            <w:tcW w:w="555" w:type="pct"/>
            <w:tcBorders>
              <w:top w:val="nil"/>
              <w:left w:val="nil"/>
              <w:bottom w:val="nil"/>
              <w:right w:val="nil"/>
            </w:tcBorders>
            <w:shd w:val="clear" w:color="000000" w:fill="F2F2F2"/>
            <w:noWrap/>
            <w:vAlign w:val="bottom"/>
            <w:hideMark/>
          </w:tcPr>
          <w:p w14:paraId="73C074DB"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708" w:type="pct"/>
            <w:tcBorders>
              <w:top w:val="nil"/>
              <w:left w:val="nil"/>
              <w:bottom w:val="nil"/>
              <w:right w:val="nil"/>
            </w:tcBorders>
            <w:shd w:val="clear" w:color="000000" w:fill="F2F2F2"/>
            <w:noWrap/>
            <w:vAlign w:val="bottom"/>
            <w:hideMark/>
          </w:tcPr>
          <w:p w14:paraId="394FEEDE"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708" w:type="pct"/>
            <w:tcBorders>
              <w:top w:val="nil"/>
              <w:left w:val="nil"/>
              <w:bottom w:val="nil"/>
              <w:right w:val="nil"/>
            </w:tcBorders>
            <w:shd w:val="clear" w:color="000000" w:fill="F2F2F2"/>
            <w:noWrap/>
            <w:vAlign w:val="bottom"/>
            <w:hideMark/>
          </w:tcPr>
          <w:p w14:paraId="4A8B977C"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708" w:type="pct"/>
            <w:tcBorders>
              <w:top w:val="nil"/>
              <w:left w:val="nil"/>
              <w:bottom w:val="nil"/>
              <w:right w:val="nil"/>
            </w:tcBorders>
            <w:shd w:val="clear" w:color="000000" w:fill="F2F2F2"/>
            <w:noWrap/>
            <w:vAlign w:val="bottom"/>
            <w:hideMark/>
          </w:tcPr>
          <w:p w14:paraId="683F4BE8"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708" w:type="pct"/>
            <w:tcBorders>
              <w:top w:val="nil"/>
              <w:left w:val="nil"/>
              <w:bottom w:val="nil"/>
              <w:right w:val="nil"/>
            </w:tcBorders>
            <w:shd w:val="clear" w:color="000000" w:fill="F2F2F2"/>
            <w:noWrap/>
            <w:vAlign w:val="bottom"/>
            <w:hideMark/>
          </w:tcPr>
          <w:p w14:paraId="5F4FF7A5"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r>
      <w:tr w:rsidR="00102970" w:rsidRPr="00C922FE" w14:paraId="1313C15B" w14:textId="77777777" w:rsidTr="00E82B90">
        <w:trPr>
          <w:trHeight w:val="300"/>
        </w:trPr>
        <w:tc>
          <w:tcPr>
            <w:tcW w:w="1612" w:type="pct"/>
            <w:tcBorders>
              <w:top w:val="nil"/>
              <w:left w:val="nil"/>
              <w:bottom w:val="nil"/>
              <w:right w:val="nil"/>
            </w:tcBorders>
            <w:shd w:val="clear" w:color="000000" w:fill="F2F2F2"/>
            <w:noWrap/>
            <w:vAlign w:val="bottom"/>
            <w:hideMark/>
          </w:tcPr>
          <w:p w14:paraId="34487A82" w14:textId="77777777" w:rsidR="00102970" w:rsidRPr="00C922FE" w:rsidRDefault="00102970" w:rsidP="006A6FB6">
            <w:pPr>
              <w:keepNext/>
              <w:spacing w:after="0" w:line="240" w:lineRule="auto"/>
              <w:ind w:firstLineChars="100" w:firstLine="180"/>
              <w:rPr>
                <w:rFonts w:eastAsia="Times New Roman"/>
                <w:color w:val="000000"/>
                <w:sz w:val="18"/>
                <w:szCs w:val="18"/>
                <w:lang w:eastAsia="en-GB"/>
              </w:rPr>
            </w:pPr>
            <w:r>
              <w:rPr>
                <w:rFonts w:eastAsia="Times New Roman"/>
                <w:color w:val="000000"/>
                <w:sz w:val="18"/>
                <w:szCs w:val="18"/>
                <w:lang w:eastAsia="en-GB"/>
              </w:rPr>
              <w:t>0.5 ≤</w:t>
            </w:r>
            <w:r w:rsidRPr="00C922FE">
              <w:rPr>
                <w:rFonts w:eastAsia="Times New Roman"/>
                <w:color w:val="000000"/>
                <w:sz w:val="18"/>
                <w:szCs w:val="18"/>
                <w:lang w:eastAsia="en-GB"/>
              </w:rPr>
              <w:t xml:space="preserve"> value &lt; 0.6</w:t>
            </w:r>
          </w:p>
        </w:tc>
        <w:tc>
          <w:tcPr>
            <w:tcW w:w="555" w:type="pct"/>
            <w:tcBorders>
              <w:top w:val="nil"/>
              <w:left w:val="nil"/>
              <w:bottom w:val="nil"/>
              <w:right w:val="nil"/>
            </w:tcBorders>
            <w:shd w:val="clear" w:color="000000" w:fill="F2F2F2"/>
            <w:noWrap/>
            <w:vAlign w:val="bottom"/>
            <w:hideMark/>
          </w:tcPr>
          <w:p w14:paraId="5B90ACFC"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n=3</w:t>
            </w:r>
          </w:p>
        </w:tc>
        <w:tc>
          <w:tcPr>
            <w:tcW w:w="708" w:type="pct"/>
            <w:tcBorders>
              <w:top w:val="nil"/>
              <w:left w:val="nil"/>
              <w:bottom w:val="nil"/>
              <w:right w:val="nil"/>
            </w:tcBorders>
            <w:shd w:val="clear" w:color="000000" w:fill="F2F2F2"/>
            <w:noWrap/>
            <w:vAlign w:val="bottom"/>
            <w:hideMark/>
          </w:tcPr>
          <w:p w14:paraId="58491EA1"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0.09443</w:t>
            </w:r>
          </w:p>
        </w:tc>
        <w:tc>
          <w:tcPr>
            <w:tcW w:w="708" w:type="pct"/>
            <w:tcBorders>
              <w:top w:val="nil"/>
              <w:left w:val="nil"/>
              <w:bottom w:val="nil"/>
              <w:right w:val="nil"/>
            </w:tcBorders>
            <w:shd w:val="clear" w:color="000000" w:fill="F2F2F2"/>
            <w:noWrap/>
            <w:vAlign w:val="bottom"/>
            <w:hideMark/>
          </w:tcPr>
          <w:p w14:paraId="0828F396"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0.30095</w:t>
            </w:r>
          </w:p>
        </w:tc>
        <w:tc>
          <w:tcPr>
            <w:tcW w:w="708" w:type="pct"/>
            <w:tcBorders>
              <w:top w:val="nil"/>
              <w:left w:val="nil"/>
              <w:bottom w:val="nil"/>
              <w:right w:val="nil"/>
            </w:tcBorders>
            <w:shd w:val="clear" w:color="000000" w:fill="F2F2F2"/>
            <w:noWrap/>
            <w:vAlign w:val="bottom"/>
            <w:hideMark/>
          </w:tcPr>
          <w:p w14:paraId="261586F4"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0.11168</w:t>
            </w:r>
          </w:p>
        </w:tc>
        <w:tc>
          <w:tcPr>
            <w:tcW w:w="708" w:type="pct"/>
            <w:tcBorders>
              <w:top w:val="nil"/>
              <w:left w:val="nil"/>
              <w:bottom w:val="nil"/>
              <w:right w:val="nil"/>
            </w:tcBorders>
            <w:shd w:val="clear" w:color="000000" w:fill="F2F2F2"/>
            <w:noWrap/>
            <w:vAlign w:val="bottom"/>
            <w:hideMark/>
          </w:tcPr>
          <w:p w14:paraId="22E700BB"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0.33058</w:t>
            </w:r>
          </w:p>
        </w:tc>
      </w:tr>
      <w:tr w:rsidR="00102970" w:rsidRPr="00C922FE" w14:paraId="24B08B71" w14:textId="77777777" w:rsidTr="00E82B90">
        <w:trPr>
          <w:trHeight w:val="300"/>
        </w:trPr>
        <w:tc>
          <w:tcPr>
            <w:tcW w:w="1612" w:type="pct"/>
            <w:tcBorders>
              <w:top w:val="nil"/>
              <w:left w:val="nil"/>
              <w:bottom w:val="nil"/>
              <w:right w:val="nil"/>
            </w:tcBorders>
            <w:shd w:val="clear" w:color="000000" w:fill="F2F2F2"/>
            <w:noWrap/>
            <w:vAlign w:val="bottom"/>
            <w:hideMark/>
          </w:tcPr>
          <w:p w14:paraId="77ED751B" w14:textId="77777777" w:rsidR="00102970" w:rsidRPr="00C922FE" w:rsidRDefault="00102970" w:rsidP="006A6FB6">
            <w:pPr>
              <w:keepNext/>
              <w:spacing w:after="0" w:line="240" w:lineRule="auto"/>
              <w:ind w:firstLineChars="100" w:firstLine="180"/>
              <w:rPr>
                <w:rFonts w:eastAsia="Times New Roman"/>
                <w:color w:val="000000"/>
                <w:sz w:val="18"/>
                <w:szCs w:val="18"/>
                <w:lang w:eastAsia="en-GB"/>
              </w:rPr>
            </w:pPr>
            <w:r w:rsidRPr="00C922FE">
              <w:rPr>
                <w:rFonts w:eastAsia="Times New Roman"/>
                <w:color w:val="000000"/>
                <w:sz w:val="18"/>
                <w:szCs w:val="18"/>
                <w:lang w:eastAsia="en-GB"/>
              </w:rPr>
              <w:t>0.6</w:t>
            </w:r>
            <w:r>
              <w:rPr>
                <w:rFonts w:eastAsia="Times New Roman"/>
                <w:color w:val="000000"/>
                <w:sz w:val="18"/>
                <w:szCs w:val="18"/>
                <w:lang w:eastAsia="en-GB"/>
              </w:rPr>
              <w:t xml:space="preserve"> ≤</w:t>
            </w:r>
            <w:r w:rsidRPr="00C922FE">
              <w:rPr>
                <w:rFonts w:eastAsia="Times New Roman"/>
                <w:color w:val="000000"/>
                <w:sz w:val="18"/>
                <w:szCs w:val="18"/>
                <w:lang w:eastAsia="en-GB"/>
              </w:rPr>
              <w:t xml:space="preserve"> value &lt; 0.7</w:t>
            </w:r>
          </w:p>
        </w:tc>
        <w:tc>
          <w:tcPr>
            <w:tcW w:w="555" w:type="pct"/>
            <w:tcBorders>
              <w:top w:val="nil"/>
              <w:left w:val="nil"/>
              <w:bottom w:val="nil"/>
              <w:right w:val="nil"/>
            </w:tcBorders>
            <w:shd w:val="clear" w:color="000000" w:fill="F2F2F2"/>
            <w:noWrap/>
            <w:vAlign w:val="bottom"/>
            <w:hideMark/>
          </w:tcPr>
          <w:p w14:paraId="6BB27DB9"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n=6</w:t>
            </w:r>
          </w:p>
        </w:tc>
        <w:tc>
          <w:tcPr>
            <w:tcW w:w="708" w:type="pct"/>
            <w:tcBorders>
              <w:top w:val="nil"/>
              <w:left w:val="nil"/>
              <w:bottom w:val="nil"/>
              <w:right w:val="nil"/>
            </w:tcBorders>
            <w:shd w:val="clear" w:color="000000" w:fill="F2F2F2"/>
            <w:noWrap/>
            <w:vAlign w:val="bottom"/>
            <w:hideMark/>
          </w:tcPr>
          <w:p w14:paraId="398E1838"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0.01873</w:t>
            </w:r>
          </w:p>
        </w:tc>
        <w:tc>
          <w:tcPr>
            <w:tcW w:w="708" w:type="pct"/>
            <w:tcBorders>
              <w:top w:val="nil"/>
              <w:left w:val="nil"/>
              <w:bottom w:val="nil"/>
              <w:right w:val="nil"/>
            </w:tcBorders>
            <w:shd w:val="clear" w:color="000000" w:fill="F2F2F2"/>
            <w:noWrap/>
            <w:vAlign w:val="bottom"/>
            <w:hideMark/>
          </w:tcPr>
          <w:p w14:paraId="1B43F97B"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0.12096</w:t>
            </w:r>
          </w:p>
        </w:tc>
        <w:tc>
          <w:tcPr>
            <w:tcW w:w="708" w:type="pct"/>
            <w:tcBorders>
              <w:top w:val="nil"/>
              <w:left w:val="nil"/>
              <w:bottom w:val="nil"/>
              <w:right w:val="nil"/>
            </w:tcBorders>
            <w:shd w:val="clear" w:color="000000" w:fill="F2F2F2"/>
            <w:noWrap/>
            <w:vAlign w:val="bottom"/>
            <w:hideMark/>
          </w:tcPr>
          <w:p w14:paraId="19C6B50F"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0.02823</w:t>
            </w:r>
          </w:p>
        </w:tc>
        <w:tc>
          <w:tcPr>
            <w:tcW w:w="708" w:type="pct"/>
            <w:tcBorders>
              <w:top w:val="nil"/>
              <w:left w:val="nil"/>
              <w:bottom w:val="nil"/>
              <w:right w:val="nil"/>
            </w:tcBorders>
            <w:shd w:val="clear" w:color="000000" w:fill="F2F2F2"/>
            <w:noWrap/>
            <w:vAlign w:val="bottom"/>
            <w:hideMark/>
          </w:tcPr>
          <w:p w14:paraId="771CBDF6"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0.16497</w:t>
            </w:r>
          </w:p>
        </w:tc>
      </w:tr>
      <w:tr w:rsidR="00102970" w:rsidRPr="00C922FE" w14:paraId="0FED2D63" w14:textId="77777777" w:rsidTr="00E82B90">
        <w:trPr>
          <w:trHeight w:val="300"/>
        </w:trPr>
        <w:tc>
          <w:tcPr>
            <w:tcW w:w="1612" w:type="pct"/>
            <w:tcBorders>
              <w:top w:val="nil"/>
              <w:left w:val="nil"/>
              <w:bottom w:val="nil"/>
              <w:right w:val="nil"/>
            </w:tcBorders>
            <w:shd w:val="clear" w:color="000000" w:fill="F2F2F2"/>
            <w:noWrap/>
            <w:vAlign w:val="bottom"/>
            <w:hideMark/>
          </w:tcPr>
          <w:p w14:paraId="23E2384F" w14:textId="77777777" w:rsidR="00102970" w:rsidRPr="00C922FE" w:rsidRDefault="00102970" w:rsidP="006A6FB6">
            <w:pPr>
              <w:keepNext/>
              <w:spacing w:after="0" w:line="240" w:lineRule="auto"/>
              <w:ind w:firstLineChars="100" w:firstLine="180"/>
              <w:rPr>
                <w:rFonts w:eastAsia="Times New Roman"/>
                <w:color w:val="000000"/>
                <w:sz w:val="18"/>
                <w:szCs w:val="18"/>
                <w:lang w:eastAsia="en-GB"/>
              </w:rPr>
            </w:pPr>
            <w:r w:rsidRPr="00C922FE">
              <w:rPr>
                <w:rFonts w:eastAsia="Times New Roman"/>
                <w:color w:val="000000"/>
                <w:sz w:val="18"/>
                <w:szCs w:val="18"/>
                <w:lang w:eastAsia="en-GB"/>
              </w:rPr>
              <w:t>0.7</w:t>
            </w:r>
            <w:r>
              <w:rPr>
                <w:rFonts w:eastAsia="Times New Roman"/>
                <w:color w:val="000000"/>
                <w:sz w:val="18"/>
                <w:szCs w:val="18"/>
                <w:lang w:eastAsia="en-GB"/>
              </w:rPr>
              <w:t xml:space="preserve"> ≤</w:t>
            </w:r>
            <w:r w:rsidRPr="00C922FE">
              <w:rPr>
                <w:rFonts w:eastAsia="Times New Roman"/>
                <w:color w:val="000000"/>
                <w:sz w:val="18"/>
                <w:szCs w:val="18"/>
                <w:lang w:eastAsia="en-GB"/>
              </w:rPr>
              <w:t xml:space="preserve"> value &lt; 0.8</w:t>
            </w:r>
          </w:p>
        </w:tc>
        <w:tc>
          <w:tcPr>
            <w:tcW w:w="555" w:type="pct"/>
            <w:tcBorders>
              <w:top w:val="nil"/>
              <w:left w:val="nil"/>
              <w:bottom w:val="nil"/>
              <w:right w:val="nil"/>
            </w:tcBorders>
            <w:shd w:val="clear" w:color="000000" w:fill="F2F2F2"/>
            <w:noWrap/>
            <w:vAlign w:val="bottom"/>
            <w:hideMark/>
          </w:tcPr>
          <w:p w14:paraId="3896E267" w14:textId="303CA10B"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n=11</w:t>
            </w:r>
          </w:p>
        </w:tc>
        <w:tc>
          <w:tcPr>
            <w:tcW w:w="708" w:type="pct"/>
            <w:tcBorders>
              <w:top w:val="nil"/>
              <w:left w:val="nil"/>
              <w:bottom w:val="nil"/>
              <w:right w:val="nil"/>
            </w:tcBorders>
            <w:shd w:val="clear" w:color="000000" w:fill="F2F2F2"/>
            <w:noWrap/>
            <w:vAlign w:val="bottom"/>
            <w:hideMark/>
          </w:tcPr>
          <w:p w14:paraId="0F7849A3"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0.00726</w:t>
            </w:r>
          </w:p>
        </w:tc>
        <w:tc>
          <w:tcPr>
            <w:tcW w:w="708" w:type="pct"/>
            <w:tcBorders>
              <w:top w:val="nil"/>
              <w:left w:val="nil"/>
              <w:bottom w:val="nil"/>
              <w:right w:val="nil"/>
            </w:tcBorders>
            <w:shd w:val="clear" w:color="000000" w:fill="F2F2F2"/>
            <w:noWrap/>
            <w:vAlign w:val="bottom"/>
            <w:hideMark/>
          </w:tcPr>
          <w:p w14:paraId="14AD98E1"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0.07674</w:t>
            </w:r>
          </w:p>
        </w:tc>
        <w:tc>
          <w:tcPr>
            <w:tcW w:w="708" w:type="pct"/>
            <w:tcBorders>
              <w:top w:val="nil"/>
              <w:left w:val="nil"/>
              <w:bottom w:val="nil"/>
              <w:right w:val="nil"/>
            </w:tcBorders>
            <w:shd w:val="clear" w:color="000000" w:fill="F2F2F2"/>
            <w:noWrap/>
            <w:vAlign w:val="bottom"/>
            <w:hideMark/>
          </w:tcPr>
          <w:p w14:paraId="62CEBF16"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0.00988</w:t>
            </w:r>
          </w:p>
        </w:tc>
        <w:tc>
          <w:tcPr>
            <w:tcW w:w="708" w:type="pct"/>
            <w:tcBorders>
              <w:top w:val="nil"/>
              <w:left w:val="nil"/>
              <w:bottom w:val="nil"/>
              <w:right w:val="nil"/>
            </w:tcBorders>
            <w:shd w:val="clear" w:color="000000" w:fill="F2F2F2"/>
            <w:noWrap/>
            <w:vAlign w:val="bottom"/>
            <w:hideMark/>
          </w:tcPr>
          <w:p w14:paraId="3085968B"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0.09602</w:t>
            </w:r>
          </w:p>
        </w:tc>
      </w:tr>
      <w:tr w:rsidR="00102970" w:rsidRPr="00C922FE" w14:paraId="64EECF62" w14:textId="77777777" w:rsidTr="00E82B90">
        <w:trPr>
          <w:trHeight w:val="300"/>
        </w:trPr>
        <w:tc>
          <w:tcPr>
            <w:tcW w:w="1612" w:type="pct"/>
            <w:tcBorders>
              <w:top w:val="nil"/>
              <w:left w:val="nil"/>
              <w:bottom w:val="nil"/>
              <w:right w:val="nil"/>
            </w:tcBorders>
            <w:shd w:val="clear" w:color="000000" w:fill="F2F2F2"/>
            <w:noWrap/>
            <w:vAlign w:val="bottom"/>
            <w:hideMark/>
          </w:tcPr>
          <w:p w14:paraId="18F2EF1B" w14:textId="77777777" w:rsidR="00102970" w:rsidRPr="00C922FE" w:rsidRDefault="00102970" w:rsidP="006A6FB6">
            <w:pPr>
              <w:keepNext/>
              <w:spacing w:after="0" w:line="240" w:lineRule="auto"/>
              <w:ind w:firstLineChars="100" w:firstLine="180"/>
              <w:rPr>
                <w:rFonts w:eastAsia="Times New Roman"/>
                <w:color w:val="000000"/>
                <w:sz w:val="18"/>
                <w:szCs w:val="18"/>
                <w:lang w:eastAsia="en-GB"/>
              </w:rPr>
            </w:pPr>
            <w:r>
              <w:rPr>
                <w:rFonts w:eastAsia="Times New Roman"/>
                <w:color w:val="000000"/>
                <w:sz w:val="18"/>
                <w:szCs w:val="18"/>
                <w:lang w:eastAsia="en-GB"/>
              </w:rPr>
              <w:t>0.8 ≤</w:t>
            </w:r>
            <w:r w:rsidRPr="00C922FE">
              <w:rPr>
                <w:rFonts w:eastAsia="Times New Roman"/>
                <w:color w:val="000000"/>
                <w:sz w:val="18"/>
                <w:szCs w:val="18"/>
                <w:lang w:eastAsia="en-GB"/>
              </w:rPr>
              <w:t xml:space="preserve">  value &lt; 0.9</w:t>
            </w:r>
          </w:p>
        </w:tc>
        <w:tc>
          <w:tcPr>
            <w:tcW w:w="555" w:type="pct"/>
            <w:tcBorders>
              <w:top w:val="nil"/>
              <w:left w:val="nil"/>
              <w:bottom w:val="nil"/>
              <w:right w:val="nil"/>
            </w:tcBorders>
            <w:shd w:val="clear" w:color="000000" w:fill="F2F2F2"/>
            <w:noWrap/>
            <w:vAlign w:val="bottom"/>
            <w:hideMark/>
          </w:tcPr>
          <w:p w14:paraId="3ACBA4DE"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n=49</w:t>
            </w:r>
          </w:p>
        </w:tc>
        <w:tc>
          <w:tcPr>
            <w:tcW w:w="708" w:type="pct"/>
            <w:tcBorders>
              <w:top w:val="nil"/>
              <w:left w:val="nil"/>
              <w:bottom w:val="nil"/>
              <w:right w:val="nil"/>
            </w:tcBorders>
            <w:shd w:val="clear" w:color="000000" w:fill="F2F2F2"/>
            <w:noWrap/>
            <w:vAlign w:val="bottom"/>
            <w:hideMark/>
          </w:tcPr>
          <w:p w14:paraId="3180AC1F"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0.00301</w:t>
            </w:r>
          </w:p>
        </w:tc>
        <w:tc>
          <w:tcPr>
            <w:tcW w:w="708" w:type="pct"/>
            <w:tcBorders>
              <w:top w:val="nil"/>
              <w:left w:val="nil"/>
              <w:bottom w:val="nil"/>
              <w:right w:val="nil"/>
            </w:tcBorders>
            <w:shd w:val="clear" w:color="000000" w:fill="F2F2F2"/>
            <w:noWrap/>
            <w:vAlign w:val="bottom"/>
            <w:hideMark/>
          </w:tcPr>
          <w:p w14:paraId="3057E213"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0.04441</w:t>
            </w:r>
          </w:p>
        </w:tc>
        <w:tc>
          <w:tcPr>
            <w:tcW w:w="708" w:type="pct"/>
            <w:tcBorders>
              <w:top w:val="nil"/>
              <w:left w:val="nil"/>
              <w:bottom w:val="nil"/>
              <w:right w:val="nil"/>
            </w:tcBorders>
            <w:shd w:val="clear" w:color="000000" w:fill="F2F2F2"/>
            <w:noWrap/>
            <w:vAlign w:val="bottom"/>
            <w:hideMark/>
          </w:tcPr>
          <w:p w14:paraId="3688D150"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0.00259</w:t>
            </w:r>
          </w:p>
        </w:tc>
        <w:tc>
          <w:tcPr>
            <w:tcW w:w="708" w:type="pct"/>
            <w:tcBorders>
              <w:top w:val="nil"/>
              <w:left w:val="nil"/>
              <w:bottom w:val="nil"/>
              <w:right w:val="nil"/>
            </w:tcBorders>
            <w:shd w:val="clear" w:color="000000" w:fill="F2F2F2"/>
            <w:noWrap/>
            <w:vAlign w:val="bottom"/>
            <w:hideMark/>
          </w:tcPr>
          <w:p w14:paraId="39D2BECF"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0.04034</w:t>
            </w:r>
          </w:p>
        </w:tc>
      </w:tr>
      <w:tr w:rsidR="00102970" w:rsidRPr="00C922FE" w14:paraId="3C84D673" w14:textId="77777777" w:rsidTr="00E82B90">
        <w:trPr>
          <w:trHeight w:val="300"/>
        </w:trPr>
        <w:tc>
          <w:tcPr>
            <w:tcW w:w="1612" w:type="pct"/>
            <w:tcBorders>
              <w:top w:val="nil"/>
              <w:left w:val="nil"/>
              <w:bottom w:val="nil"/>
              <w:right w:val="nil"/>
            </w:tcBorders>
            <w:shd w:val="clear" w:color="000000" w:fill="F2F2F2"/>
            <w:noWrap/>
            <w:vAlign w:val="bottom"/>
            <w:hideMark/>
          </w:tcPr>
          <w:p w14:paraId="3896C7AE" w14:textId="7D10DA2F" w:rsidR="00102970" w:rsidRPr="00C922FE" w:rsidRDefault="00102970" w:rsidP="006A6FB6">
            <w:pPr>
              <w:keepNext/>
              <w:spacing w:after="0" w:line="240" w:lineRule="auto"/>
              <w:ind w:firstLineChars="100" w:firstLine="180"/>
              <w:rPr>
                <w:rFonts w:eastAsia="Times New Roman"/>
                <w:color w:val="000000"/>
                <w:sz w:val="18"/>
                <w:szCs w:val="18"/>
                <w:lang w:eastAsia="en-GB"/>
              </w:rPr>
            </w:pPr>
            <w:r>
              <w:rPr>
                <w:rFonts w:eastAsia="Times New Roman"/>
                <w:color w:val="000000"/>
                <w:sz w:val="18"/>
                <w:szCs w:val="18"/>
                <w:lang w:eastAsia="en-GB"/>
              </w:rPr>
              <w:t>0.9 ≤</w:t>
            </w:r>
            <w:r w:rsidR="00AD77DA">
              <w:rPr>
                <w:rFonts w:eastAsia="Times New Roman"/>
                <w:color w:val="000000"/>
                <w:sz w:val="18"/>
                <w:szCs w:val="18"/>
                <w:lang w:eastAsia="en-GB"/>
              </w:rPr>
              <w:t xml:space="preserve">  value &lt; 1.0</w:t>
            </w:r>
          </w:p>
        </w:tc>
        <w:tc>
          <w:tcPr>
            <w:tcW w:w="555" w:type="pct"/>
            <w:tcBorders>
              <w:top w:val="nil"/>
              <w:left w:val="nil"/>
              <w:bottom w:val="nil"/>
              <w:right w:val="nil"/>
            </w:tcBorders>
            <w:shd w:val="clear" w:color="000000" w:fill="F2F2F2"/>
            <w:noWrap/>
            <w:vAlign w:val="bottom"/>
            <w:hideMark/>
          </w:tcPr>
          <w:p w14:paraId="0B773954"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n=111</w:t>
            </w:r>
          </w:p>
        </w:tc>
        <w:tc>
          <w:tcPr>
            <w:tcW w:w="708" w:type="pct"/>
            <w:tcBorders>
              <w:top w:val="nil"/>
              <w:left w:val="nil"/>
              <w:bottom w:val="nil"/>
              <w:right w:val="nil"/>
            </w:tcBorders>
            <w:shd w:val="clear" w:color="000000" w:fill="F2F2F2"/>
            <w:noWrap/>
            <w:vAlign w:val="bottom"/>
            <w:hideMark/>
          </w:tcPr>
          <w:p w14:paraId="77DEFA31"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0.00154</w:t>
            </w:r>
          </w:p>
        </w:tc>
        <w:tc>
          <w:tcPr>
            <w:tcW w:w="708" w:type="pct"/>
            <w:tcBorders>
              <w:top w:val="nil"/>
              <w:left w:val="nil"/>
              <w:bottom w:val="nil"/>
              <w:right w:val="nil"/>
            </w:tcBorders>
            <w:shd w:val="clear" w:color="000000" w:fill="F2F2F2"/>
            <w:noWrap/>
            <w:vAlign w:val="bottom"/>
            <w:hideMark/>
          </w:tcPr>
          <w:p w14:paraId="40313039"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0.02853</w:t>
            </w:r>
          </w:p>
        </w:tc>
        <w:tc>
          <w:tcPr>
            <w:tcW w:w="708" w:type="pct"/>
            <w:tcBorders>
              <w:top w:val="nil"/>
              <w:left w:val="nil"/>
              <w:bottom w:val="nil"/>
              <w:right w:val="nil"/>
            </w:tcBorders>
            <w:shd w:val="clear" w:color="000000" w:fill="F2F2F2"/>
            <w:noWrap/>
            <w:vAlign w:val="bottom"/>
            <w:hideMark/>
          </w:tcPr>
          <w:p w14:paraId="3A13CF4D"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0.00155</w:t>
            </w:r>
          </w:p>
        </w:tc>
        <w:tc>
          <w:tcPr>
            <w:tcW w:w="708" w:type="pct"/>
            <w:tcBorders>
              <w:top w:val="nil"/>
              <w:left w:val="nil"/>
              <w:bottom w:val="nil"/>
              <w:right w:val="nil"/>
            </w:tcBorders>
            <w:shd w:val="clear" w:color="000000" w:fill="F2F2F2"/>
            <w:noWrap/>
            <w:vAlign w:val="bottom"/>
            <w:hideMark/>
          </w:tcPr>
          <w:p w14:paraId="25049996"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0.03015</w:t>
            </w:r>
          </w:p>
        </w:tc>
      </w:tr>
      <w:tr w:rsidR="00102970" w:rsidRPr="00C922FE" w14:paraId="38EA53C2" w14:textId="77777777" w:rsidTr="00E82B90">
        <w:trPr>
          <w:trHeight w:val="300"/>
        </w:trPr>
        <w:tc>
          <w:tcPr>
            <w:tcW w:w="1612" w:type="pct"/>
            <w:tcBorders>
              <w:top w:val="nil"/>
              <w:left w:val="nil"/>
              <w:bottom w:val="nil"/>
              <w:right w:val="nil"/>
            </w:tcBorders>
            <w:shd w:val="clear" w:color="000000" w:fill="F2F2F2"/>
            <w:noWrap/>
            <w:vAlign w:val="bottom"/>
            <w:hideMark/>
          </w:tcPr>
          <w:p w14:paraId="4F23D424" w14:textId="77777777" w:rsidR="00102970" w:rsidRPr="00C922FE" w:rsidRDefault="00102970" w:rsidP="006A6FB6">
            <w:pPr>
              <w:keepNext/>
              <w:spacing w:after="0" w:line="240" w:lineRule="auto"/>
              <w:ind w:firstLineChars="100" w:firstLine="180"/>
              <w:rPr>
                <w:rFonts w:eastAsia="Times New Roman"/>
                <w:color w:val="000000"/>
                <w:sz w:val="18"/>
                <w:szCs w:val="18"/>
                <w:lang w:eastAsia="en-GB"/>
              </w:rPr>
            </w:pPr>
            <w:r w:rsidRPr="00C922FE">
              <w:rPr>
                <w:rFonts w:eastAsia="Times New Roman"/>
                <w:color w:val="000000"/>
                <w:sz w:val="18"/>
                <w:szCs w:val="18"/>
                <w:lang w:eastAsia="en-GB"/>
              </w:rPr>
              <w:t>Full health</w:t>
            </w:r>
          </w:p>
        </w:tc>
        <w:tc>
          <w:tcPr>
            <w:tcW w:w="555" w:type="pct"/>
            <w:tcBorders>
              <w:top w:val="nil"/>
              <w:left w:val="nil"/>
              <w:bottom w:val="nil"/>
              <w:right w:val="nil"/>
            </w:tcBorders>
            <w:shd w:val="clear" w:color="000000" w:fill="F2F2F2"/>
            <w:noWrap/>
            <w:vAlign w:val="bottom"/>
            <w:hideMark/>
          </w:tcPr>
          <w:p w14:paraId="2C8E452B"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n=102</w:t>
            </w:r>
          </w:p>
        </w:tc>
        <w:tc>
          <w:tcPr>
            <w:tcW w:w="708" w:type="pct"/>
            <w:tcBorders>
              <w:top w:val="nil"/>
              <w:left w:val="nil"/>
              <w:bottom w:val="nil"/>
              <w:right w:val="nil"/>
            </w:tcBorders>
            <w:shd w:val="clear" w:color="000000" w:fill="F2F2F2"/>
            <w:noWrap/>
            <w:vAlign w:val="bottom"/>
            <w:hideMark/>
          </w:tcPr>
          <w:p w14:paraId="69003F29"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0.00242</w:t>
            </w:r>
          </w:p>
        </w:tc>
        <w:tc>
          <w:tcPr>
            <w:tcW w:w="708" w:type="pct"/>
            <w:tcBorders>
              <w:top w:val="nil"/>
              <w:left w:val="nil"/>
              <w:bottom w:val="nil"/>
              <w:right w:val="nil"/>
            </w:tcBorders>
            <w:shd w:val="clear" w:color="000000" w:fill="F2F2F2"/>
            <w:noWrap/>
            <w:vAlign w:val="bottom"/>
            <w:hideMark/>
          </w:tcPr>
          <w:p w14:paraId="4983FF1B"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0.03847</w:t>
            </w:r>
          </w:p>
        </w:tc>
        <w:tc>
          <w:tcPr>
            <w:tcW w:w="708" w:type="pct"/>
            <w:tcBorders>
              <w:top w:val="nil"/>
              <w:left w:val="nil"/>
              <w:bottom w:val="nil"/>
              <w:right w:val="nil"/>
            </w:tcBorders>
            <w:shd w:val="clear" w:color="000000" w:fill="F2F2F2"/>
            <w:noWrap/>
            <w:vAlign w:val="bottom"/>
            <w:hideMark/>
          </w:tcPr>
          <w:p w14:paraId="67DE8845"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0.00279</w:t>
            </w:r>
          </w:p>
        </w:tc>
        <w:tc>
          <w:tcPr>
            <w:tcW w:w="708" w:type="pct"/>
            <w:tcBorders>
              <w:top w:val="nil"/>
              <w:left w:val="nil"/>
              <w:bottom w:val="nil"/>
              <w:right w:val="nil"/>
            </w:tcBorders>
            <w:shd w:val="clear" w:color="000000" w:fill="F2F2F2"/>
            <w:noWrap/>
            <w:vAlign w:val="bottom"/>
            <w:hideMark/>
          </w:tcPr>
          <w:p w14:paraId="5F1EBA9F"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0.03899</w:t>
            </w:r>
          </w:p>
        </w:tc>
      </w:tr>
      <w:tr w:rsidR="00102970" w:rsidRPr="00C922FE" w14:paraId="25437F4D" w14:textId="77777777" w:rsidTr="00E82B90">
        <w:trPr>
          <w:trHeight w:val="300"/>
        </w:trPr>
        <w:tc>
          <w:tcPr>
            <w:tcW w:w="1612" w:type="pct"/>
            <w:tcBorders>
              <w:top w:val="nil"/>
              <w:left w:val="nil"/>
              <w:bottom w:val="nil"/>
              <w:right w:val="nil"/>
            </w:tcBorders>
            <w:shd w:val="clear" w:color="000000" w:fill="F2F2F2"/>
            <w:noWrap/>
            <w:vAlign w:val="bottom"/>
            <w:hideMark/>
          </w:tcPr>
          <w:p w14:paraId="109C05D5" w14:textId="77777777" w:rsidR="00102970" w:rsidRPr="00C922FE" w:rsidRDefault="00102970" w:rsidP="006A6FB6">
            <w:pPr>
              <w:keepNext/>
              <w:spacing w:after="0" w:line="240" w:lineRule="auto"/>
              <w:rPr>
                <w:rFonts w:eastAsia="Times New Roman"/>
                <w:b/>
                <w:color w:val="000000"/>
                <w:sz w:val="18"/>
                <w:szCs w:val="18"/>
                <w:lang w:eastAsia="en-GB"/>
              </w:rPr>
            </w:pPr>
            <w:r w:rsidRPr="00C922FE">
              <w:rPr>
                <w:rFonts w:eastAsia="Times New Roman"/>
                <w:b/>
                <w:color w:val="000000"/>
                <w:sz w:val="18"/>
                <w:szCs w:val="18"/>
                <w:lang w:eastAsia="en-GB"/>
              </w:rPr>
              <w:t>Validation</w:t>
            </w:r>
          </w:p>
        </w:tc>
        <w:tc>
          <w:tcPr>
            <w:tcW w:w="555" w:type="pct"/>
            <w:tcBorders>
              <w:top w:val="nil"/>
              <w:left w:val="nil"/>
              <w:bottom w:val="nil"/>
              <w:right w:val="nil"/>
            </w:tcBorders>
            <w:shd w:val="clear" w:color="000000" w:fill="F2F2F2"/>
            <w:noWrap/>
            <w:vAlign w:val="bottom"/>
            <w:hideMark/>
          </w:tcPr>
          <w:p w14:paraId="4C987360"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708" w:type="pct"/>
            <w:tcBorders>
              <w:top w:val="nil"/>
              <w:left w:val="nil"/>
              <w:bottom w:val="nil"/>
              <w:right w:val="nil"/>
            </w:tcBorders>
            <w:shd w:val="clear" w:color="000000" w:fill="F2F2F2"/>
            <w:noWrap/>
            <w:vAlign w:val="bottom"/>
            <w:hideMark/>
          </w:tcPr>
          <w:p w14:paraId="0F8F1028"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708" w:type="pct"/>
            <w:tcBorders>
              <w:top w:val="nil"/>
              <w:left w:val="nil"/>
              <w:bottom w:val="nil"/>
              <w:right w:val="nil"/>
            </w:tcBorders>
            <w:shd w:val="clear" w:color="000000" w:fill="F2F2F2"/>
            <w:noWrap/>
            <w:vAlign w:val="bottom"/>
            <w:hideMark/>
          </w:tcPr>
          <w:p w14:paraId="7E6B7FAE"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708" w:type="pct"/>
            <w:tcBorders>
              <w:top w:val="nil"/>
              <w:left w:val="nil"/>
              <w:bottom w:val="nil"/>
              <w:right w:val="nil"/>
            </w:tcBorders>
            <w:shd w:val="clear" w:color="000000" w:fill="F2F2F2"/>
            <w:noWrap/>
            <w:vAlign w:val="bottom"/>
            <w:hideMark/>
          </w:tcPr>
          <w:p w14:paraId="7D0E3C67"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c>
          <w:tcPr>
            <w:tcW w:w="708" w:type="pct"/>
            <w:tcBorders>
              <w:top w:val="nil"/>
              <w:left w:val="nil"/>
              <w:bottom w:val="nil"/>
              <w:right w:val="nil"/>
            </w:tcBorders>
            <w:shd w:val="clear" w:color="000000" w:fill="F2F2F2"/>
            <w:noWrap/>
            <w:vAlign w:val="bottom"/>
            <w:hideMark/>
          </w:tcPr>
          <w:p w14:paraId="263047E9"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w:t>
            </w:r>
          </w:p>
        </w:tc>
      </w:tr>
      <w:tr w:rsidR="00102970" w:rsidRPr="00C922FE" w14:paraId="06884F31" w14:textId="77777777" w:rsidTr="00E82B90">
        <w:trPr>
          <w:trHeight w:val="300"/>
        </w:trPr>
        <w:tc>
          <w:tcPr>
            <w:tcW w:w="1612" w:type="pct"/>
            <w:tcBorders>
              <w:top w:val="nil"/>
              <w:left w:val="nil"/>
              <w:bottom w:val="nil"/>
              <w:right w:val="nil"/>
            </w:tcBorders>
            <w:shd w:val="clear" w:color="000000" w:fill="F2F2F2"/>
            <w:noWrap/>
            <w:vAlign w:val="bottom"/>
            <w:hideMark/>
          </w:tcPr>
          <w:p w14:paraId="297775A8" w14:textId="77777777" w:rsidR="00102970" w:rsidRPr="00C922FE" w:rsidRDefault="00102970" w:rsidP="006A6FB6">
            <w:pPr>
              <w:keepNext/>
              <w:spacing w:after="0" w:line="240" w:lineRule="auto"/>
              <w:ind w:firstLineChars="100" w:firstLine="180"/>
              <w:rPr>
                <w:rFonts w:eastAsia="Times New Roman"/>
                <w:color w:val="000000"/>
                <w:sz w:val="18"/>
                <w:szCs w:val="18"/>
                <w:lang w:eastAsia="en-GB"/>
              </w:rPr>
            </w:pPr>
            <w:r>
              <w:rPr>
                <w:rFonts w:eastAsia="Times New Roman"/>
                <w:color w:val="000000"/>
                <w:sz w:val="18"/>
                <w:szCs w:val="18"/>
                <w:lang w:eastAsia="en-GB"/>
              </w:rPr>
              <w:t>0.6 ≤</w:t>
            </w:r>
            <w:r w:rsidRPr="00C922FE">
              <w:rPr>
                <w:rFonts w:eastAsia="Times New Roman"/>
                <w:color w:val="000000"/>
                <w:sz w:val="18"/>
                <w:szCs w:val="18"/>
                <w:lang w:eastAsia="en-GB"/>
              </w:rPr>
              <w:t xml:space="preserve">  value &lt; 0.7</w:t>
            </w:r>
          </w:p>
        </w:tc>
        <w:tc>
          <w:tcPr>
            <w:tcW w:w="555" w:type="pct"/>
            <w:tcBorders>
              <w:top w:val="nil"/>
              <w:left w:val="nil"/>
              <w:bottom w:val="nil"/>
              <w:right w:val="nil"/>
            </w:tcBorders>
            <w:shd w:val="clear" w:color="000000" w:fill="F2F2F2"/>
            <w:noWrap/>
            <w:vAlign w:val="bottom"/>
            <w:hideMark/>
          </w:tcPr>
          <w:p w14:paraId="66E968D9"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n=3</w:t>
            </w:r>
          </w:p>
        </w:tc>
        <w:tc>
          <w:tcPr>
            <w:tcW w:w="708" w:type="pct"/>
            <w:tcBorders>
              <w:top w:val="nil"/>
              <w:left w:val="nil"/>
              <w:bottom w:val="nil"/>
              <w:right w:val="nil"/>
            </w:tcBorders>
            <w:shd w:val="clear" w:color="000000" w:fill="F2F2F2"/>
            <w:noWrap/>
            <w:vAlign w:val="bottom"/>
            <w:hideMark/>
          </w:tcPr>
          <w:p w14:paraId="23683D3A"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0.05502</w:t>
            </w:r>
          </w:p>
        </w:tc>
        <w:tc>
          <w:tcPr>
            <w:tcW w:w="708" w:type="pct"/>
            <w:tcBorders>
              <w:top w:val="nil"/>
              <w:left w:val="nil"/>
              <w:bottom w:val="nil"/>
              <w:right w:val="nil"/>
            </w:tcBorders>
            <w:shd w:val="clear" w:color="000000" w:fill="F2F2F2"/>
            <w:noWrap/>
            <w:vAlign w:val="bottom"/>
            <w:hideMark/>
          </w:tcPr>
          <w:p w14:paraId="71019F3A"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0.23049</w:t>
            </w:r>
          </w:p>
        </w:tc>
        <w:tc>
          <w:tcPr>
            <w:tcW w:w="708" w:type="pct"/>
            <w:tcBorders>
              <w:top w:val="nil"/>
              <w:left w:val="nil"/>
              <w:bottom w:val="nil"/>
              <w:right w:val="nil"/>
            </w:tcBorders>
            <w:shd w:val="clear" w:color="000000" w:fill="F2F2F2"/>
            <w:noWrap/>
            <w:vAlign w:val="bottom"/>
            <w:hideMark/>
          </w:tcPr>
          <w:p w14:paraId="66466702"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0.05277</w:t>
            </w:r>
          </w:p>
        </w:tc>
        <w:tc>
          <w:tcPr>
            <w:tcW w:w="708" w:type="pct"/>
            <w:tcBorders>
              <w:top w:val="nil"/>
              <w:left w:val="nil"/>
              <w:bottom w:val="nil"/>
              <w:right w:val="nil"/>
            </w:tcBorders>
            <w:shd w:val="clear" w:color="000000" w:fill="F2F2F2"/>
            <w:noWrap/>
            <w:vAlign w:val="bottom"/>
            <w:hideMark/>
          </w:tcPr>
          <w:p w14:paraId="35EAA9FE"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0.22693</w:t>
            </w:r>
          </w:p>
        </w:tc>
      </w:tr>
      <w:tr w:rsidR="00102970" w:rsidRPr="00C922FE" w14:paraId="721B2AA7" w14:textId="77777777" w:rsidTr="00E82B90">
        <w:trPr>
          <w:trHeight w:val="300"/>
        </w:trPr>
        <w:tc>
          <w:tcPr>
            <w:tcW w:w="1612" w:type="pct"/>
            <w:tcBorders>
              <w:top w:val="nil"/>
              <w:left w:val="nil"/>
              <w:bottom w:val="nil"/>
              <w:right w:val="nil"/>
            </w:tcBorders>
            <w:shd w:val="clear" w:color="000000" w:fill="F2F2F2"/>
            <w:noWrap/>
            <w:vAlign w:val="bottom"/>
            <w:hideMark/>
          </w:tcPr>
          <w:p w14:paraId="3652BD14" w14:textId="77777777" w:rsidR="00102970" w:rsidRPr="00C922FE" w:rsidRDefault="00102970" w:rsidP="006A6FB6">
            <w:pPr>
              <w:keepNext/>
              <w:spacing w:after="0" w:line="240" w:lineRule="auto"/>
              <w:ind w:firstLineChars="100" w:firstLine="180"/>
              <w:rPr>
                <w:rFonts w:eastAsia="Times New Roman"/>
                <w:color w:val="000000"/>
                <w:sz w:val="18"/>
                <w:szCs w:val="18"/>
                <w:lang w:eastAsia="en-GB"/>
              </w:rPr>
            </w:pPr>
            <w:r>
              <w:rPr>
                <w:rFonts w:eastAsia="Times New Roman"/>
                <w:color w:val="000000"/>
                <w:sz w:val="18"/>
                <w:szCs w:val="18"/>
                <w:lang w:eastAsia="en-GB"/>
              </w:rPr>
              <w:t>0.7 ≤</w:t>
            </w:r>
            <w:r w:rsidRPr="00C922FE">
              <w:rPr>
                <w:rFonts w:eastAsia="Times New Roman"/>
                <w:color w:val="000000"/>
                <w:sz w:val="18"/>
                <w:szCs w:val="18"/>
                <w:lang w:eastAsia="en-GB"/>
              </w:rPr>
              <w:t xml:space="preserve">  value &lt; 0.8</w:t>
            </w:r>
          </w:p>
        </w:tc>
        <w:tc>
          <w:tcPr>
            <w:tcW w:w="555" w:type="pct"/>
            <w:tcBorders>
              <w:top w:val="nil"/>
              <w:left w:val="nil"/>
              <w:bottom w:val="nil"/>
              <w:right w:val="nil"/>
            </w:tcBorders>
            <w:shd w:val="clear" w:color="000000" w:fill="F2F2F2"/>
            <w:noWrap/>
            <w:vAlign w:val="bottom"/>
            <w:hideMark/>
          </w:tcPr>
          <w:p w14:paraId="1F2C7D89"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n=12</w:t>
            </w:r>
          </w:p>
        </w:tc>
        <w:tc>
          <w:tcPr>
            <w:tcW w:w="708" w:type="pct"/>
            <w:tcBorders>
              <w:top w:val="nil"/>
              <w:left w:val="nil"/>
              <w:bottom w:val="nil"/>
              <w:right w:val="nil"/>
            </w:tcBorders>
            <w:shd w:val="clear" w:color="000000" w:fill="F2F2F2"/>
            <w:noWrap/>
            <w:vAlign w:val="bottom"/>
            <w:hideMark/>
          </w:tcPr>
          <w:p w14:paraId="08D8BF5F"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0.01185</w:t>
            </w:r>
          </w:p>
        </w:tc>
        <w:tc>
          <w:tcPr>
            <w:tcW w:w="708" w:type="pct"/>
            <w:tcBorders>
              <w:top w:val="nil"/>
              <w:left w:val="nil"/>
              <w:bottom w:val="nil"/>
              <w:right w:val="nil"/>
            </w:tcBorders>
            <w:shd w:val="clear" w:color="000000" w:fill="F2F2F2"/>
            <w:noWrap/>
            <w:vAlign w:val="bottom"/>
            <w:hideMark/>
          </w:tcPr>
          <w:p w14:paraId="7E3267BD"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0.09583</w:t>
            </w:r>
          </w:p>
        </w:tc>
        <w:tc>
          <w:tcPr>
            <w:tcW w:w="708" w:type="pct"/>
            <w:tcBorders>
              <w:top w:val="nil"/>
              <w:left w:val="nil"/>
              <w:bottom w:val="nil"/>
              <w:right w:val="nil"/>
            </w:tcBorders>
            <w:shd w:val="clear" w:color="000000" w:fill="F2F2F2"/>
            <w:noWrap/>
            <w:vAlign w:val="bottom"/>
            <w:hideMark/>
          </w:tcPr>
          <w:p w14:paraId="6EC2C1C2"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0.01376</w:t>
            </w:r>
          </w:p>
        </w:tc>
        <w:tc>
          <w:tcPr>
            <w:tcW w:w="708" w:type="pct"/>
            <w:tcBorders>
              <w:top w:val="nil"/>
              <w:left w:val="nil"/>
              <w:bottom w:val="nil"/>
              <w:right w:val="nil"/>
            </w:tcBorders>
            <w:shd w:val="clear" w:color="000000" w:fill="F2F2F2"/>
            <w:noWrap/>
            <w:vAlign w:val="bottom"/>
            <w:hideMark/>
          </w:tcPr>
          <w:p w14:paraId="4090124F"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0.10958</w:t>
            </w:r>
          </w:p>
        </w:tc>
      </w:tr>
      <w:tr w:rsidR="00102970" w:rsidRPr="00C922FE" w14:paraId="53415D07" w14:textId="77777777" w:rsidTr="00E82B90">
        <w:trPr>
          <w:trHeight w:val="300"/>
        </w:trPr>
        <w:tc>
          <w:tcPr>
            <w:tcW w:w="1612" w:type="pct"/>
            <w:tcBorders>
              <w:top w:val="nil"/>
              <w:left w:val="nil"/>
              <w:bottom w:val="nil"/>
              <w:right w:val="nil"/>
            </w:tcBorders>
            <w:shd w:val="clear" w:color="000000" w:fill="F2F2F2"/>
            <w:noWrap/>
            <w:vAlign w:val="bottom"/>
            <w:hideMark/>
          </w:tcPr>
          <w:p w14:paraId="17402D39" w14:textId="77777777" w:rsidR="00102970" w:rsidRPr="00C922FE" w:rsidRDefault="00102970" w:rsidP="006A6FB6">
            <w:pPr>
              <w:keepNext/>
              <w:spacing w:after="0" w:line="240" w:lineRule="auto"/>
              <w:ind w:firstLineChars="100" w:firstLine="180"/>
              <w:rPr>
                <w:rFonts w:eastAsia="Times New Roman"/>
                <w:color w:val="000000"/>
                <w:sz w:val="18"/>
                <w:szCs w:val="18"/>
                <w:lang w:eastAsia="en-GB"/>
              </w:rPr>
            </w:pPr>
            <w:r>
              <w:rPr>
                <w:rFonts w:eastAsia="Times New Roman"/>
                <w:color w:val="000000"/>
                <w:sz w:val="18"/>
                <w:szCs w:val="18"/>
                <w:lang w:eastAsia="en-GB"/>
              </w:rPr>
              <w:t>0.8 ≤</w:t>
            </w:r>
            <w:r w:rsidRPr="00C922FE">
              <w:rPr>
                <w:rFonts w:eastAsia="Times New Roman"/>
                <w:color w:val="000000"/>
                <w:sz w:val="18"/>
                <w:szCs w:val="18"/>
                <w:lang w:eastAsia="en-GB"/>
              </w:rPr>
              <w:t xml:space="preserve">  value &lt; 0.9</w:t>
            </w:r>
          </w:p>
        </w:tc>
        <w:tc>
          <w:tcPr>
            <w:tcW w:w="555" w:type="pct"/>
            <w:tcBorders>
              <w:top w:val="nil"/>
              <w:left w:val="nil"/>
              <w:bottom w:val="nil"/>
              <w:right w:val="nil"/>
            </w:tcBorders>
            <w:shd w:val="clear" w:color="000000" w:fill="F2F2F2"/>
            <w:noWrap/>
            <w:vAlign w:val="bottom"/>
            <w:hideMark/>
          </w:tcPr>
          <w:p w14:paraId="1413B468"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n=47</w:t>
            </w:r>
          </w:p>
        </w:tc>
        <w:tc>
          <w:tcPr>
            <w:tcW w:w="708" w:type="pct"/>
            <w:tcBorders>
              <w:top w:val="nil"/>
              <w:left w:val="nil"/>
              <w:bottom w:val="nil"/>
              <w:right w:val="nil"/>
            </w:tcBorders>
            <w:shd w:val="clear" w:color="000000" w:fill="F2F2F2"/>
            <w:noWrap/>
            <w:vAlign w:val="bottom"/>
            <w:hideMark/>
          </w:tcPr>
          <w:p w14:paraId="52FCC54F"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0.00468</w:t>
            </w:r>
          </w:p>
        </w:tc>
        <w:tc>
          <w:tcPr>
            <w:tcW w:w="708" w:type="pct"/>
            <w:tcBorders>
              <w:top w:val="nil"/>
              <w:left w:val="nil"/>
              <w:bottom w:val="nil"/>
              <w:right w:val="nil"/>
            </w:tcBorders>
            <w:shd w:val="clear" w:color="000000" w:fill="F2F2F2"/>
            <w:noWrap/>
            <w:vAlign w:val="bottom"/>
            <w:hideMark/>
          </w:tcPr>
          <w:p w14:paraId="462A4522"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0.05691</w:t>
            </w:r>
          </w:p>
        </w:tc>
        <w:tc>
          <w:tcPr>
            <w:tcW w:w="708" w:type="pct"/>
            <w:tcBorders>
              <w:top w:val="nil"/>
              <w:left w:val="nil"/>
              <w:bottom w:val="nil"/>
              <w:right w:val="nil"/>
            </w:tcBorders>
            <w:shd w:val="clear" w:color="000000" w:fill="F2F2F2"/>
            <w:noWrap/>
            <w:vAlign w:val="bottom"/>
            <w:hideMark/>
          </w:tcPr>
          <w:p w14:paraId="5EAB1698"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0.00329</w:t>
            </w:r>
          </w:p>
        </w:tc>
        <w:tc>
          <w:tcPr>
            <w:tcW w:w="708" w:type="pct"/>
            <w:tcBorders>
              <w:top w:val="nil"/>
              <w:left w:val="nil"/>
              <w:bottom w:val="nil"/>
              <w:right w:val="nil"/>
            </w:tcBorders>
            <w:shd w:val="clear" w:color="000000" w:fill="F2F2F2"/>
            <w:noWrap/>
            <w:vAlign w:val="bottom"/>
            <w:hideMark/>
          </w:tcPr>
          <w:p w14:paraId="648EBEFA"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0.04316</w:t>
            </w:r>
          </w:p>
        </w:tc>
      </w:tr>
      <w:tr w:rsidR="00102970" w:rsidRPr="00C922FE" w14:paraId="29BEDABC" w14:textId="77777777" w:rsidTr="00E82B90">
        <w:trPr>
          <w:trHeight w:val="300"/>
        </w:trPr>
        <w:tc>
          <w:tcPr>
            <w:tcW w:w="1612" w:type="pct"/>
            <w:tcBorders>
              <w:top w:val="nil"/>
              <w:left w:val="nil"/>
              <w:bottom w:val="nil"/>
              <w:right w:val="nil"/>
            </w:tcBorders>
            <w:shd w:val="clear" w:color="000000" w:fill="F2F2F2"/>
            <w:noWrap/>
            <w:vAlign w:val="bottom"/>
            <w:hideMark/>
          </w:tcPr>
          <w:p w14:paraId="0D9AB814" w14:textId="2D2DAAEC" w:rsidR="00102970" w:rsidRPr="00C922FE" w:rsidRDefault="00102970" w:rsidP="006A6FB6">
            <w:pPr>
              <w:keepNext/>
              <w:spacing w:after="0" w:line="240" w:lineRule="auto"/>
              <w:ind w:firstLineChars="100" w:firstLine="180"/>
              <w:rPr>
                <w:rFonts w:eastAsia="Times New Roman"/>
                <w:color w:val="000000"/>
                <w:sz w:val="18"/>
                <w:szCs w:val="18"/>
                <w:lang w:eastAsia="en-GB"/>
              </w:rPr>
            </w:pPr>
            <w:r>
              <w:rPr>
                <w:rFonts w:eastAsia="Times New Roman"/>
                <w:color w:val="000000"/>
                <w:sz w:val="18"/>
                <w:szCs w:val="18"/>
                <w:lang w:eastAsia="en-GB"/>
              </w:rPr>
              <w:t>0.9 ≤</w:t>
            </w:r>
            <w:r w:rsidRPr="00C922FE">
              <w:rPr>
                <w:rFonts w:eastAsia="Times New Roman"/>
                <w:color w:val="000000"/>
                <w:sz w:val="18"/>
                <w:szCs w:val="18"/>
                <w:lang w:eastAsia="en-GB"/>
              </w:rPr>
              <w:t xml:space="preserve">  value &lt;</w:t>
            </w:r>
            <w:r w:rsidR="00AD77DA">
              <w:rPr>
                <w:rFonts w:eastAsia="Times New Roman"/>
                <w:color w:val="000000"/>
                <w:sz w:val="18"/>
                <w:szCs w:val="18"/>
                <w:lang w:eastAsia="en-GB"/>
              </w:rPr>
              <w:t xml:space="preserve"> 1.0</w:t>
            </w:r>
          </w:p>
        </w:tc>
        <w:tc>
          <w:tcPr>
            <w:tcW w:w="555" w:type="pct"/>
            <w:tcBorders>
              <w:top w:val="nil"/>
              <w:left w:val="nil"/>
              <w:bottom w:val="nil"/>
              <w:right w:val="nil"/>
            </w:tcBorders>
            <w:shd w:val="clear" w:color="000000" w:fill="F2F2F2"/>
            <w:noWrap/>
            <w:vAlign w:val="bottom"/>
            <w:hideMark/>
          </w:tcPr>
          <w:p w14:paraId="03948547"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n=115</w:t>
            </w:r>
          </w:p>
        </w:tc>
        <w:tc>
          <w:tcPr>
            <w:tcW w:w="708" w:type="pct"/>
            <w:tcBorders>
              <w:top w:val="nil"/>
              <w:left w:val="nil"/>
              <w:bottom w:val="nil"/>
              <w:right w:val="nil"/>
            </w:tcBorders>
            <w:shd w:val="clear" w:color="000000" w:fill="F2F2F2"/>
            <w:noWrap/>
            <w:vAlign w:val="bottom"/>
            <w:hideMark/>
          </w:tcPr>
          <w:p w14:paraId="73C99622"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0.00187</w:t>
            </w:r>
          </w:p>
        </w:tc>
        <w:tc>
          <w:tcPr>
            <w:tcW w:w="708" w:type="pct"/>
            <w:tcBorders>
              <w:top w:val="nil"/>
              <w:left w:val="nil"/>
              <w:bottom w:val="nil"/>
              <w:right w:val="nil"/>
            </w:tcBorders>
            <w:shd w:val="clear" w:color="000000" w:fill="F2F2F2"/>
            <w:noWrap/>
            <w:vAlign w:val="bottom"/>
            <w:hideMark/>
          </w:tcPr>
          <w:p w14:paraId="1791900A"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0.03057</w:t>
            </w:r>
          </w:p>
        </w:tc>
        <w:tc>
          <w:tcPr>
            <w:tcW w:w="708" w:type="pct"/>
            <w:tcBorders>
              <w:top w:val="nil"/>
              <w:left w:val="nil"/>
              <w:bottom w:val="nil"/>
              <w:right w:val="nil"/>
            </w:tcBorders>
            <w:shd w:val="clear" w:color="000000" w:fill="F2F2F2"/>
            <w:noWrap/>
            <w:vAlign w:val="bottom"/>
            <w:hideMark/>
          </w:tcPr>
          <w:p w14:paraId="464F8282"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0.00131</w:t>
            </w:r>
          </w:p>
        </w:tc>
        <w:tc>
          <w:tcPr>
            <w:tcW w:w="708" w:type="pct"/>
            <w:tcBorders>
              <w:top w:val="nil"/>
              <w:left w:val="nil"/>
              <w:bottom w:val="nil"/>
              <w:right w:val="nil"/>
            </w:tcBorders>
            <w:shd w:val="clear" w:color="000000" w:fill="F2F2F2"/>
            <w:noWrap/>
            <w:vAlign w:val="bottom"/>
            <w:hideMark/>
          </w:tcPr>
          <w:p w14:paraId="734E9BE0"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0.02942</w:t>
            </w:r>
          </w:p>
        </w:tc>
      </w:tr>
      <w:tr w:rsidR="00102970" w:rsidRPr="00C922FE" w14:paraId="483455B3" w14:textId="77777777" w:rsidTr="00E82B90">
        <w:trPr>
          <w:trHeight w:val="300"/>
        </w:trPr>
        <w:tc>
          <w:tcPr>
            <w:tcW w:w="1612" w:type="pct"/>
            <w:tcBorders>
              <w:top w:val="nil"/>
              <w:left w:val="nil"/>
              <w:bottom w:val="single" w:sz="4" w:space="0" w:color="auto"/>
              <w:right w:val="nil"/>
            </w:tcBorders>
            <w:shd w:val="clear" w:color="000000" w:fill="F2F2F2"/>
            <w:noWrap/>
            <w:vAlign w:val="bottom"/>
            <w:hideMark/>
          </w:tcPr>
          <w:p w14:paraId="19DA299A" w14:textId="77777777" w:rsidR="00102970" w:rsidRPr="00C922FE" w:rsidRDefault="00102970" w:rsidP="006A6FB6">
            <w:pPr>
              <w:keepNext/>
              <w:spacing w:after="0" w:line="240" w:lineRule="auto"/>
              <w:ind w:firstLineChars="100" w:firstLine="180"/>
              <w:rPr>
                <w:rFonts w:eastAsia="Times New Roman"/>
                <w:color w:val="000000"/>
                <w:sz w:val="18"/>
                <w:szCs w:val="18"/>
                <w:lang w:eastAsia="en-GB"/>
              </w:rPr>
            </w:pPr>
            <w:r w:rsidRPr="00C922FE">
              <w:rPr>
                <w:rFonts w:eastAsia="Times New Roman"/>
                <w:color w:val="000000"/>
                <w:sz w:val="18"/>
                <w:szCs w:val="18"/>
                <w:lang w:eastAsia="en-GB"/>
              </w:rPr>
              <w:t>Full health</w:t>
            </w:r>
          </w:p>
        </w:tc>
        <w:tc>
          <w:tcPr>
            <w:tcW w:w="555" w:type="pct"/>
            <w:tcBorders>
              <w:top w:val="nil"/>
              <w:left w:val="nil"/>
              <w:bottom w:val="single" w:sz="4" w:space="0" w:color="auto"/>
              <w:right w:val="nil"/>
            </w:tcBorders>
            <w:shd w:val="clear" w:color="000000" w:fill="F2F2F2"/>
            <w:noWrap/>
            <w:vAlign w:val="bottom"/>
            <w:hideMark/>
          </w:tcPr>
          <w:p w14:paraId="617AC179"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n=107</w:t>
            </w:r>
          </w:p>
        </w:tc>
        <w:tc>
          <w:tcPr>
            <w:tcW w:w="708" w:type="pct"/>
            <w:tcBorders>
              <w:top w:val="nil"/>
              <w:left w:val="nil"/>
              <w:bottom w:val="single" w:sz="4" w:space="0" w:color="auto"/>
              <w:right w:val="nil"/>
            </w:tcBorders>
            <w:shd w:val="clear" w:color="000000" w:fill="F2F2F2"/>
            <w:noWrap/>
            <w:vAlign w:val="bottom"/>
            <w:hideMark/>
          </w:tcPr>
          <w:p w14:paraId="3D5D3891"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0.00223</w:t>
            </w:r>
          </w:p>
        </w:tc>
        <w:tc>
          <w:tcPr>
            <w:tcW w:w="708" w:type="pct"/>
            <w:tcBorders>
              <w:top w:val="nil"/>
              <w:left w:val="nil"/>
              <w:bottom w:val="single" w:sz="4" w:space="0" w:color="auto"/>
              <w:right w:val="nil"/>
            </w:tcBorders>
            <w:shd w:val="clear" w:color="000000" w:fill="F2F2F2"/>
            <w:noWrap/>
            <w:vAlign w:val="bottom"/>
            <w:hideMark/>
          </w:tcPr>
          <w:p w14:paraId="3C4FE4F3"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0.03593</w:t>
            </w:r>
          </w:p>
        </w:tc>
        <w:tc>
          <w:tcPr>
            <w:tcW w:w="708" w:type="pct"/>
            <w:tcBorders>
              <w:top w:val="nil"/>
              <w:left w:val="nil"/>
              <w:bottom w:val="single" w:sz="4" w:space="0" w:color="auto"/>
              <w:right w:val="nil"/>
            </w:tcBorders>
            <w:shd w:val="clear" w:color="000000" w:fill="F2F2F2"/>
            <w:noWrap/>
            <w:vAlign w:val="bottom"/>
            <w:hideMark/>
          </w:tcPr>
          <w:p w14:paraId="600F02AF"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0.00237</w:t>
            </w:r>
          </w:p>
        </w:tc>
        <w:tc>
          <w:tcPr>
            <w:tcW w:w="708" w:type="pct"/>
            <w:tcBorders>
              <w:top w:val="nil"/>
              <w:left w:val="nil"/>
              <w:bottom w:val="single" w:sz="4" w:space="0" w:color="auto"/>
              <w:right w:val="nil"/>
            </w:tcBorders>
            <w:shd w:val="clear" w:color="000000" w:fill="F2F2F2"/>
            <w:noWrap/>
            <w:vAlign w:val="bottom"/>
            <w:hideMark/>
          </w:tcPr>
          <w:p w14:paraId="3AE6ED8F"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0.03643</w:t>
            </w:r>
          </w:p>
        </w:tc>
      </w:tr>
    </w:tbl>
    <w:p w14:paraId="2784ECFC" w14:textId="16486157" w:rsidR="0065538A" w:rsidRPr="003D5D24" w:rsidRDefault="00AD77DA" w:rsidP="0065538A">
      <w:pPr>
        <w:spacing w:before="240" w:after="240"/>
        <w:rPr>
          <w:noProof/>
        </w:rPr>
      </w:pPr>
      <w:r w:rsidRPr="003D5D24">
        <w:t xml:space="preserve">Although the prediction accuracy of the mean scores </w:t>
      </w:r>
      <w:r w:rsidRPr="00250A10">
        <w:rPr>
          <w:noProof/>
        </w:rPr>
        <w:t>were</w:t>
      </w:r>
      <w:r w:rsidRPr="003D5D24">
        <w:t xml:space="preserve"> similar in both models, the accuracy level was not uniform across the CHU-9D utility range as shown in </w:t>
      </w:r>
      <w:r w:rsidR="00102970" w:rsidRPr="003D5D24">
        <w:fldChar w:fldCharType="begin"/>
      </w:r>
      <w:r w:rsidR="00102970" w:rsidRPr="003D5D24">
        <w:instrText xml:space="preserve"> REF _Ref475017448 \h  \* MERGEFORMAT </w:instrText>
      </w:r>
      <w:r w:rsidR="00102970" w:rsidRPr="003D5D24">
        <w:fldChar w:fldCharType="separate"/>
      </w:r>
      <w:r w:rsidR="00BF04FD" w:rsidRPr="00355303">
        <w:t xml:space="preserve">Table </w:t>
      </w:r>
      <w:r w:rsidR="00BF04FD">
        <w:t>4</w:t>
      </w:r>
      <w:r w:rsidR="00102970" w:rsidRPr="003D5D24">
        <w:fldChar w:fldCharType="end"/>
      </w:r>
      <w:r w:rsidR="00DE1B98" w:rsidRPr="003D5D24">
        <w:t xml:space="preserve">. </w:t>
      </w:r>
      <w:r w:rsidRPr="003D5D24">
        <w:t>The number of observations with</w:t>
      </w:r>
      <w:r w:rsidR="00102970" w:rsidRPr="003D5D24">
        <w:t xml:space="preserve"> utility score &lt;0.7 was </w:t>
      </w:r>
      <w:r w:rsidR="00102970" w:rsidRPr="00250A10">
        <w:rPr>
          <w:noProof/>
        </w:rPr>
        <w:t>small, therefore</w:t>
      </w:r>
      <w:r w:rsidR="006A6FB6" w:rsidRPr="003D5D24">
        <w:rPr>
          <w:noProof/>
        </w:rPr>
        <w:t>,</w:t>
      </w:r>
      <w:r w:rsidR="00102970" w:rsidRPr="003D5D24">
        <w:t xml:space="preserve"> the comparison between the best two models </w:t>
      </w:r>
      <w:r w:rsidR="00102970" w:rsidRPr="00250A10">
        <w:rPr>
          <w:noProof/>
        </w:rPr>
        <w:t>were restricted</w:t>
      </w:r>
      <w:r w:rsidR="00102970" w:rsidRPr="003D5D24">
        <w:t xml:space="preserve"> to observations with higher utility values. </w:t>
      </w:r>
      <w:r w:rsidR="006644B2" w:rsidRPr="003D5D24">
        <w:t>GLM 6 was superior to</w:t>
      </w:r>
      <w:r w:rsidR="00DE1B98" w:rsidRPr="003D5D24">
        <w:t xml:space="preserve"> OLS 3 in the est</w:t>
      </w:r>
      <w:r w:rsidR="007071B7" w:rsidRPr="003D5D24">
        <w:t xml:space="preserve">imation sample, </w:t>
      </w:r>
      <w:r w:rsidR="007071B7" w:rsidRPr="00250A10">
        <w:rPr>
          <w:noProof/>
        </w:rPr>
        <w:t>h</w:t>
      </w:r>
      <w:r w:rsidR="006644B2" w:rsidRPr="00250A10">
        <w:rPr>
          <w:noProof/>
        </w:rPr>
        <w:t>owever</w:t>
      </w:r>
      <w:r w:rsidR="006644B2" w:rsidRPr="003D5D24">
        <w:t xml:space="preserve"> i</w:t>
      </w:r>
      <w:r w:rsidR="00DE1B98" w:rsidRPr="003D5D24">
        <w:t xml:space="preserve">n the validation </w:t>
      </w:r>
      <w:r w:rsidR="00DE1B98" w:rsidRPr="00250A10">
        <w:rPr>
          <w:noProof/>
        </w:rPr>
        <w:t>sample</w:t>
      </w:r>
      <w:r w:rsidR="007071B7" w:rsidRPr="003D5D24">
        <w:t xml:space="preserve"> there were diverging results.</w:t>
      </w:r>
      <w:r w:rsidR="00DE1B98" w:rsidRPr="003D5D24">
        <w:t xml:space="preserve"> </w:t>
      </w:r>
      <w:r w:rsidR="007071B7" w:rsidRPr="003D5D24">
        <w:t xml:space="preserve"> </w:t>
      </w:r>
      <w:r w:rsidRPr="003D5D24">
        <w:t>OLS 3 had a be</w:t>
      </w:r>
      <w:r w:rsidR="007071B7" w:rsidRPr="003D5D24">
        <w:t xml:space="preserve">tter prediction accuracy when </w:t>
      </w:r>
      <w:r w:rsidR="00DE1B98" w:rsidRPr="003D5D24">
        <w:t>utility values were higher than 0.8 but less than</w:t>
      </w:r>
      <w:r w:rsidRPr="003D5D24">
        <w:t xml:space="preserve"> full health</w:t>
      </w:r>
      <w:r w:rsidR="00102970" w:rsidRPr="003D5D24">
        <w:t xml:space="preserve">, </w:t>
      </w:r>
      <w:r w:rsidR="00102970" w:rsidRPr="00250A10">
        <w:rPr>
          <w:noProof/>
        </w:rPr>
        <w:t>whilst</w:t>
      </w:r>
      <w:r w:rsidR="00DE1B98" w:rsidRPr="003D5D24">
        <w:t xml:space="preserve"> the GLM 6 was</w:t>
      </w:r>
      <w:r w:rsidR="006644B2" w:rsidRPr="003D5D24">
        <w:t xml:space="preserve"> superior</w:t>
      </w:r>
      <w:r w:rsidRPr="003D5D24">
        <w:t xml:space="preserve"> </w:t>
      </w:r>
      <w:r w:rsidR="006644B2" w:rsidRPr="003D5D24">
        <w:t>at</w:t>
      </w:r>
      <w:r w:rsidR="00DE1B98" w:rsidRPr="003D5D24">
        <w:t xml:space="preserve"> predicting</w:t>
      </w:r>
      <w:r w:rsidRPr="003D5D24">
        <w:t xml:space="preserve"> full health and utility values between 0.7 and 0.8</w:t>
      </w:r>
      <w:r w:rsidR="00102970" w:rsidRPr="003D5D24">
        <w:t>.</w:t>
      </w:r>
      <w:r w:rsidRPr="003D5D24">
        <w:t xml:space="preserve"> </w:t>
      </w:r>
      <w:r w:rsidR="007071B7" w:rsidRPr="003D5D24">
        <w:t xml:space="preserve"> </w:t>
      </w:r>
      <w:r w:rsidR="007071B7" w:rsidRPr="003D5D24">
        <w:rPr>
          <w:noProof/>
        </w:rPr>
        <w:t>So, a</w:t>
      </w:r>
      <w:r w:rsidRPr="003D5D24">
        <w:rPr>
          <w:noProof/>
        </w:rPr>
        <w:t>lthough OLS 3 had a better prediction accuracy in the validation</w:t>
      </w:r>
      <w:r w:rsidR="007071B7" w:rsidRPr="003D5D24">
        <w:rPr>
          <w:noProof/>
        </w:rPr>
        <w:t xml:space="preserve"> sample</w:t>
      </w:r>
      <w:r w:rsidR="00533826" w:rsidRPr="003D5D24">
        <w:rPr>
          <w:noProof/>
        </w:rPr>
        <w:t xml:space="preserve"> overall</w:t>
      </w:r>
      <w:r w:rsidRPr="003D5D24">
        <w:rPr>
          <w:noProof/>
        </w:rPr>
        <w:t>, it was</w:t>
      </w:r>
      <w:r w:rsidR="007071B7" w:rsidRPr="003D5D24">
        <w:rPr>
          <w:noProof/>
        </w:rPr>
        <w:t xml:space="preserve"> found to be</w:t>
      </w:r>
      <w:r w:rsidRPr="003D5D24">
        <w:rPr>
          <w:noProof/>
        </w:rPr>
        <w:t xml:space="preserve"> onl</w:t>
      </w:r>
      <w:r w:rsidR="00DE1B98" w:rsidRPr="003D5D24">
        <w:rPr>
          <w:noProof/>
        </w:rPr>
        <w:t>y marginally better than GLM 6.</w:t>
      </w:r>
    </w:p>
    <w:p w14:paraId="04E6DBA5" w14:textId="5475556F" w:rsidR="0065538A" w:rsidRPr="0065538A" w:rsidRDefault="0065538A" w:rsidP="0065538A">
      <w:pPr>
        <w:pStyle w:val="Caption"/>
        <w:rPr>
          <w:b w:val="0"/>
        </w:rPr>
      </w:pPr>
      <w:bookmarkStart w:id="26" w:name="_Ref486860811"/>
      <w:r>
        <w:t xml:space="preserve">Fig. </w:t>
      </w:r>
      <w:fldSimple w:instr=" SEQ Fig \* ARABIC ">
        <w:r w:rsidR="00BF04FD">
          <w:rPr>
            <w:noProof/>
          </w:rPr>
          <w:t>2</w:t>
        </w:r>
      </w:fldSimple>
      <w:bookmarkEnd w:id="26"/>
      <w:r>
        <w:t xml:space="preserve">  </w:t>
      </w:r>
      <w:r w:rsidRPr="003F54E5">
        <w:rPr>
          <w:b w:val="0"/>
        </w:rPr>
        <w:t>Distribution of the observed CHU-9D score, GLM</w:t>
      </w:r>
      <w:r w:rsidR="00067D4B">
        <w:rPr>
          <w:b w:val="0"/>
        </w:rPr>
        <w:t xml:space="preserve"> </w:t>
      </w:r>
      <w:r w:rsidRPr="003F54E5">
        <w:rPr>
          <w:b w:val="0"/>
        </w:rPr>
        <w:t>6 and OLS</w:t>
      </w:r>
      <w:r w:rsidR="00067D4B">
        <w:rPr>
          <w:b w:val="0"/>
        </w:rPr>
        <w:t xml:space="preserve"> </w:t>
      </w:r>
      <w:r w:rsidRPr="003F54E5">
        <w:rPr>
          <w:b w:val="0"/>
        </w:rPr>
        <w:t>3 predicted CHU-9D score in the estimation and validation sample</w:t>
      </w:r>
    </w:p>
    <w:p w14:paraId="2B7E5E0C" w14:textId="345B730B" w:rsidR="006A6FB6" w:rsidRPr="003D5D24" w:rsidRDefault="00DE1B98" w:rsidP="00102970">
      <w:pPr>
        <w:spacing w:before="240" w:after="240"/>
        <w:rPr>
          <w:color w:val="FF0000"/>
        </w:rPr>
      </w:pPr>
      <w:r w:rsidRPr="003D5D24">
        <w:rPr>
          <w:noProof/>
        </w:rPr>
        <w:t>In summary, relative to GLM 6, OLS 3</w:t>
      </w:r>
      <w:r w:rsidR="007071B7" w:rsidRPr="003D5D24">
        <w:rPr>
          <w:noProof/>
        </w:rPr>
        <w:t xml:space="preserve"> </w:t>
      </w:r>
      <w:r w:rsidR="007071B7" w:rsidRPr="00250A10">
        <w:rPr>
          <w:noProof/>
        </w:rPr>
        <w:t>lacked the ability to</w:t>
      </w:r>
      <w:r w:rsidR="007071B7" w:rsidRPr="003D5D24">
        <w:rPr>
          <w:noProof/>
        </w:rPr>
        <w:t xml:space="preserve"> predict the</w:t>
      </w:r>
      <w:r w:rsidRPr="003D5D24">
        <w:rPr>
          <w:noProof/>
        </w:rPr>
        <w:t xml:space="preserve"> wider range of  CHU-9D values</w:t>
      </w:r>
      <w:r w:rsidR="007071B7" w:rsidRPr="003D5D24">
        <w:rPr>
          <w:noProof/>
        </w:rPr>
        <w:t xml:space="preserve"> (0.7 to 1)</w:t>
      </w:r>
      <w:r w:rsidRPr="003D5D24">
        <w:rPr>
          <w:noProof/>
        </w:rPr>
        <w:t>, and a higher proportion of its predicted valu</w:t>
      </w:r>
      <w:r w:rsidR="00D41833" w:rsidRPr="003D5D24">
        <w:rPr>
          <w:noProof/>
        </w:rPr>
        <w:t>es had absolute errors above</w:t>
      </w:r>
      <w:r w:rsidRPr="003D5D24">
        <w:rPr>
          <w:noProof/>
        </w:rPr>
        <w:t xml:space="preserve"> the minimally important difference. Furthermore, it was less able to predict full health, which is particularly important fo</w:t>
      </w:r>
      <w:r w:rsidR="007071B7" w:rsidRPr="003D5D24">
        <w:rPr>
          <w:noProof/>
        </w:rPr>
        <w:t>r utility data that tends to have</w:t>
      </w:r>
      <w:r w:rsidRPr="003D5D24">
        <w:rPr>
          <w:noProof/>
        </w:rPr>
        <w:t xml:space="preserve"> ceiling effect</w:t>
      </w:r>
      <w:r w:rsidR="007071B7" w:rsidRPr="003D5D24">
        <w:rPr>
          <w:noProof/>
        </w:rPr>
        <w:t xml:space="preserve">s. </w:t>
      </w:r>
      <w:r w:rsidR="007071B7" w:rsidRPr="00250A10">
        <w:rPr>
          <w:noProof/>
        </w:rPr>
        <w:t>Taking all these factors into account</w:t>
      </w:r>
      <w:r w:rsidRPr="003D5D24">
        <w:rPr>
          <w:noProof/>
        </w:rPr>
        <w:t>, the</w:t>
      </w:r>
      <w:r w:rsidR="007071B7" w:rsidRPr="003D5D24">
        <w:rPr>
          <w:noProof/>
        </w:rPr>
        <w:t xml:space="preserve"> GLM6 model </w:t>
      </w:r>
      <w:r w:rsidR="007071B7" w:rsidRPr="00250A10">
        <w:rPr>
          <w:noProof/>
        </w:rPr>
        <w:t>was selected</w:t>
      </w:r>
      <w:r w:rsidR="007071B7" w:rsidRPr="003D5D24">
        <w:rPr>
          <w:noProof/>
        </w:rPr>
        <w:t xml:space="preserve"> as the</w:t>
      </w:r>
      <w:r w:rsidRPr="003D5D24">
        <w:rPr>
          <w:noProof/>
          <w:color w:val="FF0000"/>
        </w:rPr>
        <w:t xml:space="preserve"> </w:t>
      </w:r>
      <w:r w:rsidR="00102970" w:rsidRPr="003D5D24">
        <w:t xml:space="preserve">preferred model for mapping </w:t>
      </w:r>
      <w:r w:rsidR="007071B7" w:rsidRPr="003D5D24">
        <w:t>from PedsQL™ to CHU-9D</w:t>
      </w:r>
      <w:r w:rsidR="00102970" w:rsidRPr="003D5D24">
        <w:t xml:space="preserve">.  </w:t>
      </w:r>
      <w:r w:rsidR="00102970" w:rsidRPr="003D5D24">
        <w:fldChar w:fldCharType="begin"/>
      </w:r>
      <w:r w:rsidR="00102970" w:rsidRPr="003D5D24">
        <w:instrText xml:space="preserve"> REF _Ref475971506 \h  \* MERGEFORMAT </w:instrText>
      </w:r>
      <w:r w:rsidR="00102970" w:rsidRPr="003D5D24">
        <w:fldChar w:fldCharType="separate"/>
      </w:r>
      <w:r w:rsidR="00BF04FD" w:rsidRPr="00355303">
        <w:rPr>
          <w:rFonts w:eastAsiaTheme="minorEastAsia"/>
        </w:rPr>
        <w:t xml:space="preserve">Table </w:t>
      </w:r>
      <w:r w:rsidR="00BF04FD">
        <w:rPr>
          <w:noProof/>
        </w:rPr>
        <w:t>5</w:t>
      </w:r>
      <w:r w:rsidR="00102970" w:rsidRPr="003D5D24">
        <w:fldChar w:fldCharType="end"/>
      </w:r>
      <w:r w:rsidR="00102970" w:rsidRPr="003D5D24">
        <w:t xml:space="preserve"> shows the coefficients for generating deterministic and probabilistic utility predictions usi</w:t>
      </w:r>
      <w:r w:rsidR="00AD77DA" w:rsidRPr="003D5D24">
        <w:t xml:space="preserve">ng the GLM 6 model. Coefficients for OLS 3 have also </w:t>
      </w:r>
      <w:r w:rsidR="00AD77DA" w:rsidRPr="00250A10">
        <w:rPr>
          <w:noProof/>
        </w:rPr>
        <w:t>been presented</w:t>
      </w:r>
      <w:r w:rsidR="00AD77DA" w:rsidRPr="003D5D24">
        <w:t xml:space="preserve"> in situations where this </w:t>
      </w:r>
      <w:r w:rsidR="007071B7" w:rsidRPr="003D5D24">
        <w:rPr>
          <w:noProof/>
        </w:rPr>
        <w:t xml:space="preserve">might </w:t>
      </w:r>
      <w:r w:rsidR="007071B7" w:rsidRPr="00250A10">
        <w:rPr>
          <w:noProof/>
        </w:rPr>
        <w:t>be</w:t>
      </w:r>
      <w:r w:rsidR="00AD77DA" w:rsidRPr="00250A10">
        <w:rPr>
          <w:noProof/>
        </w:rPr>
        <w:t xml:space="preserve"> desired</w:t>
      </w:r>
      <w:r w:rsidR="00102970" w:rsidRPr="003D5D24">
        <w:t>.</w:t>
      </w:r>
      <w:r w:rsidR="00AD77DA" w:rsidRPr="003D5D24">
        <w:t xml:space="preserve"> Using GLM</w:t>
      </w:r>
      <w:r w:rsidR="00067D4B">
        <w:t xml:space="preserve"> </w:t>
      </w:r>
      <w:r w:rsidR="00AD77DA" w:rsidRPr="003D5D24">
        <w:t>6 as an</w:t>
      </w:r>
      <w:r w:rsidR="006A6FB6" w:rsidRPr="003D5D24">
        <w:t xml:space="preserve"> example, </w:t>
      </w:r>
      <w:r w:rsidR="008568B0" w:rsidRPr="003D5D24">
        <w:t xml:space="preserve">the </w:t>
      </w:r>
      <w:r w:rsidR="006A6FB6" w:rsidRPr="003D5D24">
        <w:t xml:space="preserve">CHU-9D utility score can </w:t>
      </w:r>
      <w:r w:rsidR="006A6FB6" w:rsidRPr="00250A10">
        <w:rPr>
          <w:noProof/>
        </w:rPr>
        <w:t>be calculated</w:t>
      </w:r>
      <w:r w:rsidR="00AD77DA" w:rsidRPr="003D5D24">
        <w:rPr>
          <w:noProof/>
        </w:rPr>
        <w:t xml:space="preserve"> from the</w:t>
      </w:r>
      <w:r w:rsidR="007071B7" w:rsidRPr="003D5D24">
        <w:rPr>
          <w:noProof/>
        </w:rPr>
        <w:t xml:space="preserve"> following</w:t>
      </w:r>
      <w:r w:rsidR="00AD77DA" w:rsidRPr="003D5D24">
        <w:rPr>
          <w:noProof/>
        </w:rPr>
        <w:t xml:space="preserve"> coefficients</w:t>
      </w:r>
      <w:r w:rsidR="00AD77DA" w:rsidRPr="003D5D24">
        <w:t>:</w:t>
      </w:r>
    </w:p>
    <w:p w14:paraId="3FE655D5" w14:textId="5B8C71BD" w:rsidR="006A6FB6" w:rsidRPr="00355303" w:rsidRDefault="006A6FB6" w:rsidP="00102970">
      <w:pPr>
        <w:spacing w:before="240" w:after="240"/>
      </w:pPr>
      <m:oMathPara>
        <m:oMath>
          <m:r>
            <w:rPr>
              <w:rFonts w:ascii="Cambria Math" w:hAnsi="Cambria Math"/>
            </w:rPr>
            <w:lastRenderedPageBreak/>
            <m:t>CHU-9D utility score=</m:t>
          </m:r>
          <m:r>
            <m:rPr>
              <m:sty m:val="p"/>
            </m:rPr>
            <w:rPr>
              <w:rFonts w:ascii="Cambria Math" w:hAnsi="Cambria Math"/>
            </w:rPr>
            <m:t>0.7135215</m:t>
          </m:r>
          <m:r>
            <w:rPr>
              <w:rFonts w:ascii="Cambria Math" w:hAnsi="Cambria Math"/>
            </w:rPr>
            <m:t>+</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i/>
                        </w:rPr>
                      </m:ctrlPr>
                    </m:dPr>
                    <m:e>
                      <m:r>
                        <w:rPr>
                          <w:rFonts w:ascii="Cambria Math" w:hAnsi="Cambria Math"/>
                        </w:rPr>
                        <m:t>PedsQL PF</m:t>
                      </m:r>
                    </m:e>
                  </m:d>
                </m:e>
                <m:sup>
                  <m:r>
                    <w:rPr>
                      <w:rFonts w:ascii="Cambria Math" w:hAnsi="Cambria Math"/>
                    </w:rPr>
                    <m:t>2</m:t>
                  </m:r>
                </m:sup>
              </m:sSup>
              <m:r>
                <w:rPr>
                  <w:rFonts w:ascii="Cambria Math" w:hAnsi="Cambria Math"/>
                </w:rPr>
                <m:t xml:space="preserve"> </m:t>
              </m:r>
              <m:d>
                <m:dPr>
                  <m:ctrlPr>
                    <w:rPr>
                      <w:rFonts w:ascii="Cambria Math" w:eastAsia="Cambria Math" w:hAnsi="Cambria Math" w:cs="Cambria Math"/>
                      <w:i/>
                    </w:rPr>
                  </m:ctrlPr>
                </m:dPr>
                <m:e>
                  <m:r>
                    <w:rPr>
                      <w:rFonts w:ascii="Cambria Math" w:eastAsia="Cambria Math" w:hAnsi="Cambria Math" w:cs="Cambria Math"/>
                    </w:rPr>
                    <m:t>1.62*</m:t>
                  </m:r>
                  <m:sSup>
                    <m:sSupPr>
                      <m:ctrlPr>
                        <w:rPr>
                          <w:rFonts w:ascii="Cambria Math" w:hAnsi="Cambria Math"/>
                        </w:rPr>
                      </m:ctrlPr>
                    </m:sSupPr>
                    <m:e>
                      <m:r>
                        <w:rPr>
                          <w:rFonts w:ascii="Cambria Math" w:hAnsi="Cambria Math"/>
                        </w:rPr>
                        <m:t>10</m:t>
                      </m:r>
                    </m:e>
                    <m:sup>
                      <m:r>
                        <w:rPr>
                          <w:rFonts w:ascii="Cambria Math" w:hAnsi="Cambria Math"/>
                        </w:rPr>
                        <m:t>-4</m:t>
                      </m:r>
                    </m:sup>
                  </m:sSup>
                </m:e>
              </m:d>
            </m:e>
          </m:d>
          <m:r>
            <w:rPr>
              <w:rFonts w:ascii="Cambria Math" w:hAnsi="Cambria Math"/>
            </w:rPr>
            <m:t>+</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i/>
                        </w:rPr>
                      </m:ctrlPr>
                    </m:dPr>
                    <m:e>
                      <m:r>
                        <w:rPr>
                          <w:rFonts w:ascii="Cambria Math" w:hAnsi="Cambria Math"/>
                        </w:rPr>
                        <m:t>PedsQL EF</m:t>
                      </m:r>
                    </m:e>
                  </m:d>
                </m:e>
                <m:sup>
                  <m:r>
                    <w:rPr>
                      <w:rFonts w:ascii="Cambria Math" w:hAnsi="Cambria Math"/>
                    </w:rPr>
                    <m:t>2</m:t>
                  </m:r>
                </m:sup>
              </m:sSup>
              <m:r>
                <w:rPr>
                  <w:rFonts w:ascii="Cambria Math" w:hAnsi="Cambria Math"/>
                </w:rPr>
                <m:t xml:space="preserve"> </m:t>
              </m:r>
              <m:d>
                <m:dPr>
                  <m:ctrlPr>
                    <w:rPr>
                      <w:rFonts w:ascii="Cambria Math" w:eastAsia="Cambria Math" w:hAnsi="Cambria Math" w:cs="Cambria Math"/>
                      <w:i/>
                    </w:rPr>
                  </m:ctrlPr>
                </m:dPr>
                <m:e>
                  <m:r>
                    <w:rPr>
                      <w:rFonts w:ascii="Cambria Math" w:eastAsia="Cambria Math" w:hAnsi="Cambria Math" w:cs="Cambria Math"/>
                    </w:rPr>
                    <m:t>4.77*</m:t>
                  </m:r>
                  <m:sSup>
                    <m:sSupPr>
                      <m:ctrlPr>
                        <w:rPr>
                          <w:rFonts w:ascii="Cambria Math" w:hAnsi="Cambria Math"/>
                        </w:rPr>
                      </m:ctrlPr>
                    </m:sSupPr>
                    <m:e>
                      <m:r>
                        <w:rPr>
                          <w:rFonts w:ascii="Cambria Math" w:hAnsi="Cambria Math"/>
                        </w:rPr>
                        <m:t>10</m:t>
                      </m:r>
                    </m:e>
                    <m:sup>
                      <m:r>
                        <w:rPr>
                          <w:rFonts w:ascii="Cambria Math" w:hAnsi="Cambria Math"/>
                        </w:rPr>
                        <m:t>-4</m:t>
                      </m:r>
                    </m:sup>
                  </m:sSup>
                </m:e>
              </m:d>
            </m:e>
          </m:d>
          <m: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i/>
                        </w:rPr>
                      </m:ctrlPr>
                    </m:dPr>
                    <m:e>
                      <m:r>
                        <w:rPr>
                          <w:rFonts w:ascii="Cambria Math" w:hAnsi="Cambria Math"/>
                        </w:rPr>
                        <m:t>PedsQL SF</m:t>
                      </m:r>
                    </m:e>
                  </m:d>
                </m:e>
                <m:sup>
                  <m:r>
                    <w:rPr>
                      <w:rFonts w:ascii="Cambria Math" w:hAnsi="Cambria Math"/>
                    </w:rPr>
                    <m:t>2</m:t>
                  </m:r>
                </m:sup>
              </m:sSup>
              <m:r>
                <w:rPr>
                  <w:rFonts w:ascii="Cambria Math" w:hAnsi="Cambria Math"/>
                </w:rPr>
                <m:t xml:space="preserve"> </m:t>
              </m:r>
              <m:d>
                <m:dPr>
                  <m:ctrlPr>
                    <w:rPr>
                      <w:rFonts w:ascii="Cambria Math" w:eastAsia="Cambria Math" w:hAnsi="Cambria Math" w:cs="Cambria Math"/>
                      <w:i/>
                    </w:rPr>
                  </m:ctrlPr>
                </m:dPr>
                <m:e>
                  <m:r>
                    <w:rPr>
                      <w:rFonts w:ascii="Cambria Math" w:eastAsia="Cambria Math" w:hAnsi="Cambria Math" w:cs="Cambria Math"/>
                    </w:rPr>
                    <m:t>4.0*</m:t>
                  </m:r>
                  <m:sSup>
                    <m:sSupPr>
                      <m:ctrlPr>
                        <w:rPr>
                          <w:rFonts w:ascii="Cambria Math" w:hAnsi="Cambria Math"/>
                        </w:rPr>
                      </m:ctrlPr>
                    </m:sSupPr>
                    <m:e>
                      <m:r>
                        <w:rPr>
                          <w:rFonts w:ascii="Cambria Math" w:hAnsi="Cambria Math"/>
                        </w:rPr>
                        <m:t>10</m:t>
                      </m:r>
                    </m:e>
                    <m:sup>
                      <m:r>
                        <w:rPr>
                          <w:rFonts w:ascii="Cambria Math" w:hAnsi="Cambria Math"/>
                        </w:rPr>
                        <m:t>-5</m:t>
                      </m:r>
                    </m:sup>
                  </m:sSup>
                </m:e>
              </m:d>
            </m:e>
          </m:d>
          <m:r>
            <w:rPr>
              <w:rFonts w:ascii="Cambria Math" w:hAnsi="Cambria Math"/>
            </w:rPr>
            <m:t xml:space="preserve">- </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i/>
                        </w:rPr>
                      </m:ctrlPr>
                    </m:dPr>
                    <m:e>
                      <m:r>
                        <w:rPr>
                          <w:rFonts w:ascii="Cambria Math" w:hAnsi="Cambria Math"/>
                        </w:rPr>
                        <m:t>PedsQL FU</m:t>
                      </m:r>
                    </m:e>
                  </m:d>
                </m:e>
                <m:sup>
                  <m:r>
                    <w:rPr>
                      <w:rFonts w:ascii="Cambria Math" w:hAnsi="Cambria Math"/>
                    </w:rPr>
                    <m:t>2</m:t>
                  </m:r>
                </m:sup>
              </m:sSup>
              <m:r>
                <w:rPr>
                  <w:rFonts w:ascii="Cambria Math" w:hAnsi="Cambria Math"/>
                </w:rPr>
                <m:t xml:space="preserve"> </m:t>
              </m:r>
              <m:d>
                <m:dPr>
                  <m:ctrlPr>
                    <w:rPr>
                      <w:rFonts w:ascii="Cambria Math" w:eastAsia="Cambria Math" w:hAnsi="Cambria Math" w:cs="Cambria Math"/>
                      <w:i/>
                    </w:rPr>
                  </m:ctrlPr>
                </m:dPr>
                <m:e>
                  <m:r>
                    <w:rPr>
                      <w:rFonts w:ascii="Cambria Math" w:eastAsia="Cambria Math" w:hAnsi="Cambria Math" w:cs="Cambria Math"/>
                    </w:rPr>
                    <m:t>1.646*</m:t>
                  </m:r>
                  <m:sSup>
                    <m:sSupPr>
                      <m:ctrlPr>
                        <w:rPr>
                          <w:rFonts w:ascii="Cambria Math" w:hAnsi="Cambria Math"/>
                        </w:rPr>
                      </m:ctrlPr>
                    </m:sSupPr>
                    <m:e>
                      <m:r>
                        <w:rPr>
                          <w:rFonts w:ascii="Cambria Math" w:hAnsi="Cambria Math"/>
                        </w:rPr>
                        <m:t>10</m:t>
                      </m:r>
                    </m:e>
                    <m:sup>
                      <m:r>
                        <w:rPr>
                          <w:rFonts w:ascii="Cambria Math" w:hAnsi="Cambria Math"/>
                        </w:rPr>
                        <m:t>-4</m:t>
                      </m:r>
                    </m:sup>
                  </m:sSup>
                </m:e>
              </m:d>
            </m:e>
          </m:d>
          <m:r>
            <w:rPr>
              <w:rFonts w:ascii="Cambria Math" w:hAnsi="Cambria Math"/>
            </w:rPr>
            <m:t xml:space="preserve">- </m:t>
          </m:r>
          <m:d>
            <m:dPr>
              <m:begChr m:val=""/>
              <m:endChr m:val=""/>
              <m:ctrlPr>
                <w:rPr>
                  <w:rFonts w:ascii="Cambria Math" w:hAnsi="Cambria Math"/>
                </w:rPr>
              </m:ctrlPr>
            </m:dPr>
            <m:e>
              <m:d>
                <m:dPr>
                  <m:ctrlPr>
                    <w:rPr>
                      <w:rFonts w:ascii="Cambria Math" w:hAnsi="Cambria Math"/>
                      <w:i/>
                    </w:rPr>
                  </m:ctrlPr>
                </m:dPr>
                <m:e>
                  <m:r>
                    <w:rPr>
                      <w:rFonts w:ascii="Cambria Math" w:hAnsi="Cambria Math"/>
                    </w:rPr>
                    <m:t>PedsQL PF</m:t>
                  </m:r>
                </m:e>
              </m:d>
              <m:d>
                <m:dPr>
                  <m:ctrlPr>
                    <w:rPr>
                      <w:rFonts w:ascii="Cambria Math" w:hAnsi="Cambria Math"/>
                      <w:i/>
                    </w:rPr>
                  </m:ctrlPr>
                </m:dPr>
                <m:e>
                  <m:r>
                    <w:rPr>
                      <w:rFonts w:ascii="Cambria Math" w:hAnsi="Cambria Math"/>
                    </w:rPr>
                    <m:t>PedsQL EF</m:t>
                  </m:r>
                </m:e>
              </m:d>
              <m:d>
                <m:dPr>
                  <m:ctrlPr>
                    <w:rPr>
                      <w:rFonts w:ascii="Cambria Math" w:hAnsi="Cambria Math"/>
                      <w:i/>
                    </w:rPr>
                  </m:ctrlPr>
                </m:dPr>
                <m:e>
                  <m:r>
                    <w:rPr>
                      <w:rFonts w:ascii="Cambria Math" w:eastAsia="Cambria Math" w:hAnsi="Cambria Math" w:cs="Cambria Math"/>
                    </w:rPr>
                    <m:t>1.10*</m:t>
                  </m:r>
                  <m:sSup>
                    <m:sSupPr>
                      <m:ctrlPr>
                        <w:rPr>
                          <w:rFonts w:ascii="Cambria Math" w:hAnsi="Cambria Math"/>
                        </w:rPr>
                      </m:ctrlPr>
                    </m:sSupPr>
                    <m:e>
                      <m:r>
                        <w:rPr>
                          <w:rFonts w:ascii="Cambria Math" w:hAnsi="Cambria Math"/>
                        </w:rPr>
                        <m:t>10</m:t>
                      </m:r>
                    </m:e>
                    <m:sup>
                      <m:r>
                        <w:rPr>
                          <w:rFonts w:ascii="Cambria Math" w:hAnsi="Cambria Math"/>
                        </w:rPr>
                        <m:t>-4</m:t>
                      </m:r>
                    </m:sup>
                  </m:sSup>
                </m:e>
              </m:d>
            </m:e>
          </m:d>
          <m:r>
            <w:rPr>
              <w:rFonts w:ascii="Cambria Math" w:hAnsi="Cambria Math"/>
            </w:rPr>
            <m:t xml:space="preserve">- </m:t>
          </m:r>
          <m:d>
            <m:dPr>
              <m:begChr m:val=""/>
              <m:endChr m:val=""/>
              <m:ctrlPr>
                <w:rPr>
                  <w:rFonts w:ascii="Cambria Math" w:hAnsi="Cambria Math"/>
                </w:rPr>
              </m:ctrlPr>
            </m:dPr>
            <m:e>
              <m:d>
                <m:dPr>
                  <m:ctrlPr>
                    <w:rPr>
                      <w:rFonts w:ascii="Cambria Math" w:hAnsi="Cambria Math"/>
                      <w:i/>
                    </w:rPr>
                  </m:ctrlPr>
                </m:dPr>
                <m:e>
                  <m:r>
                    <w:rPr>
                      <w:rFonts w:ascii="Cambria Math" w:hAnsi="Cambria Math"/>
                    </w:rPr>
                    <m:t>PedsQL PF</m:t>
                  </m:r>
                </m:e>
              </m:d>
              <m:d>
                <m:dPr>
                  <m:ctrlPr>
                    <w:rPr>
                      <w:rFonts w:ascii="Cambria Math" w:hAnsi="Cambria Math"/>
                      <w:i/>
                    </w:rPr>
                  </m:ctrlPr>
                </m:dPr>
                <m:e>
                  <m:r>
                    <w:rPr>
                      <w:rFonts w:ascii="Cambria Math" w:hAnsi="Cambria Math"/>
                    </w:rPr>
                    <m:t>PedsQL SF</m:t>
                  </m:r>
                </m:e>
              </m:d>
              <m:d>
                <m:dPr>
                  <m:ctrlPr>
                    <w:rPr>
                      <w:rFonts w:ascii="Cambria Math" w:hAnsi="Cambria Math"/>
                      <w:i/>
                    </w:rPr>
                  </m:ctrlPr>
                </m:dPr>
                <m:e>
                  <m:r>
                    <w:rPr>
                      <w:rFonts w:ascii="Cambria Math" w:eastAsia="Cambria Math" w:hAnsi="Cambria Math" w:cs="Cambria Math"/>
                    </w:rPr>
                    <m:t>1.14*</m:t>
                  </m:r>
                  <m:sSup>
                    <m:sSupPr>
                      <m:ctrlPr>
                        <w:rPr>
                          <w:rFonts w:ascii="Cambria Math" w:hAnsi="Cambria Math"/>
                        </w:rPr>
                      </m:ctrlPr>
                    </m:sSupPr>
                    <m:e>
                      <m:r>
                        <w:rPr>
                          <w:rFonts w:ascii="Cambria Math" w:hAnsi="Cambria Math"/>
                        </w:rPr>
                        <m:t>10</m:t>
                      </m:r>
                    </m:e>
                    <m:sup>
                      <m:r>
                        <w:rPr>
                          <w:rFonts w:ascii="Cambria Math" w:hAnsi="Cambria Math"/>
                        </w:rPr>
                        <m:t>-4</m:t>
                      </m:r>
                    </m:sup>
                  </m:sSup>
                </m:e>
              </m:d>
            </m:e>
          </m:d>
          <m:r>
            <w:rPr>
              <w:rFonts w:ascii="Cambria Math" w:hAnsi="Cambria Math"/>
            </w:rPr>
            <m:t xml:space="preserve">+ </m:t>
          </m:r>
          <m:d>
            <m:dPr>
              <m:begChr m:val=""/>
              <m:endChr m:val=""/>
              <m:ctrlPr>
                <w:rPr>
                  <w:rFonts w:ascii="Cambria Math" w:hAnsi="Cambria Math"/>
                </w:rPr>
              </m:ctrlPr>
            </m:dPr>
            <m:e>
              <m:d>
                <m:dPr>
                  <m:ctrlPr>
                    <w:rPr>
                      <w:rFonts w:ascii="Cambria Math" w:hAnsi="Cambria Math"/>
                      <w:i/>
                    </w:rPr>
                  </m:ctrlPr>
                </m:dPr>
                <m:e>
                  <m:r>
                    <w:rPr>
                      <w:rFonts w:ascii="Cambria Math" w:hAnsi="Cambria Math"/>
                    </w:rPr>
                    <m:t>PedsQL PF</m:t>
                  </m:r>
                </m:e>
              </m:d>
              <m:d>
                <m:dPr>
                  <m:ctrlPr>
                    <w:rPr>
                      <w:rFonts w:ascii="Cambria Math" w:hAnsi="Cambria Math"/>
                      <w:i/>
                    </w:rPr>
                  </m:ctrlPr>
                </m:dPr>
                <m:e>
                  <m:r>
                    <w:rPr>
                      <w:rFonts w:ascii="Cambria Math" w:hAnsi="Cambria Math"/>
                    </w:rPr>
                    <m:t>PedsQL FU</m:t>
                  </m:r>
                </m:e>
              </m:d>
              <m:d>
                <m:dPr>
                  <m:ctrlPr>
                    <w:rPr>
                      <w:rFonts w:ascii="Cambria Math" w:hAnsi="Cambria Math"/>
                      <w:i/>
                    </w:rPr>
                  </m:ctrlPr>
                </m:dPr>
                <m:e>
                  <m:r>
                    <w:rPr>
                      <w:rFonts w:ascii="Cambria Math" w:eastAsia="Cambria Math" w:hAnsi="Cambria Math" w:cs="Cambria Math"/>
                    </w:rPr>
                    <m:t>3.7*</m:t>
                  </m:r>
                  <m:sSup>
                    <m:sSupPr>
                      <m:ctrlPr>
                        <w:rPr>
                          <w:rFonts w:ascii="Cambria Math" w:hAnsi="Cambria Math"/>
                        </w:rPr>
                      </m:ctrlPr>
                    </m:sSupPr>
                    <m:e>
                      <m:r>
                        <w:rPr>
                          <w:rFonts w:ascii="Cambria Math" w:hAnsi="Cambria Math"/>
                        </w:rPr>
                        <m:t>10</m:t>
                      </m:r>
                    </m:e>
                    <m:sup>
                      <m:r>
                        <w:rPr>
                          <w:rFonts w:ascii="Cambria Math" w:hAnsi="Cambria Math"/>
                        </w:rPr>
                        <m:t>-5</m:t>
                      </m:r>
                    </m:sup>
                  </m:sSup>
                </m:e>
              </m:d>
            </m:e>
          </m:d>
          <m:r>
            <w:rPr>
              <w:rFonts w:ascii="Cambria Math" w:hAnsi="Cambria Math"/>
            </w:rPr>
            <m:t xml:space="preserve">- </m:t>
          </m:r>
          <m:d>
            <m:dPr>
              <m:begChr m:val=""/>
              <m:endChr m:val=""/>
              <m:ctrlPr>
                <w:rPr>
                  <w:rFonts w:ascii="Cambria Math" w:hAnsi="Cambria Math"/>
                </w:rPr>
              </m:ctrlPr>
            </m:dPr>
            <m:e>
              <m:d>
                <m:dPr>
                  <m:ctrlPr>
                    <w:rPr>
                      <w:rFonts w:ascii="Cambria Math" w:hAnsi="Cambria Math"/>
                      <w:i/>
                    </w:rPr>
                  </m:ctrlPr>
                </m:dPr>
                <m:e>
                  <m:r>
                    <w:rPr>
                      <w:rFonts w:ascii="Cambria Math" w:hAnsi="Cambria Math"/>
                    </w:rPr>
                    <m:t>PedsQL EF</m:t>
                  </m:r>
                </m:e>
              </m:d>
              <m:d>
                <m:dPr>
                  <m:ctrlPr>
                    <w:rPr>
                      <w:rFonts w:ascii="Cambria Math" w:hAnsi="Cambria Math"/>
                      <w:i/>
                    </w:rPr>
                  </m:ctrlPr>
                </m:dPr>
                <m:e>
                  <m:r>
                    <w:rPr>
                      <w:rFonts w:ascii="Cambria Math" w:hAnsi="Cambria Math"/>
                    </w:rPr>
                    <m:t>PedsQL SF</m:t>
                  </m:r>
                </m:e>
              </m:d>
              <m:d>
                <m:dPr>
                  <m:ctrlPr>
                    <w:rPr>
                      <w:rFonts w:ascii="Cambria Math" w:hAnsi="Cambria Math"/>
                      <w:i/>
                    </w:rPr>
                  </m:ctrlPr>
                </m:dPr>
                <m:e>
                  <m:r>
                    <w:rPr>
                      <w:rFonts w:ascii="Cambria Math" w:eastAsia="Cambria Math" w:hAnsi="Cambria Math" w:cs="Cambria Math"/>
                    </w:rPr>
                    <m:t>2.46*</m:t>
                  </m:r>
                  <m:sSup>
                    <m:sSupPr>
                      <m:ctrlPr>
                        <w:rPr>
                          <w:rFonts w:ascii="Cambria Math" w:hAnsi="Cambria Math"/>
                        </w:rPr>
                      </m:ctrlPr>
                    </m:sSupPr>
                    <m:e>
                      <m:r>
                        <w:rPr>
                          <w:rFonts w:ascii="Cambria Math" w:hAnsi="Cambria Math"/>
                        </w:rPr>
                        <m:t>10</m:t>
                      </m:r>
                    </m:e>
                    <m:sup>
                      <m:r>
                        <w:rPr>
                          <w:rFonts w:ascii="Cambria Math" w:hAnsi="Cambria Math"/>
                        </w:rPr>
                        <m:t>-4</m:t>
                      </m:r>
                    </m:sup>
                  </m:sSup>
                </m:e>
              </m:d>
            </m:e>
          </m:d>
          <m:r>
            <w:rPr>
              <w:rFonts w:ascii="Cambria Math" w:hAnsi="Cambria Math"/>
            </w:rPr>
            <m:t xml:space="preserve">- </m:t>
          </m:r>
          <m:d>
            <m:dPr>
              <m:begChr m:val=""/>
              <m:endChr m:val=""/>
              <m:ctrlPr>
                <w:rPr>
                  <w:rFonts w:ascii="Cambria Math" w:hAnsi="Cambria Math"/>
                </w:rPr>
              </m:ctrlPr>
            </m:dPr>
            <m:e>
              <m:d>
                <m:dPr>
                  <m:ctrlPr>
                    <w:rPr>
                      <w:rFonts w:ascii="Cambria Math" w:hAnsi="Cambria Math"/>
                      <w:i/>
                    </w:rPr>
                  </m:ctrlPr>
                </m:dPr>
                <m:e>
                  <m:r>
                    <w:rPr>
                      <w:rFonts w:ascii="Cambria Math" w:hAnsi="Cambria Math"/>
                    </w:rPr>
                    <m:t>PedsQL EF</m:t>
                  </m:r>
                </m:e>
              </m:d>
              <m:d>
                <m:dPr>
                  <m:ctrlPr>
                    <w:rPr>
                      <w:rFonts w:ascii="Cambria Math" w:hAnsi="Cambria Math"/>
                      <w:i/>
                    </w:rPr>
                  </m:ctrlPr>
                </m:dPr>
                <m:e>
                  <m:r>
                    <w:rPr>
                      <w:rFonts w:ascii="Cambria Math" w:hAnsi="Cambria Math"/>
                    </w:rPr>
                    <m:t>PedsQL FU</m:t>
                  </m:r>
                </m:e>
              </m:d>
              <m:d>
                <m:dPr>
                  <m:ctrlPr>
                    <w:rPr>
                      <w:rFonts w:ascii="Cambria Math" w:hAnsi="Cambria Math"/>
                      <w:i/>
                    </w:rPr>
                  </m:ctrlPr>
                </m:dPr>
                <m:e>
                  <m:r>
                    <w:rPr>
                      <w:rFonts w:ascii="Cambria Math" w:eastAsia="Cambria Math" w:hAnsi="Cambria Math" w:cs="Cambria Math"/>
                    </w:rPr>
                    <m:t>1.16*</m:t>
                  </m:r>
                  <m:sSup>
                    <m:sSupPr>
                      <m:ctrlPr>
                        <w:rPr>
                          <w:rFonts w:ascii="Cambria Math" w:hAnsi="Cambria Math"/>
                        </w:rPr>
                      </m:ctrlPr>
                    </m:sSupPr>
                    <m:e>
                      <m:r>
                        <w:rPr>
                          <w:rFonts w:ascii="Cambria Math" w:hAnsi="Cambria Math"/>
                        </w:rPr>
                        <m:t>10</m:t>
                      </m:r>
                    </m:e>
                    <m:sup>
                      <m:r>
                        <w:rPr>
                          <w:rFonts w:ascii="Cambria Math" w:hAnsi="Cambria Math"/>
                        </w:rPr>
                        <m:t>-4</m:t>
                      </m:r>
                    </m:sup>
                  </m:sSup>
                </m:e>
              </m:d>
            </m:e>
          </m:d>
          <m:r>
            <w:rPr>
              <w:rFonts w:ascii="Cambria Math" w:hAnsi="Cambria Math"/>
            </w:rPr>
            <m:t xml:space="preserve"> + </m:t>
          </m:r>
          <m:d>
            <m:dPr>
              <m:begChr m:val=""/>
              <m:endChr m:val=""/>
              <m:ctrlPr>
                <w:rPr>
                  <w:rFonts w:ascii="Cambria Math" w:hAnsi="Cambria Math"/>
                </w:rPr>
              </m:ctrlPr>
            </m:dPr>
            <m:e>
              <m:d>
                <m:dPr>
                  <m:ctrlPr>
                    <w:rPr>
                      <w:rFonts w:ascii="Cambria Math" w:hAnsi="Cambria Math"/>
                      <w:i/>
                    </w:rPr>
                  </m:ctrlPr>
                </m:dPr>
                <m:e>
                  <m:r>
                    <w:rPr>
                      <w:rFonts w:ascii="Cambria Math" w:hAnsi="Cambria Math"/>
                    </w:rPr>
                    <m:t>PedsQL SF</m:t>
                  </m:r>
                </m:e>
              </m:d>
              <m:d>
                <m:dPr>
                  <m:ctrlPr>
                    <w:rPr>
                      <w:rFonts w:ascii="Cambria Math" w:hAnsi="Cambria Math"/>
                      <w:i/>
                    </w:rPr>
                  </m:ctrlPr>
                </m:dPr>
                <m:e>
                  <m:r>
                    <w:rPr>
                      <w:rFonts w:ascii="Cambria Math" w:hAnsi="Cambria Math"/>
                    </w:rPr>
                    <m:t>PedsQL FU</m:t>
                  </m:r>
                </m:e>
              </m:d>
              <m:d>
                <m:dPr>
                  <m:ctrlPr>
                    <w:rPr>
                      <w:rFonts w:ascii="Cambria Math" w:hAnsi="Cambria Math"/>
                      <w:i/>
                    </w:rPr>
                  </m:ctrlPr>
                </m:dPr>
                <m:e>
                  <m:r>
                    <w:rPr>
                      <w:rFonts w:ascii="Cambria Math" w:eastAsia="Cambria Math" w:hAnsi="Cambria Math" w:cs="Cambria Math"/>
                    </w:rPr>
                    <m:t>4.36*</m:t>
                  </m:r>
                  <m:sSup>
                    <m:sSupPr>
                      <m:ctrlPr>
                        <w:rPr>
                          <w:rFonts w:ascii="Cambria Math" w:hAnsi="Cambria Math"/>
                        </w:rPr>
                      </m:ctrlPr>
                    </m:sSupPr>
                    <m:e>
                      <m:r>
                        <w:rPr>
                          <w:rFonts w:ascii="Cambria Math" w:hAnsi="Cambria Math"/>
                        </w:rPr>
                        <m:t>10</m:t>
                      </m:r>
                    </m:e>
                    <m:sup>
                      <m:r>
                        <w:rPr>
                          <w:rFonts w:ascii="Cambria Math" w:hAnsi="Cambria Math"/>
                        </w:rPr>
                        <m:t>-4</m:t>
                      </m:r>
                    </m:sup>
                  </m:sSup>
                </m:e>
              </m:d>
            </m:e>
          </m:d>
          <m:r>
            <w:rPr>
              <w:rFonts w:ascii="Cambria Math" w:hAnsi="Cambria Math"/>
            </w:rPr>
            <m:t xml:space="preserve">+ Age </m:t>
          </m:r>
          <m:d>
            <m:dPr>
              <m:ctrlPr>
                <w:rPr>
                  <w:rFonts w:ascii="Cambria Math" w:hAnsi="Cambria Math"/>
                  <w:i/>
                </w:rPr>
              </m:ctrlPr>
            </m:dPr>
            <m:e>
              <m:r>
                <w:rPr>
                  <w:rFonts w:ascii="Cambria Math" w:eastAsia="Cambria Math" w:hAnsi="Cambria Math" w:cs="Cambria Math"/>
                </w:rPr>
                <m:t>2.79*</m:t>
              </m:r>
              <m:sSup>
                <m:sSupPr>
                  <m:ctrlPr>
                    <w:rPr>
                      <w:rFonts w:ascii="Cambria Math" w:hAnsi="Cambria Math"/>
                    </w:rPr>
                  </m:ctrlPr>
                </m:sSupPr>
                <m:e>
                  <m:r>
                    <w:rPr>
                      <w:rFonts w:ascii="Cambria Math" w:hAnsi="Cambria Math"/>
                    </w:rPr>
                    <m:t>10</m:t>
                  </m:r>
                </m:e>
                <m:sup>
                  <m:r>
                    <w:rPr>
                      <w:rFonts w:ascii="Cambria Math" w:hAnsi="Cambria Math"/>
                    </w:rPr>
                    <m:t>-2</m:t>
                  </m:r>
                </m:sup>
              </m:sSup>
            </m:e>
          </m:d>
          <m:r>
            <w:rPr>
              <w:rFonts w:ascii="Cambria Math" w:hAnsi="Cambria Math"/>
            </w:rPr>
            <m:t xml:space="preserve">- </m:t>
          </m:r>
          <m:d>
            <m:dPr>
              <m:ctrlPr>
                <w:rPr>
                  <w:rFonts w:ascii="Cambria Math" w:hAnsi="Cambria Math"/>
                  <w:i/>
                </w:rPr>
              </m:ctrlPr>
            </m:dPr>
            <m:e>
              <m:r>
                <w:rPr>
                  <w:rFonts w:ascii="Cambria Math" w:eastAsia="Cambria Math" w:hAnsi="Cambria Math" w:cs="Cambria Math"/>
                </w:rPr>
                <m:t>5.46*</m:t>
              </m:r>
              <m:sSup>
                <m:sSupPr>
                  <m:ctrlPr>
                    <w:rPr>
                      <w:rFonts w:ascii="Cambria Math" w:hAnsi="Cambria Math"/>
                    </w:rPr>
                  </m:ctrlPr>
                </m:sSupPr>
                <m:e>
                  <m:r>
                    <w:rPr>
                      <w:rFonts w:ascii="Cambria Math" w:hAnsi="Cambria Math"/>
                    </w:rPr>
                    <m:t>10</m:t>
                  </m:r>
                </m:e>
                <m:sup>
                  <m:r>
                    <w:rPr>
                      <w:rFonts w:ascii="Cambria Math" w:hAnsi="Cambria Math"/>
                    </w:rPr>
                    <m:t>-4</m:t>
                  </m:r>
                </m:sup>
              </m:sSup>
            </m:e>
          </m:d>
          <m:r>
            <w:rPr>
              <w:rFonts w:ascii="Cambria Math" w:hAnsi="Cambria Math"/>
            </w:rPr>
            <m:t xml:space="preserve"> if female</m:t>
          </m:r>
        </m:oMath>
      </m:oMathPara>
    </w:p>
    <w:bookmarkEnd w:id="21"/>
    <w:p w14:paraId="0130918A" w14:textId="77777777" w:rsidR="00102970" w:rsidRDefault="00102970" w:rsidP="00102970">
      <w:pPr>
        <w:pStyle w:val="Caption"/>
      </w:pPr>
    </w:p>
    <w:tbl>
      <w:tblPr>
        <w:tblW w:w="7588" w:type="dxa"/>
        <w:tblInd w:w="93" w:type="dxa"/>
        <w:tblLook w:val="04A0" w:firstRow="1" w:lastRow="0" w:firstColumn="1" w:lastColumn="0" w:noHBand="0" w:noVBand="1"/>
      </w:tblPr>
      <w:tblGrid>
        <w:gridCol w:w="2126"/>
        <w:gridCol w:w="1532"/>
        <w:gridCol w:w="1199"/>
        <w:gridCol w:w="1532"/>
        <w:gridCol w:w="1199"/>
      </w:tblGrid>
      <w:tr w:rsidR="00102970" w:rsidRPr="00355303" w14:paraId="60879093" w14:textId="77777777" w:rsidTr="00E82B90">
        <w:trPr>
          <w:trHeight w:val="327"/>
        </w:trPr>
        <w:tc>
          <w:tcPr>
            <w:tcW w:w="6389" w:type="dxa"/>
            <w:gridSpan w:val="4"/>
            <w:tcBorders>
              <w:top w:val="nil"/>
              <w:left w:val="nil"/>
              <w:bottom w:val="single" w:sz="8" w:space="0" w:color="auto"/>
              <w:right w:val="nil"/>
            </w:tcBorders>
            <w:shd w:val="clear" w:color="000000" w:fill="000000"/>
            <w:noWrap/>
            <w:vAlign w:val="center"/>
            <w:hideMark/>
          </w:tcPr>
          <w:p w14:paraId="3F4C1700" w14:textId="00A1E655" w:rsidR="00102970" w:rsidRPr="00355303" w:rsidRDefault="00102970" w:rsidP="006A6FB6">
            <w:pPr>
              <w:pStyle w:val="CaptionTable"/>
              <w:rPr>
                <w:sz w:val="24"/>
                <w:szCs w:val="24"/>
              </w:rPr>
            </w:pPr>
            <w:r>
              <w:t xml:space="preserve"> </w:t>
            </w:r>
            <w:bookmarkStart w:id="27" w:name="_Ref475971506"/>
            <w:bookmarkStart w:id="28" w:name="_Toc479177279"/>
            <w:r w:rsidRPr="00355303">
              <w:rPr>
                <w:rFonts w:eastAsiaTheme="minorEastAsia"/>
              </w:rPr>
              <w:t xml:space="preserve">Table </w:t>
            </w:r>
            <w:fldSimple w:instr=" SEQ Table \* ARABIC ">
              <w:r w:rsidR="00BF04FD">
                <w:rPr>
                  <w:noProof/>
                </w:rPr>
                <w:t>5</w:t>
              </w:r>
            </w:fldSimple>
            <w:bookmarkEnd w:id="27"/>
            <w:r w:rsidR="003F54E5">
              <w:t xml:space="preserve"> </w:t>
            </w:r>
            <w:r w:rsidRPr="00355303">
              <w:rPr>
                <w:rFonts w:eastAsiaTheme="minorEastAsia"/>
              </w:rPr>
              <w:t xml:space="preserve"> </w:t>
            </w:r>
            <w:r w:rsidRPr="003F54E5">
              <w:rPr>
                <w:rFonts w:eastAsiaTheme="minorEastAsia"/>
                <w:b w:val="0"/>
              </w:rPr>
              <w:t>Coefficients for the two best-fitting models</w:t>
            </w:r>
            <w:bookmarkEnd w:id="28"/>
          </w:p>
        </w:tc>
        <w:tc>
          <w:tcPr>
            <w:tcW w:w="1199" w:type="dxa"/>
            <w:tcBorders>
              <w:top w:val="nil"/>
              <w:left w:val="nil"/>
              <w:bottom w:val="single" w:sz="8" w:space="0" w:color="auto"/>
              <w:right w:val="nil"/>
            </w:tcBorders>
            <w:shd w:val="clear" w:color="000000" w:fill="000000"/>
            <w:noWrap/>
            <w:vAlign w:val="center"/>
            <w:hideMark/>
          </w:tcPr>
          <w:p w14:paraId="651B39DC" w14:textId="77777777" w:rsidR="00102970" w:rsidRPr="00355303" w:rsidRDefault="00102970" w:rsidP="006A6FB6">
            <w:pPr>
              <w:keepNext/>
              <w:spacing w:after="0" w:line="240" w:lineRule="auto"/>
              <w:rPr>
                <w:rFonts w:eastAsia="Times New Roman"/>
                <w:b/>
                <w:bCs/>
                <w:color w:val="000000"/>
                <w:sz w:val="20"/>
                <w:szCs w:val="20"/>
                <w:lang w:eastAsia="en-GB"/>
              </w:rPr>
            </w:pPr>
            <w:r w:rsidRPr="00355303">
              <w:rPr>
                <w:rFonts w:eastAsia="Times New Roman"/>
                <w:b/>
                <w:bCs/>
                <w:color w:val="000000"/>
                <w:sz w:val="20"/>
                <w:szCs w:val="20"/>
                <w:lang w:eastAsia="en-GB"/>
              </w:rPr>
              <w:t> </w:t>
            </w:r>
          </w:p>
        </w:tc>
      </w:tr>
      <w:tr w:rsidR="00102970" w:rsidRPr="00355303" w14:paraId="5C5FFE4F" w14:textId="77777777" w:rsidTr="00E82B90">
        <w:trPr>
          <w:trHeight w:val="312"/>
        </w:trPr>
        <w:tc>
          <w:tcPr>
            <w:tcW w:w="2126" w:type="dxa"/>
            <w:tcBorders>
              <w:top w:val="nil"/>
              <w:left w:val="nil"/>
              <w:bottom w:val="nil"/>
              <w:right w:val="nil"/>
            </w:tcBorders>
            <w:shd w:val="clear" w:color="000000" w:fill="F2F2F2"/>
            <w:noWrap/>
            <w:vAlign w:val="center"/>
            <w:hideMark/>
          </w:tcPr>
          <w:p w14:paraId="4BC24792" w14:textId="77777777" w:rsidR="00102970" w:rsidRPr="00355303" w:rsidRDefault="00102970" w:rsidP="006A6FB6">
            <w:pPr>
              <w:keepNext/>
              <w:spacing w:after="0" w:line="240" w:lineRule="auto"/>
              <w:jc w:val="right"/>
              <w:rPr>
                <w:rFonts w:eastAsia="Times New Roman"/>
                <w:b/>
                <w:bCs/>
                <w:color w:val="000000"/>
                <w:sz w:val="20"/>
                <w:szCs w:val="20"/>
                <w:lang w:eastAsia="en-GB"/>
              </w:rPr>
            </w:pPr>
            <w:r w:rsidRPr="00355303">
              <w:rPr>
                <w:rFonts w:eastAsia="Times New Roman"/>
                <w:b/>
                <w:bCs/>
                <w:color w:val="000000"/>
                <w:sz w:val="20"/>
                <w:szCs w:val="20"/>
                <w:lang w:eastAsia="en-GB"/>
              </w:rPr>
              <w:t> </w:t>
            </w:r>
          </w:p>
        </w:tc>
        <w:tc>
          <w:tcPr>
            <w:tcW w:w="2731" w:type="dxa"/>
            <w:gridSpan w:val="2"/>
            <w:tcBorders>
              <w:top w:val="single" w:sz="8" w:space="0" w:color="auto"/>
              <w:left w:val="nil"/>
              <w:bottom w:val="single" w:sz="8" w:space="0" w:color="auto"/>
              <w:right w:val="nil"/>
            </w:tcBorders>
            <w:shd w:val="clear" w:color="000000" w:fill="F2F2F2"/>
            <w:noWrap/>
            <w:vAlign w:val="center"/>
            <w:hideMark/>
          </w:tcPr>
          <w:p w14:paraId="774082A7" w14:textId="77777777" w:rsidR="00102970" w:rsidRPr="00355303" w:rsidRDefault="00102970" w:rsidP="006A6FB6">
            <w:pPr>
              <w:keepNext/>
              <w:spacing w:after="0" w:line="240" w:lineRule="auto"/>
              <w:jc w:val="center"/>
              <w:rPr>
                <w:rFonts w:eastAsia="Times New Roman"/>
                <w:b/>
                <w:bCs/>
                <w:color w:val="000000"/>
                <w:sz w:val="20"/>
                <w:szCs w:val="20"/>
                <w:lang w:eastAsia="en-GB"/>
              </w:rPr>
            </w:pPr>
            <w:r>
              <w:rPr>
                <w:rFonts w:eastAsia="Times New Roman"/>
                <w:b/>
                <w:bCs/>
                <w:color w:val="000000"/>
                <w:sz w:val="20"/>
                <w:szCs w:val="20"/>
                <w:lang w:eastAsia="en-GB"/>
              </w:rPr>
              <w:t>GLM 6</w:t>
            </w:r>
          </w:p>
        </w:tc>
        <w:tc>
          <w:tcPr>
            <w:tcW w:w="2731" w:type="dxa"/>
            <w:gridSpan w:val="2"/>
            <w:tcBorders>
              <w:top w:val="single" w:sz="8" w:space="0" w:color="auto"/>
              <w:left w:val="nil"/>
              <w:bottom w:val="single" w:sz="8" w:space="0" w:color="auto"/>
              <w:right w:val="nil"/>
            </w:tcBorders>
            <w:shd w:val="clear" w:color="000000" w:fill="F2F2F2"/>
            <w:noWrap/>
            <w:vAlign w:val="center"/>
            <w:hideMark/>
          </w:tcPr>
          <w:p w14:paraId="00E13FFA" w14:textId="77777777" w:rsidR="00102970" w:rsidRPr="00355303" w:rsidRDefault="00102970" w:rsidP="006A6FB6">
            <w:pPr>
              <w:keepNext/>
              <w:spacing w:after="0" w:line="240" w:lineRule="auto"/>
              <w:jc w:val="center"/>
              <w:rPr>
                <w:rFonts w:eastAsia="Times New Roman"/>
                <w:b/>
                <w:bCs/>
                <w:color w:val="000000"/>
                <w:sz w:val="20"/>
                <w:szCs w:val="20"/>
                <w:lang w:eastAsia="en-GB"/>
              </w:rPr>
            </w:pPr>
            <w:r>
              <w:rPr>
                <w:rFonts w:eastAsia="Times New Roman"/>
                <w:b/>
                <w:bCs/>
                <w:color w:val="000000"/>
                <w:sz w:val="20"/>
                <w:szCs w:val="20"/>
                <w:lang w:eastAsia="en-GB"/>
              </w:rPr>
              <w:t>OLS 3</w:t>
            </w:r>
          </w:p>
        </w:tc>
      </w:tr>
      <w:tr w:rsidR="00102970" w:rsidRPr="00355303" w14:paraId="0268AD3D" w14:textId="77777777" w:rsidTr="00E82B90">
        <w:trPr>
          <w:trHeight w:val="312"/>
        </w:trPr>
        <w:tc>
          <w:tcPr>
            <w:tcW w:w="2126" w:type="dxa"/>
            <w:tcBorders>
              <w:top w:val="nil"/>
              <w:left w:val="nil"/>
              <w:bottom w:val="single" w:sz="8" w:space="0" w:color="auto"/>
              <w:right w:val="nil"/>
            </w:tcBorders>
            <w:shd w:val="clear" w:color="000000" w:fill="F2F2F2"/>
            <w:noWrap/>
            <w:vAlign w:val="center"/>
            <w:hideMark/>
          </w:tcPr>
          <w:p w14:paraId="69AC0825" w14:textId="77777777" w:rsidR="00102970" w:rsidRPr="00355303" w:rsidRDefault="00102970" w:rsidP="006A6FB6">
            <w:pPr>
              <w:keepNext/>
              <w:spacing w:after="0" w:line="240" w:lineRule="auto"/>
              <w:jc w:val="right"/>
              <w:rPr>
                <w:rFonts w:eastAsia="Times New Roman"/>
                <w:b/>
                <w:bCs/>
                <w:color w:val="000000"/>
                <w:sz w:val="20"/>
                <w:szCs w:val="20"/>
                <w:lang w:eastAsia="en-GB"/>
              </w:rPr>
            </w:pPr>
            <w:r w:rsidRPr="00355303">
              <w:rPr>
                <w:rFonts w:eastAsia="Times New Roman"/>
                <w:b/>
                <w:bCs/>
                <w:color w:val="000000"/>
                <w:sz w:val="20"/>
                <w:szCs w:val="20"/>
                <w:lang w:eastAsia="en-GB"/>
              </w:rPr>
              <w:t> </w:t>
            </w:r>
          </w:p>
        </w:tc>
        <w:tc>
          <w:tcPr>
            <w:tcW w:w="1532" w:type="dxa"/>
            <w:tcBorders>
              <w:top w:val="nil"/>
              <w:left w:val="nil"/>
              <w:bottom w:val="single" w:sz="8" w:space="0" w:color="auto"/>
              <w:right w:val="nil"/>
            </w:tcBorders>
            <w:shd w:val="clear" w:color="000000" w:fill="F2F2F2"/>
            <w:noWrap/>
            <w:vAlign w:val="center"/>
            <w:hideMark/>
          </w:tcPr>
          <w:p w14:paraId="07C16AE1" w14:textId="77777777" w:rsidR="00102970" w:rsidRPr="00355303" w:rsidRDefault="00102970" w:rsidP="006A6FB6">
            <w:pPr>
              <w:keepNext/>
              <w:spacing w:after="0" w:line="240" w:lineRule="auto"/>
              <w:jc w:val="right"/>
              <w:rPr>
                <w:rFonts w:eastAsia="Times New Roman"/>
                <w:b/>
                <w:bCs/>
                <w:color w:val="000000"/>
                <w:sz w:val="20"/>
                <w:szCs w:val="20"/>
                <w:lang w:eastAsia="en-GB"/>
              </w:rPr>
            </w:pPr>
            <w:r w:rsidRPr="00355303">
              <w:rPr>
                <w:rFonts w:eastAsia="Times New Roman"/>
                <w:b/>
                <w:bCs/>
                <w:color w:val="000000"/>
                <w:sz w:val="20"/>
                <w:szCs w:val="20"/>
                <w:lang w:eastAsia="en-GB"/>
              </w:rPr>
              <w:t>Coefficient</w:t>
            </w:r>
          </w:p>
        </w:tc>
        <w:tc>
          <w:tcPr>
            <w:tcW w:w="1199" w:type="dxa"/>
            <w:tcBorders>
              <w:top w:val="nil"/>
              <w:left w:val="nil"/>
              <w:bottom w:val="single" w:sz="8" w:space="0" w:color="auto"/>
              <w:right w:val="nil"/>
            </w:tcBorders>
            <w:shd w:val="clear" w:color="000000" w:fill="F2F2F2"/>
            <w:noWrap/>
            <w:vAlign w:val="center"/>
            <w:hideMark/>
          </w:tcPr>
          <w:p w14:paraId="222E01BF" w14:textId="77777777" w:rsidR="00102970" w:rsidRPr="00355303" w:rsidRDefault="00102970" w:rsidP="006A6FB6">
            <w:pPr>
              <w:keepNext/>
              <w:spacing w:after="0" w:line="240" w:lineRule="auto"/>
              <w:jc w:val="right"/>
              <w:rPr>
                <w:rFonts w:eastAsia="Times New Roman"/>
                <w:b/>
                <w:bCs/>
                <w:color w:val="000000"/>
                <w:sz w:val="20"/>
                <w:szCs w:val="20"/>
                <w:lang w:eastAsia="en-GB"/>
              </w:rPr>
            </w:pPr>
            <w:r w:rsidRPr="00355303">
              <w:rPr>
                <w:rFonts w:eastAsia="Times New Roman"/>
                <w:b/>
                <w:bCs/>
                <w:color w:val="000000"/>
                <w:sz w:val="20"/>
                <w:szCs w:val="20"/>
                <w:lang w:eastAsia="en-GB"/>
              </w:rPr>
              <w:t>SE</w:t>
            </w:r>
          </w:p>
        </w:tc>
        <w:tc>
          <w:tcPr>
            <w:tcW w:w="1532" w:type="dxa"/>
            <w:tcBorders>
              <w:top w:val="nil"/>
              <w:left w:val="nil"/>
              <w:bottom w:val="single" w:sz="8" w:space="0" w:color="auto"/>
              <w:right w:val="nil"/>
            </w:tcBorders>
            <w:shd w:val="clear" w:color="000000" w:fill="F2F2F2"/>
            <w:noWrap/>
            <w:vAlign w:val="center"/>
            <w:hideMark/>
          </w:tcPr>
          <w:p w14:paraId="5A05C537" w14:textId="77777777" w:rsidR="00102970" w:rsidRPr="00355303" w:rsidRDefault="00102970" w:rsidP="006A6FB6">
            <w:pPr>
              <w:keepNext/>
              <w:spacing w:after="0" w:line="240" w:lineRule="auto"/>
              <w:jc w:val="right"/>
              <w:rPr>
                <w:rFonts w:eastAsia="Times New Roman"/>
                <w:b/>
                <w:bCs/>
                <w:color w:val="000000"/>
                <w:sz w:val="20"/>
                <w:szCs w:val="20"/>
                <w:lang w:eastAsia="en-GB"/>
              </w:rPr>
            </w:pPr>
            <w:r w:rsidRPr="00355303">
              <w:rPr>
                <w:rFonts w:eastAsia="Times New Roman"/>
                <w:b/>
                <w:bCs/>
                <w:color w:val="000000"/>
                <w:sz w:val="20"/>
                <w:szCs w:val="20"/>
                <w:lang w:eastAsia="en-GB"/>
              </w:rPr>
              <w:t>Coefficient</w:t>
            </w:r>
          </w:p>
        </w:tc>
        <w:tc>
          <w:tcPr>
            <w:tcW w:w="1199" w:type="dxa"/>
            <w:tcBorders>
              <w:top w:val="nil"/>
              <w:left w:val="nil"/>
              <w:bottom w:val="single" w:sz="8" w:space="0" w:color="auto"/>
              <w:right w:val="nil"/>
            </w:tcBorders>
            <w:shd w:val="clear" w:color="000000" w:fill="F2F2F2"/>
            <w:noWrap/>
            <w:vAlign w:val="center"/>
            <w:hideMark/>
          </w:tcPr>
          <w:p w14:paraId="2A6BBE1A" w14:textId="77777777" w:rsidR="00102970" w:rsidRPr="00355303" w:rsidRDefault="00102970" w:rsidP="006A6FB6">
            <w:pPr>
              <w:keepNext/>
              <w:spacing w:after="0" w:line="240" w:lineRule="auto"/>
              <w:jc w:val="right"/>
              <w:rPr>
                <w:rFonts w:eastAsia="Times New Roman"/>
                <w:b/>
                <w:bCs/>
                <w:color w:val="000000"/>
                <w:sz w:val="20"/>
                <w:szCs w:val="20"/>
                <w:lang w:eastAsia="en-GB"/>
              </w:rPr>
            </w:pPr>
            <w:r w:rsidRPr="00355303">
              <w:rPr>
                <w:rFonts w:eastAsia="Times New Roman"/>
                <w:b/>
                <w:bCs/>
                <w:color w:val="000000"/>
                <w:sz w:val="20"/>
                <w:szCs w:val="20"/>
                <w:lang w:eastAsia="en-GB"/>
              </w:rPr>
              <w:t>SE</w:t>
            </w:r>
          </w:p>
        </w:tc>
      </w:tr>
      <w:tr w:rsidR="00102970" w:rsidRPr="00355303" w14:paraId="55E3E02D" w14:textId="77777777" w:rsidTr="00E82B90">
        <w:trPr>
          <w:trHeight w:val="297"/>
        </w:trPr>
        <w:tc>
          <w:tcPr>
            <w:tcW w:w="2126" w:type="dxa"/>
            <w:tcBorders>
              <w:top w:val="nil"/>
              <w:left w:val="nil"/>
              <w:bottom w:val="nil"/>
              <w:right w:val="nil"/>
            </w:tcBorders>
            <w:shd w:val="clear" w:color="000000" w:fill="F2F2F2"/>
            <w:noWrap/>
            <w:vAlign w:val="center"/>
            <w:hideMark/>
          </w:tcPr>
          <w:p w14:paraId="04CA9CB5"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 xml:space="preserve">PedsQL™ </w:t>
            </w:r>
            <w:r w:rsidRPr="001F0125">
              <w:rPr>
                <w:rFonts w:eastAsia="Times New Roman"/>
                <w:noProof/>
                <w:color w:val="000000"/>
                <w:sz w:val="18"/>
                <w:szCs w:val="18"/>
                <w:lang w:eastAsia="en-GB"/>
              </w:rPr>
              <w:t>PF</w:t>
            </w:r>
            <w:r w:rsidRPr="00C922FE">
              <w:rPr>
                <w:rFonts w:eastAsia="Times New Roman"/>
                <w:color w:val="000000"/>
                <w:sz w:val="18"/>
                <w:szCs w:val="18"/>
                <w:lang w:eastAsia="en-GB"/>
              </w:rPr>
              <w:t xml:space="preserve"> Squared</w:t>
            </w:r>
          </w:p>
        </w:tc>
        <w:tc>
          <w:tcPr>
            <w:tcW w:w="1532" w:type="dxa"/>
            <w:tcBorders>
              <w:top w:val="nil"/>
              <w:left w:val="nil"/>
              <w:bottom w:val="nil"/>
              <w:right w:val="nil"/>
            </w:tcBorders>
            <w:shd w:val="clear" w:color="000000" w:fill="F2F2F2"/>
            <w:noWrap/>
            <w:vAlign w:val="bottom"/>
            <w:hideMark/>
          </w:tcPr>
          <w:p w14:paraId="6BEA914A" w14:textId="5AB36A87" w:rsidR="00102970" w:rsidRPr="00C922FE" w:rsidRDefault="006A6FB6" w:rsidP="006A6FB6">
            <w:pPr>
              <w:keepNext/>
              <w:spacing w:after="0" w:line="240" w:lineRule="auto"/>
              <w:jc w:val="right"/>
              <w:rPr>
                <w:rFonts w:eastAsia="Times New Roman"/>
                <w:color w:val="000000"/>
                <w:sz w:val="18"/>
                <w:szCs w:val="18"/>
                <w:lang w:eastAsia="en-GB"/>
              </w:rPr>
            </w:pPr>
            <w:r>
              <w:rPr>
                <w:rFonts w:eastAsia="Times New Roman"/>
                <w:color w:val="000000"/>
                <w:sz w:val="18"/>
                <w:szCs w:val="18"/>
                <w:lang w:eastAsia="en-GB"/>
              </w:rPr>
              <w:t>0.000162</w:t>
            </w:r>
          </w:p>
        </w:tc>
        <w:tc>
          <w:tcPr>
            <w:tcW w:w="1199" w:type="dxa"/>
            <w:tcBorders>
              <w:top w:val="nil"/>
              <w:left w:val="nil"/>
              <w:bottom w:val="nil"/>
              <w:right w:val="nil"/>
            </w:tcBorders>
            <w:shd w:val="clear" w:color="000000" w:fill="F2F2F2"/>
            <w:noWrap/>
            <w:vAlign w:val="bottom"/>
            <w:hideMark/>
          </w:tcPr>
          <w:p w14:paraId="20D4A3F0"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0.000103</w:t>
            </w:r>
          </w:p>
        </w:tc>
        <w:tc>
          <w:tcPr>
            <w:tcW w:w="1532" w:type="dxa"/>
            <w:tcBorders>
              <w:top w:val="nil"/>
              <w:left w:val="nil"/>
              <w:bottom w:val="nil"/>
              <w:right w:val="nil"/>
            </w:tcBorders>
            <w:shd w:val="clear" w:color="000000" w:fill="F2F2F2"/>
            <w:noWrap/>
            <w:vAlign w:val="center"/>
          </w:tcPr>
          <w:p w14:paraId="18A1FB24"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192C5C76"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67BC5399" w14:textId="77777777" w:rsidTr="00E82B90">
        <w:trPr>
          <w:trHeight w:val="297"/>
        </w:trPr>
        <w:tc>
          <w:tcPr>
            <w:tcW w:w="2126" w:type="dxa"/>
            <w:tcBorders>
              <w:top w:val="nil"/>
              <w:left w:val="nil"/>
              <w:bottom w:val="nil"/>
              <w:right w:val="nil"/>
            </w:tcBorders>
            <w:shd w:val="clear" w:color="000000" w:fill="F2F2F2"/>
            <w:noWrap/>
            <w:vAlign w:val="center"/>
            <w:hideMark/>
          </w:tcPr>
          <w:p w14:paraId="221BF8DD"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EF Squared</w:t>
            </w:r>
          </w:p>
        </w:tc>
        <w:tc>
          <w:tcPr>
            <w:tcW w:w="1532" w:type="dxa"/>
            <w:tcBorders>
              <w:top w:val="nil"/>
              <w:left w:val="nil"/>
              <w:bottom w:val="nil"/>
              <w:right w:val="nil"/>
            </w:tcBorders>
            <w:shd w:val="clear" w:color="000000" w:fill="F2F2F2"/>
            <w:noWrap/>
            <w:vAlign w:val="bottom"/>
            <w:hideMark/>
          </w:tcPr>
          <w:p w14:paraId="2626F9F3" w14:textId="6DA34723" w:rsidR="00102970" w:rsidRPr="00C922FE" w:rsidRDefault="006A6FB6" w:rsidP="006A6FB6">
            <w:pPr>
              <w:keepNext/>
              <w:spacing w:after="0" w:line="240" w:lineRule="auto"/>
              <w:jc w:val="right"/>
              <w:rPr>
                <w:rFonts w:eastAsia="Times New Roman"/>
                <w:color w:val="000000"/>
                <w:sz w:val="18"/>
                <w:szCs w:val="18"/>
                <w:lang w:eastAsia="en-GB"/>
              </w:rPr>
            </w:pPr>
            <w:r>
              <w:rPr>
                <w:rFonts w:eastAsia="Times New Roman"/>
                <w:color w:val="000000"/>
                <w:sz w:val="18"/>
                <w:szCs w:val="18"/>
                <w:lang w:eastAsia="en-GB"/>
              </w:rPr>
              <w:t>0.000477</w:t>
            </w:r>
            <w:r w:rsidR="00102970" w:rsidRPr="00C922FE">
              <w:rPr>
                <w:rFonts w:eastAsia="Times New Roman"/>
                <w:color w:val="000000"/>
                <w:sz w:val="18"/>
                <w:szCs w:val="18"/>
                <w:lang w:eastAsia="en-GB"/>
              </w:rPr>
              <w:t>***</w:t>
            </w:r>
          </w:p>
        </w:tc>
        <w:tc>
          <w:tcPr>
            <w:tcW w:w="1199" w:type="dxa"/>
            <w:tcBorders>
              <w:top w:val="nil"/>
              <w:left w:val="nil"/>
              <w:bottom w:val="nil"/>
              <w:right w:val="nil"/>
            </w:tcBorders>
            <w:shd w:val="clear" w:color="000000" w:fill="F2F2F2"/>
            <w:noWrap/>
            <w:vAlign w:val="bottom"/>
            <w:hideMark/>
          </w:tcPr>
          <w:p w14:paraId="404F9394"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0.000127</w:t>
            </w:r>
          </w:p>
        </w:tc>
        <w:tc>
          <w:tcPr>
            <w:tcW w:w="1532" w:type="dxa"/>
            <w:tcBorders>
              <w:top w:val="nil"/>
              <w:left w:val="nil"/>
              <w:bottom w:val="nil"/>
              <w:right w:val="nil"/>
            </w:tcBorders>
            <w:shd w:val="clear" w:color="000000" w:fill="F2F2F2"/>
            <w:noWrap/>
            <w:vAlign w:val="center"/>
          </w:tcPr>
          <w:p w14:paraId="47DD665D"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13ACD036"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369B3E04" w14:textId="77777777" w:rsidTr="00E82B90">
        <w:trPr>
          <w:trHeight w:val="297"/>
        </w:trPr>
        <w:tc>
          <w:tcPr>
            <w:tcW w:w="2126" w:type="dxa"/>
            <w:tcBorders>
              <w:top w:val="nil"/>
              <w:left w:val="nil"/>
              <w:bottom w:val="nil"/>
              <w:right w:val="nil"/>
            </w:tcBorders>
            <w:shd w:val="clear" w:color="000000" w:fill="F2F2F2"/>
            <w:noWrap/>
            <w:vAlign w:val="center"/>
            <w:hideMark/>
          </w:tcPr>
          <w:p w14:paraId="3EE00653"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SF Squared</w:t>
            </w:r>
          </w:p>
        </w:tc>
        <w:tc>
          <w:tcPr>
            <w:tcW w:w="1532" w:type="dxa"/>
            <w:tcBorders>
              <w:top w:val="nil"/>
              <w:left w:val="nil"/>
              <w:bottom w:val="nil"/>
              <w:right w:val="nil"/>
            </w:tcBorders>
            <w:shd w:val="clear" w:color="000000" w:fill="F2F2F2"/>
            <w:noWrap/>
            <w:vAlign w:val="bottom"/>
            <w:hideMark/>
          </w:tcPr>
          <w:p w14:paraId="335F6DA7" w14:textId="40DE290C" w:rsidR="00102970" w:rsidRPr="00C922FE" w:rsidRDefault="006A6FB6" w:rsidP="006A6FB6">
            <w:pPr>
              <w:keepNext/>
              <w:spacing w:after="0" w:line="240" w:lineRule="auto"/>
              <w:jc w:val="right"/>
              <w:rPr>
                <w:rFonts w:eastAsia="Times New Roman"/>
                <w:color w:val="000000"/>
                <w:sz w:val="18"/>
                <w:szCs w:val="18"/>
                <w:lang w:eastAsia="en-GB"/>
              </w:rPr>
            </w:pPr>
            <w:r>
              <w:rPr>
                <w:rFonts w:eastAsia="Times New Roman"/>
                <w:color w:val="000000"/>
                <w:sz w:val="18"/>
                <w:szCs w:val="18"/>
                <w:lang w:eastAsia="en-GB"/>
              </w:rPr>
              <w:t>-0.000040</w:t>
            </w:r>
          </w:p>
        </w:tc>
        <w:tc>
          <w:tcPr>
            <w:tcW w:w="1199" w:type="dxa"/>
            <w:tcBorders>
              <w:top w:val="nil"/>
              <w:left w:val="nil"/>
              <w:bottom w:val="nil"/>
              <w:right w:val="nil"/>
            </w:tcBorders>
            <w:shd w:val="clear" w:color="000000" w:fill="F2F2F2"/>
            <w:noWrap/>
            <w:vAlign w:val="bottom"/>
            <w:hideMark/>
          </w:tcPr>
          <w:p w14:paraId="6EFE6ECA"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0.000145</w:t>
            </w:r>
          </w:p>
        </w:tc>
        <w:tc>
          <w:tcPr>
            <w:tcW w:w="1532" w:type="dxa"/>
            <w:tcBorders>
              <w:top w:val="nil"/>
              <w:left w:val="nil"/>
              <w:bottom w:val="nil"/>
              <w:right w:val="nil"/>
            </w:tcBorders>
            <w:shd w:val="clear" w:color="000000" w:fill="F2F2F2"/>
            <w:noWrap/>
            <w:vAlign w:val="center"/>
          </w:tcPr>
          <w:p w14:paraId="31ED3465"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73FFC7A7"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07E34E18" w14:textId="77777777" w:rsidTr="00E82B90">
        <w:trPr>
          <w:trHeight w:val="297"/>
        </w:trPr>
        <w:tc>
          <w:tcPr>
            <w:tcW w:w="2126" w:type="dxa"/>
            <w:tcBorders>
              <w:top w:val="nil"/>
              <w:left w:val="nil"/>
              <w:bottom w:val="nil"/>
              <w:right w:val="nil"/>
            </w:tcBorders>
            <w:shd w:val="clear" w:color="000000" w:fill="F2F2F2"/>
            <w:noWrap/>
            <w:vAlign w:val="center"/>
            <w:hideMark/>
          </w:tcPr>
          <w:p w14:paraId="7CA6EBF4"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FU Squared</w:t>
            </w:r>
          </w:p>
        </w:tc>
        <w:tc>
          <w:tcPr>
            <w:tcW w:w="1532" w:type="dxa"/>
            <w:tcBorders>
              <w:top w:val="nil"/>
              <w:left w:val="nil"/>
              <w:bottom w:val="nil"/>
              <w:right w:val="nil"/>
            </w:tcBorders>
            <w:shd w:val="clear" w:color="000000" w:fill="F2F2F2"/>
            <w:noWrap/>
            <w:vAlign w:val="bottom"/>
            <w:hideMark/>
          </w:tcPr>
          <w:p w14:paraId="2AB6DAF1"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-0.0001646</w:t>
            </w:r>
          </w:p>
        </w:tc>
        <w:tc>
          <w:tcPr>
            <w:tcW w:w="1199" w:type="dxa"/>
            <w:tcBorders>
              <w:top w:val="nil"/>
              <w:left w:val="nil"/>
              <w:bottom w:val="nil"/>
              <w:right w:val="nil"/>
            </w:tcBorders>
            <w:shd w:val="clear" w:color="000000" w:fill="F2F2F2"/>
            <w:noWrap/>
            <w:vAlign w:val="bottom"/>
            <w:hideMark/>
          </w:tcPr>
          <w:p w14:paraId="43FA0739"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0.000101</w:t>
            </w:r>
          </w:p>
        </w:tc>
        <w:tc>
          <w:tcPr>
            <w:tcW w:w="1532" w:type="dxa"/>
            <w:tcBorders>
              <w:top w:val="nil"/>
              <w:left w:val="nil"/>
              <w:bottom w:val="nil"/>
              <w:right w:val="nil"/>
            </w:tcBorders>
            <w:shd w:val="clear" w:color="000000" w:fill="F2F2F2"/>
            <w:noWrap/>
            <w:vAlign w:val="center"/>
          </w:tcPr>
          <w:p w14:paraId="69F3EDF8"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4DFD423F"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1E9FB1B8" w14:textId="77777777" w:rsidTr="00E82B90">
        <w:trPr>
          <w:trHeight w:val="297"/>
        </w:trPr>
        <w:tc>
          <w:tcPr>
            <w:tcW w:w="2126" w:type="dxa"/>
            <w:tcBorders>
              <w:top w:val="nil"/>
              <w:left w:val="nil"/>
              <w:bottom w:val="nil"/>
              <w:right w:val="nil"/>
            </w:tcBorders>
            <w:shd w:val="clear" w:color="000000" w:fill="F2F2F2"/>
            <w:noWrap/>
            <w:vAlign w:val="center"/>
            <w:hideMark/>
          </w:tcPr>
          <w:p w14:paraId="3637B514"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PF × EF</w:t>
            </w:r>
          </w:p>
        </w:tc>
        <w:tc>
          <w:tcPr>
            <w:tcW w:w="1532" w:type="dxa"/>
            <w:tcBorders>
              <w:top w:val="nil"/>
              <w:left w:val="nil"/>
              <w:bottom w:val="nil"/>
              <w:right w:val="nil"/>
            </w:tcBorders>
            <w:shd w:val="clear" w:color="000000" w:fill="F2F2F2"/>
            <w:noWrap/>
            <w:vAlign w:val="bottom"/>
            <w:hideMark/>
          </w:tcPr>
          <w:p w14:paraId="122A8940" w14:textId="7F2A425C" w:rsidR="00102970" w:rsidRPr="00C922FE" w:rsidRDefault="006A6FB6" w:rsidP="006A6FB6">
            <w:pPr>
              <w:keepNext/>
              <w:spacing w:after="0" w:line="240" w:lineRule="auto"/>
              <w:jc w:val="right"/>
              <w:rPr>
                <w:rFonts w:eastAsia="Times New Roman"/>
                <w:color w:val="000000"/>
                <w:sz w:val="18"/>
                <w:szCs w:val="18"/>
                <w:lang w:eastAsia="en-GB"/>
              </w:rPr>
            </w:pPr>
            <w:r>
              <w:rPr>
                <w:rFonts w:eastAsia="Times New Roman"/>
                <w:color w:val="000000"/>
                <w:sz w:val="18"/>
                <w:szCs w:val="18"/>
                <w:lang w:eastAsia="en-GB"/>
              </w:rPr>
              <w:t>-0.000110</w:t>
            </w:r>
          </w:p>
        </w:tc>
        <w:tc>
          <w:tcPr>
            <w:tcW w:w="1199" w:type="dxa"/>
            <w:tcBorders>
              <w:top w:val="nil"/>
              <w:left w:val="nil"/>
              <w:bottom w:val="nil"/>
              <w:right w:val="nil"/>
            </w:tcBorders>
            <w:shd w:val="clear" w:color="000000" w:fill="F2F2F2"/>
            <w:noWrap/>
            <w:vAlign w:val="bottom"/>
            <w:hideMark/>
          </w:tcPr>
          <w:p w14:paraId="04E00C95"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0.000147</w:t>
            </w:r>
          </w:p>
        </w:tc>
        <w:tc>
          <w:tcPr>
            <w:tcW w:w="1532" w:type="dxa"/>
            <w:tcBorders>
              <w:top w:val="nil"/>
              <w:left w:val="nil"/>
              <w:bottom w:val="nil"/>
              <w:right w:val="nil"/>
            </w:tcBorders>
            <w:shd w:val="clear" w:color="000000" w:fill="F2F2F2"/>
            <w:noWrap/>
            <w:vAlign w:val="center"/>
          </w:tcPr>
          <w:p w14:paraId="224F69AD"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5B95D881"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0791506C" w14:textId="77777777" w:rsidTr="00E82B90">
        <w:trPr>
          <w:trHeight w:val="297"/>
        </w:trPr>
        <w:tc>
          <w:tcPr>
            <w:tcW w:w="2126" w:type="dxa"/>
            <w:tcBorders>
              <w:top w:val="nil"/>
              <w:left w:val="nil"/>
              <w:bottom w:val="nil"/>
              <w:right w:val="nil"/>
            </w:tcBorders>
            <w:shd w:val="clear" w:color="000000" w:fill="F2F2F2"/>
            <w:noWrap/>
            <w:vAlign w:val="center"/>
            <w:hideMark/>
          </w:tcPr>
          <w:p w14:paraId="6F71A60D"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PF × SF</w:t>
            </w:r>
          </w:p>
        </w:tc>
        <w:tc>
          <w:tcPr>
            <w:tcW w:w="1532" w:type="dxa"/>
            <w:tcBorders>
              <w:top w:val="nil"/>
              <w:left w:val="nil"/>
              <w:bottom w:val="nil"/>
              <w:right w:val="nil"/>
            </w:tcBorders>
            <w:shd w:val="clear" w:color="000000" w:fill="F2F2F2"/>
            <w:noWrap/>
            <w:vAlign w:val="bottom"/>
            <w:hideMark/>
          </w:tcPr>
          <w:p w14:paraId="75FC2220"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-0.000114</w:t>
            </w:r>
          </w:p>
        </w:tc>
        <w:tc>
          <w:tcPr>
            <w:tcW w:w="1199" w:type="dxa"/>
            <w:tcBorders>
              <w:top w:val="nil"/>
              <w:left w:val="nil"/>
              <w:bottom w:val="nil"/>
              <w:right w:val="nil"/>
            </w:tcBorders>
            <w:shd w:val="clear" w:color="000000" w:fill="F2F2F2"/>
            <w:noWrap/>
            <w:vAlign w:val="bottom"/>
            <w:hideMark/>
          </w:tcPr>
          <w:p w14:paraId="64B62AEC"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0.000173</w:t>
            </w:r>
          </w:p>
        </w:tc>
        <w:tc>
          <w:tcPr>
            <w:tcW w:w="1532" w:type="dxa"/>
            <w:tcBorders>
              <w:top w:val="nil"/>
              <w:left w:val="nil"/>
              <w:bottom w:val="nil"/>
              <w:right w:val="nil"/>
            </w:tcBorders>
            <w:shd w:val="clear" w:color="000000" w:fill="F2F2F2"/>
            <w:noWrap/>
            <w:vAlign w:val="center"/>
          </w:tcPr>
          <w:p w14:paraId="3B997EF8"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0AA8C4C4"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56AC3385" w14:textId="77777777" w:rsidTr="00E82B90">
        <w:trPr>
          <w:trHeight w:val="297"/>
        </w:trPr>
        <w:tc>
          <w:tcPr>
            <w:tcW w:w="2126" w:type="dxa"/>
            <w:tcBorders>
              <w:top w:val="nil"/>
              <w:left w:val="nil"/>
              <w:bottom w:val="nil"/>
              <w:right w:val="nil"/>
            </w:tcBorders>
            <w:shd w:val="clear" w:color="000000" w:fill="F2F2F2"/>
            <w:noWrap/>
            <w:vAlign w:val="center"/>
            <w:hideMark/>
          </w:tcPr>
          <w:p w14:paraId="6CC70211"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PF × FU</w:t>
            </w:r>
          </w:p>
        </w:tc>
        <w:tc>
          <w:tcPr>
            <w:tcW w:w="1532" w:type="dxa"/>
            <w:tcBorders>
              <w:top w:val="nil"/>
              <w:left w:val="nil"/>
              <w:bottom w:val="nil"/>
              <w:right w:val="nil"/>
            </w:tcBorders>
            <w:shd w:val="clear" w:color="000000" w:fill="F2F2F2"/>
            <w:noWrap/>
            <w:vAlign w:val="bottom"/>
            <w:hideMark/>
          </w:tcPr>
          <w:p w14:paraId="29A74747" w14:textId="77E72D43" w:rsidR="00102970" w:rsidRPr="00C922FE" w:rsidRDefault="006A6FB6" w:rsidP="006A6FB6">
            <w:pPr>
              <w:keepNext/>
              <w:spacing w:after="0" w:line="240" w:lineRule="auto"/>
              <w:jc w:val="right"/>
              <w:rPr>
                <w:rFonts w:eastAsia="Times New Roman"/>
                <w:color w:val="000000"/>
                <w:sz w:val="18"/>
                <w:szCs w:val="18"/>
                <w:lang w:eastAsia="en-GB"/>
              </w:rPr>
            </w:pPr>
            <w:r>
              <w:rPr>
                <w:rFonts w:eastAsia="Times New Roman"/>
                <w:color w:val="000000"/>
                <w:sz w:val="18"/>
                <w:szCs w:val="18"/>
                <w:lang w:eastAsia="en-GB"/>
              </w:rPr>
              <w:t>0.000037</w:t>
            </w:r>
          </w:p>
        </w:tc>
        <w:tc>
          <w:tcPr>
            <w:tcW w:w="1199" w:type="dxa"/>
            <w:tcBorders>
              <w:top w:val="nil"/>
              <w:left w:val="nil"/>
              <w:bottom w:val="nil"/>
              <w:right w:val="nil"/>
            </w:tcBorders>
            <w:shd w:val="clear" w:color="000000" w:fill="F2F2F2"/>
            <w:noWrap/>
            <w:vAlign w:val="bottom"/>
            <w:hideMark/>
          </w:tcPr>
          <w:p w14:paraId="11664770"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0.000143</w:t>
            </w:r>
          </w:p>
        </w:tc>
        <w:tc>
          <w:tcPr>
            <w:tcW w:w="1532" w:type="dxa"/>
            <w:tcBorders>
              <w:top w:val="nil"/>
              <w:left w:val="nil"/>
              <w:bottom w:val="nil"/>
              <w:right w:val="nil"/>
            </w:tcBorders>
            <w:shd w:val="clear" w:color="000000" w:fill="F2F2F2"/>
            <w:noWrap/>
            <w:vAlign w:val="center"/>
          </w:tcPr>
          <w:p w14:paraId="1BCF4298"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793A8FD1"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54E9342B" w14:textId="77777777" w:rsidTr="00E82B90">
        <w:trPr>
          <w:trHeight w:val="297"/>
        </w:trPr>
        <w:tc>
          <w:tcPr>
            <w:tcW w:w="2126" w:type="dxa"/>
            <w:tcBorders>
              <w:top w:val="nil"/>
              <w:left w:val="nil"/>
              <w:bottom w:val="nil"/>
              <w:right w:val="nil"/>
            </w:tcBorders>
            <w:shd w:val="clear" w:color="000000" w:fill="F2F2F2"/>
            <w:noWrap/>
            <w:vAlign w:val="center"/>
            <w:hideMark/>
          </w:tcPr>
          <w:p w14:paraId="2741530E"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EF × SF</w:t>
            </w:r>
          </w:p>
        </w:tc>
        <w:tc>
          <w:tcPr>
            <w:tcW w:w="1532" w:type="dxa"/>
            <w:tcBorders>
              <w:top w:val="nil"/>
              <w:left w:val="nil"/>
              <w:bottom w:val="nil"/>
              <w:right w:val="nil"/>
            </w:tcBorders>
            <w:shd w:val="clear" w:color="000000" w:fill="F2F2F2"/>
            <w:noWrap/>
            <w:vAlign w:val="bottom"/>
            <w:hideMark/>
          </w:tcPr>
          <w:p w14:paraId="101BFC7B" w14:textId="3F42197E" w:rsidR="00102970" w:rsidRPr="00C922FE" w:rsidRDefault="006A6FB6" w:rsidP="006A6FB6">
            <w:pPr>
              <w:keepNext/>
              <w:spacing w:after="0" w:line="240" w:lineRule="auto"/>
              <w:jc w:val="right"/>
              <w:rPr>
                <w:rFonts w:eastAsia="Times New Roman"/>
                <w:color w:val="000000"/>
                <w:sz w:val="18"/>
                <w:szCs w:val="18"/>
                <w:lang w:eastAsia="en-GB"/>
              </w:rPr>
            </w:pPr>
            <w:r>
              <w:rPr>
                <w:rFonts w:eastAsia="Times New Roman"/>
                <w:color w:val="000000"/>
                <w:sz w:val="18"/>
                <w:szCs w:val="18"/>
                <w:lang w:eastAsia="en-GB"/>
              </w:rPr>
              <w:t>-0.000246</w:t>
            </w:r>
          </w:p>
        </w:tc>
        <w:tc>
          <w:tcPr>
            <w:tcW w:w="1199" w:type="dxa"/>
            <w:tcBorders>
              <w:top w:val="nil"/>
              <w:left w:val="nil"/>
              <w:bottom w:val="nil"/>
              <w:right w:val="nil"/>
            </w:tcBorders>
            <w:shd w:val="clear" w:color="000000" w:fill="F2F2F2"/>
            <w:noWrap/>
            <w:vAlign w:val="bottom"/>
            <w:hideMark/>
          </w:tcPr>
          <w:p w14:paraId="1CB1BD99"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0.000209</w:t>
            </w:r>
          </w:p>
        </w:tc>
        <w:tc>
          <w:tcPr>
            <w:tcW w:w="1532" w:type="dxa"/>
            <w:tcBorders>
              <w:top w:val="nil"/>
              <w:left w:val="nil"/>
              <w:bottom w:val="nil"/>
              <w:right w:val="nil"/>
            </w:tcBorders>
            <w:shd w:val="clear" w:color="000000" w:fill="F2F2F2"/>
            <w:noWrap/>
            <w:vAlign w:val="center"/>
          </w:tcPr>
          <w:p w14:paraId="69C351EC"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052AC58C"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34F0AA86" w14:textId="77777777" w:rsidTr="00E82B90">
        <w:trPr>
          <w:trHeight w:val="297"/>
        </w:trPr>
        <w:tc>
          <w:tcPr>
            <w:tcW w:w="2126" w:type="dxa"/>
            <w:tcBorders>
              <w:top w:val="nil"/>
              <w:left w:val="nil"/>
              <w:bottom w:val="nil"/>
              <w:right w:val="nil"/>
            </w:tcBorders>
            <w:shd w:val="clear" w:color="000000" w:fill="F2F2F2"/>
            <w:noWrap/>
            <w:vAlign w:val="center"/>
            <w:hideMark/>
          </w:tcPr>
          <w:p w14:paraId="11834B30"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EF × FU</w:t>
            </w:r>
          </w:p>
        </w:tc>
        <w:tc>
          <w:tcPr>
            <w:tcW w:w="1532" w:type="dxa"/>
            <w:tcBorders>
              <w:top w:val="nil"/>
              <w:left w:val="nil"/>
              <w:bottom w:val="nil"/>
              <w:right w:val="nil"/>
            </w:tcBorders>
            <w:shd w:val="clear" w:color="000000" w:fill="F2F2F2"/>
            <w:noWrap/>
            <w:vAlign w:val="bottom"/>
            <w:hideMark/>
          </w:tcPr>
          <w:p w14:paraId="74E823B0" w14:textId="3095265D" w:rsidR="00102970" w:rsidRPr="00C922FE" w:rsidRDefault="006A6FB6" w:rsidP="006A6FB6">
            <w:pPr>
              <w:keepNext/>
              <w:spacing w:after="0" w:line="240" w:lineRule="auto"/>
              <w:jc w:val="right"/>
              <w:rPr>
                <w:rFonts w:eastAsia="Times New Roman"/>
                <w:color w:val="000000"/>
                <w:sz w:val="18"/>
                <w:szCs w:val="18"/>
                <w:lang w:eastAsia="en-GB"/>
              </w:rPr>
            </w:pPr>
            <w:r>
              <w:rPr>
                <w:rFonts w:eastAsia="Times New Roman"/>
                <w:color w:val="000000"/>
                <w:sz w:val="18"/>
                <w:szCs w:val="18"/>
                <w:lang w:eastAsia="en-GB"/>
              </w:rPr>
              <w:t>-0.000116</w:t>
            </w:r>
          </w:p>
        </w:tc>
        <w:tc>
          <w:tcPr>
            <w:tcW w:w="1199" w:type="dxa"/>
            <w:tcBorders>
              <w:top w:val="nil"/>
              <w:left w:val="nil"/>
              <w:bottom w:val="nil"/>
              <w:right w:val="nil"/>
            </w:tcBorders>
            <w:shd w:val="clear" w:color="000000" w:fill="F2F2F2"/>
            <w:noWrap/>
            <w:vAlign w:val="bottom"/>
            <w:hideMark/>
          </w:tcPr>
          <w:p w14:paraId="08ADFA12"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0.000167</w:t>
            </w:r>
          </w:p>
        </w:tc>
        <w:tc>
          <w:tcPr>
            <w:tcW w:w="1532" w:type="dxa"/>
            <w:tcBorders>
              <w:top w:val="nil"/>
              <w:left w:val="nil"/>
              <w:bottom w:val="nil"/>
              <w:right w:val="nil"/>
            </w:tcBorders>
            <w:shd w:val="clear" w:color="000000" w:fill="F2F2F2"/>
            <w:noWrap/>
            <w:vAlign w:val="center"/>
          </w:tcPr>
          <w:p w14:paraId="155F4402"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02C0AE70"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588644DF" w14:textId="77777777" w:rsidTr="00E82B90">
        <w:trPr>
          <w:trHeight w:val="297"/>
        </w:trPr>
        <w:tc>
          <w:tcPr>
            <w:tcW w:w="2126" w:type="dxa"/>
            <w:tcBorders>
              <w:top w:val="nil"/>
              <w:left w:val="nil"/>
              <w:bottom w:val="nil"/>
              <w:right w:val="nil"/>
            </w:tcBorders>
            <w:shd w:val="clear" w:color="000000" w:fill="F2F2F2"/>
            <w:noWrap/>
            <w:vAlign w:val="center"/>
            <w:hideMark/>
          </w:tcPr>
          <w:p w14:paraId="0FCA9420"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SF × FU</w:t>
            </w:r>
          </w:p>
        </w:tc>
        <w:tc>
          <w:tcPr>
            <w:tcW w:w="1532" w:type="dxa"/>
            <w:tcBorders>
              <w:top w:val="nil"/>
              <w:left w:val="nil"/>
              <w:bottom w:val="nil"/>
              <w:right w:val="nil"/>
            </w:tcBorders>
            <w:shd w:val="clear" w:color="000000" w:fill="F2F2F2"/>
            <w:noWrap/>
            <w:vAlign w:val="bottom"/>
            <w:hideMark/>
          </w:tcPr>
          <w:p w14:paraId="69A15801" w14:textId="496A536F" w:rsidR="00102970" w:rsidRPr="00C922FE" w:rsidRDefault="006A6FB6" w:rsidP="006A6FB6">
            <w:pPr>
              <w:keepNext/>
              <w:spacing w:after="0" w:line="240" w:lineRule="auto"/>
              <w:jc w:val="right"/>
              <w:rPr>
                <w:rFonts w:eastAsia="Times New Roman"/>
                <w:color w:val="000000"/>
                <w:sz w:val="18"/>
                <w:szCs w:val="18"/>
                <w:lang w:eastAsia="en-GB"/>
              </w:rPr>
            </w:pPr>
            <w:r>
              <w:rPr>
                <w:rFonts w:eastAsia="Times New Roman"/>
                <w:color w:val="000000"/>
                <w:sz w:val="18"/>
                <w:szCs w:val="18"/>
                <w:lang w:eastAsia="en-GB"/>
              </w:rPr>
              <w:t>0.000436</w:t>
            </w:r>
            <w:r w:rsidR="00102970" w:rsidRPr="00C922FE">
              <w:rPr>
                <w:rFonts w:eastAsia="Times New Roman"/>
                <w:color w:val="000000"/>
                <w:sz w:val="18"/>
                <w:szCs w:val="18"/>
                <w:lang w:eastAsia="en-GB"/>
              </w:rPr>
              <w:t>***</w:t>
            </w:r>
          </w:p>
        </w:tc>
        <w:tc>
          <w:tcPr>
            <w:tcW w:w="1199" w:type="dxa"/>
            <w:tcBorders>
              <w:top w:val="nil"/>
              <w:left w:val="nil"/>
              <w:bottom w:val="nil"/>
              <w:right w:val="nil"/>
            </w:tcBorders>
            <w:shd w:val="clear" w:color="000000" w:fill="F2F2F2"/>
            <w:noWrap/>
            <w:vAlign w:val="bottom"/>
            <w:hideMark/>
          </w:tcPr>
          <w:p w14:paraId="6DBA0A08" w14:textId="0DBA9DF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0.00013</w:t>
            </w:r>
            <w:r w:rsidR="006A6FB6">
              <w:rPr>
                <w:rFonts w:eastAsia="Times New Roman"/>
                <w:color w:val="000000"/>
                <w:sz w:val="18"/>
                <w:szCs w:val="18"/>
                <w:lang w:eastAsia="en-GB"/>
              </w:rPr>
              <w:t>0</w:t>
            </w:r>
          </w:p>
        </w:tc>
        <w:tc>
          <w:tcPr>
            <w:tcW w:w="1532" w:type="dxa"/>
            <w:tcBorders>
              <w:top w:val="nil"/>
              <w:left w:val="nil"/>
              <w:bottom w:val="nil"/>
              <w:right w:val="nil"/>
            </w:tcBorders>
            <w:shd w:val="clear" w:color="000000" w:fill="F2F2F2"/>
            <w:noWrap/>
            <w:vAlign w:val="center"/>
          </w:tcPr>
          <w:p w14:paraId="151FD5C9"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015943AF"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5F0036AB" w14:textId="77777777" w:rsidTr="00E82B90">
        <w:trPr>
          <w:trHeight w:val="297"/>
        </w:trPr>
        <w:tc>
          <w:tcPr>
            <w:tcW w:w="2126" w:type="dxa"/>
            <w:tcBorders>
              <w:top w:val="nil"/>
              <w:left w:val="nil"/>
              <w:bottom w:val="nil"/>
              <w:right w:val="nil"/>
            </w:tcBorders>
            <w:shd w:val="clear" w:color="000000" w:fill="F2F2F2"/>
            <w:noWrap/>
            <w:vAlign w:val="center"/>
          </w:tcPr>
          <w:p w14:paraId="320D16F9"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PF</w:t>
            </w:r>
          </w:p>
        </w:tc>
        <w:tc>
          <w:tcPr>
            <w:tcW w:w="1532" w:type="dxa"/>
            <w:tcBorders>
              <w:top w:val="nil"/>
              <w:left w:val="nil"/>
              <w:bottom w:val="nil"/>
              <w:right w:val="nil"/>
            </w:tcBorders>
            <w:shd w:val="clear" w:color="000000" w:fill="F2F2F2"/>
            <w:noWrap/>
            <w:vAlign w:val="center"/>
          </w:tcPr>
          <w:p w14:paraId="3B372C58"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4EACF64C"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532" w:type="dxa"/>
            <w:tcBorders>
              <w:top w:val="nil"/>
              <w:left w:val="nil"/>
              <w:bottom w:val="nil"/>
              <w:right w:val="nil"/>
            </w:tcBorders>
            <w:shd w:val="clear" w:color="000000" w:fill="F2F2F2"/>
            <w:noWrap/>
            <w:vAlign w:val="bottom"/>
          </w:tcPr>
          <w:p w14:paraId="5C71A2A4"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 xml:space="preserve">0.0007133*  </w:t>
            </w:r>
          </w:p>
        </w:tc>
        <w:tc>
          <w:tcPr>
            <w:tcW w:w="1199" w:type="dxa"/>
            <w:tcBorders>
              <w:top w:val="nil"/>
              <w:left w:val="nil"/>
              <w:bottom w:val="nil"/>
              <w:right w:val="nil"/>
            </w:tcBorders>
            <w:shd w:val="clear" w:color="000000" w:fill="F2F2F2"/>
            <w:noWrap/>
            <w:vAlign w:val="bottom"/>
          </w:tcPr>
          <w:p w14:paraId="0E79500A"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0.000297</w:t>
            </w:r>
          </w:p>
        </w:tc>
      </w:tr>
      <w:tr w:rsidR="00102970" w:rsidRPr="00355303" w14:paraId="0777BC58" w14:textId="77777777" w:rsidTr="00E82B90">
        <w:trPr>
          <w:trHeight w:val="297"/>
        </w:trPr>
        <w:tc>
          <w:tcPr>
            <w:tcW w:w="2126" w:type="dxa"/>
            <w:tcBorders>
              <w:top w:val="nil"/>
              <w:left w:val="nil"/>
              <w:bottom w:val="nil"/>
              <w:right w:val="nil"/>
            </w:tcBorders>
            <w:shd w:val="clear" w:color="000000" w:fill="F2F2F2"/>
            <w:noWrap/>
            <w:vAlign w:val="center"/>
          </w:tcPr>
          <w:p w14:paraId="263E3050"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EF</w:t>
            </w:r>
          </w:p>
        </w:tc>
        <w:tc>
          <w:tcPr>
            <w:tcW w:w="1532" w:type="dxa"/>
            <w:tcBorders>
              <w:top w:val="nil"/>
              <w:left w:val="nil"/>
              <w:bottom w:val="nil"/>
              <w:right w:val="nil"/>
            </w:tcBorders>
            <w:shd w:val="clear" w:color="000000" w:fill="F2F2F2"/>
            <w:noWrap/>
            <w:vAlign w:val="center"/>
          </w:tcPr>
          <w:p w14:paraId="3AD04002"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6234697C"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532" w:type="dxa"/>
            <w:tcBorders>
              <w:top w:val="nil"/>
              <w:left w:val="nil"/>
              <w:bottom w:val="nil"/>
              <w:right w:val="nil"/>
            </w:tcBorders>
            <w:shd w:val="clear" w:color="000000" w:fill="F2F2F2"/>
            <w:noWrap/>
            <w:vAlign w:val="bottom"/>
          </w:tcPr>
          <w:p w14:paraId="0FBFB54F"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0.0016477***</w:t>
            </w:r>
          </w:p>
        </w:tc>
        <w:tc>
          <w:tcPr>
            <w:tcW w:w="1199" w:type="dxa"/>
            <w:tcBorders>
              <w:top w:val="nil"/>
              <w:left w:val="nil"/>
              <w:bottom w:val="nil"/>
              <w:right w:val="nil"/>
            </w:tcBorders>
            <w:shd w:val="clear" w:color="000000" w:fill="F2F2F2"/>
            <w:noWrap/>
            <w:vAlign w:val="bottom"/>
          </w:tcPr>
          <w:p w14:paraId="489B4375"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0.000228</w:t>
            </w:r>
          </w:p>
        </w:tc>
      </w:tr>
      <w:tr w:rsidR="00102970" w:rsidRPr="00355303" w14:paraId="531487E3" w14:textId="77777777" w:rsidTr="00E82B90">
        <w:trPr>
          <w:trHeight w:val="297"/>
        </w:trPr>
        <w:tc>
          <w:tcPr>
            <w:tcW w:w="2126" w:type="dxa"/>
            <w:tcBorders>
              <w:top w:val="nil"/>
              <w:left w:val="nil"/>
              <w:bottom w:val="nil"/>
              <w:right w:val="nil"/>
            </w:tcBorders>
            <w:shd w:val="clear" w:color="000000" w:fill="F2F2F2"/>
            <w:noWrap/>
            <w:vAlign w:val="center"/>
          </w:tcPr>
          <w:p w14:paraId="17813178"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SF</w:t>
            </w:r>
          </w:p>
        </w:tc>
        <w:tc>
          <w:tcPr>
            <w:tcW w:w="1532" w:type="dxa"/>
            <w:tcBorders>
              <w:top w:val="nil"/>
              <w:left w:val="nil"/>
              <w:bottom w:val="nil"/>
              <w:right w:val="nil"/>
            </w:tcBorders>
            <w:shd w:val="clear" w:color="000000" w:fill="F2F2F2"/>
            <w:noWrap/>
            <w:vAlign w:val="center"/>
          </w:tcPr>
          <w:p w14:paraId="52539698"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6BC5226D"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532" w:type="dxa"/>
            <w:tcBorders>
              <w:top w:val="nil"/>
              <w:left w:val="nil"/>
              <w:bottom w:val="nil"/>
              <w:right w:val="nil"/>
            </w:tcBorders>
            <w:shd w:val="clear" w:color="000000" w:fill="F2F2F2"/>
            <w:noWrap/>
            <w:vAlign w:val="bottom"/>
          </w:tcPr>
          <w:p w14:paraId="04C6AE4E"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-0.00011</w:t>
            </w:r>
          </w:p>
        </w:tc>
        <w:tc>
          <w:tcPr>
            <w:tcW w:w="1199" w:type="dxa"/>
            <w:tcBorders>
              <w:top w:val="nil"/>
              <w:left w:val="nil"/>
              <w:bottom w:val="nil"/>
              <w:right w:val="nil"/>
            </w:tcBorders>
            <w:shd w:val="clear" w:color="000000" w:fill="F2F2F2"/>
            <w:noWrap/>
            <w:vAlign w:val="bottom"/>
          </w:tcPr>
          <w:p w14:paraId="55199FCE"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0.000383</w:t>
            </w:r>
          </w:p>
        </w:tc>
      </w:tr>
      <w:tr w:rsidR="00102970" w:rsidRPr="00355303" w14:paraId="68670564" w14:textId="77777777" w:rsidTr="00E82B90">
        <w:trPr>
          <w:trHeight w:val="297"/>
        </w:trPr>
        <w:tc>
          <w:tcPr>
            <w:tcW w:w="2126" w:type="dxa"/>
            <w:tcBorders>
              <w:top w:val="nil"/>
              <w:left w:val="nil"/>
              <w:bottom w:val="nil"/>
              <w:right w:val="nil"/>
            </w:tcBorders>
            <w:shd w:val="clear" w:color="000000" w:fill="F2F2F2"/>
            <w:noWrap/>
            <w:vAlign w:val="center"/>
          </w:tcPr>
          <w:p w14:paraId="55ADF870"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PedsQL™ FU</w:t>
            </w:r>
          </w:p>
        </w:tc>
        <w:tc>
          <w:tcPr>
            <w:tcW w:w="1532" w:type="dxa"/>
            <w:tcBorders>
              <w:top w:val="nil"/>
              <w:left w:val="nil"/>
              <w:bottom w:val="nil"/>
              <w:right w:val="nil"/>
            </w:tcBorders>
            <w:shd w:val="clear" w:color="000000" w:fill="F2F2F2"/>
            <w:noWrap/>
            <w:vAlign w:val="center"/>
          </w:tcPr>
          <w:p w14:paraId="0E20CCE3"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1B60DF08"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532" w:type="dxa"/>
            <w:tcBorders>
              <w:top w:val="nil"/>
              <w:left w:val="nil"/>
              <w:bottom w:val="nil"/>
              <w:right w:val="nil"/>
            </w:tcBorders>
            <w:shd w:val="clear" w:color="000000" w:fill="F2F2F2"/>
            <w:noWrap/>
            <w:vAlign w:val="bottom"/>
          </w:tcPr>
          <w:p w14:paraId="6E590314"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0.000261</w:t>
            </w:r>
          </w:p>
        </w:tc>
        <w:tc>
          <w:tcPr>
            <w:tcW w:w="1199" w:type="dxa"/>
            <w:tcBorders>
              <w:top w:val="nil"/>
              <w:left w:val="nil"/>
              <w:bottom w:val="nil"/>
              <w:right w:val="nil"/>
            </w:tcBorders>
            <w:shd w:val="clear" w:color="000000" w:fill="F2F2F2"/>
            <w:noWrap/>
            <w:vAlign w:val="bottom"/>
          </w:tcPr>
          <w:p w14:paraId="67D819EA"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0.000276</w:t>
            </w:r>
          </w:p>
        </w:tc>
      </w:tr>
      <w:tr w:rsidR="00102970" w:rsidRPr="00355303" w14:paraId="797EDFDD" w14:textId="77777777" w:rsidTr="00E82B90">
        <w:trPr>
          <w:trHeight w:val="297"/>
        </w:trPr>
        <w:tc>
          <w:tcPr>
            <w:tcW w:w="2126" w:type="dxa"/>
            <w:tcBorders>
              <w:top w:val="nil"/>
              <w:left w:val="nil"/>
              <w:bottom w:val="nil"/>
              <w:right w:val="nil"/>
            </w:tcBorders>
            <w:shd w:val="clear" w:color="000000" w:fill="F2F2F2"/>
            <w:noWrap/>
            <w:vAlign w:val="center"/>
            <w:hideMark/>
          </w:tcPr>
          <w:p w14:paraId="5346AFEF"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Age</w:t>
            </w:r>
          </w:p>
        </w:tc>
        <w:tc>
          <w:tcPr>
            <w:tcW w:w="1532" w:type="dxa"/>
            <w:tcBorders>
              <w:top w:val="nil"/>
              <w:left w:val="nil"/>
              <w:bottom w:val="nil"/>
              <w:right w:val="nil"/>
            </w:tcBorders>
            <w:shd w:val="clear" w:color="000000" w:fill="F2F2F2"/>
            <w:noWrap/>
            <w:vAlign w:val="bottom"/>
            <w:hideMark/>
          </w:tcPr>
          <w:p w14:paraId="59D83F29"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0.0279345</w:t>
            </w:r>
          </w:p>
        </w:tc>
        <w:tc>
          <w:tcPr>
            <w:tcW w:w="1199" w:type="dxa"/>
            <w:tcBorders>
              <w:top w:val="nil"/>
              <w:left w:val="nil"/>
              <w:bottom w:val="nil"/>
              <w:right w:val="nil"/>
            </w:tcBorders>
            <w:shd w:val="clear" w:color="000000" w:fill="F2F2F2"/>
            <w:noWrap/>
            <w:vAlign w:val="bottom"/>
            <w:hideMark/>
          </w:tcPr>
          <w:p w14:paraId="57FBF1D8"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0.039717</w:t>
            </w:r>
          </w:p>
        </w:tc>
        <w:tc>
          <w:tcPr>
            <w:tcW w:w="1532" w:type="dxa"/>
            <w:tcBorders>
              <w:top w:val="nil"/>
              <w:left w:val="nil"/>
              <w:bottom w:val="nil"/>
              <w:right w:val="nil"/>
            </w:tcBorders>
            <w:shd w:val="clear" w:color="000000" w:fill="F2F2F2"/>
            <w:noWrap/>
            <w:vAlign w:val="center"/>
            <w:hideMark/>
          </w:tcPr>
          <w:p w14:paraId="7779BF29"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14A783FB"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2BCFE7B0" w14:textId="77777777" w:rsidTr="00E82B90">
        <w:trPr>
          <w:trHeight w:val="297"/>
        </w:trPr>
        <w:tc>
          <w:tcPr>
            <w:tcW w:w="2126" w:type="dxa"/>
            <w:tcBorders>
              <w:top w:val="nil"/>
              <w:left w:val="nil"/>
              <w:bottom w:val="nil"/>
              <w:right w:val="nil"/>
            </w:tcBorders>
            <w:shd w:val="clear" w:color="000000" w:fill="F2F2F2"/>
            <w:noWrap/>
            <w:vAlign w:val="center"/>
            <w:hideMark/>
          </w:tcPr>
          <w:p w14:paraId="135F1D85"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Sex</w:t>
            </w:r>
          </w:p>
        </w:tc>
        <w:tc>
          <w:tcPr>
            <w:tcW w:w="1532" w:type="dxa"/>
            <w:tcBorders>
              <w:top w:val="nil"/>
              <w:left w:val="nil"/>
              <w:bottom w:val="nil"/>
              <w:right w:val="nil"/>
            </w:tcBorders>
            <w:shd w:val="clear" w:color="000000" w:fill="F2F2F2"/>
            <w:noWrap/>
            <w:vAlign w:val="bottom"/>
            <w:hideMark/>
          </w:tcPr>
          <w:p w14:paraId="42FC30F0"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-0.0546336</w:t>
            </w:r>
          </w:p>
        </w:tc>
        <w:tc>
          <w:tcPr>
            <w:tcW w:w="1199" w:type="dxa"/>
            <w:tcBorders>
              <w:top w:val="nil"/>
              <w:left w:val="nil"/>
              <w:bottom w:val="nil"/>
              <w:right w:val="nil"/>
            </w:tcBorders>
            <w:shd w:val="clear" w:color="000000" w:fill="F2F2F2"/>
            <w:noWrap/>
            <w:vAlign w:val="bottom"/>
            <w:hideMark/>
          </w:tcPr>
          <w:p w14:paraId="5FEE34D0"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0.146341</w:t>
            </w:r>
          </w:p>
        </w:tc>
        <w:tc>
          <w:tcPr>
            <w:tcW w:w="1532" w:type="dxa"/>
            <w:tcBorders>
              <w:top w:val="nil"/>
              <w:left w:val="nil"/>
              <w:bottom w:val="nil"/>
              <w:right w:val="nil"/>
            </w:tcBorders>
            <w:shd w:val="clear" w:color="000000" w:fill="F2F2F2"/>
            <w:noWrap/>
            <w:vAlign w:val="center"/>
            <w:hideMark/>
          </w:tcPr>
          <w:p w14:paraId="506CF04B" w14:textId="77777777" w:rsidR="00102970" w:rsidRPr="00C922FE" w:rsidRDefault="00102970" w:rsidP="006A6FB6">
            <w:pPr>
              <w:keepNext/>
              <w:spacing w:after="0" w:line="240" w:lineRule="auto"/>
              <w:jc w:val="right"/>
              <w:rPr>
                <w:rFonts w:eastAsia="Times New Roman"/>
                <w:color w:val="000000"/>
                <w:sz w:val="18"/>
                <w:szCs w:val="18"/>
                <w:lang w:eastAsia="en-GB"/>
              </w:rPr>
            </w:pPr>
          </w:p>
        </w:tc>
        <w:tc>
          <w:tcPr>
            <w:tcW w:w="1199" w:type="dxa"/>
            <w:tcBorders>
              <w:top w:val="nil"/>
              <w:left w:val="nil"/>
              <w:bottom w:val="nil"/>
              <w:right w:val="nil"/>
            </w:tcBorders>
            <w:shd w:val="clear" w:color="000000" w:fill="F2F2F2"/>
            <w:noWrap/>
            <w:vAlign w:val="center"/>
          </w:tcPr>
          <w:p w14:paraId="7E4B5A30" w14:textId="77777777" w:rsidR="00102970" w:rsidRPr="00C922FE" w:rsidRDefault="00102970" w:rsidP="006A6FB6">
            <w:pPr>
              <w:keepNext/>
              <w:spacing w:after="0" w:line="240" w:lineRule="auto"/>
              <w:jc w:val="right"/>
              <w:rPr>
                <w:rFonts w:eastAsia="Times New Roman"/>
                <w:color w:val="000000"/>
                <w:sz w:val="18"/>
                <w:szCs w:val="18"/>
                <w:lang w:eastAsia="en-GB"/>
              </w:rPr>
            </w:pPr>
          </w:p>
        </w:tc>
      </w:tr>
      <w:tr w:rsidR="00102970" w:rsidRPr="00355303" w14:paraId="0F104E83" w14:textId="77777777" w:rsidTr="00E82B90">
        <w:trPr>
          <w:trHeight w:val="312"/>
        </w:trPr>
        <w:tc>
          <w:tcPr>
            <w:tcW w:w="2126" w:type="dxa"/>
            <w:tcBorders>
              <w:top w:val="nil"/>
              <w:left w:val="nil"/>
              <w:bottom w:val="single" w:sz="8" w:space="0" w:color="auto"/>
              <w:right w:val="nil"/>
            </w:tcBorders>
            <w:shd w:val="clear" w:color="000000" w:fill="F2F2F2"/>
            <w:noWrap/>
            <w:vAlign w:val="center"/>
            <w:hideMark/>
          </w:tcPr>
          <w:p w14:paraId="61F81557" w14:textId="77777777" w:rsidR="00102970" w:rsidRPr="00C922FE" w:rsidRDefault="00102970" w:rsidP="006A6FB6">
            <w:pPr>
              <w:keepNext/>
              <w:spacing w:after="0" w:line="240" w:lineRule="auto"/>
              <w:rPr>
                <w:rFonts w:eastAsia="Times New Roman"/>
                <w:color w:val="000000"/>
                <w:sz w:val="18"/>
                <w:szCs w:val="18"/>
                <w:lang w:eastAsia="en-GB"/>
              </w:rPr>
            </w:pPr>
            <w:r w:rsidRPr="00C922FE">
              <w:rPr>
                <w:rFonts w:eastAsia="Times New Roman"/>
                <w:color w:val="000000"/>
                <w:sz w:val="18"/>
                <w:szCs w:val="18"/>
                <w:lang w:eastAsia="en-GB"/>
              </w:rPr>
              <w:t>Constant</w:t>
            </w:r>
          </w:p>
        </w:tc>
        <w:tc>
          <w:tcPr>
            <w:tcW w:w="1532" w:type="dxa"/>
            <w:tcBorders>
              <w:top w:val="nil"/>
              <w:left w:val="nil"/>
              <w:bottom w:val="single" w:sz="8" w:space="0" w:color="auto"/>
              <w:right w:val="nil"/>
            </w:tcBorders>
            <w:shd w:val="clear" w:color="000000" w:fill="F2F2F2"/>
            <w:noWrap/>
            <w:vAlign w:val="center"/>
            <w:hideMark/>
          </w:tcPr>
          <w:p w14:paraId="0557929C"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0.7135215</w:t>
            </w:r>
          </w:p>
        </w:tc>
        <w:tc>
          <w:tcPr>
            <w:tcW w:w="1199" w:type="dxa"/>
            <w:tcBorders>
              <w:top w:val="nil"/>
              <w:left w:val="nil"/>
              <w:bottom w:val="single" w:sz="8" w:space="0" w:color="auto"/>
              <w:right w:val="nil"/>
            </w:tcBorders>
            <w:shd w:val="clear" w:color="000000" w:fill="F2F2F2"/>
            <w:noWrap/>
            <w:vAlign w:val="center"/>
            <w:hideMark/>
          </w:tcPr>
          <w:p w14:paraId="0BA022A6"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rFonts w:eastAsia="Times New Roman"/>
                <w:color w:val="000000"/>
                <w:sz w:val="18"/>
                <w:szCs w:val="18"/>
                <w:lang w:eastAsia="en-GB"/>
              </w:rPr>
              <w:t>0.399623 </w:t>
            </w:r>
          </w:p>
        </w:tc>
        <w:tc>
          <w:tcPr>
            <w:tcW w:w="1532" w:type="dxa"/>
            <w:tcBorders>
              <w:top w:val="nil"/>
              <w:left w:val="nil"/>
              <w:bottom w:val="single" w:sz="8" w:space="0" w:color="auto"/>
              <w:right w:val="nil"/>
            </w:tcBorders>
            <w:shd w:val="clear" w:color="000000" w:fill="F2F2F2"/>
            <w:noWrap/>
            <w:vAlign w:val="center"/>
            <w:hideMark/>
          </w:tcPr>
          <w:p w14:paraId="195DE1B8"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sz w:val="18"/>
                <w:szCs w:val="18"/>
              </w:rPr>
              <w:t>0.7422337***</w:t>
            </w:r>
          </w:p>
        </w:tc>
        <w:tc>
          <w:tcPr>
            <w:tcW w:w="1199" w:type="dxa"/>
            <w:tcBorders>
              <w:top w:val="nil"/>
              <w:left w:val="nil"/>
              <w:bottom w:val="single" w:sz="8" w:space="0" w:color="auto"/>
              <w:right w:val="nil"/>
            </w:tcBorders>
            <w:shd w:val="clear" w:color="000000" w:fill="F2F2F2"/>
            <w:noWrap/>
            <w:vAlign w:val="center"/>
            <w:hideMark/>
          </w:tcPr>
          <w:p w14:paraId="41A91826" w14:textId="77777777" w:rsidR="00102970" w:rsidRPr="00C922FE" w:rsidRDefault="00102970" w:rsidP="006A6FB6">
            <w:pPr>
              <w:keepNext/>
              <w:spacing w:after="0" w:line="240" w:lineRule="auto"/>
              <w:jc w:val="right"/>
              <w:rPr>
                <w:rFonts w:eastAsia="Times New Roman"/>
                <w:color w:val="000000"/>
                <w:sz w:val="18"/>
                <w:szCs w:val="18"/>
                <w:lang w:eastAsia="en-GB"/>
              </w:rPr>
            </w:pPr>
            <w:r w:rsidRPr="00C922FE">
              <w:rPr>
                <w:sz w:val="18"/>
                <w:szCs w:val="18"/>
              </w:rPr>
              <w:t>0.028841</w:t>
            </w:r>
            <w:r w:rsidRPr="00C922FE">
              <w:rPr>
                <w:rFonts w:eastAsia="Times New Roman"/>
                <w:color w:val="000000"/>
                <w:sz w:val="18"/>
                <w:szCs w:val="18"/>
                <w:lang w:eastAsia="en-GB"/>
              </w:rPr>
              <w:t> </w:t>
            </w:r>
          </w:p>
        </w:tc>
      </w:tr>
    </w:tbl>
    <w:p w14:paraId="7FA0AFDC" w14:textId="77777777" w:rsidR="00102970" w:rsidRPr="0071308C" w:rsidRDefault="00102970" w:rsidP="00102970">
      <w:pPr>
        <w:spacing w:after="0" w:line="240" w:lineRule="auto"/>
        <w:rPr>
          <w:rFonts w:eastAsiaTheme="minorEastAsia"/>
          <w:sz w:val="18"/>
          <w:szCs w:val="18"/>
        </w:rPr>
      </w:pPr>
      <w:r w:rsidRPr="0071308C">
        <w:rPr>
          <w:rFonts w:eastAsiaTheme="minorEastAsia"/>
          <w:sz w:val="18"/>
          <w:szCs w:val="18"/>
        </w:rPr>
        <w:t>SE = Standard error</w:t>
      </w:r>
    </w:p>
    <w:p w14:paraId="52877492" w14:textId="77777777" w:rsidR="00102970" w:rsidRDefault="00102970" w:rsidP="00102970">
      <w:pPr>
        <w:spacing w:after="0" w:line="240" w:lineRule="auto"/>
        <w:rPr>
          <w:rFonts w:eastAsiaTheme="minorEastAsia"/>
          <w:sz w:val="18"/>
          <w:szCs w:val="18"/>
        </w:rPr>
      </w:pPr>
      <w:r w:rsidRPr="0071308C">
        <w:rPr>
          <w:rFonts w:eastAsiaTheme="minorEastAsia"/>
          <w:sz w:val="18"/>
          <w:szCs w:val="18"/>
        </w:rPr>
        <w:t>PF = Physical functioning, EF= Emotional functioning, SF = Social functioning, FU = School functioning</w:t>
      </w:r>
    </w:p>
    <w:p w14:paraId="318FE33A" w14:textId="554971EF" w:rsidR="00102970" w:rsidRDefault="00102970" w:rsidP="00102970">
      <w:pPr>
        <w:spacing w:after="0" w:line="240" w:lineRule="auto"/>
        <w:rPr>
          <w:rFonts w:eastAsiaTheme="minorEastAsia"/>
          <w:i/>
          <w:sz w:val="18"/>
          <w:szCs w:val="18"/>
        </w:rPr>
      </w:pPr>
      <w:r w:rsidRPr="0071308C">
        <w:rPr>
          <w:rFonts w:eastAsiaTheme="minorEastAsia"/>
          <w:i/>
          <w:sz w:val="18"/>
          <w:szCs w:val="18"/>
        </w:rPr>
        <w:t>*P &lt; 0.05, **P &lt;0.01, ***P &lt;0.</w:t>
      </w:r>
      <w:r w:rsidR="00067D4B">
        <w:rPr>
          <w:rFonts w:eastAsiaTheme="minorEastAsia"/>
          <w:i/>
          <w:sz w:val="18"/>
          <w:szCs w:val="18"/>
        </w:rPr>
        <w:t>00</w:t>
      </w:r>
      <w:r>
        <w:rPr>
          <w:rFonts w:eastAsiaTheme="minorEastAsia"/>
          <w:i/>
          <w:sz w:val="18"/>
          <w:szCs w:val="18"/>
        </w:rPr>
        <w:t>1</w:t>
      </w:r>
    </w:p>
    <w:p w14:paraId="780CE7E8" w14:textId="6F76C157" w:rsidR="00102970" w:rsidRDefault="00DB6A0E" w:rsidP="00DB6A0E">
      <w:pPr>
        <w:pStyle w:val="Heading2"/>
        <w:numPr>
          <w:ilvl w:val="0"/>
          <w:numId w:val="5"/>
        </w:numPr>
      </w:pPr>
      <w:bookmarkStart w:id="29" w:name="_Toc476041064"/>
      <w:bookmarkStart w:id="30" w:name="_Toc478982333"/>
      <w:r>
        <w:lastRenderedPageBreak/>
        <w:t>Discussion</w:t>
      </w:r>
      <w:bookmarkEnd w:id="29"/>
      <w:bookmarkEnd w:id="30"/>
    </w:p>
    <w:p w14:paraId="2229A632" w14:textId="01FF7CEE" w:rsidR="00102970" w:rsidRPr="000B03D1" w:rsidRDefault="00102970" w:rsidP="00102970">
      <w:pPr>
        <w:spacing w:after="240" w:line="480" w:lineRule="auto"/>
      </w:pPr>
      <w:r w:rsidRPr="00250A10">
        <w:rPr>
          <w:noProof/>
        </w:rPr>
        <w:t>Whilst</w:t>
      </w:r>
      <w:r>
        <w:t xml:space="preserve"> complying with current guidance for conducting and reporting mapping analyses </w:t>
      </w:r>
      <w:r>
        <w:fldChar w:fldCharType="begin"/>
      </w:r>
      <w:r>
        <w:instrText>ADDIN RW.CITE{{993 Petrou, Stavros 2015}}</w:instrText>
      </w:r>
      <w:r>
        <w:fldChar w:fldCharType="separate"/>
      </w:r>
      <w:r w:rsidR="00250A10">
        <w:rPr>
          <w:rFonts w:eastAsia="Times New Roman"/>
        </w:rPr>
        <w:t>[37]</w:t>
      </w:r>
      <w:r>
        <w:fldChar w:fldCharType="end"/>
      </w:r>
      <w:r>
        <w:t xml:space="preserve">, the results of this analysis show that CHU-9D utility scores can </w:t>
      </w:r>
      <w:r w:rsidRPr="00250A10">
        <w:rPr>
          <w:noProof/>
        </w:rPr>
        <w:t>be estimated</w:t>
      </w:r>
      <w:r>
        <w:t xml:space="preserve"> from PedsQL™ subscale scores with sufficient accuracy.</w:t>
      </w:r>
      <w:r w:rsidRPr="00954DA1">
        <w:t xml:space="preserve"> </w:t>
      </w:r>
      <w:r w:rsidR="00533826" w:rsidRPr="000B03D1">
        <w:t>A total of e</w:t>
      </w:r>
      <w:r w:rsidR="00AD77DA" w:rsidRPr="000B03D1">
        <w:t xml:space="preserve">ighteen models </w:t>
      </w:r>
      <w:r w:rsidR="00AD77DA" w:rsidRPr="00250A10">
        <w:rPr>
          <w:noProof/>
        </w:rPr>
        <w:t xml:space="preserve">were </w:t>
      </w:r>
      <w:r w:rsidR="00533826" w:rsidRPr="00250A10">
        <w:rPr>
          <w:noProof/>
        </w:rPr>
        <w:t>explored</w:t>
      </w:r>
      <w:r w:rsidR="00AD77DA" w:rsidRPr="000B03D1">
        <w:t>: Six model specifications</w:t>
      </w:r>
      <w:r w:rsidRPr="000B03D1">
        <w:t>, each with three</w:t>
      </w:r>
      <w:r w:rsidR="00AD77DA" w:rsidRPr="000B03D1">
        <w:t xml:space="preserve"> functional forms</w:t>
      </w:r>
      <w:r w:rsidRPr="000B03D1">
        <w:t>. All the models produced reasonably similar predictions of the mean utility scores.</w:t>
      </w:r>
      <w:r w:rsidR="00AD77DA" w:rsidRPr="000B03D1">
        <w:t xml:space="preserve"> The preferred algorithm for mapping PedsQL™ onto CHU-9D was selected using a three-stage elimination process.</w:t>
      </w:r>
      <w:r w:rsidRPr="000B03D1">
        <w:t xml:space="preserve"> </w:t>
      </w:r>
      <w:r w:rsidR="00AD77DA" w:rsidRPr="000B03D1">
        <w:t xml:space="preserve">The GLM and OLS models outperformed the Tobit models </w:t>
      </w:r>
      <w:r w:rsidR="00AD77DA" w:rsidRPr="00250A10">
        <w:rPr>
          <w:noProof/>
        </w:rPr>
        <w:t>in terms of</w:t>
      </w:r>
      <w:r w:rsidR="00AD77DA" w:rsidRPr="000B03D1">
        <w:t xml:space="preserve"> MAE, with GLM 6 and OLS</w:t>
      </w:r>
      <w:r w:rsidRPr="000B03D1">
        <w:t xml:space="preserve"> 3 </w:t>
      </w:r>
      <w:r w:rsidR="00AD77DA" w:rsidRPr="00250A10">
        <w:rPr>
          <w:noProof/>
        </w:rPr>
        <w:t>being shortlisted</w:t>
      </w:r>
      <w:r w:rsidR="00AD77DA" w:rsidRPr="000B03D1">
        <w:t xml:space="preserve"> for the third and final selection process</w:t>
      </w:r>
      <w:r w:rsidR="00533826" w:rsidRPr="000B03D1">
        <w:t xml:space="preserve">. </w:t>
      </w:r>
      <w:r w:rsidRPr="000B03D1">
        <w:t xml:space="preserve"> GLM 6 </w:t>
      </w:r>
      <w:r w:rsidRPr="000B03D1">
        <w:rPr>
          <w:noProof/>
        </w:rPr>
        <w:t>was chosen</w:t>
      </w:r>
      <w:r w:rsidRPr="000B03D1">
        <w:t xml:space="preserve"> as the prefer</w:t>
      </w:r>
      <w:r w:rsidR="00AD77DA" w:rsidRPr="000B03D1">
        <w:t xml:space="preserve">red mapping model because it </w:t>
      </w:r>
      <w:r w:rsidR="007071B7" w:rsidRPr="000B03D1">
        <w:t>was able to predict a wider range of</w:t>
      </w:r>
      <w:r w:rsidR="00AD77DA" w:rsidRPr="000B03D1">
        <w:t xml:space="preserve"> CHU-9D utility score</w:t>
      </w:r>
      <w:r w:rsidR="007071B7" w:rsidRPr="000B03D1">
        <w:t>s</w:t>
      </w:r>
      <w:r w:rsidR="00AD77DA" w:rsidRPr="000B03D1">
        <w:t xml:space="preserve"> and had a higher proportion of predicted values deviating from the observed values</w:t>
      </w:r>
      <w:r w:rsidR="00533826" w:rsidRPr="000B03D1">
        <w:t xml:space="preserve"> by less</w:t>
      </w:r>
      <w:r w:rsidR="00AD77DA" w:rsidRPr="000B03D1">
        <w:t xml:space="preserve"> than 0.03.</w:t>
      </w:r>
      <w:r w:rsidR="00533826" w:rsidRPr="000B03D1">
        <w:t xml:space="preserve"> </w:t>
      </w:r>
    </w:p>
    <w:p w14:paraId="32D989D5" w14:textId="607B0A33" w:rsidR="00102970" w:rsidRPr="004B18E9" w:rsidRDefault="00D515B6" w:rsidP="00102970">
      <w:pPr>
        <w:spacing w:after="240" w:line="480" w:lineRule="auto"/>
      </w:pPr>
      <w:r>
        <w:t>The</w:t>
      </w:r>
      <w:r w:rsidR="00102970">
        <w:t xml:space="preserve"> GLM 6</w:t>
      </w:r>
      <w:r>
        <w:t xml:space="preserve"> model</w:t>
      </w:r>
      <w:r w:rsidR="00102970">
        <w:t xml:space="preserve"> predicted the CHU-9D utility scores with more </w:t>
      </w:r>
      <w:r w:rsidR="00102970" w:rsidRPr="00E93AE6">
        <w:t>accuracy</w:t>
      </w:r>
      <w:r>
        <w:t xml:space="preserve"> when</w:t>
      </w:r>
      <w:r w:rsidR="00844AB2" w:rsidRPr="00E93AE6">
        <w:t xml:space="preserve"> </w:t>
      </w:r>
      <w:r>
        <w:t xml:space="preserve">compared to other similar published studies </w:t>
      </w:r>
      <w:r w:rsidRPr="00312BCA">
        <w:t>(</w:t>
      </w:r>
      <w:r>
        <w:t>M</w:t>
      </w:r>
      <w:r w:rsidRPr="00312BCA">
        <w:t>AE=0</w:t>
      </w:r>
      <w:r>
        <w:t xml:space="preserve">.04078; MSE=0.00353).  </w:t>
      </w:r>
      <w:r w:rsidR="00102970">
        <w:t>For example, in one study that looked at the relationship between the</w:t>
      </w:r>
      <w:r w:rsidR="00102970" w:rsidRPr="00312BCA">
        <w:t xml:space="preserve"> CHU-9D </w:t>
      </w:r>
      <w:r w:rsidR="00102970">
        <w:t>and</w:t>
      </w:r>
      <w:r w:rsidR="00102970" w:rsidRPr="00312BCA">
        <w:t xml:space="preserve"> the</w:t>
      </w:r>
      <w:r w:rsidR="00102970">
        <w:t xml:space="preserve"> SDQ – </w:t>
      </w:r>
      <w:r w:rsidR="003259CB">
        <w:t>S</w:t>
      </w:r>
      <w:r w:rsidR="00102970" w:rsidRPr="00312BCA">
        <w:t xml:space="preserve">trengths and </w:t>
      </w:r>
      <w:r w:rsidR="003259CB">
        <w:t>D</w:t>
      </w:r>
      <w:r w:rsidR="00102970">
        <w:t xml:space="preserve">ifficulties </w:t>
      </w:r>
      <w:r w:rsidR="003259CB">
        <w:t>Q</w:t>
      </w:r>
      <w:r w:rsidR="00102970">
        <w:t xml:space="preserve">uestionnaire </w:t>
      </w:r>
      <w:r w:rsidR="003259CB">
        <w:t>behavioural questionnaire</w:t>
      </w:r>
      <w:r w:rsidR="00102970">
        <w:t>– the</w:t>
      </w:r>
      <w:r w:rsidR="00102970" w:rsidRPr="00C922FE">
        <w:rPr>
          <w:noProof/>
        </w:rPr>
        <w:t xml:space="preserve"> MSE</w:t>
      </w:r>
      <w:r w:rsidR="00102970">
        <w:t xml:space="preserve"> was 0.124</w:t>
      </w:r>
      <w:r w:rsidR="00102970" w:rsidRPr="006A6FB6">
        <w:fldChar w:fldCharType="begin"/>
      </w:r>
      <w:r w:rsidR="00102970">
        <w:instrText>ADDIN RW.CITE{{958 Boyer, Nicole RS 2016; 211 Furber, Gareth 2014}}</w:instrText>
      </w:r>
      <w:r w:rsidR="00102970" w:rsidRPr="006A6FB6">
        <w:fldChar w:fldCharType="separate"/>
      </w:r>
      <w:r w:rsidR="00250A10">
        <w:rPr>
          <w:rFonts w:eastAsia="Times New Roman"/>
        </w:rPr>
        <w:t>[40, 41]</w:t>
      </w:r>
      <w:r w:rsidR="00102970" w:rsidRPr="006A6FB6">
        <w:rPr>
          <w:noProof/>
        </w:rPr>
        <w:fldChar w:fldCharType="end"/>
      </w:r>
      <w:r w:rsidR="00102970" w:rsidRPr="006A6FB6">
        <w:rPr>
          <w:noProof/>
        </w:rPr>
        <w:t xml:space="preserve"> </w:t>
      </w:r>
      <w:r w:rsidR="00102970" w:rsidRPr="00250A10">
        <w:rPr>
          <w:noProof/>
        </w:rPr>
        <w:t>,while</w:t>
      </w:r>
      <w:r w:rsidR="00102970">
        <w:t xml:space="preserve"> another study that </w:t>
      </w:r>
      <w:r w:rsidR="00102970" w:rsidRPr="00312BCA">
        <w:t>estimated CHU-9D utility score</w:t>
      </w:r>
      <w:r w:rsidR="00102970">
        <w:t>s</w:t>
      </w:r>
      <w:r w:rsidR="00102970" w:rsidRPr="00312BCA">
        <w:t xml:space="preserve"> from </w:t>
      </w:r>
      <w:r w:rsidR="00102970">
        <w:t xml:space="preserve">the </w:t>
      </w:r>
      <w:r w:rsidR="00102970" w:rsidRPr="00312BCA">
        <w:t>KIDSCREEN</w:t>
      </w:r>
      <w:r w:rsidR="00102970">
        <w:t xml:space="preserve"> questionnaire had </w:t>
      </w:r>
      <w:r w:rsidR="00102970" w:rsidRPr="00C922FE">
        <w:rPr>
          <w:noProof/>
        </w:rPr>
        <w:t>a</w:t>
      </w:r>
      <w:r w:rsidR="00102970">
        <w:rPr>
          <w:noProof/>
        </w:rPr>
        <w:t>n</w:t>
      </w:r>
      <w:r w:rsidR="00102970" w:rsidRPr="00C922FE">
        <w:rPr>
          <w:noProof/>
        </w:rPr>
        <w:t xml:space="preserve"> MAE</w:t>
      </w:r>
      <w:r w:rsidR="00102970">
        <w:t xml:space="preserve"> = 0.095</w:t>
      </w:r>
      <w:r w:rsidR="00102970" w:rsidRPr="00312BCA">
        <w:t xml:space="preserve"> </w:t>
      </w:r>
      <w:r w:rsidR="00102970" w:rsidRPr="00312BCA">
        <w:fldChar w:fldCharType="begin"/>
      </w:r>
      <w:r w:rsidR="00102970">
        <w:instrText>ADDIN RW.CITE{{959 Chen, Gang 2014}}</w:instrText>
      </w:r>
      <w:r w:rsidR="00102970" w:rsidRPr="00312BCA">
        <w:fldChar w:fldCharType="separate"/>
      </w:r>
      <w:r w:rsidR="00250A10">
        <w:rPr>
          <w:rFonts w:eastAsia="Times New Roman"/>
        </w:rPr>
        <w:t>[42]</w:t>
      </w:r>
      <w:r w:rsidR="00102970" w:rsidRPr="00312BCA">
        <w:fldChar w:fldCharType="end"/>
      </w:r>
      <w:r w:rsidR="00AD77DA">
        <w:t>.  The GLM</w:t>
      </w:r>
      <w:r w:rsidR="00102970">
        <w:t xml:space="preserve"> 6 produced from this analysis also performed better than a previous model that had predicted EQ</w:t>
      </w:r>
      <w:r w:rsidR="00102970">
        <w:noBreakHyphen/>
        <w:t>5D</w:t>
      </w:r>
      <w:r w:rsidR="00102970">
        <w:noBreakHyphen/>
        <w:t>Y </w:t>
      </w:r>
      <w:r w:rsidR="00102970" w:rsidRPr="00312BCA">
        <w:t>(EuroQoL-youth version)</w:t>
      </w:r>
      <w:r w:rsidR="00102970">
        <w:t xml:space="preserve"> utility scores from PedsQL™ (MAE=0.115) </w:t>
      </w:r>
      <w:r w:rsidR="00102970">
        <w:fldChar w:fldCharType="begin"/>
      </w:r>
      <w:r w:rsidR="00102970">
        <w:instrText>ADDIN RW.CITE{{992 Khan, Kamran A 2014}}</w:instrText>
      </w:r>
      <w:r w:rsidR="00102970">
        <w:fldChar w:fldCharType="separate"/>
      </w:r>
      <w:r w:rsidR="00250A10">
        <w:rPr>
          <w:rFonts w:eastAsia="Times New Roman"/>
        </w:rPr>
        <w:t>[35]</w:t>
      </w:r>
      <w:r w:rsidR="00102970">
        <w:fldChar w:fldCharType="end"/>
      </w:r>
      <w:r w:rsidR="00102970">
        <w:t>.</w:t>
      </w:r>
      <w:r w:rsidR="003448AA">
        <w:t xml:space="preserve">  </w:t>
      </w:r>
      <w:r w:rsidR="008568B0">
        <w:t>Furthermore</w:t>
      </w:r>
      <w:r w:rsidR="008568B0" w:rsidRPr="004B18E9">
        <w:t xml:space="preserve">, </w:t>
      </w:r>
      <w:r w:rsidR="005A705A" w:rsidRPr="004B18E9">
        <w:t>Mpundu-</w:t>
      </w:r>
      <w:r w:rsidR="003448AA" w:rsidRPr="004B18E9">
        <w:t xml:space="preserve">Kaambwa and </w:t>
      </w:r>
      <w:r w:rsidR="00844AB2" w:rsidRPr="004B18E9">
        <w:t xml:space="preserve">colleagues </w:t>
      </w:r>
      <w:r w:rsidR="003448AA" w:rsidRPr="004B18E9">
        <w:fldChar w:fldCharType="begin"/>
      </w:r>
      <w:r w:rsidR="003448AA" w:rsidRPr="004B18E9">
        <w:instrText>ADDIN RW.CITE{{1159 Mpundu-Kaambwa, Christine 2016}}</w:instrText>
      </w:r>
      <w:r w:rsidR="003448AA" w:rsidRPr="004B18E9">
        <w:fldChar w:fldCharType="separate"/>
      </w:r>
      <w:r w:rsidR="00250A10">
        <w:t>[15]</w:t>
      </w:r>
      <w:r w:rsidR="003448AA" w:rsidRPr="004B18E9">
        <w:fldChar w:fldCharType="end"/>
      </w:r>
      <w:r w:rsidR="008568B0" w:rsidRPr="004B18E9">
        <w:t xml:space="preserve"> </w:t>
      </w:r>
      <w:r w:rsidR="003448AA" w:rsidRPr="004B18E9">
        <w:t xml:space="preserve">mapped </w:t>
      </w:r>
      <w:r w:rsidR="008568B0" w:rsidRPr="004B18E9">
        <w:t xml:space="preserve">the </w:t>
      </w:r>
      <w:r w:rsidR="003448AA" w:rsidRPr="004B18E9">
        <w:t xml:space="preserve">PedsQL™ onto </w:t>
      </w:r>
      <w:r w:rsidR="008568B0" w:rsidRPr="004B18E9">
        <w:t xml:space="preserve">the </w:t>
      </w:r>
      <w:r w:rsidR="003448AA" w:rsidRPr="004B18E9">
        <w:t>CHU-9D (MAE=0</w:t>
      </w:r>
      <w:r w:rsidR="008568B0" w:rsidRPr="004B18E9">
        <w:t xml:space="preserve">.1169 </w:t>
      </w:r>
      <w:r w:rsidR="008568B0" w:rsidRPr="00250A10">
        <w:rPr>
          <w:noProof/>
        </w:rPr>
        <w:t>;MSE=0.0213</w:t>
      </w:r>
      <w:r w:rsidR="008568B0" w:rsidRPr="004B18E9">
        <w:t xml:space="preserve">) using an Australian value set and </w:t>
      </w:r>
      <w:r w:rsidR="003448AA" w:rsidRPr="004B18E9">
        <w:t>data</w:t>
      </w:r>
      <w:r w:rsidR="008568B0" w:rsidRPr="004B18E9">
        <w:t xml:space="preserve"> derived from 15-17-year-olds.  The mapping algorithm reported here has been derived from more observations, </w:t>
      </w:r>
      <w:r w:rsidR="008568B0" w:rsidRPr="00250A10">
        <w:rPr>
          <w:noProof/>
        </w:rPr>
        <w:t>has</w:t>
      </w:r>
      <w:r w:rsidR="003448AA" w:rsidRPr="004B18E9">
        <w:t xml:space="preserve"> a wide</w:t>
      </w:r>
      <w:r w:rsidR="008568B0" w:rsidRPr="004B18E9">
        <w:t>r age range and used a UK value set</w:t>
      </w:r>
      <w:r w:rsidR="003448AA" w:rsidRPr="004B18E9">
        <w:t>.</w:t>
      </w:r>
    </w:p>
    <w:p w14:paraId="6618D2C2" w14:textId="0470C1E4" w:rsidR="006A6FB6" w:rsidRPr="004B18E9" w:rsidRDefault="00102970" w:rsidP="00102970">
      <w:pPr>
        <w:spacing w:after="240" w:line="480" w:lineRule="auto"/>
      </w:pPr>
      <w:r w:rsidRPr="004B18E9">
        <w:t xml:space="preserve">Despite these strengths, there are some limitations. The sample size was small compared to other mapping studies </w:t>
      </w:r>
      <w:r w:rsidRPr="004B18E9">
        <w:fldChar w:fldCharType="begin"/>
      </w:r>
      <w:r w:rsidRPr="004B18E9">
        <w:instrText>ADDIN RW.CITE{{987 Brazier, John E 2010}}</w:instrText>
      </w:r>
      <w:r w:rsidRPr="004B18E9">
        <w:fldChar w:fldCharType="separate"/>
      </w:r>
      <w:r w:rsidR="00250A10">
        <w:rPr>
          <w:rFonts w:eastAsia="Times New Roman"/>
        </w:rPr>
        <w:t>[5]</w:t>
      </w:r>
      <w:r w:rsidRPr="004B18E9">
        <w:fldChar w:fldCharType="end"/>
      </w:r>
      <w:r w:rsidRPr="004B18E9">
        <w:t xml:space="preserve"> thereby limiting the ability to robustly demonstrate the relationship between CHU-9D and PedsQL™. A larger sample size may have reduced the prediction error of the model</w:t>
      </w:r>
      <w:r w:rsidR="001F0125" w:rsidRPr="004B18E9">
        <w:t xml:space="preserve">. </w:t>
      </w:r>
      <w:r w:rsidR="002475FC" w:rsidRPr="004B18E9">
        <w:t>Response-mapping is an alternative to mapping summary scores</w:t>
      </w:r>
      <w:r w:rsidR="004B66E8">
        <w:t xml:space="preserve"> whereby the domain scores from each instrument are mapped</w:t>
      </w:r>
      <w:r w:rsidR="002475FC" w:rsidRPr="004B18E9">
        <w:t xml:space="preserve">.  </w:t>
      </w:r>
      <w:r w:rsidR="002475FC" w:rsidRPr="00250A10">
        <w:rPr>
          <w:noProof/>
        </w:rPr>
        <w:t>However</w:t>
      </w:r>
      <w:r w:rsidR="00250A10">
        <w:rPr>
          <w:noProof/>
        </w:rPr>
        <w:t>,</w:t>
      </w:r>
      <w:r w:rsidR="002475FC" w:rsidRPr="004B18E9">
        <w:t xml:space="preserve"> a recent review</w:t>
      </w:r>
      <w:r w:rsidR="001F0125" w:rsidRPr="004B18E9">
        <w:t xml:space="preserve"> </w:t>
      </w:r>
      <w:r w:rsidR="001F0125" w:rsidRPr="004B18E9">
        <w:fldChar w:fldCharType="begin"/>
      </w:r>
      <w:r w:rsidR="001F0125" w:rsidRPr="004B18E9">
        <w:instrText>ADDIN RW.CITE{{987 Brazier, John E 2010}}</w:instrText>
      </w:r>
      <w:r w:rsidR="001F0125" w:rsidRPr="004B18E9">
        <w:fldChar w:fldCharType="separate"/>
      </w:r>
      <w:r w:rsidR="00250A10">
        <w:t>[5]</w:t>
      </w:r>
      <w:r w:rsidR="001F0125" w:rsidRPr="004B18E9">
        <w:fldChar w:fldCharType="end"/>
      </w:r>
      <w:r w:rsidR="001F0125" w:rsidRPr="004B18E9">
        <w:t xml:space="preserve"> </w:t>
      </w:r>
      <w:r w:rsidR="004B66E8">
        <w:t xml:space="preserve">concluded that this more complex </w:t>
      </w:r>
      <w:r w:rsidR="004B66E8">
        <w:lastRenderedPageBreak/>
        <w:t>approach did not offer anything superior over and above a simpler mapping of summary scores</w:t>
      </w:r>
      <w:r w:rsidR="002475FC" w:rsidRPr="004B18E9">
        <w:t xml:space="preserve">, a finding which has </w:t>
      </w:r>
      <w:r w:rsidR="002475FC" w:rsidRPr="00250A10">
        <w:rPr>
          <w:noProof/>
        </w:rPr>
        <w:t>been supported</w:t>
      </w:r>
      <w:r w:rsidR="002475FC" w:rsidRPr="004B18E9">
        <w:t xml:space="preserve"> by a recent applied study that mapped from PedsQL™ onto CHU-9D</w:t>
      </w:r>
      <w:r w:rsidR="001F0125" w:rsidRPr="004B18E9">
        <w:t xml:space="preserve"> </w:t>
      </w:r>
      <w:r w:rsidR="001F0125" w:rsidRPr="004B18E9">
        <w:fldChar w:fldCharType="begin"/>
      </w:r>
      <w:r w:rsidR="001F0125" w:rsidRPr="004B18E9">
        <w:instrText>ADDIN RW.CITE{{1159 Mpundu-Kaambwa, Christine 2016}}</w:instrText>
      </w:r>
      <w:r w:rsidR="001F0125" w:rsidRPr="004B18E9">
        <w:fldChar w:fldCharType="separate"/>
      </w:r>
      <w:r w:rsidR="00250A10">
        <w:t>[15]</w:t>
      </w:r>
      <w:r w:rsidR="001F0125" w:rsidRPr="004B18E9">
        <w:fldChar w:fldCharType="end"/>
      </w:r>
      <w:r w:rsidR="001F0125" w:rsidRPr="004B18E9">
        <w:t xml:space="preserve">. </w:t>
      </w:r>
      <w:r w:rsidR="002475FC" w:rsidRPr="004B18E9">
        <w:t>For these reasons, this mapping exercise was focused on summary score mapping only</w:t>
      </w:r>
      <w:r w:rsidRPr="004B18E9">
        <w:t>.</w:t>
      </w:r>
      <w:r w:rsidR="00D61CA8" w:rsidRPr="004B18E9">
        <w:t xml:space="preserve"> </w:t>
      </w:r>
      <w:r w:rsidRPr="004B18E9">
        <w:t xml:space="preserve">Another caveat was the ceiling effect. A wider spectrum of health profiles was lacking as a considerable number of children had perfect or near perfect health, with none having utility scores below 0.5 in the estimation sample. </w:t>
      </w:r>
      <w:r w:rsidRPr="00250A10">
        <w:rPr>
          <w:noProof/>
        </w:rPr>
        <w:t>This</w:t>
      </w:r>
      <w:r w:rsidRPr="004B18E9">
        <w:t xml:space="preserve"> </w:t>
      </w:r>
      <w:r w:rsidRPr="00250A10">
        <w:rPr>
          <w:noProof/>
        </w:rPr>
        <w:t>was reflected</w:t>
      </w:r>
      <w:r w:rsidRPr="004B18E9">
        <w:t xml:space="preserve"> in the distribution of scores across the five response levels for each of the CHU-9D domains and each PedsQL</w:t>
      </w:r>
      <w:r w:rsidR="008568B0" w:rsidRPr="004B18E9">
        <w:t>™ subscale score.</w:t>
      </w:r>
      <w:r w:rsidR="006A6FB6" w:rsidRPr="004B18E9">
        <w:t xml:space="preserve"> The implication is</w:t>
      </w:r>
      <w:r w:rsidRPr="004B18E9">
        <w:t xml:space="preserve"> </w:t>
      </w:r>
      <w:r w:rsidRPr="004B18E9">
        <w:rPr>
          <w:noProof/>
        </w:rPr>
        <w:t>caution</w:t>
      </w:r>
      <w:r w:rsidRPr="004B18E9">
        <w:t xml:space="preserve"> </w:t>
      </w:r>
      <w:r w:rsidR="00CB1A00" w:rsidRPr="00250A10">
        <w:rPr>
          <w:noProof/>
        </w:rPr>
        <w:t>is advised</w:t>
      </w:r>
      <w:r w:rsidR="00CB1A00" w:rsidRPr="004B18E9">
        <w:t xml:space="preserve"> if </w:t>
      </w:r>
      <w:r w:rsidRPr="004B18E9">
        <w:t>using the algorithm</w:t>
      </w:r>
      <w:r w:rsidR="006A6FB6" w:rsidRPr="004B18E9">
        <w:t xml:space="preserve"> for a less healthy </w:t>
      </w:r>
      <w:r w:rsidR="008568B0" w:rsidRPr="004B18E9">
        <w:t xml:space="preserve">paediatric </w:t>
      </w:r>
      <w:r w:rsidR="006A6FB6" w:rsidRPr="004B18E9">
        <w:t xml:space="preserve">population. </w:t>
      </w:r>
      <w:r w:rsidR="003259CB" w:rsidRPr="00250A10">
        <w:rPr>
          <w:noProof/>
        </w:rPr>
        <w:t>Additionally</w:t>
      </w:r>
      <w:r w:rsidR="00250A10">
        <w:rPr>
          <w:noProof/>
        </w:rPr>
        <w:t>,</w:t>
      </w:r>
      <w:r w:rsidR="003259CB" w:rsidRPr="004B18E9">
        <w:t xml:space="preserve"> the age range of the sample reflected the natural history of the condition with few older adolescents. </w:t>
      </w:r>
      <w:r w:rsidR="006A6FB6" w:rsidRPr="004B18E9">
        <w:t xml:space="preserve">Future research can focus on refining this mapping algorithm should data for children with more severe health states </w:t>
      </w:r>
      <w:r w:rsidR="003259CB" w:rsidRPr="004B18E9">
        <w:t xml:space="preserve">across a wider age range </w:t>
      </w:r>
      <w:r w:rsidR="006A6FB6" w:rsidRPr="004B18E9">
        <w:t>become available.</w:t>
      </w:r>
    </w:p>
    <w:p w14:paraId="6936C5CB" w14:textId="6A82E719" w:rsidR="006A6FB6" w:rsidRPr="004B18E9" w:rsidRDefault="006A6FB6" w:rsidP="00102970">
      <w:pPr>
        <w:spacing w:after="240" w:line="480" w:lineRule="auto"/>
      </w:pPr>
      <w:r w:rsidRPr="004B18E9">
        <w:t>A final methodological concern was the proxy-completion of both HRQoL instrument</w:t>
      </w:r>
      <w:r w:rsidR="000B03D1" w:rsidRPr="004B18E9">
        <w:t>s</w:t>
      </w:r>
      <w:r w:rsidRPr="004B18E9">
        <w:t xml:space="preserve"> in this study given that self-completion is the </w:t>
      </w:r>
      <w:r w:rsidR="008568B0" w:rsidRPr="004B18E9">
        <w:t xml:space="preserve">gold </w:t>
      </w:r>
      <w:r w:rsidRPr="004B18E9">
        <w:t>standard approach for measuring HRQoL</w:t>
      </w:r>
      <w:r w:rsidR="003259CB" w:rsidRPr="004B18E9">
        <w:t xml:space="preserve">, at least in adults </w:t>
      </w:r>
      <w:r w:rsidRPr="004B18E9">
        <w:fldChar w:fldCharType="begin"/>
      </w:r>
      <w:r w:rsidRPr="004B18E9">
        <w:instrText>ADDIN RW.CITE{{1158 NICE 2013; 1164 Essen, Louise von 2004}}</w:instrText>
      </w:r>
      <w:r w:rsidRPr="004B18E9">
        <w:fldChar w:fldCharType="separate"/>
      </w:r>
      <w:r w:rsidR="00250A10">
        <w:t>[43, 44]</w:t>
      </w:r>
      <w:r w:rsidRPr="004B18E9">
        <w:fldChar w:fldCharType="end"/>
      </w:r>
      <w:r w:rsidRPr="004B18E9">
        <w:t xml:space="preserve">. Proxy-reported responses </w:t>
      </w:r>
      <w:r w:rsidRPr="004B18E9">
        <w:rPr>
          <w:noProof/>
        </w:rPr>
        <w:t>are not directly interchangeable</w:t>
      </w:r>
      <w:r w:rsidRPr="004B18E9">
        <w:t xml:space="preserve"> because of proxy biases </w:t>
      </w:r>
      <w:r w:rsidRPr="004B18E9">
        <w:fldChar w:fldCharType="begin"/>
      </w:r>
      <w:r w:rsidRPr="004B18E9">
        <w:instrText>ADDIN RW.CITE{{1163 Rand, Stacey 2015/05}}</w:instrText>
      </w:r>
      <w:r w:rsidRPr="004B18E9">
        <w:fldChar w:fldCharType="separate"/>
      </w:r>
      <w:r w:rsidR="00250A10">
        <w:t>[45]</w:t>
      </w:r>
      <w:r w:rsidRPr="004B18E9">
        <w:fldChar w:fldCharType="end"/>
      </w:r>
      <w:r w:rsidRPr="004B18E9">
        <w:t xml:space="preserve">. </w:t>
      </w:r>
      <w:r w:rsidR="006821B5" w:rsidRPr="004B18E9">
        <w:t>However,</w:t>
      </w:r>
      <w:r w:rsidR="008568B0" w:rsidRPr="004B18E9">
        <w:t xml:space="preserve"> for some very young </w:t>
      </w:r>
      <w:r w:rsidR="008568B0" w:rsidRPr="00250A10">
        <w:rPr>
          <w:noProof/>
        </w:rPr>
        <w:t>children</w:t>
      </w:r>
      <w:r w:rsidR="008568B0" w:rsidRPr="004B18E9">
        <w:t xml:space="preserve"> the use of proxies is unavoidable. </w:t>
      </w:r>
    </w:p>
    <w:p w14:paraId="6D552D9B" w14:textId="3AE88785" w:rsidR="00AF1721" w:rsidRDefault="00102970" w:rsidP="00102970">
      <w:pPr>
        <w:spacing w:after="240" w:line="480" w:lineRule="auto"/>
      </w:pPr>
      <w:r w:rsidRPr="004B18E9">
        <w:t xml:space="preserve">Mapping is not a substitute for direct utility estimation. It </w:t>
      </w:r>
      <w:r w:rsidRPr="00250A10">
        <w:rPr>
          <w:noProof/>
        </w:rPr>
        <w:t>is therefore advised</w:t>
      </w:r>
      <w:r w:rsidRPr="004B18E9">
        <w:t xml:space="preserve"> that, where possible, preference-based outcomes </w:t>
      </w:r>
      <w:r w:rsidRPr="00250A10">
        <w:rPr>
          <w:noProof/>
        </w:rPr>
        <w:t>be collected</w:t>
      </w:r>
      <w:r w:rsidRPr="004B18E9">
        <w:t xml:space="preserve"> for the measurement of cost-effectiveness.</w:t>
      </w:r>
      <w:r w:rsidR="006A6FB6" w:rsidRPr="004B18E9">
        <w:t xml:space="preserve"> However, </w:t>
      </w:r>
      <w:r w:rsidR="006A6FB6" w:rsidRPr="004B18E9">
        <w:rPr>
          <w:noProof/>
        </w:rPr>
        <w:t>if</w:t>
      </w:r>
      <w:r w:rsidR="006A6FB6" w:rsidRPr="004B18E9">
        <w:t xml:space="preserve"> direct estimation</w:t>
      </w:r>
      <w:r w:rsidRPr="004B18E9">
        <w:t xml:space="preserve"> is not feasible, the algorithm </w:t>
      </w:r>
      <w:r w:rsidR="0037031B" w:rsidRPr="004B18E9">
        <w:t>presented provides</w:t>
      </w:r>
      <w:r w:rsidRPr="004B18E9">
        <w:t xml:space="preserve"> a valuable and scientifically robust approach to predict</w:t>
      </w:r>
      <w:r w:rsidR="0037031B" w:rsidRPr="004B18E9">
        <w:t xml:space="preserve">ing CHU-9D utility values. </w:t>
      </w:r>
      <w:r w:rsidRPr="004B18E9">
        <w:t xml:space="preserve">The standard errors for the coefficients have been reported making it </w:t>
      </w:r>
      <w:r w:rsidR="004B66E8">
        <w:t>possible</w:t>
      </w:r>
      <w:r w:rsidRPr="004B18E9">
        <w:t xml:space="preserve"> for </w:t>
      </w:r>
      <w:r w:rsidR="00067D4B">
        <w:t>future users of the algorithm</w:t>
      </w:r>
      <w:r w:rsidRPr="004B18E9">
        <w:t xml:space="preserve"> to account for the uncertainty </w:t>
      </w:r>
      <w:r w:rsidRPr="004B18E9">
        <w:rPr>
          <w:noProof/>
        </w:rPr>
        <w:t>around</w:t>
      </w:r>
      <w:r w:rsidRPr="004B18E9">
        <w:t xml:space="preserve"> the predicted values.</w:t>
      </w:r>
      <w:r w:rsidR="00067D4B">
        <w:t xml:space="preserve"> A final note is that it cannot </w:t>
      </w:r>
      <w:r w:rsidR="00067D4B" w:rsidRPr="00250A10">
        <w:rPr>
          <w:noProof/>
        </w:rPr>
        <w:t>be stressed</w:t>
      </w:r>
      <w:r w:rsidR="00067D4B">
        <w:t xml:space="preserve"> strongly enough that the algorithm presented should be viewed as an interim solution. External validation using data from another study will provide the most robust </w:t>
      </w:r>
      <w:r w:rsidR="00067D4B" w:rsidRPr="00250A10">
        <w:rPr>
          <w:noProof/>
        </w:rPr>
        <w:t xml:space="preserve">evidence </w:t>
      </w:r>
      <w:r w:rsidR="00250A10">
        <w:rPr>
          <w:noProof/>
        </w:rPr>
        <w:t>of</w:t>
      </w:r>
      <w:r w:rsidR="00067D4B">
        <w:t xml:space="preserve"> the usefulness of this algorithm.</w:t>
      </w:r>
    </w:p>
    <w:p w14:paraId="19A8201A" w14:textId="47467843" w:rsidR="00067D4B" w:rsidRDefault="00067D4B" w:rsidP="0022093B">
      <w:pPr>
        <w:pStyle w:val="Heading2"/>
        <w:pageBreakBefore w:val="0"/>
        <w:numPr>
          <w:ilvl w:val="0"/>
          <w:numId w:val="5"/>
        </w:numPr>
        <w:ind w:left="357" w:hanging="357"/>
      </w:pPr>
      <w:r>
        <w:t>Conclusion</w:t>
      </w:r>
    </w:p>
    <w:p w14:paraId="1E70B933" w14:textId="2C027AE1" w:rsidR="00067D4B" w:rsidRPr="004B18E9" w:rsidRDefault="00250A10" w:rsidP="00102970">
      <w:pPr>
        <w:spacing w:after="240" w:line="480" w:lineRule="auto"/>
      </w:pPr>
      <w:r>
        <w:t xml:space="preserve"> This study builds on a previous study that </w:t>
      </w:r>
      <w:r w:rsidR="00FE5716">
        <w:t xml:space="preserve">mapped </w:t>
      </w:r>
      <w:r>
        <w:t>PedsQL™ onto CHU-9D</w:t>
      </w:r>
      <w:r w:rsidR="00FE5716">
        <w:t xml:space="preserve"> scores within a sample of </w:t>
      </w:r>
      <w:r>
        <w:t xml:space="preserve">15-17-year-olds using the Australian value set </w:t>
      </w:r>
      <w:r>
        <w:fldChar w:fldCharType="begin"/>
      </w:r>
      <w:r>
        <w:instrText>ADDIN RW.CITE{{1159 Mpundu-Kaambwa, Christine 2016}}</w:instrText>
      </w:r>
      <w:r>
        <w:fldChar w:fldCharType="separate"/>
      </w:r>
      <w:r>
        <w:t>[15]</w:t>
      </w:r>
      <w:r>
        <w:fldChar w:fldCharType="end"/>
      </w:r>
      <w:r>
        <w:t>.  Our finding</w:t>
      </w:r>
      <w:r w:rsidR="00FE5716">
        <w:t>s</w:t>
      </w:r>
      <w:r w:rsidRPr="00250A10">
        <w:t xml:space="preserve"> show</w:t>
      </w:r>
      <w:r>
        <w:t>s</w:t>
      </w:r>
      <w:r w:rsidRPr="00250A10">
        <w:t xml:space="preserve"> that CHU9D scores can </w:t>
      </w:r>
      <w:r w:rsidRPr="00250A10">
        <w:rPr>
          <w:noProof/>
        </w:rPr>
        <w:t>be estimated</w:t>
      </w:r>
      <w:r>
        <w:t xml:space="preserve"> from PedsQL™ generic core scale</w:t>
      </w:r>
      <w:r w:rsidR="00FE5716">
        <w:t xml:space="preserve"> values</w:t>
      </w:r>
      <w:r w:rsidRPr="00250A10">
        <w:t xml:space="preserve"> w</w:t>
      </w:r>
      <w:r>
        <w:t>ith good prediction accuracy</w:t>
      </w:r>
      <w:r w:rsidRPr="00250A10">
        <w:t>.</w:t>
      </w:r>
      <w:r>
        <w:t xml:space="preserve"> The CHU-9D </w:t>
      </w:r>
      <w:r>
        <w:lastRenderedPageBreak/>
        <w:t xml:space="preserve">index score for this study </w:t>
      </w:r>
      <w:r w:rsidRPr="00250A10">
        <w:rPr>
          <w:noProof/>
        </w:rPr>
        <w:t>was derived</w:t>
      </w:r>
      <w:r>
        <w:t xml:space="preserve"> </w:t>
      </w:r>
      <w:r w:rsidR="00FE5716">
        <w:t>using</w:t>
      </w:r>
      <w:r>
        <w:t xml:space="preserve"> the UK value set. This algorithm </w:t>
      </w:r>
      <w:r w:rsidRPr="00250A10">
        <w:rPr>
          <w:noProof/>
        </w:rPr>
        <w:t>can therefore</w:t>
      </w:r>
      <w:r>
        <w:t xml:space="preserve"> </w:t>
      </w:r>
      <w:r w:rsidRPr="00250A10">
        <w:rPr>
          <w:noProof/>
        </w:rPr>
        <w:t>be used</w:t>
      </w:r>
      <w:r>
        <w:t xml:space="preserve"> </w:t>
      </w:r>
      <w:r w:rsidR="00FE5716">
        <w:t xml:space="preserve">to </w:t>
      </w:r>
      <w:r>
        <w:t xml:space="preserve">generate QALYs for evaluating the cost-effectiveness of interventions </w:t>
      </w:r>
      <w:r w:rsidR="00FE5716">
        <w:t>targeting children</w:t>
      </w:r>
      <w:r>
        <w:t xml:space="preserve">. Future research should </w:t>
      </w:r>
      <w:r w:rsidR="00FE5716">
        <w:t xml:space="preserve">consider </w:t>
      </w:r>
      <w:r w:rsidRPr="00250A10">
        <w:rPr>
          <w:noProof/>
        </w:rPr>
        <w:t>v</w:t>
      </w:r>
      <w:r>
        <w:rPr>
          <w:noProof/>
        </w:rPr>
        <w:t>alidat</w:t>
      </w:r>
      <w:r w:rsidR="00FE5716">
        <w:rPr>
          <w:noProof/>
        </w:rPr>
        <w:t>ing</w:t>
      </w:r>
      <w:r>
        <w:t xml:space="preserve"> this algorithm </w:t>
      </w:r>
      <w:r w:rsidR="00FE5716">
        <w:t xml:space="preserve">further </w:t>
      </w:r>
      <w:r>
        <w:t>in chi</w:t>
      </w:r>
      <w:r w:rsidR="00FE5716">
        <w:t>ldren with</w:t>
      </w:r>
      <w:r>
        <w:t xml:space="preserve"> lower CHU-9D utility index scores than those observed in </w:t>
      </w:r>
      <w:r w:rsidR="00FE5716">
        <w:t xml:space="preserve">the </w:t>
      </w:r>
      <w:r>
        <w:t>PREDNOS study.</w:t>
      </w:r>
    </w:p>
    <w:p w14:paraId="185D5C5F" w14:textId="0599BEFD" w:rsidR="00067D4B" w:rsidRDefault="00067D4B" w:rsidP="006447D6">
      <w:pPr>
        <w:pStyle w:val="Heading2"/>
        <w:numPr>
          <w:ilvl w:val="0"/>
          <w:numId w:val="0"/>
        </w:numPr>
      </w:pPr>
      <w:r>
        <w:lastRenderedPageBreak/>
        <w:t>NOTES</w:t>
      </w:r>
    </w:p>
    <w:p w14:paraId="34597706" w14:textId="77777777" w:rsidR="00434E61" w:rsidRPr="009C6B4A" w:rsidRDefault="00434E61" w:rsidP="00434E61">
      <w:pPr>
        <w:spacing w:after="0" w:line="480" w:lineRule="auto"/>
        <w:rPr>
          <w:b/>
        </w:rPr>
      </w:pPr>
      <w:r w:rsidRPr="009C6B4A">
        <w:rPr>
          <w:b/>
        </w:rPr>
        <w:t>Data availability</w:t>
      </w:r>
    </w:p>
    <w:p w14:paraId="7C2B9A4D" w14:textId="0D9B38F2" w:rsidR="00434E61" w:rsidRDefault="00434E61" w:rsidP="006447D6">
      <w:pPr>
        <w:spacing w:line="480" w:lineRule="auto"/>
        <w:rPr>
          <w:b/>
        </w:rPr>
      </w:pPr>
      <w:r>
        <w:t>The data for this analysis was from the PREDNOS study and it is not yet available because the study results have not been published. At the discretion of the funder (NIHR) of the study, the data may become publicly available at a later dat</w:t>
      </w:r>
      <w:r w:rsidR="00FE5716">
        <w:t>e</w:t>
      </w:r>
      <w:r>
        <w:t>. The methods section of the paper explains the randomisation and regression analysis underpinning this study. STATA do file</w:t>
      </w:r>
      <w:r w:rsidR="00FE5716">
        <w:t>s</w:t>
      </w:r>
      <w:r>
        <w:t xml:space="preserve"> are however available from the corresponding author on request.</w:t>
      </w:r>
    </w:p>
    <w:p w14:paraId="5E787621" w14:textId="77777777" w:rsidR="00067D4B" w:rsidRDefault="00AF1721" w:rsidP="006447D6">
      <w:pPr>
        <w:spacing w:after="0" w:line="480" w:lineRule="auto"/>
      </w:pPr>
      <w:r w:rsidRPr="00115388">
        <w:rPr>
          <w:b/>
        </w:rPr>
        <w:t>Compliance with Ethical Standards</w:t>
      </w:r>
    </w:p>
    <w:p w14:paraId="7CB1887D" w14:textId="16E45816" w:rsidR="00AF1721" w:rsidRDefault="00AF1721" w:rsidP="006447D6">
      <w:pPr>
        <w:spacing w:line="480" w:lineRule="auto"/>
      </w:pPr>
      <w:r>
        <w:t xml:space="preserve">The study </w:t>
      </w:r>
      <w:r w:rsidRPr="001F0125">
        <w:rPr>
          <w:noProof/>
        </w:rPr>
        <w:t>was approved</w:t>
      </w:r>
      <w:r>
        <w:t xml:space="preserve"> by the North West GM Central Research Ethics Committee Ref: 12/NW/0766</w:t>
      </w:r>
    </w:p>
    <w:p w14:paraId="1243C4DE" w14:textId="77777777" w:rsidR="00067D4B" w:rsidRPr="006447D6" w:rsidRDefault="00AF1721" w:rsidP="0049031F">
      <w:pPr>
        <w:spacing w:after="0" w:line="480" w:lineRule="auto"/>
        <w:rPr>
          <w:b/>
        </w:rPr>
      </w:pPr>
      <w:r w:rsidRPr="00B9402A">
        <w:rPr>
          <w:b/>
        </w:rPr>
        <w:t>Funding</w:t>
      </w:r>
    </w:p>
    <w:p w14:paraId="472B82C8" w14:textId="05A3C034" w:rsidR="00067D4B" w:rsidRDefault="00AF1721" w:rsidP="0049031F">
      <w:pPr>
        <w:spacing w:after="0" w:line="480" w:lineRule="auto"/>
        <w:rPr>
          <w:b/>
        </w:rPr>
      </w:pPr>
      <w:r>
        <w:t>T</w:t>
      </w:r>
      <w:r w:rsidR="00390602">
        <w:t xml:space="preserve">his study was funded by the </w:t>
      </w:r>
      <w:r w:rsidR="003F707B">
        <w:t>National Institute for Health Research</w:t>
      </w:r>
      <w:r>
        <w:t xml:space="preserve"> (</w:t>
      </w:r>
      <w:r w:rsidRPr="001F0125">
        <w:t>NIHR)</w:t>
      </w:r>
      <w:r>
        <w:t xml:space="preserve"> Health Technology Assessment</w:t>
      </w:r>
      <w:r w:rsidR="00390602">
        <w:t xml:space="preserve"> (HTA)</w:t>
      </w:r>
      <w:r w:rsidR="004235BE">
        <w:t xml:space="preserve"> programme</w:t>
      </w:r>
      <w:r>
        <w:t xml:space="preserve"> - HTA </w:t>
      </w:r>
      <w:r w:rsidR="00390602">
        <w:t>08/53/31</w:t>
      </w:r>
      <w:r w:rsidR="00390602">
        <w:rPr>
          <w:b/>
        </w:rPr>
        <w:t>Department of Health disclaimer</w:t>
      </w:r>
    </w:p>
    <w:p w14:paraId="41CE2603" w14:textId="61C9AE68" w:rsidR="00AF1721" w:rsidRDefault="00390602" w:rsidP="0049031F">
      <w:pPr>
        <w:spacing w:line="480" w:lineRule="auto"/>
      </w:pPr>
      <w:r>
        <w:t xml:space="preserve">The views expressed are those of the author (s) and not necessarily those of the NHS, NIHR or the Department of Health </w:t>
      </w:r>
    </w:p>
    <w:p w14:paraId="76753B4F" w14:textId="77777777" w:rsidR="00067D4B" w:rsidRDefault="00067D4B" w:rsidP="0049031F">
      <w:pPr>
        <w:spacing w:after="0" w:line="480" w:lineRule="auto"/>
      </w:pPr>
      <w:r w:rsidRPr="0049031F">
        <w:rPr>
          <w:b/>
        </w:rPr>
        <w:t>Author contributions</w:t>
      </w:r>
    </w:p>
    <w:p w14:paraId="44440AFB" w14:textId="3D5206E1" w:rsidR="00067D4B" w:rsidRDefault="00067D4B" w:rsidP="0049031F">
      <w:pPr>
        <w:spacing w:line="480" w:lineRule="auto"/>
        <w:jc w:val="both"/>
      </w:pPr>
      <w:r w:rsidRPr="0049031F">
        <w:rPr>
          <w:rFonts w:eastAsia="Times New Roman"/>
          <w:b/>
          <w:bCs/>
        </w:rPr>
        <w:t>Tosin Lambe</w:t>
      </w:r>
      <w:r>
        <w:rPr>
          <w:rFonts w:eastAsia="Times New Roman"/>
          <w:b/>
          <w:bCs/>
        </w:rPr>
        <w:t xml:space="preserve"> (TL)</w:t>
      </w:r>
      <w:r w:rsidRPr="0049031F">
        <w:rPr>
          <w:rStyle w:val="xapple-converted-space"/>
          <w:rFonts w:eastAsia="Times New Roman"/>
        </w:rPr>
        <w:t> </w:t>
      </w:r>
      <w:r w:rsidRPr="0049031F">
        <w:rPr>
          <w:rFonts w:eastAsia="Times New Roman"/>
        </w:rPr>
        <w:t>Conducted the mapping analysis and wrote the paper.</w:t>
      </w:r>
      <w:r w:rsidRPr="0049031F">
        <w:rPr>
          <w:rStyle w:val="xapple-converted-space"/>
          <w:rFonts w:eastAsia="Times New Roman"/>
        </w:rPr>
        <w:t> </w:t>
      </w:r>
      <w:r w:rsidRPr="0049031F">
        <w:rPr>
          <w:rFonts w:eastAsia="Times New Roman"/>
          <w:b/>
          <w:bCs/>
        </w:rPr>
        <w:t>Emma Frew</w:t>
      </w:r>
      <w:r>
        <w:rPr>
          <w:rFonts w:eastAsia="Times New Roman"/>
          <w:b/>
          <w:bCs/>
        </w:rPr>
        <w:t xml:space="preserve"> (EF)</w:t>
      </w:r>
      <w:r w:rsidRPr="0049031F">
        <w:rPr>
          <w:rStyle w:val="xapple-converted-space"/>
          <w:rFonts w:eastAsia="Times New Roman"/>
        </w:rPr>
        <w:t> </w:t>
      </w:r>
      <w:r w:rsidRPr="0049031F">
        <w:rPr>
          <w:rFonts w:eastAsia="Times New Roman"/>
        </w:rPr>
        <w:t>Developed the mapping protocol, supervised the mapping analysis, and wrote the paper.</w:t>
      </w:r>
      <w:r w:rsidRPr="0049031F">
        <w:rPr>
          <w:rStyle w:val="xapple-converted-space"/>
          <w:rFonts w:eastAsia="Times New Roman"/>
        </w:rPr>
        <w:t> </w:t>
      </w:r>
      <w:r w:rsidRPr="0049031F">
        <w:rPr>
          <w:rFonts w:eastAsia="Times New Roman"/>
          <w:b/>
          <w:bCs/>
        </w:rPr>
        <w:t>Natalie J Ives</w:t>
      </w:r>
      <w:r>
        <w:rPr>
          <w:rFonts w:eastAsia="Times New Roman"/>
          <w:b/>
          <w:bCs/>
        </w:rPr>
        <w:t xml:space="preserve"> (NJI)</w:t>
      </w:r>
      <w:r w:rsidRPr="0049031F">
        <w:rPr>
          <w:rStyle w:val="xapple-converted-space"/>
          <w:rFonts w:eastAsia="Times New Roman"/>
          <w:b/>
          <w:bCs/>
        </w:rPr>
        <w:t> </w:t>
      </w:r>
      <w:r w:rsidRPr="0049031F">
        <w:rPr>
          <w:rFonts w:eastAsia="Times New Roman"/>
        </w:rPr>
        <w:t>supervised on the statistical aspects of the study and edited the paper.</w:t>
      </w:r>
      <w:r w:rsidRPr="0049031F">
        <w:rPr>
          <w:rStyle w:val="xapple-converted-space"/>
          <w:rFonts w:eastAsia="Times New Roman"/>
        </w:rPr>
        <w:t> </w:t>
      </w:r>
      <w:r w:rsidRPr="0049031F">
        <w:rPr>
          <w:rFonts w:eastAsia="Times New Roman"/>
          <w:b/>
          <w:bCs/>
        </w:rPr>
        <w:t>Rebecca L Woolley</w:t>
      </w:r>
      <w:r>
        <w:rPr>
          <w:rFonts w:eastAsia="Times New Roman"/>
          <w:b/>
          <w:bCs/>
        </w:rPr>
        <w:t xml:space="preserve"> (RLW)</w:t>
      </w:r>
      <w:r w:rsidRPr="0049031F">
        <w:rPr>
          <w:rStyle w:val="xapple-converted-space"/>
          <w:rFonts w:eastAsia="Times New Roman"/>
        </w:rPr>
        <w:t> </w:t>
      </w:r>
      <w:r w:rsidRPr="0049031F">
        <w:rPr>
          <w:rFonts w:eastAsia="Times New Roman"/>
        </w:rPr>
        <w:t>supervised on the statistical aspects and edited the paper.</w:t>
      </w:r>
      <w:r w:rsidRPr="0049031F">
        <w:rPr>
          <w:rStyle w:val="xapple-converted-space"/>
          <w:rFonts w:eastAsia="Times New Roman"/>
        </w:rPr>
        <w:t> </w:t>
      </w:r>
      <w:r w:rsidRPr="0049031F">
        <w:rPr>
          <w:rFonts w:eastAsia="Times New Roman"/>
          <w:b/>
          <w:bCs/>
        </w:rPr>
        <w:t>Carole Cummins</w:t>
      </w:r>
      <w:r>
        <w:rPr>
          <w:rFonts w:eastAsia="Times New Roman"/>
          <w:b/>
          <w:bCs/>
        </w:rPr>
        <w:t xml:space="preserve"> (CC)</w:t>
      </w:r>
      <w:r w:rsidRPr="0049031F">
        <w:rPr>
          <w:rStyle w:val="xapple-converted-space"/>
          <w:rFonts w:eastAsia="Times New Roman"/>
        </w:rPr>
        <w:t> </w:t>
      </w:r>
      <w:r w:rsidRPr="0049031F">
        <w:rPr>
          <w:rFonts w:eastAsia="Times New Roman"/>
        </w:rPr>
        <w:t>Major input into the trial design that generated the</w:t>
      </w:r>
      <w:r w:rsidRPr="00067D4B">
        <w:rPr>
          <w:rFonts w:eastAsia="Times New Roman"/>
        </w:rPr>
        <w:t xml:space="preserve"> data for this mapping study</w:t>
      </w:r>
      <w:r>
        <w:rPr>
          <w:rFonts w:eastAsia="Times New Roman"/>
        </w:rPr>
        <w:t>, and e</w:t>
      </w:r>
      <w:r w:rsidRPr="0049031F">
        <w:rPr>
          <w:rFonts w:eastAsia="Times New Roman"/>
        </w:rPr>
        <w:t>dited the paper.</w:t>
      </w:r>
      <w:r w:rsidRPr="0049031F">
        <w:rPr>
          <w:rStyle w:val="xapple-converted-space"/>
          <w:rFonts w:eastAsia="Times New Roman"/>
        </w:rPr>
        <w:t> </w:t>
      </w:r>
      <w:r w:rsidRPr="0049031F">
        <w:rPr>
          <w:rFonts w:eastAsia="Times New Roman"/>
          <w:b/>
          <w:bCs/>
        </w:rPr>
        <w:t>Elizabeth A Brettell</w:t>
      </w:r>
      <w:r>
        <w:rPr>
          <w:rFonts w:eastAsia="Times New Roman"/>
          <w:b/>
          <w:bCs/>
        </w:rPr>
        <w:t xml:space="preserve"> (EAB)</w:t>
      </w:r>
      <w:r w:rsidRPr="0049031F">
        <w:rPr>
          <w:rStyle w:val="xapple-converted-space"/>
          <w:rFonts w:eastAsia="Times New Roman"/>
        </w:rPr>
        <w:t> </w:t>
      </w:r>
      <w:r w:rsidRPr="0049031F">
        <w:rPr>
          <w:rFonts w:eastAsia="Times New Roman"/>
        </w:rPr>
        <w:t>Overall co-ordination, management and oversight of the PREDNOS study that generated the data for this mapping paper and edited the paper.</w:t>
      </w:r>
      <w:r w:rsidRPr="0049031F">
        <w:rPr>
          <w:rStyle w:val="xapple-converted-space"/>
          <w:rFonts w:eastAsia="Times New Roman"/>
        </w:rPr>
        <w:t> </w:t>
      </w:r>
      <w:r w:rsidRPr="0049031F">
        <w:rPr>
          <w:rFonts w:eastAsia="Times New Roman"/>
          <w:b/>
          <w:bCs/>
        </w:rPr>
        <w:t>Emma N Barsoum</w:t>
      </w:r>
      <w:r>
        <w:rPr>
          <w:rFonts w:eastAsia="Times New Roman"/>
          <w:b/>
          <w:bCs/>
        </w:rPr>
        <w:t xml:space="preserve"> (ENB)</w:t>
      </w:r>
      <w:r w:rsidRPr="0049031F">
        <w:rPr>
          <w:rStyle w:val="xapple-converted-space"/>
          <w:rFonts w:eastAsia="Times New Roman"/>
        </w:rPr>
        <w:t> </w:t>
      </w:r>
      <w:r w:rsidRPr="0049031F">
        <w:rPr>
          <w:rFonts w:eastAsia="Times New Roman"/>
        </w:rPr>
        <w:t>Co-ordination of the PREDNOS trial, significant input into the study set up, monitoring and ensuring execution of the PREDNOS study that generated data for this mapping paper. Edited this paper.</w:t>
      </w:r>
      <w:r w:rsidRPr="0049031F">
        <w:rPr>
          <w:rStyle w:val="xapple-converted-space"/>
          <w:rFonts w:eastAsia="Times New Roman"/>
        </w:rPr>
        <w:t> </w:t>
      </w:r>
      <w:r w:rsidRPr="0049031F">
        <w:rPr>
          <w:rFonts w:eastAsia="Times New Roman"/>
          <w:b/>
          <w:bCs/>
        </w:rPr>
        <w:t>Professor Nicholas JA Webb</w:t>
      </w:r>
      <w:r w:rsidR="0049031F">
        <w:rPr>
          <w:rFonts w:eastAsia="Times New Roman"/>
          <w:b/>
          <w:bCs/>
        </w:rPr>
        <w:t xml:space="preserve"> (NJAW)</w:t>
      </w:r>
      <w:r w:rsidRPr="0049031F">
        <w:rPr>
          <w:rStyle w:val="xapple-converted-space"/>
          <w:rFonts w:eastAsia="Times New Roman"/>
        </w:rPr>
        <w:t> </w:t>
      </w:r>
      <w:r w:rsidRPr="0049031F">
        <w:rPr>
          <w:rFonts w:eastAsia="Times New Roman"/>
        </w:rPr>
        <w:t>Chief Investigator of the PREDNOS study, led the protocol design, recruited participants and edited this mapping paper.</w:t>
      </w:r>
    </w:p>
    <w:p w14:paraId="4A741F55" w14:textId="77777777" w:rsidR="00067D4B" w:rsidRDefault="00AF1721" w:rsidP="0049031F">
      <w:pPr>
        <w:spacing w:after="0" w:line="480" w:lineRule="auto"/>
        <w:rPr>
          <w:b/>
        </w:rPr>
      </w:pPr>
      <w:r w:rsidRPr="00B9402A">
        <w:rPr>
          <w:b/>
        </w:rPr>
        <w:lastRenderedPageBreak/>
        <w:t>Co</w:t>
      </w:r>
      <w:r>
        <w:rPr>
          <w:b/>
        </w:rPr>
        <w:t>nflict of I</w:t>
      </w:r>
      <w:r w:rsidRPr="00B9402A">
        <w:rPr>
          <w:b/>
        </w:rPr>
        <w:t>nterest</w:t>
      </w:r>
    </w:p>
    <w:p w14:paraId="1C950BA5" w14:textId="2C0BF225" w:rsidR="00AF1721" w:rsidRDefault="00AF1721" w:rsidP="0049031F">
      <w:pPr>
        <w:spacing w:line="480" w:lineRule="auto"/>
      </w:pPr>
      <w:r>
        <w:t xml:space="preserve"> </w:t>
      </w:r>
      <w:r w:rsidR="0049031F" w:rsidRPr="0049031F">
        <w:rPr>
          <w:b/>
        </w:rPr>
        <w:t>NJAW</w:t>
      </w:r>
      <w:r w:rsidR="00067D4B">
        <w:t xml:space="preserve"> has served on Advisory Boards within the past five years for Abbvie, Alexion, AMAG, Astellas, Raptor, Takeda and UCB. These have been related to the design and conduct of early phase trials in childhood kidney disease. None has been related to the treatment of corticosteroid sensitive nephrotic syndrome. TL, EF, NJI, RLW, EAB, ENB, CC, NJI declare no conflict of interest.</w:t>
      </w:r>
    </w:p>
    <w:p w14:paraId="16052984" w14:textId="77777777" w:rsidR="00067D4B" w:rsidRDefault="00AF1721" w:rsidP="0049031F">
      <w:pPr>
        <w:spacing w:after="0" w:line="480" w:lineRule="auto"/>
        <w:rPr>
          <w:b/>
        </w:rPr>
      </w:pPr>
      <w:r w:rsidRPr="00F168C9">
        <w:rPr>
          <w:b/>
        </w:rPr>
        <w:t>Informed consent</w:t>
      </w:r>
    </w:p>
    <w:p w14:paraId="583FC2CA" w14:textId="685DC28C" w:rsidR="00067D4B" w:rsidRDefault="00AF1721" w:rsidP="0049031F">
      <w:pPr>
        <w:spacing w:after="240" w:line="480" w:lineRule="auto"/>
      </w:pPr>
      <w:r>
        <w:t xml:space="preserve">Written informed consent </w:t>
      </w:r>
      <w:r w:rsidRPr="001F0125">
        <w:t>was obtained</w:t>
      </w:r>
      <w:r>
        <w:t xml:space="preserve"> from parents/guardians of </w:t>
      </w:r>
      <w:r w:rsidRPr="001F0125">
        <w:t>participants</w:t>
      </w:r>
      <w:r>
        <w:t xml:space="preserve"> and written assent </w:t>
      </w:r>
      <w:r w:rsidRPr="001F0125">
        <w:t>was obtained</w:t>
      </w:r>
      <w:r>
        <w:t xml:space="preserve"> from participants of appropriate age.</w:t>
      </w:r>
    </w:p>
    <w:p w14:paraId="7C52C1EE" w14:textId="17FCD7A4" w:rsidR="00067D4B" w:rsidRPr="0049031F" w:rsidRDefault="00067D4B" w:rsidP="0049031F">
      <w:pPr>
        <w:spacing w:after="0" w:line="480" w:lineRule="auto"/>
        <w:rPr>
          <w:b/>
        </w:rPr>
      </w:pPr>
      <w:r w:rsidRPr="0049031F">
        <w:rPr>
          <w:b/>
        </w:rPr>
        <w:t>Acknowledgement</w:t>
      </w:r>
    </w:p>
    <w:p w14:paraId="2A7CFCD9" w14:textId="615535BA" w:rsidR="00067D4B" w:rsidRDefault="00067D4B" w:rsidP="0049031F">
      <w:pPr>
        <w:spacing w:line="480" w:lineRule="auto"/>
      </w:pPr>
      <w:r>
        <w:t xml:space="preserve">We would like to thank patients and their carers, trial co-investigators and the staff </w:t>
      </w:r>
      <w:r w:rsidR="00FE5716">
        <w:t>who took</w:t>
      </w:r>
      <w:r>
        <w:t xml:space="preserve"> part in the PREDNOS study across all the study sites. We also value and appreciate constructive comments received at the </w:t>
      </w:r>
      <w:r w:rsidRPr="00067D4B">
        <w:t>Health Economists’ Study Group meeting in January 2017</w:t>
      </w:r>
      <w:r>
        <w:t>. We thank Stavros Petrous in particular, who discussed an earlier version of this paper at the meeting.</w:t>
      </w:r>
    </w:p>
    <w:p w14:paraId="3C3065E0" w14:textId="14FBE0B4" w:rsidR="005D1023" w:rsidRPr="005D1023" w:rsidRDefault="005D1023" w:rsidP="00AF1721">
      <w:pPr>
        <w:spacing w:after="240" w:line="480" w:lineRule="auto"/>
        <w:rPr>
          <w:b/>
        </w:rPr>
      </w:pPr>
      <w:r w:rsidRPr="005D1023">
        <w:rPr>
          <w:b/>
        </w:rPr>
        <w:t xml:space="preserve">List of trial co-investigators: </w:t>
      </w:r>
    </w:p>
    <w:p w14:paraId="31EFB11C" w14:textId="77777777" w:rsidR="00AF1721" w:rsidRDefault="00AF1721" w:rsidP="00102970">
      <w:pPr>
        <w:spacing w:after="240" w:line="480" w:lineRule="auto"/>
      </w:pPr>
    </w:p>
    <w:bookmarkEnd w:id="0"/>
    <w:bookmarkEnd w:id="1"/>
    <w:bookmarkEnd w:id="3"/>
    <w:p w14:paraId="3849E463" w14:textId="77777777" w:rsidR="00FE766F" w:rsidRDefault="00FE766F" w:rsidP="00FE766F">
      <w:pPr>
        <w:spacing w:after="0" w:line="240" w:lineRule="auto"/>
        <w:rPr>
          <w:rFonts w:ascii="Calibri" w:eastAsia="Times New Roman" w:hAnsi="Calibri"/>
          <w:color w:val="000000"/>
          <w:lang w:eastAsia="en-GB"/>
        </w:rPr>
        <w:sectPr w:rsidR="00FE766F" w:rsidSect="005A705A">
          <w:pgSz w:w="11906" w:h="16838"/>
          <w:pgMar w:top="680" w:right="1440" w:bottom="680" w:left="1440" w:header="709" w:footer="709" w:gutter="0"/>
          <w:lnNumType w:countBy="1"/>
          <w:cols w:space="708"/>
          <w:docGrid w:linePitch="360"/>
        </w:sectPr>
      </w:pPr>
    </w:p>
    <w:p w14:paraId="09208725" w14:textId="6844E7B0" w:rsidR="00250A10" w:rsidRDefault="00250A10">
      <w:pPr>
        <w:pStyle w:val="NormalWeb"/>
        <w:jc w:val="center"/>
        <w:divId w:val="1579170288"/>
        <w:rPr>
          <w:sz w:val="22"/>
          <w:szCs w:val="22"/>
        </w:rPr>
      </w:pPr>
      <w:r>
        <w:lastRenderedPageBreak/>
        <w:fldChar w:fldCharType="begin"/>
      </w:r>
      <w:r>
        <w:instrText>ADDIN RW.BIB</w:instrText>
      </w:r>
      <w:r>
        <w:fldChar w:fldCharType="separate"/>
      </w:r>
      <w:r>
        <w:rPr>
          <w:sz w:val="22"/>
          <w:szCs w:val="22"/>
        </w:rPr>
        <w:t xml:space="preserve">References </w:t>
      </w:r>
    </w:p>
    <w:p w14:paraId="3FED4652" w14:textId="77777777" w:rsidR="00250A10" w:rsidRDefault="00250A10">
      <w:pPr>
        <w:pStyle w:val="NormalWeb"/>
        <w:divId w:val="1579170288"/>
        <w:rPr>
          <w:sz w:val="22"/>
          <w:szCs w:val="22"/>
        </w:rPr>
      </w:pPr>
      <w:r>
        <w:rPr>
          <w:sz w:val="22"/>
          <w:szCs w:val="22"/>
        </w:rPr>
        <w:t xml:space="preserve">1. Patrick DL, Deyo RA. Generic and disease-specific measures in assessing health status and quality of life. Med Care. 1989:S217-S232 </w:t>
      </w:r>
    </w:p>
    <w:p w14:paraId="0CAF9441" w14:textId="77777777" w:rsidR="00250A10" w:rsidRDefault="00250A10">
      <w:pPr>
        <w:pStyle w:val="NormalWeb"/>
        <w:divId w:val="1579170288"/>
        <w:rPr>
          <w:sz w:val="22"/>
          <w:szCs w:val="22"/>
        </w:rPr>
      </w:pPr>
      <w:r>
        <w:rPr>
          <w:sz w:val="22"/>
          <w:szCs w:val="22"/>
        </w:rPr>
        <w:t xml:space="preserve">2. Coons SJ, Rao S, Keininger DL, Hays RD. A comparative review of generic quality-of-life instruments. Pharmacoeconomics. 2000;17:13-35 </w:t>
      </w:r>
    </w:p>
    <w:p w14:paraId="46D73AA2" w14:textId="77777777" w:rsidR="00250A10" w:rsidRDefault="00250A10">
      <w:pPr>
        <w:pStyle w:val="NormalWeb"/>
        <w:divId w:val="1579170288"/>
        <w:rPr>
          <w:sz w:val="22"/>
          <w:szCs w:val="22"/>
        </w:rPr>
      </w:pPr>
      <w:r>
        <w:rPr>
          <w:sz w:val="22"/>
          <w:szCs w:val="22"/>
        </w:rPr>
        <w:t xml:space="preserve">3. Mehrez A, Gafni A. Quality-adjusted life years, utility theory, and healthy-years equivalents. Med Decis Making. 1989;9:142-149 </w:t>
      </w:r>
    </w:p>
    <w:p w14:paraId="49F13B75" w14:textId="77777777" w:rsidR="00250A10" w:rsidRDefault="00250A10">
      <w:pPr>
        <w:pStyle w:val="NormalWeb"/>
        <w:divId w:val="1579170288"/>
        <w:rPr>
          <w:sz w:val="22"/>
          <w:szCs w:val="22"/>
        </w:rPr>
      </w:pPr>
      <w:r>
        <w:rPr>
          <w:sz w:val="22"/>
          <w:szCs w:val="22"/>
        </w:rPr>
        <w:t xml:space="preserve">4. Jones PW, Quirk F, Baveystock C. The St George's respiratory questionnaire. Respir Med. 1991;85:25-31 </w:t>
      </w:r>
    </w:p>
    <w:p w14:paraId="4682D2D7" w14:textId="77777777" w:rsidR="00250A10" w:rsidRDefault="00250A10">
      <w:pPr>
        <w:pStyle w:val="NormalWeb"/>
        <w:divId w:val="1579170288"/>
        <w:rPr>
          <w:sz w:val="22"/>
          <w:szCs w:val="22"/>
        </w:rPr>
      </w:pPr>
      <w:r>
        <w:rPr>
          <w:sz w:val="22"/>
          <w:szCs w:val="22"/>
        </w:rPr>
        <w:t xml:space="preserve">5. Brazier JE, Yang Y, Tsuchiya A, Rowen DL. A review of studies mapping (or cross walking) non-preference based measures of health to generic preference-based measures. EJHE. 2010;11:215-225 </w:t>
      </w:r>
    </w:p>
    <w:p w14:paraId="23DF6C0E" w14:textId="77777777" w:rsidR="00250A10" w:rsidRDefault="00250A10">
      <w:pPr>
        <w:pStyle w:val="NormalWeb"/>
        <w:divId w:val="1579170288"/>
        <w:rPr>
          <w:sz w:val="22"/>
          <w:szCs w:val="22"/>
        </w:rPr>
      </w:pPr>
      <w:r>
        <w:rPr>
          <w:sz w:val="22"/>
          <w:szCs w:val="22"/>
        </w:rPr>
        <w:t xml:space="preserve">6. Feeny D, Krahn M, Prosser LA, Salomon J. Valuing Health Outcomes. In: Neumann PJ, Sanders GD, Russell LB, Siegel JE, Ganiats TG, editors. Cost-Effectiveness in Health and Medicine, Second Edition edn. Oxford University Press: ; 2017. pp. 167-200. </w:t>
      </w:r>
    </w:p>
    <w:p w14:paraId="4D4128C8" w14:textId="77777777" w:rsidR="00250A10" w:rsidRDefault="00250A10">
      <w:pPr>
        <w:pStyle w:val="NormalWeb"/>
        <w:divId w:val="1579170288"/>
        <w:rPr>
          <w:sz w:val="22"/>
          <w:szCs w:val="22"/>
        </w:rPr>
      </w:pPr>
      <w:r>
        <w:rPr>
          <w:sz w:val="22"/>
          <w:szCs w:val="22"/>
        </w:rPr>
        <w:t xml:space="preserve">7. Brazier JE, Ratcliffe J, Salomon JA, Tsuchiya A. Measuring and Valuing Health Benefits for Economic Evaluation. Second Edition ed. Oxford University Press: Oxford, United Kingdom;2016 </w:t>
      </w:r>
    </w:p>
    <w:p w14:paraId="57C65660" w14:textId="77777777" w:rsidR="00250A10" w:rsidRDefault="00250A10">
      <w:pPr>
        <w:pStyle w:val="NormalWeb"/>
        <w:divId w:val="1579170288"/>
        <w:rPr>
          <w:sz w:val="22"/>
          <w:szCs w:val="22"/>
        </w:rPr>
      </w:pPr>
      <w:r>
        <w:rPr>
          <w:sz w:val="22"/>
          <w:szCs w:val="22"/>
        </w:rPr>
        <w:t xml:space="preserve">8. Gerard K, Mooney G. QALY league tables: handle with care. Health Econ. 1993;2:59-64 </w:t>
      </w:r>
    </w:p>
    <w:p w14:paraId="6EEC72EB" w14:textId="77777777" w:rsidR="00250A10" w:rsidRDefault="00250A10">
      <w:pPr>
        <w:pStyle w:val="NormalWeb"/>
        <w:divId w:val="1579170288"/>
        <w:rPr>
          <w:sz w:val="22"/>
          <w:szCs w:val="22"/>
        </w:rPr>
      </w:pPr>
      <w:r>
        <w:rPr>
          <w:sz w:val="22"/>
          <w:szCs w:val="22"/>
        </w:rPr>
        <w:t xml:space="preserve">9. Nord E. The QALY—a measure of social value rather than individual utility?. Health Econ. 1994;3:89-93 </w:t>
      </w:r>
    </w:p>
    <w:p w14:paraId="00019D9B" w14:textId="77777777" w:rsidR="00250A10" w:rsidRDefault="00250A10">
      <w:pPr>
        <w:pStyle w:val="NormalWeb"/>
        <w:divId w:val="1579170288"/>
        <w:rPr>
          <w:sz w:val="22"/>
          <w:szCs w:val="22"/>
        </w:rPr>
      </w:pPr>
      <w:r>
        <w:rPr>
          <w:sz w:val="22"/>
          <w:szCs w:val="22"/>
        </w:rPr>
        <w:t xml:space="preserve">10. Stevens KJ. Working with children to develop dimensions for a preference-based, generic, pediatric, health-related quality-of-life measure. Qual Health Res. 2010;20:340-351 </w:t>
      </w:r>
    </w:p>
    <w:p w14:paraId="5907FCED" w14:textId="77777777" w:rsidR="00250A10" w:rsidRDefault="00250A10">
      <w:pPr>
        <w:pStyle w:val="NormalWeb"/>
        <w:divId w:val="1579170288"/>
        <w:rPr>
          <w:sz w:val="22"/>
          <w:szCs w:val="22"/>
        </w:rPr>
      </w:pPr>
      <w:r>
        <w:rPr>
          <w:sz w:val="22"/>
          <w:szCs w:val="22"/>
        </w:rPr>
        <w:t xml:space="preserve">11. Griebsch I, Coast J, Brown J. Quality-adjusted life-years lack quality in pediatric care: a critical review of published cost-utility studies in child health. Pediatrics. 2005;115:e600-14 </w:t>
      </w:r>
    </w:p>
    <w:p w14:paraId="227F0417" w14:textId="77777777" w:rsidR="00250A10" w:rsidRDefault="00250A10">
      <w:pPr>
        <w:pStyle w:val="NormalWeb"/>
        <w:divId w:val="1579170288"/>
        <w:rPr>
          <w:sz w:val="22"/>
          <w:szCs w:val="22"/>
        </w:rPr>
      </w:pPr>
      <w:r>
        <w:rPr>
          <w:sz w:val="22"/>
          <w:szCs w:val="22"/>
        </w:rPr>
        <w:t xml:space="preserve">12. Varni JW, Seid M, Kurtin PS. PedsQL™ 4.0: Reliability and validity of the Pediatric Quality of Life Inventory™ Version 4.0 Generic Core Scales in healthy and patient populations. Med Care. 2001;39:800-812 </w:t>
      </w:r>
    </w:p>
    <w:p w14:paraId="7DCCAE95" w14:textId="77777777" w:rsidR="00250A10" w:rsidRDefault="00250A10">
      <w:pPr>
        <w:pStyle w:val="NormalWeb"/>
        <w:divId w:val="1579170288"/>
        <w:rPr>
          <w:sz w:val="22"/>
          <w:szCs w:val="22"/>
        </w:rPr>
      </w:pPr>
      <w:r>
        <w:rPr>
          <w:sz w:val="22"/>
          <w:szCs w:val="22"/>
        </w:rPr>
        <w:t xml:space="preserve">13. Eiser C, Morse R. A review of measures of quality of life for children with chronic illness. Arch Dis Child. 2001;84:205-211 </w:t>
      </w:r>
    </w:p>
    <w:p w14:paraId="30528E3B" w14:textId="77777777" w:rsidR="00250A10" w:rsidRDefault="00250A10">
      <w:pPr>
        <w:pStyle w:val="NormalWeb"/>
        <w:divId w:val="1579170288"/>
        <w:rPr>
          <w:sz w:val="22"/>
          <w:szCs w:val="22"/>
        </w:rPr>
      </w:pPr>
      <w:r>
        <w:rPr>
          <w:sz w:val="22"/>
          <w:szCs w:val="22"/>
        </w:rPr>
        <w:t xml:space="preserve">14. Stevens K. Valuation of the Child Health Utility 9D (CHU9D) Index. PharmacoEconomics. 2012;30:729-747 </w:t>
      </w:r>
    </w:p>
    <w:p w14:paraId="6A2729E6" w14:textId="77777777" w:rsidR="00250A10" w:rsidRDefault="00250A10">
      <w:pPr>
        <w:pStyle w:val="NormalWeb"/>
        <w:divId w:val="1579170288"/>
        <w:rPr>
          <w:sz w:val="22"/>
          <w:szCs w:val="22"/>
        </w:rPr>
      </w:pPr>
      <w:r>
        <w:rPr>
          <w:sz w:val="22"/>
          <w:szCs w:val="22"/>
        </w:rPr>
        <w:t xml:space="preserve">15. Mpundu-Kaambwa C, Chen G, Russo R, Stevens K, Petersen KD, Ratcliffe J. Mapping CHU9D Utility Scores from the PedsQLTM 4.0 SF-15. Pharmacoeconomics. 2016:1-15 </w:t>
      </w:r>
    </w:p>
    <w:p w14:paraId="7B7F4CCB" w14:textId="77777777" w:rsidR="00250A10" w:rsidRDefault="00250A10">
      <w:pPr>
        <w:pStyle w:val="NormalWeb"/>
        <w:divId w:val="1579170288"/>
        <w:rPr>
          <w:sz w:val="22"/>
          <w:szCs w:val="22"/>
        </w:rPr>
      </w:pPr>
      <w:r>
        <w:rPr>
          <w:sz w:val="22"/>
          <w:szCs w:val="22"/>
        </w:rPr>
        <w:t xml:space="preserve">16. Adab P. The Birmingham COPD cohort study2011 </w:t>
      </w:r>
    </w:p>
    <w:p w14:paraId="5DB20BB1" w14:textId="77777777" w:rsidR="00250A10" w:rsidRDefault="00250A10">
      <w:pPr>
        <w:pStyle w:val="NormalWeb"/>
        <w:divId w:val="1579170288"/>
        <w:rPr>
          <w:sz w:val="22"/>
          <w:szCs w:val="22"/>
        </w:rPr>
      </w:pPr>
      <w:r>
        <w:rPr>
          <w:sz w:val="22"/>
          <w:szCs w:val="22"/>
        </w:rPr>
        <w:t xml:space="preserve">17. Webb N, Trompeter R, Cummins C, Wheatley K, Frew E, Kaambwa B, Ives N. Long-term tapering versus standard prednisolone (steroid) therapy for the treatment of the initial episode of </w:t>
      </w:r>
      <w:r>
        <w:rPr>
          <w:sz w:val="22"/>
          <w:szCs w:val="22"/>
        </w:rPr>
        <w:lastRenderedPageBreak/>
        <w:t xml:space="preserve">childhood nephrotic syndrome: national multicentre randomised double blind trial. National Institute for Health Research Health Technology Assessment programme. 2014;ISRCTN16645249 </w:t>
      </w:r>
    </w:p>
    <w:p w14:paraId="12778090" w14:textId="77777777" w:rsidR="00250A10" w:rsidRDefault="00250A10">
      <w:pPr>
        <w:pStyle w:val="NormalWeb"/>
        <w:divId w:val="1579170288"/>
        <w:rPr>
          <w:sz w:val="22"/>
          <w:szCs w:val="22"/>
        </w:rPr>
      </w:pPr>
      <w:r>
        <w:rPr>
          <w:sz w:val="22"/>
          <w:szCs w:val="22"/>
        </w:rPr>
        <w:t xml:space="preserve">18. Dakin H. Review of studies mapping from quality of life or clinical measures to EQ-5D: an online database. Health Qual Life Outcomes. 2013;11:1 </w:t>
      </w:r>
    </w:p>
    <w:p w14:paraId="0D8BC013" w14:textId="77777777" w:rsidR="00250A10" w:rsidRDefault="00250A10">
      <w:pPr>
        <w:pStyle w:val="NormalWeb"/>
        <w:divId w:val="1579170288"/>
        <w:rPr>
          <w:sz w:val="22"/>
          <w:szCs w:val="22"/>
        </w:rPr>
      </w:pPr>
      <w:r>
        <w:rPr>
          <w:sz w:val="22"/>
          <w:szCs w:val="22"/>
        </w:rPr>
        <w:t xml:space="preserve">19. Frew EJ, Pallan M, Lancashire E, Hemming K, Adab P. Is utility-based quality of life associated with overweight in children? Evidence from the UK WAVES randomised controlled study2015;15:211 </w:t>
      </w:r>
    </w:p>
    <w:p w14:paraId="45544F60" w14:textId="77777777" w:rsidR="00250A10" w:rsidRDefault="00250A10">
      <w:pPr>
        <w:pStyle w:val="NormalWeb"/>
        <w:divId w:val="1579170288"/>
        <w:rPr>
          <w:sz w:val="22"/>
          <w:szCs w:val="22"/>
        </w:rPr>
      </w:pPr>
      <w:r>
        <w:rPr>
          <w:sz w:val="22"/>
          <w:szCs w:val="22"/>
        </w:rPr>
        <w:t xml:space="preserve">20. Adab P, Pallan MJ, Lancashire ER, Hemming K, Frew E, Griffin T, Barrett T, Bhopal R, Cade JE, Daley A. A cluster-randomised controlled trial to assess the effectiveness and cost-effectiveness of a childhood obesity prevention programme delivered through schools, targeting 6–7 year old children: the WAVES study protocol. BMC Public Health. 2015;15:488 </w:t>
      </w:r>
    </w:p>
    <w:p w14:paraId="4E75F1BD" w14:textId="77777777" w:rsidR="00250A10" w:rsidRDefault="00250A10">
      <w:pPr>
        <w:pStyle w:val="NormalWeb"/>
        <w:divId w:val="1579170288"/>
        <w:rPr>
          <w:sz w:val="22"/>
          <w:szCs w:val="22"/>
        </w:rPr>
      </w:pPr>
      <w:r>
        <w:rPr>
          <w:sz w:val="22"/>
          <w:szCs w:val="22"/>
        </w:rPr>
        <w:t xml:space="preserve">21. Canaway AG, Frew EJ. Measuring preference-based quality of life in children aged 6–7 years: a comparison of the performance of the CHU-9D and EQ-5D-Y—the WAVES Pilot Study. Quality of Life Research. 2013;22:173-183 </w:t>
      </w:r>
    </w:p>
    <w:p w14:paraId="1DC7ADAA" w14:textId="77777777" w:rsidR="00250A10" w:rsidRDefault="00250A10">
      <w:pPr>
        <w:pStyle w:val="NormalWeb"/>
        <w:divId w:val="1579170288"/>
        <w:rPr>
          <w:sz w:val="22"/>
          <w:szCs w:val="22"/>
        </w:rPr>
      </w:pPr>
      <w:r>
        <w:rPr>
          <w:sz w:val="22"/>
          <w:szCs w:val="22"/>
        </w:rPr>
        <w:t xml:space="preserve">22. Stevens K, Ratcliffe J. Measuring and valuing health benefits for economic evaluation in adolescence: an assessment of the practicality and validity of the Child Health Utility 9D in the Australian adolescent population. Value in Health. 2012;15:1092-1099 </w:t>
      </w:r>
    </w:p>
    <w:p w14:paraId="105E099C" w14:textId="77777777" w:rsidR="00250A10" w:rsidRDefault="00250A10">
      <w:pPr>
        <w:pStyle w:val="NormalWeb"/>
        <w:divId w:val="1579170288"/>
        <w:rPr>
          <w:sz w:val="22"/>
          <w:szCs w:val="22"/>
        </w:rPr>
      </w:pPr>
      <w:r>
        <w:rPr>
          <w:sz w:val="22"/>
          <w:szCs w:val="22"/>
        </w:rPr>
        <w:t xml:space="preserve">23. ScHARR. In: A brief overview of Child Health Utility 9D (CHU9D). 2017. </w:t>
      </w:r>
      <w:hyperlink r:id="rId16" w:tgtFrame="_blank" w:history="1">
        <w:r>
          <w:rPr>
            <w:rStyle w:val="Hyperlink"/>
            <w:sz w:val="22"/>
            <w:szCs w:val="22"/>
          </w:rPr>
          <w:t>https://www.sheffield.ac.uk/scharr/sections/heds/mvh/paediatric/about-chu9d</w:t>
        </w:r>
      </w:hyperlink>
      <w:r>
        <w:rPr>
          <w:sz w:val="22"/>
          <w:szCs w:val="22"/>
        </w:rPr>
        <w:t xml:space="preserve">. Accessed September/27 2017. </w:t>
      </w:r>
    </w:p>
    <w:p w14:paraId="02A357A7" w14:textId="77777777" w:rsidR="00250A10" w:rsidRDefault="00250A10">
      <w:pPr>
        <w:pStyle w:val="NormalWeb"/>
        <w:divId w:val="1579170288"/>
        <w:rPr>
          <w:sz w:val="22"/>
          <w:szCs w:val="22"/>
        </w:rPr>
      </w:pPr>
      <w:r>
        <w:rPr>
          <w:sz w:val="22"/>
          <w:szCs w:val="22"/>
        </w:rPr>
        <w:t xml:space="preserve">24. Varni JW, Burwinkle TM, Seid M, Skarr D. The PedsQL™* 4.0 as a pediatric population health measure: feasibility, reliability, and validity. Ambul Pediatr. 2003;3:329-341 </w:t>
      </w:r>
    </w:p>
    <w:p w14:paraId="4F665B10" w14:textId="77777777" w:rsidR="00250A10" w:rsidRDefault="00250A10">
      <w:pPr>
        <w:pStyle w:val="NormalWeb"/>
        <w:divId w:val="1579170288"/>
        <w:rPr>
          <w:sz w:val="22"/>
          <w:szCs w:val="22"/>
        </w:rPr>
      </w:pPr>
      <w:r>
        <w:rPr>
          <w:sz w:val="22"/>
          <w:szCs w:val="22"/>
        </w:rPr>
        <w:t xml:space="preserve">25. Golub GH, Van Loan CF. An analysis of the total least squares problem. SIAM NUMER Anal. 1980;17:883-893 </w:t>
      </w:r>
    </w:p>
    <w:p w14:paraId="24C053E7" w14:textId="77777777" w:rsidR="00250A10" w:rsidRDefault="00250A10">
      <w:pPr>
        <w:pStyle w:val="NormalWeb"/>
        <w:divId w:val="1579170288"/>
        <w:rPr>
          <w:sz w:val="22"/>
          <w:szCs w:val="22"/>
        </w:rPr>
      </w:pPr>
      <w:r>
        <w:rPr>
          <w:sz w:val="22"/>
          <w:szCs w:val="22"/>
        </w:rPr>
        <w:t xml:space="preserve">26. Crawley MJ. Generalized linear models. Second ed. Wiley Online Library: ;2007 </w:t>
      </w:r>
    </w:p>
    <w:p w14:paraId="015F7C4B" w14:textId="77777777" w:rsidR="00250A10" w:rsidRDefault="00250A10">
      <w:pPr>
        <w:pStyle w:val="NormalWeb"/>
        <w:divId w:val="1579170288"/>
        <w:rPr>
          <w:sz w:val="22"/>
          <w:szCs w:val="22"/>
        </w:rPr>
      </w:pPr>
      <w:r>
        <w:rPr>
          <w:sz w:val="22"/>
          <w:szCs w:val="22"/>
        </w:rPr>
        <w:t xml:space="preserve">27. Kramer AA, Zimmerman JE. Assessing the calibration of mortality benchmarks in critical care: The Hosmer-Lemeshow test revisited. Crit Care Med. 2007;35:2052-2056 </w:t>
      </w:r>
    </w:p>
    <w:p w14:paraId="473005A3" w14:textId="77777777" w:rsidR="00250A10" w:rsidRDefault="00250A10">
      <w:pPr>
        <w:pStyle w:val="NormalWeb"/>
        <w:divId w:val="1579170288"/>
        <w:rPr>
          <w:sz w:val="22"/>
          <w:szCs w:val="22"/>
        </w:rPr>
      </w:pPr>
      <w:r>
        <w:rPr>
          <w:sz w:val="22"/>
          <w:szCs w:val="22"/>
        </w:rPr>
        <w:t xml:space="preserve">28. Hosmer Jr DW, Lemeshow S. Applied logistic regression. John Wiley &amp; Sons: ;2004 </w:t>
      </w:r>
    </w:p>
    <w:p w14:paraId="1855277E" w14:textId="77777777" w:rsidR="00250A10" w:rsidRDefault="00250A10">
      <w:pPr>
        <w:pStyle w:val="NormalWeb"/>
        <w:divId w:val="1579170288"/>
        <w:rPr>
          <w:sz w:val="22"/>
          <w:szCs w:val="22"/>
        </w:rPr>
      </w:pPr>
      <w:r>
        <w:rPr>
          <w:sz w:val="22"/>
          <w:szCs w:val="22"/>
        </w:rPr>
        <w:t xml:space="preserve">29. Tobin J. Estimation of relationships for limited dependent variables. Econometrica. 1958:24-36 </w:t>
      </w:r>
    </w:p>
    <w:p w14:paraId="15D8D395" w14:textId="77777777" w:rsidR="00250A10" w:rsidRDefault="00250A10">
      <w:pPr>
        <w:pStyle w:val="NormalWeb"/>
        <w:divId w:val="1579170288"/>
        <w:rPr>
          <w:sz w:val="22"/>
          <w:szCs w:val="22"/>
        </w:rPr>
      </w:pPr>
      <w:r>
        <w:rPr>
          <w:sz w:val="22"/>
          <w:szCs w:val="22"/>
        </w:rPr>
        <w:t xml:space="preserve">30. Reynolds A, Shonkwiler J. Testing and correcting for distributional misspecifications in the Tobit model: An application of the information matrix test. Empir Econ. 1991;16:313-323 </w:t>
      </w:r>
    </w:p>
    <w:p w14:paraId="3A39C78E" w14:textId="77777777" w:rsidR="00250A10" w:rsidRDefault="00250A10">
      <w:pPr>
        <w:pStyle w:val="NormalWeb"/>
        <w:divId w:val="1579170288"/>
        <w:rPr>
          <w:sz w:val="22"/>
          <w:szCs w:val="22"/>
        </w:rPr>
      </w:pPr>
      <w:r>
        <w:rPr>
          <w:sz w:val="22"/>
          <w:szCs w:val="22"/>
        </w:rPr>
        <w:t xml:space="preserve">31. Khan I, Morris S. A non-linear beta-binomial regression model for mapping EORTC QLQ-C30 to the EQ-5D-3L in lung cancer patients: a comparison with existing approaches2014;12:163 </w:t>
      </w:r>
    </w:p>
    <w:p w14:paraId="55A976EA" w14:textId="77777777" w:rsidR="00250A10" w:rsidRDefault="00250A10">
      <w:pPr>
        <w:pStyle w:val="NormalWeb"/>
        <w:divId w:val="1579170288"/>
        <w:rPr>
          <w:sz w:val="22"/>
          <w:szCs w:val="22"/>
        </w:rPr>
      </w:pPr>
      <w:r>
        <w:rPr>
          <w:sz w:val="22"/>
          <w:szCs w:val="22"/>
        </w:rPr>
        <w:t xml:space="preserve">32. Crott R. Direct mapping of the QLQ-C30 to EQ-5D preferences: a comparison of regression methods2016:1-13 </w:t>
      </w:r>
    </w:p>
    <w:p w14:paraId="6143D12A" w14:textId="77777777" w:rsidR="00250A10" w:rsidRDefault="00250A10">
      <w:pPr>
        <w:pStyle w:val="NormalWeb"/>
        <w:divId w:val="1579170288"/>
        <w:rPr>
          <w:sz w:val="22"/>
          <w:szCs w:val="22"/>
        </w:rPr>
      </w:pPr>
      <w:r>
        <w:rPr>
          <w:sz w:val="22"/>
          <w:szCs w:val="22"/>
        </w:rPr>
        <w:t xml:space="preserve">33. Chen G, Khan MA, Iezzi A, Ratcliffe J, Richardson J. Mapping between 6 multiattribute utility instruments2016;36:160-175 </w:t>
      </w:r>
    </w:p>
    <w:p w14:paraId="01BC1027" w14:textId="77777777" w:rsidR="00250A10" w:rsidRDefault="00250A10">
      <w:pPr>
        <w:pStyle w:val="NormalWeb"/>
        <w:divId w:val="1579170288"/>
        <w:rPr>
          <w:sz w:val="22"/>
          <w:szCs w:val="22"/>
        </w:rPr>
      </w:pPr>
      <w:r>
        <w:rPr>
          <w:sz w:val="22"/>
          <w:szCs w:val="22"/>
        </w:rPr>
        <w:lastRenderedPageBreak/>
        <w:t xml:space="preserve">34. Payakachat N, Summers KH, Pleil AM, Murawski MM, Thomas J, Jennings K, Anderson JG. Predicting EQ-5D utility scores from the 25-item National Eye Institute Vision Function Questionnaire (NEI-VFQ 25) in patients with age-related macular degeneration2009;18:801-813 </w:t>
      </w:r>
    </w:p>
    <w:p w14:paraId="26C45E1E" w14:textId="77777777" w:rsidR="00250A10" w:rsidRDefault="00250A10">
      <w:pPr>
        <w:pStyle w:val="NormalWeb"/>
        <w:divId w:val="1579170288"/>
        <w:rPr>
          <w:sz w:val="22"/>
          <w:szCs w:val="22"/>
        </w:rPr>
      </w:pPr>
      <w:r>
        <w:rPr>
          <w:sz w:val="22"/>
          <w:szCs w:val="22"/>
        </w:rPr>
        <w:t xml:space="preserve">35. Khan KA, Petrou S, Rivero-Arias O, Walters SJ, Boyle SE. Mapping EQ-5D utility scores from the PedsQL™ generic core scales. Pharmacoeconomics. 2014;32:693-706 </w:t>
      </w:r>
    </w:p>
    <w:p w14:paraId="565B7659" w14:textId="77777777" w:rsidR="00250A10" w:rsidRDefault="00250A10">
      <w:pPr>
        <w:pStyle w:val="NormalWeb"/>
        <w:divId w:val="1579170288"/>
        <w:rPr>
          <w:sz w:val="22"/>
          <w:szCs w:val="22"/>
        </w:rPr>
      </w:pPr>
      <w:r>
        <w:rPr>
          <w:sz w:val="22"/>
          <w:szCs w:val="22"/>
        </w:rPr>
        <w:t xml:space="preserve">36. Hyndman RJ, Koehler AB. Another look at measures of forecast accuracy. Int J Forecast. 2006;22:679-688 </w:t>
      </w:r>
    </w:p>
    <w:p w14:paraId="0DD80FD3" w14:textId="77777777" w:rsidR="00250A10" w:rsidRDefault="00250A10">
      <w:pPr>
        <w:pStyle w:val="NormalWeb"/>
        <w:divId w:val="1579170288"/>
        <w:rPr>
          <w:sz w:val="22"/>
          <w:szCs w:val="22"/>
        </w:rPr>
      </w:pPr>
      <w:r>
        <w:rPr>
          <w:sz w:val="22"/>
          <w:szCs w:val="22"/>
        </w:rPr>
        <w:t xml:space="preserve">37. Petrou S, Rivero-Arias O, Dakin H, Longworth L, Oppe M, Froud R, Gray A. The MAPS reporting statement for studies mapping onto generic preference-based outcome measures: Explanation and elaboration. Pharmacoeconomics. 2015;33:993-1011 </w:t>
      </w:r>
    </w:p>
    <w:p w14:paraId="34E3BCD0" w14:textId="77777777" w:rsidR="00250A10" w:rsidRDefault="00250A10">
      <w:pPr>
        <w:pStyle w:val="NormalWeb"/>
        <w:divId w:val="1579170288"/>
        <w:rPr>
          <w:sz w:val="22"/>
          <w:szCs w:val="22"/>
        </w:rPr>
      </w:pPr>
      <w:r>
        <w:rPr>
          <w:sz w:val="22"/>
          <w:szCs w:val="22"/>
        </w:rPr>
        <w:t xml:space="preserve">38. Drummond M. Introducing economic and quality of life measurements into clinical studies. Ann Med. 2001;33:344-349 </w:t>
      </w:r>
    </w:p>
    <w:p w14:paraId="1FCF4305" w14:textId="77777777" w:rsidR="00250A10" w:rsidRDefault="00250A10">
      <w:pPr>
        <w:pStyle w:val="NormalWeb"/>
        <w:divId w:val="1579170288"/>
        <w:rPr>
          <w:sz w:val="22"/>
          <w:szCs w:val="22"/>
        </w:rPr>
      </w:pPr>
      <w:r>
        <w:rPr>
          <w:sz w:val="22"/>
          <w:szCs w:val="22"/>
        </w:rPr>
        <w:t xml:space="preserve">39. Marra CA, Woolcott JC, Kopec JA, Shojania K, Offer R, Brazier JE, Esdaile JM, Anis AH. A comparison of generic, indirect utility measures (the HUI2, HUI3, SF-6D, and the EQ-5D) and disease-specific instruments (the RAQoL and the HAQ) in rheumatoid arthritis. Soc Sci Med. 2005;60:1571-1582 </w:t>
      </w:r>
    </w:p>
    <w:p w14:paraId="6D4AC6EB" w14:textId="77777777" w:rsidR="00250A10" w:rsidRDefault="00250A10">
      <w:pPr>
        <w:pStyle w:val="NormalWeb"/>
        <w:divId w:val="1579170288"/>
        <w:rPr>
          <w:sz w:val="22"/>
          <w:szCs w:val="22"/>
        </w:rPr>
      </w:pPr>
      <w:r>
        <w:rPr>
          <w:sz w:val="22"/>
          <w:szCs w:val="22"/>
        </w:rPr>
        <w:t xml:space="preserve">40. Boyer NR, Miller S, Connolly P, McIntosh E. Paving the way for the use of the SDQ in economic evaluations of school-based population health interventions: an empirical analysis of the external validity of SDQ mapping algorithms to the CHU9D in an educational setting2016:1-11 </w:t>
      </w:r>
    </w:p>
    <w:p w14:paraId="68BE16BC" w14:textId="77777777" w:rsidR="00250A10" w:rsidRDefault="00250A10">
      <w:pPr>
        <w:pStyle w:val="NormalWeb"/>
        <w:divId w:val="1579170288"/>
        <w:rPr>
          <w:sz w:val="22"/>
          <w:szCs w:val="22"/>
        </w:rPr>
      </w:pPr>
      <w:r>
        <w:rPr>
          <w:sz w:val="22"/>
          <w:szCs w:val="22"/>
        </w:rPr>
        <w:t xml:space="preserve">41. Furber G, Segal L, Leach M, Cocks J. Mapping scores from the Strengths and Difficulties Questionnaire (SDQ) to preference-based utility values2014:1-9 </w:t>
      </w:r>
    </w:p>
    <w:p w14:paraId="5F7B23C1" w14:textId="77777777" w:rsidR="00250A10" w:rsidRDefault="00250A10">
      <w:pPr>
        <w:pStyle w:val="NormalWeb"/>
        <w:divId w:val="1579170288"/>
        <w:rPr>
          <w:sz w:val="22"/>
          <w:szCs w:val="22"/>
        </w:rPr>
      </w:pPr>
      <w:r>
        <w:rPr>
          <w:sz w:val="22"/>
          <w:szCs w:val="22"/>
        </w:rPr>
        <w:t xml:space="preserve">42. Chen G, Stevens K, Rowen D, Ratcliffe J. From KIDSCREEN-10 to CHU9D: creating a unique mapping algorithm for application in economic evaluation2014;12:1 </w:t>
      </w:r>
    </w:p>
    <w:p w14:paraId="12178DD0" w14:textId="77777777" w:rsidR="00250A10" w:rsidRDefault="00250A10">
      <w:pPr>
        <w:pStyle w:val="NormalWeb"/>
        <w:divId w:val="1579170288"/>
        <w:rPr>
          <w:sz w:val="22"/>
          <w:szCs w:val="22"/>
        </w:rPr>
      </w:pPr>
      <w:r>
        <w:rPr>
          <w:sz w:val="22"/>
          <w:szCs w:val="22"/>
        </w:rPr>
        <w:t xml:space="preserve">43. NICE. Guide to the Methods of Technology Appraisal 2013. NICE guideline. 2013;PMG9 </w:t>
      </w:r>
    </w:p>
    <w:p w14:paraId="2CA83137" w14:textId="77777777" w:rsidR="00250A10" w:rsidRDefault="00250A10">
      <w:pPr>
        <w:pStyle w:val="NormalWeb"/>
        <w:divId w:val="1579170288"/>
        <w:rPr>
          <w:sz w:val="22"/>
          <w:szCs w:val="22"/>
        </w:rPr>
      </w:pPr>
      <w:r>
        <w:rPr>
          <w:sz w:val="22"/>
          <w:szCs w:val="22"/>
        </w:rPr>
        <w:t xml:space="preserve">44. Essen Lv. Proxy ratings of patient quality of life Factors related to patient–proxy agreement. Acta Oncol. 2004;43:229-234 </w:t>
      </w:r>
    </w:p>
    <w:p w14:paraId="4B74DDDA" w14:textId="77777777" w:rsidR="00250A10" w:rsidRDefault="00250A10">
      <w:pPr>
        <w:pStyle w:val="NormalWeb"/>
        <w:divId w:val="1579170288"/>
        <w:rPr>
          <w:sz w:val="22"/>
          <w:szCs w:val="22"/>
        </w:rPr>
      </w:pPr>
      <w:r>
        <w:rPr>
          <w:sz w:val="22"/>
          <w:szCs w:val="22"/>
        </w:rPr>
        <w:t xml:space="preserve">45. Rand S, Caiels J. Using Proxies to assess Quality of Life: A Review of the Issues and Challenges. QORU. 2015 </w:t>
      </w:r>
    </w:p>
    <w:p w14:paraId="6BD290B0" w14:textId="325BB1D1" w:rsidR="009B11B6" w:rsidRPr="009B11B6" w:rsidRDefault="00250A10" w:rsidP="000B60B5">
      <w:pPr>
        <w:spacing w:line="240" w:lineRule="auto"/>
      </w:pPr>
      <w:r>
        <w:fldChar w:fldCharType="end"/>
      </w:r>
    </w:p>
    <w:sectPr w:rsidR="009B11B6" w:rsidRPr="009B11B6" w:rsidSect="001C1A29">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79CC3" w15:done="0"/>
  <w15:commentEx w15:paraId="124FA37B" w15:done="0"/>
  <w15:commentEx w15:paraId="37BD537E" w15:done="0"/>
  <w15:commentEx w15:paraId="3ADB4FD5" w15:done="0"/>
  <w15:commentEx w15:paraId="2ED2F2E2" w15:done="0"/>
  <w15:commentEx w15:paraId="1011E539" w15:done="0"/>
  <w15:commentEx w15:paraId="4B5AF5FA" w15:done="0"/>
  <w15:commentEx w15:paraId="49C93BB0" w15:done="0"/>
  <w15:commentEx w15:paraId="6468BCB6" w15:done="0"/>
  <w15:commentEx w15:paraId="7A9864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D1D2E" w14:textId="77777777" w:rsidR="004B66E8" w:rsidRDefault="004B66E8">
      <w:pPr>
        <w:spacing w:after="0" w:line="240" w:lineRule="auto"/>
      </w:pPr>
      <w:r>
        <w:separator/>
      </w:r>
    </w:p>
    <w:p w14:paraId="59869769" w14:textId="77777777" w:rsidR="004B66E8" w:rsidRDefault="004B66E8"/>
  </w:endnote>
  <w:endnote w:type="continuationSeparator" w:id="0">
    <w:p w14:paraId="34033C4A" w14:textId="77777777" w:rsidR="004B66E8" w:rsidRDefault="004B66E8">
      <w:pPr>
        <w:spacing w:after="0" w:line="240" w:lineRule="auto"/>
      </w:pPr>
      <w:r>
        <w:continuationSeparator/>
      </w:r>
    </w:p>
    <w:p w14:paraId="75255CBC" w14:textId="77777777" w:rsidR="004B66E8" w:rsidRDefault="004B66E8"/>
  </w:endnote>
  <w:endnote w:type="continuationNotice" w:id="1">
    <w:p w14:paraId="462A7C67" w14:textId="77777777" w:rsidR="004B66E8" w:rsidRDefault="004B66E8">
      <w:pPr>
        <w:spacing w:after="0" w:line="240" w:lineRule="auto"/>
      </w:pPr>
    </w:p>
    <w:p w14:paraId="04E54AB6" w14:textId="77777777" w:rsidR="004B66E8" w:rsidRDefault="004B6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2CC04" w14:textId="77777777" w:rsidR="004B66E8" w:rsidRDefault="004B6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4B66E8" w14:paraId="015B9DAB" w14:textId="77777777">
      <w:tc>
        <w:tcPr>
          <w:tcW w:w="918" w:type="dxa"/>
        </w:tcPr>
        <w:p w14:paraId="5C71D0C2" w14:textId="1F12ACD0" w:rsidR="004B66E8" w:rsidRPr="00E72753" w:rsidRDefault="004B66E8">
          <w:pPr>
            <w:pStyle w:val="Footer"/>
            <w:jc w:val="right"/>
            <w:rPr>
              <w:b/>
              <w:bCs/>
              <w:color w:val="4F81BD" w:themeColor="accent1"/>
              <w:sz w:val="20"/>
              <w:szCs w:val="20"/>
              <w14:numForm w14:val="oldStyle"/>
            </w:rPr>
          </w:pPr>
          <w:r w:rsidRPr="00E72753">
            <w:rPr>
              <w:sz w:val="20"/>
              <w:szCs w:val="20"/>
              <w14:shadow w14:blurRad="50800" w14:dist="38100" w14:dir="2700000" w14:sx="100000" w14:sy="100000" w14:kx="0" w14:ky="0" w14:algn="tl">
                <w14:srgbClr w14:val="000000">
                  <w14:alpha w14:val="60000"/>
                </w14:srgbClr>
              </w14:shadow>
              <w14:numForm w14:val="oldStyle"/>
            </w:rPr>
            <w:fldChar w:fldCharType="begin"/>
          </w:r>
          <w:r w:rsidRPr="00E72753">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72753">
            <w:rPr>
              <w:sz w:val="20"/>
              <w:szCs w:val="20"/>
              <w14:shadow w14:blurRad="50800" w14:dist="38100" w14:dir="2700000" w14:sx="100000" w14:sy="100000" w14:kx="0" w14:ky="0" w14:algn="tl">
                <w14:srgbClr w14:val="000000">
                  <w14:alpha w14:val="60000"/>
                </w14:srgbClr>
              </w14:shadow>
              <w14:numForm w14:val="oldStyle"/>
            </w:rPr>
            <w:fldChar w:fldCharType="separate"/>
          </w:r>
          <w:r w:rsidR="000F6C94" w:rsidRPr="000F6C94">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10</w:t>
          </w:r>
          <w:r w:rsidRPr="00E72753">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56290D9" w14:textId="77777777" w:rsidR="004B66E8" w:rsidRDefault="004B66E8">
          <w:pPr>
            <w:pStyle w:val="Footer"/>
          </w:pPr>
        </w:p>
      </w:tc>
    </w:tr>
  </w:tbl>
  <w:p w14:paraId="07B59837" w14:textId="77777777" w:rsidR="004B66E8" w:rsidRDefault="004B6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CE5A2" w14:textId="77777777" w:rsidR="004B66E8" w:rsidRDefault="004B6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C1D9E" w14:textId="77777777" w:rsidR="004B66E8" w:rsidRDefault="004B66E8">
      <w:pPr>
        <w:spacing w:after="0" w:line="240" w:lineRule="auto"/>
      </w:pPr>
      <w:r>
        <w:separator/>
      </w:r>
    </w:p>
    <w:p w14:paraId="13F4522D" w14:textId="77777777" w:rsidR="004B66E8" w:rsidRDefault="004B66E8"/>
  </w:footnote>
  <w:footnote w:type="continuationSeparator" w:id="0">
    <w:p w14:paraId="5503E7EB" w14:textId="77777777" w:rsidR="004B66E8" w:rsidRDefault="004B66E8">
      <w:pPr>
        <w:spacing w:after="0" w:line="240" w:lineRule="auto"/>
      </w:pPr>
      <w:r>
        <w:continuationSeparator/>
      </w:r>
    </w:p>
    <w:p w14:paraId="2FF92275" w14:textId="77777777" w:rsidR="004B66E8" w:rsidRDefault="004B66E8"/>
  </w:footnote>
  <w:footnote w:type="continuationNotice" w:id="1">
    <w:p w14:paraId="2B9C7EAB" w14:textId="77777777" w:rsidR="004B66E8" w:rsidRDefault="004B66E8">
      <w:pPr>
        <w:spacing w:after="0" w:line="240" w:lineRule="auto"/>
      </w:pPr>
    </w:p>
    <w:p w14:paraId="38838FEB" w14:textId="77777777" w:rsidR="004B66E8" w:rsidRDefault="004B66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AEAF4" w14:textId="77777777" w:rsidR="004B66E8" w:rsidRDefault="004B6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BAD27" w14:textId="77777777" w:rsidR="004B66E8" w:rsidRDefault="004B6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8FB9A" w14:textId="77777777" w:rsidR="004B66E8" w:rsidRDefault="004B6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AC8E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8535F6"/>
    <w:multiLevelType w:val="hybridMultilevel"/>
    <w:tmpl w:val="6C1255FC"/>
    <w:lvl w:ilvl="0" w:tplc="16A04B2A">
      <w:start w:val="1"/>
      <w:numFmt w:val="decimal"/>
      <w:lvlText w:val="%1."/>
      <w:lvlJc w:val="left"/>
      <w:pPr>
        <w:ind w:left="405" w:hanging="360"/>
      </w:pPr>
      <w:rPr>
        <w:rFonts w:ascii="Calibri" w:eastAsia="Calibri" w:hAnsi="Calibri" w:cs="Times New Roman"/>
      </w:rPr>
    </w:lvl>
    <w:lvl w:ilvl="1" w:tplc="14090019">
      <w:start w:val="1"/>
      <w:numFmt w:val="lowerLetter"/>
      <w:lvlText w:val="%2."/>
      <w:lvlJc w:val="left"/>
      <w:pPr>
        <w:ind w:left="1125" w:hanging="360"/>
      </w:pPr>
    </w:lvl>
    <w:lvl w:ilvl="2" w:tplc="1409001B">
      <w:start w:val="1"/>
      <w:numFmt w:val="lowerRoman"/>
      <w:lvlText w:val="%3."/>
      <w:lvlJc w:val="right"/>
      <w:pPr>
        <w:ind w:left="1845" w:hanging="180"/>
      </w:pPr>
    </w:lvl>
    <w:lvl w:ilvl="3" w:tplc="1409000F">
      <w:start w:val="1"/>
      <w:numFmt w:val="decimal"/>
      <w:lvlText w:val="%4."/>
      <w:lvlJc w:val="left"/>
      <w:pPr>
        <w:ind w:left="2565" w:hanging="360"/>
      </w:pPr>
    </w:lvl>
    <w:lvl w:ilvl="4" w:tplc="14090019">
      <w:start w:val="1"/>
      <w:numFmt w:val="lowerLetter"/>
      <w:lvlText w:val="%5."/>
      <w:lvlJc w:val="left"/>
      <w:pPr>
        <w:ind w:left="3285" w:hanging="360"/>
      </w:pPr>
    </w:lvl>
    <w:lvl w:ilvl="5" w:tplc="1409001B">
      <w:start w:val="1"/>
      <w:numFmt w:val="lowerRoman"/>
      <w:lvlText w:val="%6."/>
      <w:lvlJc w:val="right"/>
      <w:pPr>
        <w:ind w:left="4005" w:hanging="180"/>
      </w:pPr>
    </w:lvl>
    <w:lvl w:ilvl="6" w:tplc="1409000F">
      <w:start w:val="1"/>
      <w:numFmt w:val="decimal"/>
      <w:lvlText w:val="%7."/>
      <w:lvlJc w:val="left"/>
      <w:pPr>
        <w:ind w:left="4725" w:hanging="360"/>
      </w:pPr>
    </w:lvl>
    <w:lvl w:ilvl="7" w:tplc="14090019">
      <w:start w:val="1"/>
      <w:numFmt w:val="lowerLetter"/>
      <w:lvlText w:val="%8."/>
      <w:lvlJc w:val="left"/>
      <w:pPr>
        <w:ind w:left="5445" w:hanging="360"/>
      </w:pPr>
    </w:lvl>
    <w:lvl w:ilvl="8" w:tplc="1409001B">
      <w:start w:val="1"/>
      <w:numFmt w:val="lowerRoman"/>
      <w:lvlText w:val="%9."/>
      <w:lvlJc w:val="right"/>
      <w:pPr>
        <w:ind w:left="6165" w:hanging="180"/>
      </w:pPr>
    </w:lvl>
  </w:abstractNum>
  <w:abstractNum w:abstractNumId="2">
    <w:nsid w:val="30850BBE"/>
    <w:multiLevelType w:val="multilevel"/>
    <w:tmpl w:val="5B0AE59C"/>
    <w:lvl w:ilvl="0">
      <w:start w:val="4"/>
      <w:numFmt w:val="decimal"/>
      <w:pStyle w:val="Heading1"/>
      <w:lvlText w:val="CHAPTER %1."/>
      <w:lvlJc w:val="left"/>
      <w:pPr>
        <w:ind w:left="2340" w:hanging="360"/>
      </w:pPr>
      <w:rPr>
        <w:rFonts w:hint="default"/>
      </w:rPr>
    </w:lvl>
    <w:lvl w:ilvl="1">
      <w:start w:val="1"/>
      <w:numFmt w:val="decimal"/>
      <w:lvlText w:val="%1.%2."/>
      <w:lvlJc w:val="left"/>
      <w:pPr>
        <w:ind w:left="2772" w:hanging="432"/>
      </w:pPr>
      <w:rPr>
        <w:rFonts w:hint="default"/>
      </w:rPr>
    </w:lvl>
    <w:lvl w:ilvl="2">
      <w:start w:val="1"/>
      <w:numFmt w:val="decimal"/>
      <w:lvlText w:val="%1.%2.%3."/>
      <w:lvlJc w:val="left"/>
      <w:pPr>
        <w:ind w:left="5184" w:hanging="504"/>
      </w:pPr>
      <w:rPr>
        <w:rFonts w:hint="default"/>
      </w:rPr>
    </w:lvl>
    <w:lvl w:ilvl="3">
      <w:start w:val="1"/>
      <w:numFmt w:val="decimal"/>
      <w:lvlText w:val="%1.%2.%3.%4."/>
      <w:lvlJc w:val="left"/>
      <w:pPr>
        <w:ind w:left="5148" w:hanging="648"/>
      </w:pPr>
      <w:rPr>
        <w:rFonts w:hint="default"/>
      </w:rPr>
    </w:lvl>
    <w:lvl w:ilvl="4">
      <w:start w:val="1"/>
      <w:numFmt w:val="decimal"/>
      <w:lvlText w:val="%1.%2.%3.%4.%5."/>
      <w:lvlJc w:val="left"/>
      <w:pPr>
        <w:ind w:left="4212" w:hanging="792"/>
      </w:pPr>
      <w:rPr>
        <w:rFonts w:hint="default"/>
      </w:rPr>
    </w:lvl>
    <w:lvl w:ilvl="5">
      <w:start w:val="1"/>
      <w:numFmt w:val="decimal"/>
      <w:lvlText w:val="%1.%2.%3.%4.%5.%6."/>
      <w:lvlJc w:val="left"/>
      <w:pPr>
        <w:ind w:left="4716" w:hanging="936"/>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5724" w:hanging="1224"/>
      </w:pPr>
      <w:rPr>
        <w:rFonts w:hint="default"/>
      </w:rPr>
    </w:lvl>
    <w:lvl w:ilvl="8">
      <w:start w:val="1"/>
      <w:numFmt w:val="decimal"/>
      <w:lvlText w:val="%1.%2.%3.%4.%5.%6.%7.%8.%9."/>
      <w:lvlJc w:val="left"/>
      <w:pPr>
        <w:ind w:left="6300" w:hanging="1440"/>
      </w:pPr>
      <w:rPr>
        <w:rFonts w:hint="default"/>
      </w:rPr>
    </w:lvl>
  </w:abstractNum>
  <w:abstractNum w:abstractNumId="3">
    <w:nsid w:val="4CFD5424"/>
    <w:multiLevelType w:val="multilevel"/>
    <w:tmpl w:val="2B20D772"/>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5748CB"/>
    <w:multiLevelType w:val="hybridMultilevel"/>
    <w:tmpl w:val="0540D682"/>
    <w:lvl w:ilvl="0" w:tplc="F9A48F00">
      <w:start w:val="1"/>
      <w:numFmt w:val="decimal"/>
      <w:pStyle w:val="Heading2"/>
      <w:lvlText w:val="%1."/>
      <w:lvlJc w:val="left"/>
      <w:pPr>
        <w:ind w:left="828" w:hanging="360"/>
      </w:pPr>
    </w:lvl>
    <w:lvl w:ilvl="1" w:tplc="08090019">
      <w:start w:val="1"/>
      <w:numFmt w:val="lowerLetter"/>
      <w:lvlText w:val="%2."/>
      <w:lvlJc w:val="left"/>
      <w:pPr>
        <w:ind w:left="1548" w:hanging="360"/>
      </w:pPr>
    </w:lvl>
    <w:lvl w:ilvl="2" w:tplc="0809001B">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5">
    <w:nsid w:val="63E51EB1"/>
    <w:multiLevelType w:val="hybridMultilevel"/>
    <w:tmpl w:val="AC282AA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_tradnl" w:vendorID="64" w:dllVersion="131078" w:nlCheck="1" w:checkStyle="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AwMjW2sDA0MzWwNLNU0lEKTi0uzszPAykwNawFABrXFgstAAAA"/>
  </w:docVars>
  <w:rsids>
    <w:rsidRoot w:val="00B04A3F"/>
    <w:rsid w:val="00010732"/>
    <w:rsid w:val="00012D95"/>
    <w:rsid w:val="000169E2"/>
    <w:rsid w:val="00021525"/>
    <w:rsid w:val="00031D74"/>
    <w:rsid w:val="0003253D"/>
    <w:rsid w:val="00032C89"/>
    <w:rsid w:val="00032DD1"/>
    <w:rsid w:val="00035204"/>
    <w:rsid w:val="000429C9"/>
    <w:rsid w:val="000440B1"/>
    <w:rsid w:val="000504D5"/>
    <w:rsid w:val="00050C8B"/>
    <w:rsid w:val="00051330"/>
    <w:rsid w:val="000528F1"/>
    <w:rsid w:val="0005504B"/>
    <w:rsid w:val="00056030"/>
    <w:rsid w:val="00062A9F"/>
    <w:rsid w:val="00064671"/>
    <w:rsid w:val="00067D4B"/>
    <w:rsid w:val="000815FF"/>
    <w:rsid w:val="00081C99"/>
    <w:rsid w:val="00085496"/>
    <w:rsid w:val="00085C4E"/>
    <w:rsid w:val="00094279"/>
    <w:rsid w:val="0009699B"/>
    <w:rsid w:val="00097C53"/>
    <w:rsid w:val="00097D3D"/>
    <w:rsid w:val="000A55F6"/>
    <w:rsid w:val="000B03D1"/>
    <w:rsid w:val="000B1826"/>
    <w:rsid w:val="000B60B5"/>
    <w:rsid w:val="000C754E"/>
    <w:rsid w:val="000C7C82"/>
    <w:rsid w:val="000D5F25"/>
    <w:rsid w:val="000D7F00"/>
    <w:rsid w:val="000F4AF4"/>
    <w:rsid w:val="000F6C94"/>
    <w:rsid w:val="000F6DC5"/>
    <w:rsid w:val="001005A0"/>
    <w:rsid w:val="00102970"/>
    <w:rsid w:val="00107C50"/>
    <w:rsid w:val="00114257"/>
    <w:rsid w:val="0012090B"/>
    <w:rsid w:val="00137F6F"/>
    <w:rsid w:val="001474EF"/>
    <w:rsid w:val="00152012"/>
    <w:rsid w:val="00153EE6"/>
    <w:rsid w:val="00154C88"/>
    <w:rsid w:val="0015550B"/>
    <w:rsid w:val="00155710"/>
    <w:rsid w:val="0015764F"/>
    <w:rsid w:val="00162223"/>
    <w:rsid w:val="00164FC8"/>
    <w:rsid w:val="001671D6"/>
    <w:rsid w:val="0016761F"/>
    <w:rsid w:val="00172E58"/>
    <w:rsid w:val="001A7E95"/>
    <w:rsid w:val="001B6E49"/>
    <w:rsid w:val="001B7CE5"/>
    <w:rsid w:val="001C0263"/>
    <w:rsid w:val="001C1A29"/>
    <w:rsid w:val="001C3F9E"/>
    <w:rsid w:val="001C5425"/>
    <w:rsid w:val="001C642A"/>
    <w:rsid w:val="001D3C1E"/>
    <w:rsid w:val="001E6890"/>
    <w:rsid w:val="001F0125"/>
    <w:rsid w:val="00204E18"/>
    <w:rsid w:val="002135FD"/>
    <w:rsid w:val="0021513E"/>
    <w:rsid w:val="00216A43"/>
    <w:rsid w:val="0022093B"/>
    <w:rsid w:val="00222013"/>
    <w:rsid w:val="002266C9"/>
    <w:rsid w:val="00235AB9"/>
    <w:rsid w:val="002475FC"/>
    <w:rsid w:val="00250A10"/>
    <w:rsid w:val="00251E99"/>
    <w:rsid w:val="002522A2"/>
    <w:rsid w:val="00252C4A"/>
    <w:rsid w:val="0025659A"/>
    <w:rsid w:val="00261B77"/>
    <w:rsid w:val="00266127"/>
    <w:rsid w:val="00267CFD"/>
    <w:rsid w:val="00275E39"/>
    <w:rsid w:val="0029482B"/>
    <w:rsid w:val="002B30D0"/>
    <w:rsid w:val="002B4B99"/>
    <w:rsid w:val="002B5BE6"/>
    <w:rsid w:val="002B60A8"/>
    <w:rsid w:val="002C1FE0"/>
    <w:rsid w:val="002C5217"/>
    <w:rsid w:val="002D010F"/>
    <w:rsid w:val="002D57BB"/>
    <w:rsid w:val="002D5BDF"/>
    <w:rsid w:val="002F27B4"/>
    <w:rsid w:val="002F38ED"/>
    <w:rsid w:val="002F3ECF"/>
    <w:rsid w:val="002F565F"/>
    <w:rsid w:val="002F637C"/>
    <w:rsid w:val="00307DD4"/>
    <w:rsid w:val="0032458C"/>
    <w:rsid w:val="003248F3"/>
    <w:rsid w:val="003259CB"/>
    <w:rsid w:val="00333BA9"/>
    <w:rsid w:val="00342678"/>
    <w:rsid w:val="00342F20"/>
    <w:rsid w:val="003448AA"/>
    <w:rsid w:val="00346FF7"/>
    <w:rsid w:val="00351813"/>
    <w:rsid w:val="00355303"/>
    <w:rsid w:val="00355701"/>
    <w:rsid w:val="00355883"/>
    <w:rsid w:val="003561F2"/>
    <w:rsid w:val="0036048C"/>
    <w:rsid w:val="00361C72"/>
    <w:rsid w:val="0037031B"/>
    <w:rsid w:val="00381DB1"/>
    <w:rsid w:val="0038372E"/>
    <w:rsid w:val="0038670A"/>
    <w:rsid w:val="00390602"/>
    <w:rsid w:val="00393A21"/>
    <w:rsid w:val="00394DCF"/>
    <w:rsid w:val="00394ED7"/>
    <w:rsid w:val="00396C4B"/>
    <w:rsid w:val="003A762B"/>
    <w:rsid w:val="003B0246"/>
    <w:rsid w:val="003B315B"/>
    <w:rsid w:val="003C0ED5"/>
    <w:rsid w:val="003C2B53"/>
    <w:rsid w:val="003D5D24"/>
    <w:rsid w:val="003D6167"/>
    <w:rsid w:val="003D7020"/>
    <w:rsid w:val="003D758E"/>
    <w:rsid w:val="003E6739"/>
    <w:rsid w:val="003E7730"/>
    <w:rsid w:val="003F09AE"/>
    <w:rsid w:val="003F52DF"/>
    <w:rsid w:val="003F54E5"/>
    <w:rsid w:val="003F6286"/>
    <w:rsid w:val="003F707B"/>
    <w:rsid w:val="0040301C"/>
    <w:rsid w:val="004040B0"/>
    <w:rsid w:val="0040764D"/>
    <w:rsid w:val="00407F24"/>
    <w:rsid w:val="004112A8"/>
    <w:rsid w:val="00411BBA"/>
    <w:rsid w:val="00420465"/>
    <w:rsid w:val="004235BE"/>
    <w:rsid w:val="00423F2E"/>
    <w:rsid w:val="0043182C"/>
    <w:rsid w:val="0043217E"/>
    <w:rsid w:val="00434E61"/>
    <w:rsid w:val="00440858"/>
    <w:rsid w:val="00444198"/>
    <w:rsid w:val="004446E9"/>
    <w:rsid w:val="0044651D"/>
    <w:rsid w:val="00453053"/>
    <w:rsid w:val="004530FA"/>
    <w:rsid w:val="004531CF"/>
    <w:rsid w:val="00455C43"/>
    <w:rsid w:val="00476F4D"/>
    <w:rsid w:val="00486B62"/>
    <w:rsid w:val="004900E4"/>
    <w:rsid w:val="0049031F"/>
    <w:rsid w:val="004936A5"/>
    <w:rsid w:val="00496D87"/>
    <w:rsid w:val="004A65FB"/>
    <w:rsid w:val="004A6C9E"/>
    <w:rsid w:val="004B18E9"/>
    <w:rsid w:val="004B4348"/>
    <w:rsid w:val="004B60ED"/>
    <w:rsid w:val="004B66E8"/>
    <w:rsid w:val="004B6A1E"/>
    <w:rsid w:val="004C2043"/>
    <w:rsid w:val="004D1451"/>
    <w:rsid w:val="004D5797"/>
    <w:rsid w:val="004D7539"/>
    <w:rsid w:val="004E0534"/>
    <w:rsid w:val="004E0BEC"/>
    <w:rsid w:val="004E7913"/>
    <w:rsid w:val="004F0BA6"/>
    <w:rsid w:val="004F7D0B"/>
    <w:rsid w:val="00506E61"/>
    <w:rsid w:val="005152C7"/>
    <w:rsid w:val="00527A2A"/>
    <w:rsid w:val="0053252E"/>
    <w:rsid w:val="00533826"/>
    <w:rsid w:val="005367CD"/>
    <w:rsid w:val="005412E3"/>
    <w:rsid w:val="005468BD"/>
    <w:rsid w:val="0055516E"/>
    <w:rsid w:val="0055545D"/>
    <w:rsid w:val="0055681B"/>
    <w:rsid w:val="005655B2"/>
    <w:rsid w:val="005658A9"/>
    <w:rsid w:val="00573D1C"/>
    <w:rsid w:val="00576D78"/>
    <w:rsid w:val="00581223"/>
    <w:rsid w:val="00582262"/>
    <w:rsid w:val="00582B2F"/>
    <w:rsid w:val="005832EF"/>
    <w:rsid w:val="00591D1A"/>
    <w:rsid w:val="005968B3"/>
    <w:rsid w:val="005970EC"/>
    <w:rsid w:val="005A3F41"/>
    <w:rsid w:val="005A487C"/>
    <w:rsid w:val="005A705A"/>
    <w:rsid w:val="005B322D"/>
    <w:rsid w:val="005C0298"/>
    <w:rsid w:val="005D1023"/>
    <w:rsid w:val="005D4700"/>
    <w:rsid w:val="005D50F3"/>
    <w:rsid w:val="005D6520"/>
    <w:rsid w:val="005F456D"/>
    <w:rsid w:val="00614E52"/>
    <w:rsid w:val="00615A04"/>
    <w:rsid w:val="00621CE6"/>
    <w:rsid w:val="00622491"/>
    <w:rsid w:val="006312DF"/>
    <w:rsid w:val="00632E63"/>
    <w:rsid w:val="00633BB2"/>
    <w:rsid w:val="006341DE"/>
    <w:rsid w:val="0063759C"/>
    <w:rsid w:val="006424ED"/>
    <w:rsid w:val="006447D6"/>
    <w:rsid w:val="00647E10"/>
    <w:rsid w:val="00650896"/>
    <w:rsid w:val="0065409D"/>
    <w:rsid w:val="0065538A"/>
    <w:rsid w:val="00655713"/>
    <w:rsid w:val="006644B2"/>
    <w:rsid w:val="006712C8"/>
    <w:rsid w:val="00676F99"/>
    <w:rsid w:val="00681340"/>
    <w:rsid w:val="00681E0B"/>
    <w:rsid w:val="006821B5"/>
    <w:rsid w:val="00686851"/>
    <w:rsid w:val="006946BB"/>
    <w:rsid w:val="0069491B"/>
    <w:rsid w:val="006964B4"/>
    <w:rsid w:val="006A0FD2"/>
    <w:rsid w:val="006A16ED"/>
    <w:rsid w:val="006A2FCF"/>
    <w:rsid w:val="006A6FB6"/>
    <w:rsid w:val="006B5374"/>
    <w:rsid w:val="006B742D"/>
    <w:rsid w:val="006C1A2E"/>
    <w:rsid w:val="006C7035"/>
    <w:rsid w:val="006D2A0D"/>
    <w:rsid w:val="006E1E8C"/>
    <w:rsid w:val="006E2DFD"/>
    <w:rsid w:val="006F61F7"/>
    <w:rsid w:val="006F73C4"/>
    <w:rsid w:val="00701841"/>
    <w:rsid w:val="007041AC"/>
    <w:rsid w:val="00704A3C"/>
    <w:rsid w:val="0070653B"/>
    <w:rsid w:val="007071B7"/>
    <w:rsid w:val="00707F1E"/>
    <w:rsid w:val="00712501"/>
    <w:rsid w:val="00712ACF"/>
    <w:rsid w:val="0071308C"/>
    <w:rsid w:val="00713E46"/>
    <w:rsid w:val="00723D7F"/>
    <w:rsid w:val="007316DC"/>
    <w:rsid w:val="007336E9"/>
    <w:rsid w:val="007338B2"/>
    <w:rsid w:val="0074056D"/>
    <w:rsid w:val="00750334"/>
    <w:rsid w:val="0075664B"/>
    <w:rsid w:val="007738F2"/>
    <w:rsid w:val="007A0052"/>
    <w:rsid w:val="007A0637"/>
    <w:rsid w:val="007A12D7"/>
    <w:rsid w:val="007A1616"/>
    <w:rsid w:val="007A6D71"/>
    <w:rsid w:val="007A6FEB"/>
    <w:rsid w:val="007A72FB"/>
    <w:rsid w:val="007A7416"/>
    <w:rsid w:val="007B1B1B"/>
    <w:rsid w:val="007B2CC0"/>
    <w:rsid w:val="007B528D"/>
    <w:rsid w:val="007C13E8"/>
    <w:rsid w:val="007D124B"/>
    <w:rsid w:val="007E4221"/>
    <w:rsid w:val="007E53F2"/>
    <w:rsid w:val="007F06C9"/>
    <w:rsid w:val="007F787B"/>
    <w:rsid w:val="0080185C"/>
    <w:rsid w:val="00802914"/>
    <w:rsid w:val="00804B0F"/>
    <w:rsid w:val="00807203"/>
    <w:rsid w:val="00816CDB"/>
    <w:rsid w:val="0081778A"/>
    <w:rsid w:val="0082071C"/>
    <w:rsid w:val="008216C2"/>
    <w:rsid w:val="00827932"/>
    <w:rsid w:val="00830011"/>
    <w:rsid w:val="00840C3C"/>
    <w:rsid w:val="00844AB2"/>
    <w:rsid w:val="00846381"/>
    <w:rsid w:val="0084782E"/>
    <w:rsid w:val="0085027E"/>
    <w:rsid w:val="00851EFA"/>
    <w:rsid w:val="00852C49"/>
    <w:rsid w:val="008568B0"/>
    <w:rsid w:val="008603D3"/>
    <w:rsid w:val="00865793"/>
    <w:rsid w:val="0087588D"/>
    <w:rsid w:val="008804F0"/>
    <w:rsid w:val="00883FB8"/>
    <w:rsid w:val="00884E37"/>
    <w:rsid w:val="008A1C25"/>
    <w:rsid w:val="008A7CA7"/>
    <w:rsid w:val="008B0A70"/>
    <w:rsid w:val="008B3FF5"/>
    <w:rsid w:val="008C304B"/>
    <w:rsid w:val="008C63D5"/>
    <w:rsid w:val="008D63B4"/>
    <w:rsid w:val="008F217E"/>
    <w:rsid w:val="00903F86"/>
    <w:rsid w:val="00911892"/>
    <w:rsid w:val="00913A8C"/>
    <w:rsid w:val="00916C34"/>
    <w:rsid w:val="00920F87"/>
    <w:rsid w:val="00925531"/>
    <w:rsid w:val="00937681"/>
    <w:rsid w:val="0095028F"/>
    <w:rsid w:val="009574C9"/>
    <w:rsid w:val="0097028B"/>
    <w:rsid w:val="00977C02"/>
    <w:rsid w:val="0099031B"/>
    <w:rsid w:val="00994457"/>
    <w:rsid w:val="00994B3B"/>
    <w:rsid w:val="009A02BE"/>
    <w:rsid w:val="009A1B78"/>
    <w:rsid w:val="009B11B6"/>
    <w:rsid w:val="009B4105"/>
    <w:rsid w:val="009B4F80"/>
    <w:rsid w:val="009B64BB"/>
    <w:rsid w:val="009B69A7"/>
    <w:rsid w:val="009B7523"/>
    <w:rsid w:val="009C7091"/>
    <w:rsid w:val="009D288D"/>
    <w:rsid w:val="009D2C10"/>
    <w:rsid w:val="009E0F36"/>
    <w:rsid w:val="009E1196"/>
    <w:rsid w:val="009E41A9"/>
    <w:rsid w:val="009F0F71"/>
    <w:rsid w:val="00A023B3"/>
    <w:rsid w:val="00A03563"/>
    <w:rsid w:val="00A060E9"/>
    <w:rsid w:val="00A061D2"/>
    <w:rsid w:val="00A2708F"/>
    <w:rsid w:val="00A27F5A"/>
    <w:rsid w:val="00A30FE9"/>
    <w:rsid w:val="00A31458"/>
    <w:rsid w:val="00A33B8B"/>
    <w:rsid w:val="00A371C5"/>
    <w:rsid w:val="00A37589"/>
    <w:rsid w:val="00A4024D"/>
    <w:rsid w:val="00A4417A"/>
    <w:rsid w:val="00A57CF2"/>
    <w:rsid w:val="00A663AF"/>
    <w:rsid w:val="00A675E8"/>
    <w:rsid w:val="00A730CE"/>
    <w:rsid w:val="00A73C56"/>
    <w:rsid w:val="00A91CDE"/>
    <w:rsid w:val="00A932EB"/>
    <w:rsid w:val="00A933B6"/>
    <w:rsid w:val="00AA260B"/>
    <w:rsid w:val="00AA2773"/>
    <w:rsid w:val="00AA5213"/>
    <w:rsid w:val="00AA5D6F"/>
    <w:rsid w:val="00AA7E85"/>
    <w:rsid w:val="00AD47F6"/>
    <w:rsid w:val="00AD6208"/>
    <w:rsid w:val="00AD77DA"/>
    <w:rsid w:val="00AE1F0B"/>
    <w:rsid w:val="00AE2417"/>
    <w:rsid w:val="00AE5BB1"/>
    <w:rsid w:val="00AE5D56"/>
    <w:rsid w:val="00AE6EB7"/>
    <w:rsid w:val="00AF1721"/>
    <w:rsid w:val="00B036C5"/>
    <w:rsid w:val="00B03EA4"/>
    <w:rsid w:val="00B04A3F"/>
    <w:rsid w:val="00B04BDE"/>
    <w:rsid w:val="00B11BB6"/>
    <w:rsid w:val="00B14860"/>
    <w:rsid w:val="00B25D4F"/>
    <w:rsid w:val="00B2715D"/>
    <w:rsid w:val="00B2772F"/>
    <w:rsid w:val="00B34B47"/>
    <w:rsid w:val="00B36223"/>
    <w:rsid w:val="00B41F26"/>
    <w:rsid w:val="00B438E5"/>
    <w:rsid w:val="00B4499F"/>
    <w:rsid w:val="00B527C2"/>
    <w:rsid w:val="00B54A0A"/>
    <w:rsid w:val="00B65CAA"/>
    <w:rsid w:val="00B666BE"/>
    <w:rsid w:val="00B7318D"/>
    <w:rsid w:val="00B83400"/>
    <w:rsid w:val="00BA225A"/>
    <w:rsid w:val="00BB73FF"/>
    <w:rsid w:val="00BC1993"/>
    <w:rsid w:val="00BD13B3"/>
    <w:rsid w:val="00BD576E"/>
    <w:rsid w:val="00BE7AA8"/>
    <w:rsid w:val="00BF04FD"/>
    <w:rsid w:val="00BF15FC"/>
    <w:rsid w:val="00BF5BAF"/>
    <w:rsid w:val="00C02C12"/>
    <w:rsid w:val="00C23737"/>
    <w:rsid w:val="00C300AF"/>
    <w:rsid w:val="00C30CAC"/>
    <w:rsid w:val="00C3104F"/>
    <w:rsid w:val="00C338BE"/>
    <w:rsid w:val="00C36B54"/>
    <w:rsid w:val="00C377D4"/>
    <w:rsid w:val="00C5314E"/>
    <w:rsid w:val="00C56C9E"/>
    <w:rsid w:val="00C70410"/>
    <w:rsid w:val="00C748F6"/>
    <w:rsid w:val="00C76C65"/>
    <w:rsid w:val="00C81B43"/>
    <w:rsid w:val="00C81EE7"/>
    <w:rsid w:val="00C922FE"/>
    <w:rsid w:val="00C92B6F"/>
    <w:rsid w:val="00CA6532"/>
    <w:rsid w:val="00CB1A00"/>
    <w:rsid w:val="00CC1023"/>
    <w:rsid w:val="00CC4788"/>
    <w:rsid w:val="00CC5014"/>
    <w:rsid w:val="00CD56CE"/>
    <w:rsid w:val="00CE08C5"/>
    <w:rsid w:val="00CE0EBE"/>
    <w:rsid w:val="00CE293C"/>
    <w:rsid w:val="00CE31DF"/>
    <w:rsid w:val="00CE7029"/>
    <w:rsid w:val="00D04924"/>
    <w:rsid w:val="00D20426"/>
    <w:rsid w:val="00D21770"/>
    <w:rsid w:val="00D25142"/>
    <w:rsid w:val="00D253F6"/>
    <w:rsid w:val="00D27744"/>
    <w:rsid w:val="00D32707"/>
    <w:rsid w:val="00D32B5C"/>
    <w:rsid w:val="00D41833"/>
    <w:rsid w:val="00D47408"/>
    <w:rsid w:val="00D515B6"/>
    <w:rsid w:val="00D61CA8"/>
    <w:rsid w:val="00D62843"/>
    <w:rsid w:val="00D64F44"/>
    <w:rsid w:val="00D670F7"/>
    <w:rsid w:val="00D73285"/>
    <w:rsid w:val="00D74115"/>
    <w:rsid w:val="00D820EA"/>
    <w:rsid w:val="00D865CA"/>
    <w:rsid w:val="00DA0095"/>
    <w:rsid w:val="00DA1AF5"/>
    <w:rsid w:val="00DA2581"/>
    <w:rsid w:val="00DB0B05"/>
    <w:rsid w:val="00DB5D57"/>
    <w:rsid w:val="00DB6A0E"/>
    <w:rsid w:val="00DC514D"/>
    <w:rsid w:val="00DD64A5"/>
    <w:rsid w:val="00DD6932"/>
    <w:rsid w:val="00DE1B98"/>
    <w:rsid w:val="00DE3B84"/>
    <w:rsid w:val="00DF7E5C"/>
    <w:rsid w:val="00E10D6D"/>
    <w:rsid w:val="00E1238E"/>
    <w:rsid w:val="00E16F40"/>
    <w:rsid w:val="00E2737E"/>
    <w:rsid w:val="00E3054A"/>
    <w:rsid w:val="00E552EC"/>
    <w:rsid w:val="00E7001A"/>
    <w:rsid w:val="00E7006D"/>
    <w:rsid w:val="00E72753"/>
    <w:rsid w:val="00E82B90"/>
    <w:rsid w:val="00E83C0B"/>
    <w:rsid w:val="00E93AE6"/>
    <w:rsid w:val="00E957FE"/>
    <w:rsid w:val="00E973A2"/>
    <w:rsid w:val="00EA4CB4"/>
    <w:rsid w:val="00EB64C9"/>
    <w:rsid w:val="00EC0D75"/>
    <w:rsid w:val="00EC2E11"/>
    <w:rsid w:val="00EC4110"/>
    <w:rsid w:val="00ED51FA"/>
    <w:rsid w:val="00ED7450"/>
    <w:rsid w:val="00EE42C6"/>
    <w:rsid w:val="00EE7CEB"/>
    <w:rsid w:val="00EF43E6"/>
    <w:rsid w:val="00EF64D6"/>
    <w:rsid w:val="00F01658"/>
    <w:rsid w:val="00F1114B"/>
    <w:rsid w:val="00F121CC"/>
    <w:rsid w:val="00F13319"/>
    <w:rsid w:val="00F253C0"/>
    <w:rsid w:val="00F267FD"/>
    <w:rsid w:val="00F27363"/>
    <w:rsid w:val="00F31909"/>
    <w:rsid w:val="00F32A1C"/>
    <w:rsid w:val="00F36EFA"/>
    <w:rsid w:val="00F46E20"/>
    <w:rsid w:val="00F54375"/>
    <w:rsid w:val="00F56DE0"/>
    <w:rsid w:val="00F617C5"/>
    <w:rsid w:val="00F62F9B"/>
    <w:rsid w:val="00F65F2A"/>
    <w:rsid w:val="00F662F5"/>
    <w:rsid w:val="00F754A9"/>
    <w:rsid w:val="00F80FB5"/>
    <w:rsid w:val="00F84159"/>
    <w:rsid w:val="00F8717B"/>
    <w:rsid w:val="00F8725B"/>
    <w:rsid w:val="00F9205C"/>
    <w:rsid w:val="00F94D11"/>
    <w:rsid w:val="00F97E8A"/>
    <w:rsid w:val="00FB1743"/>
    <w:rsid w:val="00FB1FE8"/>
    <w:rsid w:val="00FB401E"/>
    <w:rsid w:val="00FB4D04"/>
    <w:rsid w:val="00FB5B4C"/>
    <w:rsid w:val="00FC2AF0"/>
    <w:rsid w:val="00FC2F50"/>
    <w:rsid w:val="00FC5126"/>
    <w:rsid w:val="00FD2E13"/>
    <w:rsid w:val="00FD3FEA"/>
    <w:rsid w:val="00FD4388"/>
    <w:rsid w:val="00FD45B4"/>
    <w:rsid w:val="00FE27AF"/>
    <w:rsid w:val="00FE54BD"/>
    <w:rsid w:val="00FE5716"/>
    <w:rsid w:val="00FE766F"/>
    <w:rsid w:val="00FF1C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B1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ED"/>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85027E"/>
    <w:pPr>
      <w:numPr>
        <w:numId w:val="3"/>
      </w:numPr>
      <w:spacing w:after="360"/>
      <w:outlineLvl w:val="0"/>
    </w:pPr>
    <w:rPr>
      <w:b/>
      <w:sz w:val="36"/>
      <w:szCs w:val="36"/>
    </w:rPr>
  </w:style>
  <w:style w:type="paragraph" w:styleId="Heading2">
    <w:name w:val="heading 2"/>
    <w:basedOn w:val="Heading1"/>
    <w:next w:val="Normal"/>
    <w:link w:val="Heading2Char"/>
    <w:uiPriority w:val="9"/>
    <w:unhideWhenUsed/>
    <w:qFormat/>
    <w:rsid w:val="00DB6A0E"/>
    <w:pPr>
      <w:pageBreakBefore/>
      <w:numPr>
        <w:numId w:val="4"/>
      </w:numPr>
      <w:spacing w:before="240" w:after="240"/>
      <w:outlineLvl w:val="1"/>
    </w:pPr>
    <w:rPr>
      <w:sz w:val="28"/>
      <w:szCs w:val="28"/>
    </w:rPr>
  </w:style>
  <w:style w:type="paragraph" w:styleId="Heading3">
    <w:name w:val="heading 3"/>
    <w:basedOn w:val="Heading2"/>
    <w:next w:val="Normal"/>
    <w:link w:val="Heading3Char"/>
    <w:uiPriority w:val="9"/>
    <w:unhideWhenUsed/>
    <w:qFormat/>
    <w:rsid w:val="00DB6A0E"/>
    <w:pPr>
      <w:pageBreakBefore w:val="0"/>
      <w:numPr>
        <w:ilvl w:val="1"/>
        <w:numId w:val="5"/>
      </w:numPr>
      <w:ind w:left="794" w:hanging="794"/>
      <w:outlineLvl w:val="2"/>
    </w:pPr>
    <w:rPr>
      <w:sz w:val="24"/>
      <w:szCs w:val="24"/>
    </w:rPr>
  </w:style>
  <w:style w:type="paragraph" w:styleId="Heading4">
    <w:name w:val="heading 4"/>
    <w:basedOn w:val="Heading3"/>
    <w:next w:val="Normal"/>
    <w:link w:val="Heading4Char"/>
    <w:uiPriority w:val="9"/>
    <w:unhideWhenUsed/>
    <w:qFormat/>
    <w:rsid w:val="0085027E"/>
    <w:pPr>
      <w:numPr>
        <w:ilvl w:val="3"/>
      </w:numPr>
      <w:ind w:left="1080" w:hanging="1080"/>
      <w:outlineLvl w:val="3"/>
    </w:pPr>
    <w:rPr>
      <w:b w:val="0"/>
      <w:i/>
      <w:u w:val="single"/>
    </w:rPr>
  </w:style>
  <w:style w:type="paragraph" w:styleId="Heading5">
    <w:name w:val="heading 5"/>
    <w:basedOn w:val="Normal"/>
    <w:next w:val="Normal"/>
    <w:link w:val="Heading5Char"/>
    <w:uiPriority w:val="9"/>
    <w:unhideWhenUsed/>
    <w:qFormat/>
    <w:rsid w:val="009B11B6"/>
    <w:pPr>
      <w:spacing w:before="200" w:after="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B11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B11B6"/>
    <w:pPr>
      <w:spacing w:after="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B11B6"/>
    <w:pPr>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B11B6"/>
    <w:pPr>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uiPriority w:val="99"/>
    <w:unhideWhenUsed/>
    <w:rsid w:val="00B04A3F"/>
    <w:pPr>
      <w:numPr>
        <w:numId w:val="1"/>
      </w:numPr>
      <w:contextualSpacing/>
    </w:pPr>
  </w:style>
  <w:style w:type="character" w:customStyle="1" w:styleId="Heading2Char">
    <w:name w:val="Heading 2 Char"/>
    <w:basedOn w:val="DefaultParagraphFont"/>
    <w:link w:val="Heading2"/>
    <w:uiPriority w:val="9"/>
    <w:rsid w:val="00DB6A0E"/>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85027E"/>
    <w:rPr>
      <w:rFonts w:ascii="Times New Roman" w:hAnsi="Times New Roman" w:cs="Times New Roman"/>
      <w:b/>
      <w:sz w:val="36"/>
      <w:szCs w:val="36"/>
    </w:rPr>
  </w:style>
  <w:style w:type="character" w:customStyle="1" w:styleId="Heading3Char">
    <w:name w:val="Heading 3 Char"/>
    <w:basedOn w:val="DefaultParagraphFont"/>
    <w:link w:val="Heading3"/>
    <w:uiPriority w:val="9"/>
    <w:rsid w:val="00DB6A0E"/>
    <w:rPr>
      <w:rFonts w:ascii="Times New Roman" w:hAnsi="Times New Roman" w:cs="Times New Roman"/>
      <w:b/>
      <w:sz w:val="24"/>
      <w:szCs w:val="24"/>
    </w:rPr>
  </w:style>
  <w:style w:type="paragraph" w:styleId="Caption">
    <w:name w:val="caption"/>
    <w:aliases w:val="Figure"/>
    <w:basedOn w:val="Normal"/>
    <w:next w:val="Normal"/>
    <w:uiPriority w:val="35"/>
    <w:unhideWhenUsed/>
    <w:qFormat/>
    <w:rsid w:val="00AE6EB7"/>
    <w:pPr>
      <w:keepNext/>
      <w:spacing w:after="0" w:line="240" w:lineRule="auto"/>
    </w:pPr>
    <w:rPr>
      <w:b/>
      <w:bCs/>
    </w:rPr>
  </w:style>
  <w:style w:type="paragraph" w:styleId="ListParagraph">
    <w:name w:val="List Paragraph"/>
    <w:basedOn w:val="Normal"/>
    <w:uiPriority w:val="34"/>
    <w:qFormat/>
    <w:rsid w:val="002D010F"/>
    <w:pPr>
      <w:ind w:left="720"/>
      <w:contextualSpacing/>
    </w:pPr>
  </w:style>
  <w:style w:type="paragraph" w:customStyle="1" w:styleId="Tablefootnote">
    <w:name w:val="Table footnote"/>
    <w:basedOn w:val="ListBullet"/>
    <w:link w:val="TablefootnoteChar"/>
    <w:qFormat/>
    <w:rsid w:val="001671D6"/>
    <w:pPr>
      <w:keepNext/>
      <w:numPr>
        <w:numId w:val="0"/>
      </w:numPr>
      <w:spacing w:after="0" w:line="240" w:lineRule="auto"/>
      <w:ind w:left="360" w:hanging="360"/>
    </w:pPr>
    <w:rPr>
      <w:i/>
      <w:sz w:val="18"/>
      <w:szCs w:val="18"/>
    </w:rPr>
  </w:style>
  <w:style w:type="character" w:styleId="CommentReference">
    <w:name w:val="annotation reference"/>
    <w:basedOn w:val="DefaultParagraphFont"/>
    <w:uiPriority w:val="99"/>
    <w:semiHidden/>
    <w:unhideWhenUsed/>
    <w:rsid w:val="0005504B"/>
    <w:rPr>
      <w:sz w:val="16"/>
      <w:szCs w:val="16"/>
    </w:rPr>
  </w:style>
  <w:style w:type="character" w:customStyle="1" w:styleId="ListBulletChar">
    <w:name w:val="List Bullet Char"/>
    <w:basedOn w:val="DefaultParagraphFont"/>
    <w:link w:val="ListBullet"/>
    <w:uiPriority w:val="99"/>
    <w:rsid w:val="001671D6"/>
    <w:rPr>
      <w:rFonts w:ascii="Times New Roman" w:hAnsi="Times New Roman" w:cs="Times New Roman"/>
    </w:rPr>
  </w:style>
  <w:style w:type="character" w:customStyle="1" w:styleId="TablefootnoteChar">
    <w:name w:val="Table footnote Char"/>
    <w:basedOn w:val="ListBulletChar"/>
    <w:link w:val="Tablefootnote"/>
    <w:rsid w:val="001671D6"/>
    <w:rPr>
      <w:rFonts w:ascii="Times New Roman" w:hAnsi="Times New Roman" w:cs="Times New Roman"/>
      <w:i/>
      <w:sz w:val="18"/>
      <w:szCs w:val="18"/>
    </w:rPr>
  </w:style>
  <w:style w:type="paragraph" w:styleId="CommentText">
    <w:name w:val="annotation text"/>
    <w:basedOn w:val="Normal"/>
    <w:link w:val="CommentTextChar"/>
    <w:uiPriority w:val="99"/>
    <w:unhideWhenUsed/>
    <w:rsid w:val="0005504B"/>
    <w:pPr>
      <w:spacing w:line="240" w:lineRule="auto"/>
    </w:pPr>
    <w:rPr>
      <w:sz w:val="20"/>
      <w:szCs w:val="20"/>
    </w:rPr>
  </w:style>
  <w:style w:type="character" w:customStyle="1" w:styleId="CommentTextChar">
    <w:name w:val="Comment Text Char"/>
    <w:basedOn w:val="DefaultParagraphFont"/>
    <w:link w:val="CommentText"/>
    <w:uiPriority w:val="99"/>
    <w:rsid w:val="000550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504B"/>
    <w:rPr>
      <w:b/>
      <w:bCs/>
    </w:rPr>
  </w:style>
  <w:style w:type="character" w:customStyle="1" w:styleId="CommentSubjectChar">
    <w:name w:val="Comment Subject Char"/>
    <w:basedOn w:val="CommentTextChar"/>
    <w:link w:val="CommentSubject"/>
    <w:uiPriority w:val="99"/>
    <w:semiHidden/>
    <w:rsid w:val="0005504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5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4B"/>
    <w:rPr>
      <w:rFonts w:ascii="Tahoma" w:hAnsi="Tahoma" w:cs="Tahoma"/>
      <w:sz w:val="16"/>
      <w:szCs w:val="16"/>
    </w:rPr>
  </w:style>
  <w:style w:type="character" w:customStyle="1" w:styleId="Heading4Char">
    <w:name w:val="Heading 4 Char"/>
    <w:basedOn w:val="DefaultParagraphFont"/>
    <w:link w:val="Heading4"/>
    <w:uiPriority w:val="9"/>
    <w:rsid w:val="0085027E"/>
    <w:rPr>
      <w:rFonts w:ascii="Times New Roman" w:hAnsi="Times New Roman" w:cs="Times New Roman"/>
      <w:i/>
      <w:sz w:val="24"/>
      <w:szCs w:val="24"/>
      <w:u w:val="single"/>
    </w:rPr>
  </w:style>
  <w:style w:type="paragraph" w:styleId="NormalWeb">
    <w:name w:val="Normal (Web)"/>
    <w:basedOn w:val="Normal"/>
    <w:uiPriority w:val="99"/>
    <w:semiHidden/>
    <w:unhideWhenUsed/>
    <w:rsid w:val="006F61F7"/>
    <w:pPr>
      <w:spacing w:before="100" w:beforeAutospacing="1" w:after="100" w:afterAutospacing="1" w:line="240" w:lineRule="auto"/>
    </w:pPr>
    <w:rPr>
      <w:rFonts w:eastAsiaTheme="minorEastAsia"/>
      <w:sz w:val="24"/>
      <w:szCs w:val="24"/>
      <w:lang w:eastAsia="en-GB"/>
    </w:rPr>
  </w:style>
  <w:style w:type="character" w:customStyle="1" w:styleId="Heading5Char">
    <w:name w:val="Heading 5 Char"/>
    <w:basedOn w:val="DefaultParagraphFont"/>
    <w:link w:val="Heading5"/>
    <w:uiPriority w:val="9"/>
    <w:rsid w:val="009B11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B11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B11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B11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B11B6"/>
    <w:rPr>
      <w:rFonts w:asciiTheme="majorHAnsi" w:eastAsiaTheme="majorEastAsia" w:hAnsiTheme="majorHAnsi" w:cstheme="majorBidi"/>
      <w:i/>
      <w:iCs/>
      <w:spacing w:val="5"/>
      <w:sz w:val="20"/>
      <w:szCs w:val="20"/>
    </w:rPr>
  </w:style>
  <w:style w:type="numbering" w:customStyle="1" w:styleId="NoList1">
    <w:name w:val="No List1"/>
    <w:next w:val="NoList"/>
    <w:uiPriority w:val="99"/>
    <w:semiHidden/>
    <w:unhideWhenUsed/>
    <w:rsid w:val="009B11B6"/>
  </w:style>
  <w:style w:type="paragraph" w:styleId="Title">
    <w:name w:val="Title"/>
    <w:basedOn w:val="Normal"/>
    <w:next w:val="Normal"/>
    <w:link w:val="TitleChar"/>
    <w:uiPriority w:val="10"/>
    <w:qFormat/>
    <w:rsid w:val="009B11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B11B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B11B6"/>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B11B6"/>
    <w:rPr>
      <w:rFonts w:asciiTheme="majorHAnsi" w:eastAsiaTheme="majorEastAsia" w:hAnsiTheme="majorHAnsi" w:cstheme="majorBidi"/>
      <w:i/>
      <w:iCs/>
      <w:spacing w:val="13"/>
      <w:sz w:val="24"/>
      <w:szCs w:val="24"/>
    </w:rPr>
  </w:style>
  <w:style w:type="character" w:styleId="Strong">
    <w:name w:val="Strong"/>
    <w:uiPriority w:val="22"/>
    <w:qFormat/>
    <w:rsid w:val="009B11B6"/>
    <w:rPr>
      <w:b/>
      <w:bCs/>
    </w:rPr>
  </w:style>
  <w:style w:type="character" w:styleId="Emphasis">
    <w:name w:val="Emphasis"/>
    <w:uiPriority w:val="20"/>
    <w:qFormat/>
    <w:rsid w:val="009B11B6"/>
    <w:rPr>
      <w:b/>
      <w:bCs/>
      <w:i/>
      <w:iCs/>
      <w:spacing w:val="10"/>
      <w:bdr w:val="none" w:sz="0" w:space="0" w:color="auto"/>
      <w:shd w:val="clear" w:color="auto" w:fill="auto"/>
    </w:rPr>
  </w:style>
  <w:style w:type="paragraph" w:styleId="NoSpacing">
    <w:name w:val="No Spacing"/>
    <w:basedOn w:val="Normal"/>
    <w:link w:val="NoSpacingChar"/>
    <w:uiPriority w:val="1"/>
    <w:qFormat/>
    <w:rsid w:val="009B11B6"/>
    <w:pPr>
      <w:spacing w:after="0" w:line="240" w:lineRule="auto"/>
    </w:pPr>
    <w:rPr>
      <w:rFonts w:asciiTheme="minorHAnsi" w:eastAsiaTheme="minorEastAsia" w:hAnsiTheme="minorHAnsi" w:cstheme="minorBidi"/>
    </w:rPr>
  </w:style>
  <w:style w:type="paragraph" w:styleId="Quote">
    <w:name w:val="Quote"/>
    <w:basedOn w:val="Normal"/>
    <w:next w:val="Normal"/>
    <w:link w:val="QuoteChar"/>
    <w:uiPriority w:val="29"/>
    <w:qFormat/>
    <w:rsid w:val="009B11B6"/>
    <w:pPr>
      <w:spacing w:before="200" w:after="0" w:line="276"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9B11B6"/>
    <w:rPr>
      <w:rFonts w:eastAsiaTheme="minorEastAsia"/>
      <w:i/>
      <w:iCs/>
    </w:rPr>
  </w:style>
  <w:style w:type="paragraph" w:styleId="IntenseQuote">
    <w:name w:val="Intense Quote"/>
    <w:basedOn w:val="Normal"/>
    <w:next w:val="Normal"/>
    <w:link w:val="IntenseQuoteChar"/>
    <w:uiPriority w:val="30"/>
    <w:qFormat/>
    <w:rsid w:val="009B11B6"/>
    <w:pPr>
      <w:pBdr>
        <w:bottom w:val="single" w:sz="4" w:space="1" w:color="auto"/>
      </w:pBdr>
      <w:spacing w:before="200" w:after="280" w:line="276"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9B11B6"/>
    <w:rPr>
      <w:rFonts w:eastAsiaTheme="minorEastAsia"/>
      <w:b/>
      <w:bCs/>
      <w:i/>
      <w:iCs/>
    </w:rPr>
  </w:style>
  <w:style w:type="character" w:styleId="SubtleEmphasis">
    <w:name w:val="Subtle Emphasis"/>
    <w:uiPriority w:val="19"/>
    <w:qFormat/>
    <w:rsid w:val="009B11B6"/>
    <w:rPr>
      <w:i/>
      <w:iCs/>
    </w:rPr>
  </w:style>
  <w:style w:type="character" w:styleId="IntenseEmphasis">
    <w:name w:val="Intense Emphasis"/>
    <w:uiPriority w:val="21"/>
    <w:qFormat/>
    <w:rsid w:val="009B11B6"/>
    <w:rPr>
      <w:b/>
      <w:bCs/>
    </w:rPr>
  </w:style>
  <w:style w:type="character" w:styleId="SubtleReference">
    <w:name w:val="Subtle Reference"/>
    <w:uiPriority w:val="31"/>
    <w:qFormat/>
    <w:rsid w:val="009B11B6"/>
    <w:rPr>
      <w:smallCaps/>
    </w:rPr>
  </w:style>
  <w:style w:type="character" w:styleId="IntenseReference">
    <w:name w:val="Intense Reference"/>
    <w:uiPriority w:val="32"/>
    <w:qFormat/>
    <w:rsid w:val="009B11B6"/>
    <w:rPr>
      <w:smallCaps/>
      <w:spacing w:val="5"/>
      <w:u w:val="single"/>
    </w:rPr>
  </w:style>
  <w:style w:type="character" w:styleId="BookTitle">
    <w:name w:val="Book Title"/>
    <w:uiPriority w:val="33"/>
    <w:qFormat/>
    <w:rsid w:val="009B11B6"/>
    <w:rPr>
      <w:sz w:val="36"/>
      <w:szCs w:val="36"/>
    </w:rPr>
  </w:style>
  <w:style w:type="paragraph" w:styleId="TOCHeading">
    <w:name w:val="TOC Heading"/>
    <w:basedOn w:val="Heading1"/>
    <w:next w:val="Normal"/>
    <w:uiPriority w:val="39"/>
    <w:semiHidden/>
    <w:unhideWhenUsed/>
    <w:qFormat/>
    <w:rsid w:val="000B60B5"/>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NoSpacingChar">
    <w:name w:val="No Spacing Char"/>
    <w:basedOn w:val="DefaultParagraphFont"/>
    <w:link w:val="NoSpacing"/>
    <w:uiPriority w:val="1"/>
    <w:rsid w:val="009B11B6"/>
    <w:rPr>
      <w:rFonts w:eastAsiaTheme="minorEastAsia"/>
    </w:rPr>
  </w:style>
  <w:style w:type="paragraph" w:customStyle="1" w:styleId="CaptionTable">
    <w:name w:val="Caption_Table"/>
    <w:basedOn w:val="Normal"/>
    <w:qFormat/>
    <w:rsid w:val="00AE6EB7"/>
    <w:pPr>
      <w:keepNext/>
      <w:spacing w:after="0" w:line="240" w:lineRule="auto"/>
    </w:pPr>
    <w:rPr>
      <w:rFonts w:ascii="Calibri" w:eastAsia="Times New Roman" w:hAnsi="Calibri"/>
      <w:b/>
      <w:bCs/>
      <w:color w:val="FFFFFF"/>
      <w:sz w:val="18"/>
      <w:szCs w:val="18"/>
      <w:lang w:eastAsia="en-GB"/>
    </w:rPr>
  </w:style>
  <w:style w:type="paragraph" w:customStyle="1" w:styleId="FootNote">
    <w:name w:val="Foot Note"/>
    <w:basedOn w:val="Normal"/>
    <w:qFormat/>
    <w:rsid w:val="009B11B6"/>
    <w:pPr>
      <w:spacing w:after="0" w:line="240" w:lineRule="auto"/>
    </w:pPr>
    <w:rPr>
      <w:rFonts w:eastAsiaTheme="minorEastAsia"/>
      <w:sz w:val="18"/>
      <w:szCs w:val="18"/>
    </w:rPr>
  </w:style>
  <w:style w:type="character" w:styleId="Hyperlink">
    <w:name w:val="Hyperlink"/>
    <w:basedOn w:val="DefaultParagraphFont"/>
    <w:uiPriority w:val="99"/>
    <w:unhideWhenUsed/>
    <w:rsid w:val="009B11B6"/>
    <w:rPr>
      <w:color w:val="0000FF"/>
      <w:u w:val="single"/>
    </w:rPr>
  </w:style>
  <w:style w:type="paragraph" w:customStyle="1" w:styleId="tabletext">
    <w:name w:val="table text"/>
    <w:basedOn w:val="Normal"/>
    <w:link w:val="tabletextChar"/>
    <w:qFormat/>
    <w:rsid w:val="009B11B6"/>
    <w:pPr>
      <w:keepNext/>
      <w:spacing w:after="0" w:line="240" w:lineRule="auto"/>
      <w:jc w:val="right"/>
    </w:pPr>
    <w:rPr>
      <w:rFonts w:ascii="Calibri" w:eastAsia="Times New Roman" w:hAnsi="Calibri"/>
      <w:color w:val="000000"/>
      <w:sz w:val="20"/>
      <w:szCs w:val="20"/>
      <w:lang w:eastAsia="en-GB"/>
    </w:rPr>
  </w:style>
  <w:style w:type="paragraph" w:customStyle="1" w:styleId="tableheading">
    <w:name w:val="table heading"/>
    <w:basedOn w:val="Normal"/>
    <w:link w:val="tableheadingChar"/>
    <w:qFormat/>
    <w:rsid w:val="009B11B6"/>
    <w:pPr>
      <w:keepNext/>
      <w:spacing w:after="0" w:line="240" w:lineRule="auto"/>
      <w:jc w:val="right"/>
    </w:pPr>
    <w:rPr>
      <w:rFonts w:ascii="Calibri" w:eastAsia="Times New Roman" w:hAnsi="Calibri"/>
      <w:b/>
      <w:noProof/>
      <w:color w:val="000000"/>
      <w:sz w:val="20"/>
      <w:szCs w:val="20"/>
      <w:lang w:eastAsia="en-GB"/>
    </w:rPr>
  </w:style>
  <w:style w:type="character" w:customStyle="1" w:styleId="tabletextChar">
    <w:name w:val="table text Char"/>
    <w:basedOn w:val="DefaultParagraphFont"/>
    <w:link w:val="tabletext"/>
    <w:rsid w:val="009B11B6"/>
    <w:rPr>
      <w:rFonts w:ascii="Calibri" w:eastAsia="Times New Roman" w:hAnsi="Calibri" w:cs="Times New Roman"/>
      <w:color w:val="000000"/>
      <w:sz w:val="20"/>
      <w:szCs w:val="20"/>
      <w:lang w:eastAsia="en-GB"/>
    </w:rPr>
  </w:style>
  <w:style w:type="paragraph" w:customStyle="1" w:styleId="tabletext-heading">
    <w:name w:val="table text-heading"/>
    <w:basedOn w:val="Normal"/>
    <w:link w:val="tabletext-headingChar"/>
    <w:qFormat/>
    <w:rsid w:val="009B11B6"/>
    <w:pPr>
      <w:keepNext/>
      <w:spacing w:after="0" w:line="240" w:lineRule="auto"/>
    </w:pPr>
    <w:rPr>
      <w:rFonts w:ascii="Calibri" w:eastAsia="Times New Roman" w:hAnsi="Calibri"/>
      <w:b/>
      <w:color w:val="000000"/>
      <w:sz w:val="20"/>
      <w:szCs w:val="20"/>
      <w:lang w:eastAsia="en-GB"/>
    </w:rPr>
  </w:style>
  <w:style w:type="character" w:customStyle="1" w:styleId="tableheadingChar">
    <w:name w:val="table heading Char"/>
    <w:basedOn w:val="DefaultParagraphFont"/>
    <w:link w:val="tableheading"/>
    <w:rsid w:val="009B11B6"/>
    <w:rPr>
      <w:rFonts w:ascii="Calibri" w:eastAsia="Times New Roman" w:hAnsi="Calibri" w:cs="Times New Roman"/>
      <w:b/>
      <w:noProof/>
      <w:color w:val="000000"/>
      <w:sz w:val="20"/>
      <w:szCs w:val="20"/>
      <w:lang w:eastAsia="en-GB"/>
    </w:rPr>
  </w:style>
  <w:style w:type="paragraph" w:customStyle="1" w:styleId="tablesub-text">
    <w:name w:val="table sub-text"/>
    <w:basedOn w:val="Normal"/>
    <w:link w:val="tablesub-textChar"/>
    <w:qFormat/>
    <w:rsid w:val="009B11B6"/>
    <w:pPr>
      <w:keepNext/>
      <w:spacing w:after="0" w:line="240" w:lineRule="auto"/>
    </w:pPr>
    <w:rPr>
      <w:rFonts w:ascii="Calibri" w:eastAsia="Times New Roman" w:hAnsi="Calibri"/>
      <w:color w:val="000000"/>
      <w:sz w:val="20"/>
      <w:szCs w:val="20"/>
      <w:lang w:eastAsia="en-GB"/>
    </w:rPr>
  </w:style>
  <w:style w:type="character" w:customStyle="1" w:styleId="tabletext-headingChar">
    <w:name w:val="table text-heading Char"/>
    <w:basedOn w:val="DefaultParagraphFont"/>
    <w:link w:val="tabletext-heading"/>
    <w:rsid w:val="009B11B6"/>
    <w:rPr>
      <w:rFonts w:ascii="Calibri" w:eastAsia="Times New Roman" w:hAnsi="Calibri" w:cs="Times New Roman"/>
      <w:b/>
      <w:color w:val="000000"/>
      <w:sz w:val="20"/>
      <w:szCs w:val="20"/>
      <w:lang w:eastAsia="en-GB"/>
    </w:rPr>
  </w:style>
  <w:style w:type="character" w:customStyle="1" w:styleId="tablesub-textChar">
    <w:name w:val="table sub-text Char"/>
    <w:basedOn w:val="DefaultParagraphFont"/>
    <w:link w:val="tablesub-text"/>
    <w:rsid w:val="009B11B6"/>
    <w:rPr>
      <w:rFonts w:ascii="Calibri" w:eastAsia="Times New Roman" w:hAnsi="Calibri" w:cs="Times New Roman"/>
      <w:color w:val="000000"/>
      <w:sz w:val="20"/>
      <w:szCs w:val="20"/>
      <w:lang w:eastAsia="en-GB"/>
    </w:rPr>
  </w:style>
  <w:style w:type="paragraph" w:styleId="Revision">
    <w:name w:val="Revision"/>
    <w:hidden/>
    <w:uiPriority w:val="99"/>
    <w:semiHidden/>
    <w:rsid w:val="009B11B6"/>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B11B6"/>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B11B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B11B6"/>
    <w:pPr>
      <w:tabs>
        <w:tab w:val="center" w:pos="4513"/>
        <w:tab w:val="right" w:pos="9026"/>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B11B6"/>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0B60B5"/>
    <w:pPr>
      <w:spacing w:after="100"/>
    </w:pPr>
  </w:style>
  <w:style w:type="paragraph" w:styleId="TOC2">
    <w:name w:val="toc 2"/>
    <w:basedOn w:val="Normal"/>
    <w:next w:val="Normal"/>
    <w:autoRedefine/>
    <w:uiPriority w:val="39"/>
    <w:unhideWhenUsed/>
    <w:rsid w:val="000B60B5"/>
    <w:pPr>
      <w:spacing w:after="100"/>
      <w:ind w:left="220"/>
    </w:pPr>
  </w:style>
  <w:style w:type="paragraph" w:styleId="TOC3">
    <w:name w:val="toc 3"/>
    <w:basedOn w:val="Normal"/>
    <w:next w:val="Normal"/>
    <w:autoRedefine/>
    <w:uiPriority w:val="39"/>
    <w:unhideWhenUsed/>
    <w:rsid w:val="000B60B5"/>
    <w:pPr>
      <w:spacing w:after="100"/>
      <w:ind w:left="440"/>
    </w:pPr>
  </w:style>
  <w:style w:type="paragraph" w:styleId="TableofFigures">
    <w:name w:val="table of figures"/>
    <w:basedOn w:val="Normal"/>
    <w:next w:val="Normal"/>
    <w:uiPriority w:val="99"/>
    <w:unhideWhenUsed/>
    <w:rsid w:val="000B60B5"/>
    <w:pPr>
      <w:spacing w:after="0"/>
    </w:pPr>
  </w:style>
  <w:style w:type="table" w:styleId="TableGrid">
    <w:name w:val="Table Grid"/>
    <w:basedOn w:val="TableNormal"/>
    <w:uiPriority w:val="59"/>
    <w:rsid w:val="006A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81EE7"/>
  </w:style>
  <w:style w:type="character" w:customStyle="1" w:styleId="xapple-converted-space">
    <w:name w:val="x_apple-converted-space"/>
    <w:basedOn w:val="DefaultParagraphFont"/>
    <w:rsid w:val="00067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ED"/>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85027E"/>
    <w:pPr>
      <w:numPr>
        <w:numId w:val="3"/>
      </w:numPr>
      <w:spacing w:after="360"/>
      <w:outlineLvl w:val="0"/>
    </w:pPr>
    <w:rPr>
      <w:b/>
      <w:sz w:val="36"/>
      <w:szCs w:val="36"/>
    </w:rPr>
  </w:style>
  <w:style w:type="paragraph" w:styleId="Heading2">
    <w:name w:val="heading 2"/>
    <w:basedOn w:val="Heading1"/>
    <w:next w:val="Normal"/>
    <w:link w:val="Heading2Char"/>
    <w:uiPriority w:val="9"/>
    <w:unhideWhenUsed/>
    <w:qFormat/>
    <w:rsid w:val="00DB6A0E"/>
    <w:pPr>
      <w:pageBreakBefore/>
      <w:numPr>
        <w:numId w:val="4"/>
      </w:numPr>
      <w:spacing w:before="240" w:after="240"/>
      <w:outlineLvl w:val="1"/>
    </w:pPr>
    <w:rPr>
      <w:sz w:val="28"/>
      <w:szCs w:val="28"/>
    </w:rPr>
  </w:style>
  <w:style w:type="paragraph" w:styleId="Heading3">
    <w:name w:val="heading 3"/>
    <w:basedOn w:val="Heading2"/>
    <w:next w:val="Normal"/>
    <w:link w:val="Heading3Char"/>
    <w:uiPriority w:val="9"/>
    <w:unhideWhenUsed/>
    <w:qFormat/>
    <w:rsid w:val="00DB6A0E"/>
    <w:pPr>
      <w:pageBreakBefore w:val="0"/>
      <w:numPr>
        <w:ilvl w:val="1"/>
        <w:numId w:val="5"/>
      </w:numPr>
      <w:ind w:left="794" w:hanging="794"/>
      <w:outlineLvl w:val="2"/>
    </w:pPr>
    <w:rPr>
      <w:sz w:val="24"/>
      <w:szCs w:val="24"/>
    </w:rPr>
  </w:style>
  <w:style w:type="paragraph" w:styleId="Heading4">
    <w:name w:val="heading 4"/>
    <w:basedOn w:val="Heading3"/>
    <w:next w:val="Normal"/>
    <w:link w:val="Heading4Char"/>
    <w:uiPriority w:val="9"/>
    <w:unhideWhenUsed/>
    <w:qFormat/>
    <w:rsid w:val="0085027E"/>
    <w:pPr>
      <w:numPr>
        <w:ilvl w:val="3"/>
      </w:numPr>
      <w:ind w:left="1080" w:hanging="1080"/>
      <w:outlineLvl w:val="3"/>
    </w:pPr>
    <w:rPr>
      <w:b w:val="0"/>
      <w:i/>
      <w:u w:val="single"/>
    </w:rPr>
  </w:style>
  <w:style w:type="paragraph" w:styleId="Heading5">
    <w:name w:val="heading 5"/>
    <w:basedOn w:val="Normal"/>
    <w:next w:val="Normal"/>
    <w:link w:val="Heading5Char"/>
    <w:uiPriority w:val="9"/>
    <w:unhideWhenUsed/>
    <w:qFormat/>
    <w:rsid w:val="009B11B6"/>
    <w:pPr>
      <w:spacing w:before="200" w:after="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B11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B11B6"/>
    <w:pPr>
      <w:spacing w:after="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B11B6"/>
    <w:pPr>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B11B6"/>
    <w:pPr>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uiPriority w:val="99"/>
    <w:unhideWhenUsed/>
    <w:rsid w:val="00B04A3F"/>
    <w:pPr>
      <w:numPr>
        <w:numId w:val="1"/>
      </w:numPr>
      <w:contextualSpacing/>
    </w:pPr>
  </w:style>
  <w:style w:type="character" w:customStyle="1" w:styleId="Heading2Char">
    <w:name w:val="Heading 2 Char"/>
    <w:basedOn w:val="DefaultParagraphFont"/>
    <w:link w:val="Heading2"/>
    <w:uiPriority w:val="9"/>
    <w:rsid w:val="00DB6A0E"/>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85027E"/>
    <w:rPr>
      <w:rFonts w:ascii="Times New Roman" w:hAnsi="Times New Roman" w:cs="Times New Roman"/>
      <w:b/>
      <w:sz w:val="36"/>
      <w:szCs w:val="36"/>
    </w:rPr>
  </w:style>
  <w:style w:type="character" w:customStyle="1" w:styleId="Heading3Char">
    <w:name w:val="Heading 3 Char"/>
    <w:basedOn w:val="DefaultParagraphFont"/>
    <w:link w:val="Heading3"/>
    <w:uiPriority w:val="9"/>
    <w:rsid w:val="00DB6A0E"/>
    <w:rPr>
      <w:rFonts w:ascii="Times New Roman" w:hAnsi="Times New Roman" w:cs="Times New Roman"/>
      <w:b/>
      <w:sz w:val="24"/>
      <w:szCs w:val="24"/>
    </w:rPr>
  </w:style>
  <w:style w:type="paragraph" w:styleId="Caption">
    <w:name w:val="caption"/>
    <w:aliases w:val="Figure"/>
    <w:basedOn w:val="Normal"/>
    <w:next w:val="Normal"/>
    <w:uiPriority w:val="35"/>
    <w:unhideWhenUsed/>
    <w:qFormat/>
    <w:rsid w:val="00AE6EB7"/>
    <w:pPr>
      <w:keepNext/>
      <w:spacing w:after="0" w:line="240" w:lineRule="auto"/>
    </w:pPr>
    <w:rPr>
      <w:b/>
      <w:bCs/>
    </w:rPr>
  </w:style>
  <w:style w:type="paragraph" w:styleId="ListParagraph">
    <w:name w:val="List Paragraph"/>
    <w:basedOn w:val="Normal"/>
    <w:uiPriority w:val="34"/>
    <w:qFormat/>
    <w:rsid w:val="002D010F"/>
    <w:pPr>
      <w:ind w:left="720"/>
      <w:contextualSpacing/>
    </w:pPr>
  </w:style>
  <w:style w:type="paragraph" w:customStyle="1" w:styleId="Tablefootnote">
    <w:name w:val="Table footnote"/>
    <w:basedOn w:val="ListBullet"/>
    <w:link w:val="TablefootnoteChar"/>
    <w:qFormat/>
    <w:rsid w:val="001671D6"/>
    <w:pPr>
      <w:keepNext/>
      <w:numPr>
        <w:numId w:val="0"/>
      </w:numPr>
      <w:spacing w:after="0" w:line="240" w:lineRule="auto"/>
      <w:ind w:left="360" w:hanging="360"/>
    </w:pPr>
    <w:rPr>
      <w:i/>
      <w:sz w:val="18"/>
      <w:szCs w:val="18"/>
    </w:rPr>
  </w:style>
  <w:style w:type="character" w:styleId="CommentReference">
    <w:name w:val="annotation reference"/>
    <w:basedOn w:val="DefaultParagraphFont"/>
    <w:uiPriority w:val="99"/>
    <w:semiHidden/>
    <w:unhideWhenUsed/>
    <w:rsid w:val="0005504B"/>
    <w:rPr>
      <w:sz w:val="16"/>
      <w:szCs w:val="16"/>
    </w:rPr>
  </w:style>
  <w:style w:type="character" w:customStyle="1" w:styleId="ListBulletChar">
    <w:name w:val="List Bullet Char"/>
    <w:basedOn w:val="DefaultParagraphFont"/>
    <w:link w:val="ListBullet"/>
    <w:uiPriority w:val="99"/>
    <w:rsid w:val="001671D6"/>
    <w:rPr>
      <w:rFonts w:ascii="Times New Roman" w:hAnsi="Times New Roman" w:cs="Times New Roman"/>
    </w:rPr>
  </w:style>
  <w:style w:type="character" w:customStyle="1" w:styleId="TablefootnoteChar">
    <w:name w:val="Table footnote Char"/>
    <w:basedOn w:val="ListBulletChar"/>
    <w:link w:val="Tablefootnote"/>
    <w:rsid w:val="001671D6"/>
    <w:rPr>
      <w:rFonts w:ascii="Times New Roman" w:hAnsi="Times New Roman" w:cs="Times New Roman"/>
      <w:i/>
      <w:sz w:val="18"/>
      <w:szCs w:val="18"/>
    </w:rPr>
  </w:style>
  <w:style w:type="paragraph" w:styleId="CommentText">
    <w:name w:val="annotation text"/>
    <w:basedOn w:val="Normal"/>
    <w:link w:val="CommentTextChar"/>
    <w:uiPriority w:val="99"/>
    <w:unhideWhenUsed/>
    <w:rsid w:val="0005504B"/>
    <w:pPr>
      <w:spacing w:line="240" w:lineRule="auto"/>
    </w:pPr>
    <w:rPr>
      <w:sz w:val="20"/>
      <w:szCs w:val="20"/>
    </w:rPr>
  </w:style>
  <w:style w:type="character" w:customStyle="1" w:styleId="CommentTextChar">
    <w:name w:val="Comment Text Char"/>
    <w:basedOn w:val="DefaultParagraphFont"/>
    <w:link w:val="CommentText"/>
    <w:uiPriority w:val="99"/>
    <w:rsid w:val="0005504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504B"/>
    <w:rPr>
      <w:b/>
      <w:bCs/>
    </w:rPr>
  </w:style>
  <w:style w:type="character" w:customStyle="1" w:styleId="CommentSubjectChar">
    <w:name w:val="Comment Subject Char"/>
    <w:basedOn w:val="CommentTextChar"/>
    <w:link w:val="CommentSubject"/>
    <w:uiPriority w:val="99"/>
    <w:semiHidden/>
    <w:rsid w:val="0005504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5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4B"/>
    <w:rPr>
      <w:rFonts w:ascii="Tahoma" w:hAnsi="Tahoma" w:cs="Tahoma"/>
      <w:sz w:val="16"/>
      <w:szCs w:val="16"/>
    </w:rPr>
  </w:style>
  <w:style w:type="character" w:customStyle="1" w:styleId="Heading4Char">
    <w:name w:val="Heading 4 Char"/>
    <w:basedOn w:val="DefaultParagraphFont"/>
    <w:link w:val="Heading4"/>
    <w:uiPriority w:val="9"/>
    <w:rsid w:val="0085027E"/>
    <w:rPr>
      <w:rFonts w:ascii="Times New Roman" w:hAnsi="Times New Roman" w:cs="Times New Roman"/>
      <w:i/>
      <w:sz w:val="24"/>
      <w:szCs w:val="24"/>
      <w:u w:val="single"/>
    </w:rPr>
  </w:style>
  <w:style w:type="paragraph" w:styleId="NormalWeb">
    <w:name w:val="Normal (Web)"/>
    <w:basedOn w:val="Normal"/>
    <w:uiPriority w:val="99"/>
    <w:semiHidden/>
    <w:unhideWhenUsed/>
    <w:rsid w:val="006F61F7"/>
    <w:pPr>
      <w:spacing w:before="100" w:beforeAutospacing="1" w:after="100" w:afterAutospacing="1" w:line="240" w:lineRule="auto"/>
    </w:pPr>
    <w:rPr>
      <w:rFonts w:eastAsiaTheme="minorEastAsia"/>
      <w:sz w:val="24"/>
      <w:szCs w:val="24"/>
      <w:lang w:eastAsia="en-GB"/>
    </w:rPr>
  </w:style>
  <w:style w:type="character" w:customStyle="1" w:styleId="Heading5Char">
    <w:name w:val="Heading 5 Char"/>
    <w:basedOn w:val="DefaultParagraphFont"/>
    <w:link w:val="Heading5"/>
    <w:uiPriority w:val="9"/>
    <w:rsid w:val="009B11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B11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B11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B11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B11B6"/>
    <w:rPr>
      <w:rFonts w:asciiTheme="majorHAnsi" w:eastAsiaTheme="majorEastAsia" w:hAnsiTheme="majorHAnsi" w:cstheme="majorBidi"/>
      <w:i/>
      <w:iCs/>
      <w:spacing w:val="5"/>
      <w:sz w:val="20"/>
      <w:szCs w:val="20"/>
    </w:rPr>
  </w:style>
  <w:style w:type="numbering" w:customStyle="1" w:styleId="NoList1">
    <w:name w:val="No List1"/>
    <w:next w:val="NoList"/>
    <w:uiPriority w:val="99"/>
    <w:semiHidden/>
    <w:unhideWhenUsed/>
    <w:rsid w:val="009B11B6"/>
  </w:style>
  <w:style w:type="paragraph" w:styleId="Title">
    <w:name w:val="Title"/>
    <w:basedOn w:val="Normal"/>
    <w:next w:val="Normal"/>
    <w:link w:val="TitleChar"/>
    <w:uiPriority w:val="10"/>
    <w:qFormat/>
    <w:rsid w:val="009B11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B11B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B11B6"/>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B11B6"/>
    <w:rPr>
      <w:rFonts w:asciiTheme="majorHAnsi" w:eastAsiaTheme="majorEastAsia" w:hAnsiTheme="majorHAnsi" w:cstheme="majorBidi"/>
      <w:i/>
      <w:iCs/>
      <w:spacing w:val="13"/>
      <w:sz w:val="24"/>
      <w:szCs w:val="24"/>
    </w:rPr>
  </w:style>
  <w:style w:type="character" w:styleId="Strong">
    <w:name w:val="Strong"/>
    <w:uiPriority w:val="22"/>
    <w:qFormat/>
    <w:rsid w:val="009B11B6"/>
    <w:rPr>
      <w:b/>
      <w:bCs/>
    </w:rPr>
  </w:style>
  <w:style w:type="character" w:styleId="Emphasis">
    <w:name w:val="Emphasis"/>
    <w:uiPriority w:val="20"/>
    <w:qFormat/>
    <w:rsid w:val="009B11B6"/>
    <w:rPr>
      <w:b/>
      <w:bCs/>
      <w:i/>
      <w:iCs/>
      <w:spacing w:val="10"/>
      <w:bdr w:val="none" w:sz="0" w:space="0" w:color="auto"/>
      <w:shd w:val="clear" w:color="auto" w:fill="auto"/>
    </w:rPr>
  </w:style>
  <w:style w:type="paragraph" w:styleId="NoSpacing">
    <w:name w:val="No Spacing"/>
    <w:basedOn w:val="Normal"/>
    <w:link w:val="NoSpacingChar"/>
    <w:uiPriority w:val="1"/>
    <w:qFormat/>
    <w:rsid w:val="009B11B6"/>
    <w:pPr>
      <w:spacing w:after="0" w:line="240" w:lineRule="auto"/>
    </w:pPr>
    <w:rPr>
      <w:rFonts w:asciiTheme="minorHAnsi" w:eastAsiaTheme="minorEastAsia" w:hAnsiTheme="minorHAnsi" w:cstheme="minorBidi"/>
    </w:rPr>
  </w:style>
  <w:style w:type="paragraph" w:styleId="Quote">
    <w:name w:val="Quote"/>
    <w:basedOn w:val="Normal"/>
    <w:next w:val="Normal"/>
    <w:link w:val="QuoteChar"/>
    <w:uiPriority w:val="29"/>
    <w:qFormat/>
    <w:rsid w:val="009B11B6"/>
    <w:pPr>
      <w:spacing w:before="200" w:after="0" w:line="276"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9B11B6"/>
    <w:rPr>
      <w:rFonts w:eastAsiaTheme="minorEastAsia"/>
      <w:i/>
      <w:iCs/>
    </w:rPr>
  </w:style>
  <w:style w:type="paragraph" w:styleId="IntenseQuote">
    <w:name w:val="Intense Quote"/>
    <w:basedOn w:val="Normal"/>
    <w:next w:val="Normal"/>
    <w:link w:val="IntenseQuoteChar"/>
    <w:uiPriority w:val="30"/>
    <w:qFormat/>
    <w:rsid w:val="009B11B6"/>
    <w:pPr>
      <w:pBdr>
        <w:bottom w:val="single" w:sz="4" w:space="1" w:color="auto"/>
      </w:pBdr>
      <w:spacing w:before="200" w:after="280" w:line="276"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9B11B6"/>
    <w:rPr>
      <w:rFonts w:eastAsiaTheme="minorEastAsia"/>
      <w:b/>
      <w:bCs/>
      <w:i/>
      <w:iCs/>
    </w:rPr>
  </w:style>
  <w:style w:type="character" w:styleId="SubtleEmphasis">
    <w:name w:val="Subtle Emphasis"/>
    <w:uiPriority w:val="19"/>
    <w:qFormat/>
    <w:rsid w:val="009B11B6"/>
    <w:rPr>
      <w:i/>
      <w:iCs/>
    </w:rPr>
  </w:style>
  <w:style w:type="character" w:styleId="IntenseEmphasis">
    <w:name w:val="Intense Emphasis"/>
    <w:uiPriority w:val="21"/>
    <w:qFormat/>
    <w:rsid w:val="009B11B6"/>
    <w:rPr>
      <w:b/>
      <w:bCs/>
    </w:rPr>
  </w:style>
  <w:style w:type="character" w:styleId="SubtleReference">
    <w:name w:val="Subtle Reference"/>
    <w:uiPriority w:val="31"/>
    <w:qFormat/>
    <w:rsid w:val="009B11B6"/>
    <w:rPr>
      <w:smallCaps/>
    </w:rPr>
  </w:style>
  <w:style w:type="character" w:styleId="IntenseReference">
    <w:name w:val="Intense Reference"/>
    <w:uiPriority w:val="32"/>
    <w:qFormat/>
    <w:rsid w:val="009B11B6"/>
    <w:rPr>
      <w:smallCaps/>
      <w:spacing w:val="5"/>
      <w:u w:val="single"/>
    </w:rPr>
  </w:style>
  <w:style w:type="character" w:styleId="BookTitle">
    <w:name w:val="Book Title"/>
    <w:uiPriority w:val="33"/>
    <w:qFormat/>
    <w:rsid w:val="009B11B6"/>
    <w:rPr>
      <w:sz w:val="36"/>
      <w:szCs w:val="36"/>
    </w:rPr>
  </w:style>
  <w:style w:type="paragraph" w:styleId="TOCHeading">
    <w:name w:val="TOC Heading"/>
    <w:basedOn w:val="Heading1"/>
    <w:next w:val="Normal"/>
    <w:uiPriority w:val="39"/>
    <w:semiHidden/>
    <w:unhideWhenUsed/>
    <w:qFormat/>
    <w:rsid w:val="000B60B5"/>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NoSpacingChar">
    <w:name w:val="No Spacing Char"/>
    <w:basedOn w:val="DefaultParagraphFont"/>
    <w:link w:val="NoSpacing"/>
    <w:uiPriority w:val="1"/>
    <w:rsid w:val="009B11B6"/>
    <w:rPr>
      <w:rFonts w:eastAsiaTheme="minorEastAsia"/>
    </w:rPr>
  </w:style>
  <w:style w:type="paragraph" w:customStyle="1" w:styleId="CaptionTable">
    <w:name w:val="Caption_Table"/>
    <w:basedOn w:val="Normal"/>
    <w:qFormat/>
    <w:rsid w:val="00AE6EB7"/>
    <w:pPr>
      <w:keepNext/>
      <w:spacing w:after="0" w:line="240" w:lineRule="auto"/>
    </w:pPr>
    <w:rPr>
      <w:rFonts w:ascii="Calibri" w:eastAsia="Times New Roman" w:hAnsi="Calibri"/>
      <w:b/>
      <w:bCs/>
      <w:color w:val="FFFFFF"/>
      <w:sz w:val="18"/>
      <w:szCs w:val="18"/>
      <w:lang w:eastAsia="en-GB"/>
    </w:rPr>
  </w:style>
  <w:style w:type="paragraph" w:customStyle="1" w:styleId="FootNote">
    <w:name w:val="Foot Note"/>
    <w:basedOn w:val="Normal"/>
    <w:qFormat/>
    <w:rsid w:val="009B11B6"/>
    <w:pPr>
      <w:spacing w:after="0" w:line="240" w:lineRule="auto"/>
    </w:pPr>
    <w:rPr>
      <w:rFonts w:eastAsiaTheme="minorEastAsia"/>
      <w:sz w:val="18"/>
      <w:szCs w:val="18"/>
    </w:rPr>
  </w:style>
  <w:style w:type="character" w:styleId="Hyperlink">
    <w:name w:val="Hyperlink"/>
    <w:basedOn w:val="DefaultParagraphFont"/>
    <w:uiPriority w:val="99"/>
    <w:unhideWhenUsed/>
    <w:rsid w:val="009B11B6"/>
    <w:rPr>
      <w:color w:val="0000FF"/>
      <w:u w:val="single"/>
    </w:rPr>
  </w:style>
  <w:style w:type="paragraph" w:customStyle="1" w:styleId="tabletext">
    <w:name w:val="table text"/>
    <w:basedOn w:val="Normal"/>
    <w:link w:val="tabletextChar"/>
    <w:qFormat/>
    <w:rsid w:val="009B11B6"/>
    <w:pPr>
      <w:keepNext/>
      <w:spacing w:after="0" w:line="240" w:lineRule="auto"/>
      <w:jc w:val="right"/>
    </w:pPr>
    <w:rPr>
      <w:rFonts w:ascii="Calibri" w:eastAsia="Times New Roman" w:hAnsi="Calibri"/>
      <w:color w:val="000000"/>
      <w:sz w:val="20"/>
      <w:szCs w:val="20"/>
      <w:lang w:eastAsia="en-GB"/>
    </w:rPr>
  </w:style>
  <w:style w:type="paragraph" w:customStyle="1" w:styleId="tableheading">
    <w:name w:val="table heading"/>
    <w:basedOn w:val="Normal"/>
    <w:link w:val="tableheadingChar"/>
    <w:qFormat/>
    <w:rsid w:val="009B11B6"/>
    <w:pPr>
      <w:keepNext/>
      <w:spacing w:after="0" w:line="240" w:lineRule="auto"/>
      <w:jc w:val="right"/>
    </w:pPr>
    <w:rPr>
      <w:rFonts w:ascii="Calibri" w:eastAsia="Times New Roman" w:hAnsi="Calibri"/>
      <w:b/>
      <w:noProof/>
      <w:color w:val="000000"/>
      <w:sz w:val="20"/>
      <w:szCs w:val="20"/>
      <w:lang w:eastAsia="en-GB"/>
    </w:rPr>
  </w:style>
  <w:style w:type="character" w:customStyle="1" w:styleId="tabletextChar">
    <w:name w:val="table text Char"/>
    <w:basedOn w:val="DefaultParagraphFont"/>
    <w:link w:val="tabletext"/>
    <w:rsid w:val="009B11B6"/>
    <w:rPr>
      <w:rFonts w:ascii="Calibri" w:eastAsia="Times New Roman" w:hAnsi="Calibri" w:cs="Times New Roman"/>
      <w:color w:val="000000"/>
      <w:sz w:val="20"/>
      <w:szCs w:val="20"/>
      <w:lang w:eastAsia="en-GB"/>
    </w:rPr>
  </w:style>
  <w:style w:type="paragraph" w:customStyle="1" w:styleId="tabletext-heading">
    <w:name w:val="table text-heading"/>
    <w:basedOn w:val="Normal"/>
    <w:link w:val="tabletext-headingChar"/>
    <w:qFormat/>
    <w:rsid w:val="009B11B6"/>
    <w:pPr>
      <w:keepNext/>
      <w:spacing w:after="0" w:line="240" w:lineRule="auto"/>
    </w:pPr>
    <w:rPr>
      <w:rFonts w:ascii="Calibri" w:eastAsia="Times New Roman" w:hAnsi="Calibri"/>
      <w:b/>
      <w:color w:val="000000"/>
      <w:sz w:val="20"/>
      <w:szCs w:val="20"/>
      <w:lang w:eastAsia="en-GB"/>
    </w:rPr>
  </w:style>
  <w:style w:type="character" w:customStyle="1" w:styleId="tableheadingChar">
    <w:name w:val="table heading Char"/>
    <w:basedOn w:val="DefaultParagraphFont"/>
    <w:link w:val="tableheading"/>
    <w:rsid w:val="009B11B6"/>
    <w:rPr>
      <w:rFonts w:ascii="Calibri" w:eastAsia="Times New Roman" w:hAnsi="Calibri" w:cs="Times New Roman"/>
      <w:b/>
      <w:noProof/>
      <w:color w:val="000000"/>
      <w:sz w:val="20"/>
      <w:szCs w:val="20"/>
      <w:lang w:eastAsia="en-GB"/>
    </w:rPr>
  </w:style>
  <w:style w:type="paragraph" w:customStyle="1" w:styleId="tablesub-text">
    <w:name w:val="table sub-text"/>
    <w:basedOn w:val="Normal"/>
    <w:link w:val="tablesub-textChar"/>
    <w:qFormat/>
    <w:rsid w:val="009B11B6"/>
    <w:pPr>
      <w:keepNext/>
      <w:spacing w:after="0" w:line="240" w:lineRule="auto"/>
    </w:pPr>
    <w:rPr>
      <w:rFonts w:ascii="Calibri" w:eastAsia="Times New Roman" w:hAnsi="Calibri"/>
      <w:color w:val="000000"/>
      <w:sz w:val="20"/>
      <w:szCs w:val="20"/>
      <w:lang w:eastAsia="en-GB"/>
    </w:rPr>
  </w:style>
  <w:style w:type="character" w:customStyle="1" w:styleId="tabletext-headingChar">
    <w:name w:val="table text-heading Char"/>
    <w:basedOn w:val="DefaultParagraphFont"/>
    <w:link w:val="tabletext-heading"/>
    <w:rsid w:val="009B11B6"/>
    <w:rPr>
      <w:rFonts w:ascii="Calibri" w:eastAsia="Times New Roman" w:hAnsi="Calibri" w:cs="Times New Roman"/>
      <w:b/>
      <w:color w:val="000000"/>
      <w:sz w:val="20"/>
      <w:szCs w:val="20"/>
      <w:lang w:eastAsia="en-GB"/>
    </w:rPr>
  </w:style>
  <w:style w:type="character" w:customStyle="1" w:styleId="tablesub-textChar">
    <w:name w:val="table sub-text Char"/>
    <w:basedOn w:val="DefaultParagraphFont"/>
    <w:link w:val="tablesub-text"/>
    <w:rsid w:val="009B11B6"/>
    <w:rPr>
      <w:rFonts w:ascii="Calibri" w:eastAsia="Times New Roman" w:hAnsi="Calibri" w:cs="Times New Roman"/>
      <w:color w:val="000000"/>
      <w:sz w:val="20"/>
      <w:szCs w:val="20"/>
      <w:lang w:eastAsia="en-GB"/>
    </w:rPr>
  </w:style>
  <w:style w:type="paragraph" w:styleId="Revision">
    <w:name w:val="Revision"/>
    <w:hidden/>
    <w:uiPriority w:val="99"/>
    <w:semiHidden/>
    <w:rsid w:val="009B11B6"/>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B11B6"/>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9B11B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B11B6"/>
    <w:pPr>
      <w:tabs>
        <w:tab w:val="center" w:pos="4513"/>
        <w:tab w:val="right" w:pos="9026"/>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B11B6"/>
    <w:rPr>
      <w:rFonts w:ascii="Times New Roman" w:eastAsiaTheme="minorEastAsia" w:hAnsi="Times New Roman" w:cs="Times New Roman"/>
      <w:sz w:val="24"/>
      <w:szCs w:val="24"/>
    </w:rPr>
  </w:style>
  <w:style w:type="paragraph" w:styleId="TOC1">
    <w:name w:val="toc 1"/>
    <w:basedOn w:val="Normal"/>
    <w:next w:val="Normal"/>
    <w:autoRedefine/>
    <w:uiPriority w:val="39"/>
    <w:unhideWhenUsed/>
    <w:rsid w:val="000B60B5"/>
    <w:pPr>
      <w:spacing w:after="100"/>
    </w:pPr>
  </w:style>
  <w:style w:type="paragraph" w:styleId="TOC2">
    <w:name w:val="toc 2"/>
    <w:basedOn w:val="Normal"/>
    <w:next w:val="Normal"/>
    <w:autoRedefine/>
    <w:uiPriority w:val="39"/>
    <w:unhideWhenUsed/>
    <w:rsid w:val="000B60B5"/>
    <w:pPr>
      <w:spacing w:after="100"/>
      <w:ind w:left="220"/>
    </w:pPr>
  </w:style>
  <w:style w:type="paragraph" w:styleId="TOC3">
    <w:name w:val="toc 3"/>
    <w:basedOn w:val="Normal"/>
    <w:next w:val="Normal"/>
    <w:autoRedefine/>
    <w:uiPriority w:val="39"/>
    <w:unhideWhenUsed/>
    <w:rsid w:val="000B60B5"/>
    <w:pPr>
      <w:spacing w:after="100"/>
      <w:ind w:left="440"/>
    </w:pPr>
  </w:style>
  <w:style w:type="paragraph" w:styleId="TableofFigures">
    <w:name w:val="table of figures"/>
    <w:basedOn w:val="Normal"/>
    <w:next w:val="Normal"/>
    <w:uiPriority w:val="99"/>
    <w:unhideWhenUsed/>
    <w:rsid w:val="000B60B5"/>
    <w:pPr>
      <w:spacing w:after="0"/>
    </w:pPr>
  </w:style>
  <w:style w:type="table" w:styleId="TableGrid">
    <w:name w:val="Table Grid"/>
    <w:basedOn w:val="TableNormal"/>
    <w:uiPriority w:val="59"/>
    <w:rsid w:val="006A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81EE7"/>
  </w:style>
  <w:style w:type="character" w:customStyle="1" w:styleId="xapple-converted-space">
    <w:name w:val="x_apple-converted-space"/>
    <w:basedOn w:val="DefaultParagraphFont"/>
    <w:rsid w:val="0006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926">
      <w:bodyDiv w:val="1"/>
      <w:marLeft w:val="0"/>
      <w:marRight w:val="0"/>
      <w:marTop w:val="0"/>
      <w:marBottom w:val="0"/>
      <w:divBdr>
        <w:top w:val="none" w:sz="0" w:space="0" w:color="auto"/>
        <w:left w:val="none" w:sz="0" w:space="0" w:color="auto"/>
        <w:bottom w:val="none" w:sz="0" w:space="0" w:color="auto"/>
        <w:right w:val="none" w:sz="0" w:space="0" w:color="auto"/>
      </w:divBdr>
    </w:div>
    <w:div w:id="36126856">
      <w:bodyDiv w:val="1"/>
      <w:marLeft w:val="0"/>
      <w:marRight w:val="0"/>
      <w:marTop w:val="0"/>
      <w:marBottom w:val="0"/>
      <w:divBdr>
        <w:top w:val="none" w:sz="0" w:space="0" w:color="auto"/>
        <w:left w:val="none" w:sz="0" w:space="0" w:color="auto"/>
        <w:bottom w:val="none" w:sz="0" w:space="0" w:color="auto"/>
        <w:right w:val="none" w:sz="0" w:space="0" w:color="auto"/>
      </w:divBdr>
    </w:div>
    <w:div w:id="40173949">
      <w:bodyDiv w:val="1"/>
      <w:marLeft w:val="0"/>
      <w:marRight w:val="0"/>
      <w:marTop w:val="0"/>
      <w:marBottom w:val="0"/>
      <w:divBdr>
        <w:top w:val="none" w:sz="0" w:space="0" w:color="auto"/>
        <w:left w:val="none" w:sz="0" w:space="0" w:color="auto"/>
        <w:bottom w:val="none" w:sz="0" w:space="0" w:color="auto"/>
        <w:right w:val="none" w:sz="0" w:space="0" w:color="auto"/>
      </w:divBdr>
    </w:div>
    <w:div w:id="55787898">
      <w:bodyDiv w:val="1"/>
      <w:marLeft w:val="0"/>
      <w:marRight w:val="0"/>
      <w:marTop w:val="0"/>
      <w:marBottom w:val="0"/>
      <w:divBdr>
        <w:top w:val="none" w:sz="0" w:space="0" w:color="auto"/>
        <w:left w:val="none" w:sz="0" w:space="0" w:color="auto"/>
        <w:bottom w:val="none" w:sz="0" w:space="0" w:color="auto"/>
        <w:right w:val="none" w:sz="0" w:space="0" w:color="auto"/>
      </w:divBdr>
    </w:div>
    <w:div w:id="60325672">
      <w:bodyDiv w:val="1"/>
      <w:marLeft w:val="0"/>
      <w:marRight w:val="0"/>
      <w:marTop w:val="0"/>
      <w:marBottom w:val="0"/>
      <w:divBdr>
        <w:top w:val="none" w:sz="0" w:space="0" w:color="auto"/>
        <w:left w:val="none" w:sz="0" w:space="0" w:color="auto"/>
        <w:bottom w:val="none" w:sz="0" w:space="0" w:color="auto"/>
        <w:right w:val="none" w:sz="0" w:space="0" w:color="auto"/>
      </w:divBdr>
    </w:div>
    <w:div w:id="63065661">
      <w:bodyDiv w:val="1"/>
      <w:marLeft w:val="0"/>
      <w:marRight w:val="0"/>
      <w:marTop w:val="0"/>
      <w:marBottom w:val="0"/>
      <w:divBdr>
        <w:top w:val="none" w:sz="0" w:space="0" w:color="auto"/>
        <w:left w:val="none" w:sz="0" w:space="0" w:color="auto"/>
        <w:bottom w:val="none" w:sz="0" w:space="0" w:color="auto"/>
        <w:right w:val="none" w:sz="0" w:space="0" w:color="auto"/>
      </w:divBdr>
    </w:div>
    <w:div w:id="64182686">
      <w:bodyDiv w:val="1"/>
      <w:marLeft w:val="0"/>
      <w:marRight w:val="0"/>
      <w:marTop w:val="0"/>
      <w:marBottom w:val="0"/>
      <w:divBdr>
        <w:top w:val="none" w:sz="0" w:space="0" w:color="auto"/>
        <w:left w:val="none" w:sz="0" w:space="0" w:color="auto"/>
        <w:bottom w:val="none" w:sz="0" w:space="0" w:color="auto"/>
        <w:right w:val="none" w:sz="0" w:space="0" w:color="auto"/>
      </w:divBdr>
    </w:div>
    <w:div w:id="66538416">
      <w:bodyDiv w:val="1"/>
      <w:marLeft w:val="0"/>
      <w:marRight w:val="0"/>
      <w:marTop w:val="0"/>
      <w:marBottom w:val="0"/>
      <w:divBdr>
        <w:top w:val="none" w:sz="0" w:space="0" w:color="auto"/>
        <w:left w:val="none" w:sz="0" w:space="0" w:color="auto"/>
        <w:bottom w:val="none" w:sz="0" w:space="0" w:color="auto"/>
        <w:right w:val="none" w:sz="0" w:space="0" w:color="auto"/>
      </w:divBdr>
    </w:div>
    <w:div w:id="75636063">
      <w:bodyDiv w:val="1"/>
      <w:marLeft w:val="0"/>
      <w:marRight w:val="0"/>
      <w:marTop w:val="0"/>
      <w:marBottom w:val="0"/>
      <w:divBdr>
        <w:top w:val="none" w:sz="0" w:space="0" w:color="auto"/>
        <w:left w:val="none" w:sz="0" w:space="0" w:color="auto"/>
        <w:bottom w:val="none" w:sz="0" w:space="0" w:color="auto"/>
        <w:right w:val="none" w:sz="0" w:space="0" w:color="auto"/>
      </w:divBdr>
    </w:div>
    <w:div w:id="121701408">
      <w:bodyDiv w:val="1"/>
      <w:marLeft w:val="0"/>
      <w:marRight w:val="0"/>
      <w:marTop w:val="0"/>
      <w:marBottom w:val="0"/>
      <w:divBdr>
        <w:top w:val="none" w:sz="0" w:space="0" w:color="auto"/>
        <w:left w:val="none" w:sz="0" w:space="0" w:color="auto"/>
        <w:bottom w:val="none" w:sz="0" w:space="0" w:color="auto"/>
        <w:right w:val="none" w:sz="0" w:space="0" w:color="auto"/>
      </w:divBdr>
    </w:div>
    <w:div w:id="150299318">
      <w:bodyDiv w:val="1"/>
      <w:marLeft w:val="0"/>
      <w:marRight w:val="0"/>
      <w:marTop w:val="0"/>
      <w:marBottom w:val="0"/>
      <w:divBdr>
        <w:top w:val="none" w:sz="0" w:space="0" w:color="auto"/>
        <w:left w:val="none" w:sz="0" w:space="0" w:color="auto"/>
        <w:bottom w:val="none" w:sz="0" w:space="0" w:color="auto"/>
        <w:right w:val="none" w:sz="0" w:space="0" w:color="auto"/>
      </w:divBdr>
    </w:div>
    <w:div w:id="160121052">
      <w:bodyDiv w:val="1"/>
      <w:marLeft w:val="0"/>
      <w:marRight w:val="0"/>
      <w:marTop w:val="0"/>
      <w:marBottom w:val="0"/>
      <w:divBdr>
        <w:top w:val="none" w:sz="0" w:space="0" w:color="auto"/>
        <w:left w:val="none" w:sz="0" w:space="0" w:color="auto"/>
        <w:bottom w:val="none" w:sz="0" w:space="0" w:color="auto"/>
        <w:right w:val="none" w:sz="0" w:space="0" w:color="auto"/>
      </w:divBdr>
    </w:div>
    <w:div w:id="162161273">
      <w:bodyDiv w:val="1"/>
      <w:marLeft w:val="0"/>
      <w:marRight w:val="0"/>
      <w:marTop w:val="0"/>
      <w:marBottom w:val="0"/>
      <w:divBdr>
        <w:top w:val="none" w:sz="0" w:space="0" w:color="auto"/>
        <w:left w:val="none" w:sz="0" w:space="0" w:color="auto"/>
        <w:bottom w:val="none" w:sz="0" w:space="0" w:color="auto"/>
        <w:right w:val="none" w:sz="0" w:space="0" w:color="auto"/>
      </w:divBdr>
    </w:div>
    <w:div w:id="165675503">
      <w:bodyDiv w:val="1"/>
      <w:marLeft w:val="0"/>
      <w:marRight w:val="0"/>
      <w:marTop w:val="0"/>
      <w:marBottom w:val="0"/>
      <w:divBdr>
        <w:top w:val="none" w:sz="0" w:space="0" w:color="auto"/>
        <w:left w:val="none" w:sz="0" w:space="0" w:color="auto"/>
        <w:bottom w:val="none" w:sz="0" w:space="0" w:color="auto"/>
        <w:right w:val="none" w:sz="0" w:space="0" w:color="auto"/>
      </w:divBdr>
    </w:div>
    <w:div w:id="184289070">
      <w:bodyDiv w:val="1"/>
      <w:marLeft w:val="0"/>
      <w:marRight w:val="0"/>
      <w:marTop w:val="0"/>
      <w:marBottom w:val="0"/>
      <w:divBdr>
        <w:top w:val="none" w:sz="0" w:space="0" w:color="auto"/>
        <w:left w:val="none" w:sz="0" w:space="0" w:color="auto"/>
        <w:bottom w:val="none" w:sz="0" w:space="0" w:color="auto"/>
        <w:right w:val="none" w:sz="0" w:space="0" w:color="auto"/>
      </w:divBdr>
    </w:div>
    <w:div w:id="203098469">
      <w:bodyDiv w:val="1"/>
      <w:marLeft w:val="0"/>
      <w:marRight w:val="0"/>
      <w:marTop w:val="0"/>
      <w:marBottom w:val="0"/>
      <w:divBdr>
        <w:top w:val="none" w:sz="0" w:space="0" w:color="auto"/>
        <w:left w:val="none" w:sz="0" w:space="0" w:color="auto"/>
        <w:bottom w:val="none" w:sz="0" w:space="0" w:color="auto"/>
        <w:right w:val="none" w:sz="0" w:space="0" w:color="auto"/>
      </w:divBdr>
    </w:div>
    <w:div w:id="206840613">
      <w:bodyDiv w:val="1"/>
      <w:marLeft w:val="0"/>
      <w:marRight w:val="0"/>
      <w:marTop w:val="0"/>
      <w:marBottom w:val="0"/>
      <w:divBdr>
        <w:top w:val="none" w:sz="0" w:space="0" w:color="auto"/>
        <w:left w:val="none" w:sz="0" w:space="0" w:color="auto"/>
        <w:bottom w:val="none" w:sz="0" w:space="0" w:color="auto"/>
        <w:right w:val="none" w:sz="0" w:space="0" w:color="auto"/>
      </w:divBdr>
    </w:div>
    <w:div w:id="214507725">
      <w:bodyDiv w:val="1"/>
      <w:marLeft w:val="0"/>
      <w:marRight w:val="0"/>
      <w:marTop w:val="0"/>
      <w:marBottom w:val="0"/>
      <w:divBdr>
        <w:top w:val="none" w:sz="0" w:space="0" w:color="auto"/>
        <w:left w:val="none" w:sz="0" w:space="0" w:color="auto"/>
        <w:bottom w:val="none" w:sz="0" w:space="0" w:color="auto"/>
        <w:right w:val="none" w:sz="0" w:space="0" w:color="auto"/>
      </w:divBdr>
    </w:div>
    <w:div w:id="237248595">
      <w:bodyDiv w:val="1"/>
      <w:marLeft w:val="0"/>
      <w:marRight w:val="0"/>
      <w:marTop w:val="0"/>
      <w:marBottom w:val="0"/>
      <w:divBdr>
        <w:top w:val="none" w:sz="0" w:space="0" w:color="auto"/>
        <w:left w:val="none" w:sz="0" w:space="0" w:color="auto"/>
        <w:bottom w:val="none" w:sz="0" w:space="0" w:color="auto"/>
        <w:right w:val="none" w:sz="0" w:space="0" w:color="auto"/>
      </w:divBdr>
    </w:div>
    <w:div w:id="242375225">
      <w:bodyDiv w:val="1"/>
      <w:marLeft w:val="0"/>
      <w:marRight w:val="0"/>
      <w:marTop w:val="0"/>
      <w:marBottom w:val="0"/>
      <w:divBdr>
        <w:top w:val="none" w:sz="0" w:space="0" w:color="auto"/>
        <w:left w:val="none" w:sz="0" w:space="0" w:color="auto"/>
        <w:bottom w:val="none" w:sz="0" w:space="0" w:color="auto"/>
        <w:right w:val="none" w:sz="0" w:space="0" w:color="auto"/>
      </w:divBdr>
    </w:div>
    <w:div w:id="246886899">
      <w:bodyDiv w:val="1"/>
      <w:marLeft w:val="0"/>
      <w:marRight w:val="0"/>
      <w:marTop w:val="0"/>
      <w:marBottom w:val="0"/>
      <w:divBdr>
        <w:top w:val="none" w:sz="0" w:space="0" w:color="auto"/>
        <w:left w:val="none" w:sz="0" w:space="0" w:color="auto"/>
        <w:bottom w:val="none" w:sz="0" w:space="0" w:color="auto"/>
        <w:right w:val="none" w:sz="0" w:space="0" w:color="auto"/>
      </w:divBdr>
    </w:div>
    <w:div w:id="256061806">
      <w:bodyDiv w:val="1"/>
      <w:marLeft w:val="0"/>
      <w:marRight w:val="0"/>
      <w:marTop w:val="0"/>
      <w:marBottom w:val="0"/>
      <w:divBdr>
        <w:top w:val="none" w:sz="0" w:space="0" w:color="auto"/>
        <w:left w:val="none" w:sz="0" w:space="0" w:color="auto"/>
        <w:bottom w:val="none" w:sz="0" w:space="0" w:color="auto"/>
        <w:right w:val="none" w:sz="0" w:space="0" w:color="auto"/>
      </w:divBdr>
    </w:div>
    <w:div w:id="272177467">
      <w:bodyDiv w:val="1"/>
      <w:marLeft w:val="0"/>
      <w:marRight w:val="0"/>
      <w:marTop w:val="0"/>
      <w:marBottom w:val="0"/>
      <w:divBdr>
        <w:top w:val="none" w:sz="0" w:space="0" w:color="auto"/>
        <w:left w:val="none" w:sz="0" w:space="0" w:color="auto"/>
        <w:bottom w:val="none" w:sz="0" w:space="0" w:color="auto"/>
        <w:right w:val="none" w:sz="0" w:space="0" w:color="auto"/>
      </w:divBdr>
    </w:div>
    <w:div w:id="286205025">
      <w:bodyDiv w:val="1"/>
      <w:marLeft w:val="0"/>
      <w:marRight w:val="0"/>
      <w:marTop w:val="0"/>
      <w:marBottom w:val="0"/>
      <w:divBdr>
        <w:top w:val="none" w:sz="0" w:space="0" w:color="auto"/>
        <w:left w:val="none" w:sz="0" w:space="0" w:color="auto"/>
        <w:bottom w:val="none" w:sz="0" w:space="0" w:color="auto"/>
        <w:right w:val="none" w:sz="0" w:space="0" w:color="auto"/>
      </w:divBdr>
    </w:div>
    <w:div w:id="286473811">
      <w:bodyDiv w:val="1"/>
      <w:marLeft w:val="0"/>
      <w:marRight w:val="0"/>
      <w:marTop w:val="0"/>
      <w:marBottom w:val="0"/>
      <w:divBdr>
        <w:top w:val="none" w:sz="0" w:space="0" w:color="auto"/>
        <w:left w:val="none" w:sz="0" w:space="0" w:color="auto"/>
        <w:bottom w:val="none" w:sz="0" w:space="0" w:color="auto"/>
        <w:right w:val="none" w:sz="0" w:space="0" w:color="auto"/>
      </w:divBdr>
    </w:div>
    <w:div w:id="287591226">
      <w:bodyDiv w:val="1"/>
      <w:marLeft w:val="0"/>
      <w:marRight w:val="0"/>
      <w:marTop w:val="0"/>
      <w:marBottom w:val="0"/>
      <w:divBdr>
        <w:top w:val="none" w:sz="0" w:space="0" w:color="auto"/>
        <w:left w:val="none" w:sz="0" w:space="0" w:color="auto"/>
        <w:bottom w:val="none" w:sz="0" w:space="0" w:color="auto"/>
        <w:right w:val="none" w:sz="0" w:space="0" w:color="auto"/>
      </w:divBdr>
    </w:div>
    <w:div w:id="345208423">
      <w:bodyDiv w:val="1"/>
      <w:marLeft w:val="0"/>
      <w:marRight w:val="0"/>
      <w:marTop w:val="0"/>
      <w:marBottom w:val="0"/>
      <w:divBdr>
        <w:top w:val="none" w:sz="0" w:space="0" w:color="auto"/>
        <w:left w:val="none" w:sz="0" w:space="0" w:color="auto"/>
        <w:bottom w:val="none" w:sz="0" w:space="0" w:color="auto"/>
        <w:right w:val="none" w:sz="0" w:space="0" w:color="auto"/>
      </w:divBdr>
    </w:div>
    <w:div w:id="348023784">
      <w:bodyDiv w:val="1"/>
      <w:marLeft w:val="0"/>
      <w:marRight w:val="0"/>
      <w:marTop w:val="0"/>
      <w:marBottom w:val="0"/>
      <w:divBdr>
        <w:top w:val="none" w:sz="0" w:space="0" w:color="auto"/>
        <w:left w:val="none" w:sz="0" w:space="0" w:color="auto"/>
        <w:bottom w:val="none" w:sz="0" w:space="0" w:color="auto"/>
        <w:right w:val="none" w:sz="0" w:space="0" w:color="auto"/>
      </w:divBdr>
    </w:div>
    <w:div w:id="352153153">
      <w:bodyDiv w:val="1"/>
      <w:marLeft w:val="0"/>
      <w:marRight w:val="0"/>
      <w:marTop w:val="0"/>
      <w:marBottom w:val="0"/>
      <w:divBdr>
        <w:top w:val="none" w:sz="0" w:space="0" w:color="auto"/>
        <w:left w:val="none" w:sz="0" w:space="0" w:color="auto"/>
        <w:bottom w:val="none" w:sz="0" w:space="0" w:color="auto"/>
        <w:right w:val="none" w:sz="0" w:space="0" w:color="auto"/>
      </w:divBdr>
    </w:div>
    <w:div w:id="353074839">
      <w:bodyDiv w:val="1"/>
      <w:marLeft w:val="0"/>
      <w:marRight w:val="0"/>
      <w:marTop w:val="0"/>
      <w:marBottom w:val="0"/>
      <w:divBdr>
        <w:top w:val="none" w:sz="0" w:space="0" w:color="auto"/>
        <w:left w:val="none" w:sz="0" w:space="0" w:color="auto"/>
        <w:bottom w:val="none" w:sz="0" w:space="0" w:color="auto"/>
        <w:right w:val="none" w:sz="0" w:space="0" w:color="auto"/>
      </w:divBdr>
    </w:div>
    <w:div w:id="364596653">
      <w:bodyDiv w:val="1"/>
      <w:marLeft w:val="0"/>
      <w:marRight w:val="0"/>
      <w:marTop w:val="0"/>
      <w:marBottom w:val="0"/>
      <w:divBdr>
        <w:top w:val="none" w:sz="0" w:space="0" w:color="auto"/>
        <w:left w:val="none" w:sz="0" w:space="0" w:color="auto"/>
        <w:bottom w:val="none" w:sz="0" w:space="0" w:color="auto"/>
        <w:right w:val="none" w:sz="0" w:space="0" w:color="auto"/>
      </w:divBdr>
    </w:div>
    <w:div w:id="377165231">
      <w:bodyDiv w:val="1"/>
      <w:marLeft w:val="0"/>
      <w:marRight w:val="0"/>
      <w:marTop w:val="0"/>
      <w:marBottom w:val="0"/>
      <w:divBdr>
        <w:top w:val="none" w:sz="0" w:space="0" w:color="auto"/>
        <w:left w:val="none" w:sz="0" w:space="0" w:color="auto"/>
        <w:bottom w:val="none" w:sz="0" w:space="0" w:color="auto"/>
        <w:right w:val="none" w:sz="0" w:space="0" w:color="auto"/>
      </w:divBdr>
    </w:div>
    <w:div w:id="389767374">
      <w:bodyDiv w:val="1"/>
      <w:marLeft w:val="0"/>
      <w:marRight w:val="0"/>
      <w:marTop w:val="0"/>
      <w:marBottom w:val="0"/>
      <w:divBdr>
        <w:top w:val="none" w:sz="0" w:space="0" w:color="auto"/>
        <w:left w:val="none" w:sz="0" w:space="0" w:color="auto"/>
        <w:bottom w:val="none" w:sz="0" w:space="0" w:color="auto"/>
        <w:right w:val="none" w:sz="0" w:space="0" w:color="auto"/>
      </w:divBdr>
    </w:div>
    <w:div w:id="416633199">
      <w:bodyDiv w:val="1"/>
      <w:marLeft w:val="0"/>
      <w:marRight w:val="0"/>
      <w:marTop w:val="0"/>
      <w:marBottom w:val="0"/>
      <w:divBdr>
        <w:top w:val="none" w:sz="0" w:space="0" w:color="auto"/>
        <w:left w:val="none" w:sz="0" w:space="0" w:color="auto"/>
        <w:bottom w:val="none" w:sz="0" w:space="0" w:color="auto"/>
        <w:right w:val="none" w:sz="0" w:space="0" w:color="auto"/>
      </w:divBdr>
    </w:div>
    <w:div w:id="426074842">
      <w:bodyDiv w:val="1"/>
      <w:marLeft w:val="0"/>
      <w:marRight w:val="0"/>
      <w:marTop w:val="0"/>
      <w:marBottom w:val="0"/>
      <w:divBdr>
        <w:top w:val="none" w:sz="0" w:space="0" w:color="auto"/>
        <w:left w:val="none" w:sz="0" w:space="0" w:color="auto"/>
        <w:bottom w:val="none" w:sz="0" w:space="0" w:color="auto"/>
        <w:right w:val="none" w:sz="0" w:space="0" w:color="auto"/>
      </w:divBdr>
    </w:div>
    <w:div w:id="437067179">
      <w:bodyDiv w:val="1"/>
      <w:marLeft w:val="0"/>
      <w:marRight w:val="0"/>
      <w:marTop w:val="0"/>
      <w:marBottom w:val="0"/>
      <w:divBdr>
        <w:top w:val="none" w:sz="0" w:space="0" w:color="auto"/>
        <w:left w:val="none" w:sz="0" w:space="0" w:color="auto"/>
        <w:bottom w:val="none" w:sz="0" w:space="0" w:color="auto"/>
        <w:right w:val="none" w:sz="0" w:space="0" w:color="auto"/>
      </w:divBdr>
    </w:div>
    <w:div w:id="438837622">
      <w:bodyDiv w:val="1"/>
      <w:marLeft w:val="0"/>
      <w:marRight w:val="0"/>
      <w:marTop w:val="0"/>
      <w:marBottom w:val="0"/>
      <w:divBdr>
        <w:top w:val="none" w:sz="0" w:space="0" w:color="auto"/>
        <w:left w:val="none" w:sz="0" w:space="0" w:color="auto"/>
        <w:bottom w:val="none" w:sz="0" w:space="0" w:color="auto"/>
        <w:right w:val="none" w:sz="0" w:space="0" w:color="auto"/>
      </w:divBdr>
    </w:div>
    <w:div w:id="448166188">
      <w:bodyDiv w:val="1"/>
      <w:marLeft w:val="0"/>
      <w:marRight w:val="0"/>
      <w:marTop w:val="0"/>
      <w:marBottom w:val="0"/>
      <w:divBdr>
        <w:top w:val="none" w:sz="0" w:space="0" w:color="auto"/>
        <w:left w:val="none" w:sz="0" w:space="0" w:color="auto"/>
        <w:bottom w:val="none" w:sz="0" w:space="0" w:color="auto"/>
        <w:right w:val="none" w:sz="0" w:space="0" w:color="auto"/>
      </w:divBdr>
    </w:div>
    <w:div w:id="459809846">
      <w:bodyDiv w:val="1"/>
      <w:marLeft w:val="0"/>
      <w:marRight w:val="0"/>
      <w:marTop w:val="0"/>
      <w:marBottom w:val="0"/>
      <w:divBdr>
        <w:top w:val="none" w:sz="0" w:space="0" w:color="auto"/>
        <w:left w:val="none" w:sz="0" w:space="0" w:color="auto"/>
        <w:bottom w:val="none" w:sz="0" w:space="0" w:color="auto"/>
        <w:right w:val="none" w:sz="0" w:space="0" w:color="auto"/>
      </w:divBdr>
    </w:div>
    <w:div w:id="482085849">
      <w:bodyDiv w:val="1"/>
      <w:marLeft w:val="0"/>
      <w:marRight w:val="0"/>
      <w:marTop w:val="0"/>
      <w:marBottom w:val="0"/>
      <w:divBdr>
        <w:top w:val="none" w:sz="0" w:space="0" w:color="auto"/>
        <w:left w:val="none" w:sz="0" w:space="0" w:color="auto"/>
        <w:bottom w:val="none" w:sz="0" w:space="0" w:color="auto"/>
        <w:right w:val="none" w:sz="0" w:space="0" w:color="auto"/>
      </w:divBdr>
    </w:div>
    <w:div w:id="482161506">
      <w:bodyDiv w:val="1"/>
      <w:marLeft w:val="0"/>
      <w:marRight w:val="0"/>
      <w:marTop w:val="0"/>
      <w:marBottom w:val="0"/>
      <w:divBdr>
        <w:top w:val="none" w:sz="0" w:space="0" w:color="auto"/>
        <w:left w:val="none" w:sz="0" w:space="0" w:color="auto"/>
        <w:bottom w:val="none" w:sz="0" w:space="0" w:color="auto"/>
        <w:right w:val="none" w:sz="0" w:space="0" w:color="auto"/>
      </w:divBdr>
    </w:div>
    <w:div w:id="489753530">
      <w:bodyDiv w:val="1"/>
      <w:marLeft w:val="0"/>
      <w:marRight w:val="0"/>
      <w:marTop w:val="0"/>
      <w:marBottom w:val="0"/>
      <w:divBdr>
        <w:top w:val="none" w:sz="0" w:space="0" w:color="auto"/>
        <w:left w:val="none" w:sz="0" w:space="0" w:color="auto"/>
        <w:bottom w:val="none" w:sz="0" w:space="0" w:color="auto"/>
        <w:right w:val="none" w:sz="0" w:space="0" w:color="auto"/>
      </w:divBdr>
    </w:div>
    <w:div w:id="506865282">
      <w:bodyDiv w:val="1"/>
      <w:marLeft w:val="0"/>
      <w:marRight w:val="0"/>
      <w:marTop w:val="0"/>
      <w:marBottom w:val="0"/>
      <w:divBdr>
        <w:top w:val="none" w:sz="0" w:space="0" w:color="auto"/>
        <w:left w:val="none" w:sz="0" w:space="0" w:color="auto"/>
        <w:bottom w:val="none" w:sz="0" w:space="0" w:color="auto"/>
        <w:right w:val="none" w:sz="0" w:space="0" w:color="auto"/>
      </w:divBdr>
    </w:div>
    <w:div w:id="532772207">
      <w:bodyDiv w:val="1"/>
      <w:marLeft w:val="0"/>
      <w:marRight w:val="0"/>
      <w:marTop w:val="0"/>
      <w:marBottom w:val="0"/>
      <w:divBdr>
        <w:top w:val="none" w:sz="0" w:space="0" w:color="auto"/>
        <w:left w:val="none" w:sz="0" w:space="0" w:color="auto"/>
        <w:bottom w:val="none" w:sz="0" w:space="0" w:color="auto"/>
        <w:right w:val="none" w:sz="0" w:space="0" w:color="auto"/>
      </w:divBdr>
    </w:div>
    <w:div w:id="534003019">
      <w:bodyDiv w:val="1"/>
      <w:marLeft w:val="0"/>
      <w:marRight w:val="0"/>
      <w:marTop w:val="0"/>
      <w:marBottom w:val="0"/>
      <w:divBdr>
        <w:top w:val="none" w:sz="0" w:space="0" w:color="auto"/>
        <w:left w:val="none" w:sz="0" w:space="0" w:color="auto"/>
        <w:bottom w:val="none" w:sz="0" w:space="0" w:color="auto"/>
        <w:right w:val="none" w:sz="0" w:space="0" w:color="auto"/>
      </w:divBdr>
    </w:div>
    <w:div w:id="536620405">
      <w:bodyDiv w:val="1"/>
      <w:marLeft w:val="0"/>
      <w:marRight w:val="0"/>
      <w:marTop w:val="0"/>
      <w:marBottom w:val="0"/>
      <w:divBdr>
        <w:top w:val="none" w:sz="0" w:space="0" w:color="auto"/>
        <w:left w:val="none" w:sz="0" w:space="0" w:color="auto"/>
        <w:bottom w:val="none" w:sz="0" w:space="0" w:color="auto"/>
        <w:right w:val="none" w:sz="0" w:space="0" w:color="auto"/>
      </w:divBdr>
    </w:div>
    <w:div w:id="540167382">
      <w:bodyDiv w:val="1"/>
      <w:marLeft w:val="0"/>
      <w:marRight w:val="0"/>
      <w:marTop w:val="0"/>
      <w:marBottom w:val="0"/>
      <w:divBdr>
        <w:top w:val="none" w:sz="0" w:space="0" w:color="auto"/>
        <w:left w:val="none" w:sz="0" w:space="0" w:color="auto"/>
        <w:bottom w:val="none" w:sz="0" w:space="0" w:color="auto"/>
        <w:right w:val="none" w:sz="0" w:space="0" w:color="auto"/>
      </w:divBdr>
    </w:div>
    <w:div w:id="544172468">
      <w:bodyDiv w:val="1"/>
      <w:marLeft w:val="0"/>
      <w:marRight w:val="0"/>
      <w:marTop w:val="0"/>
      <w:marBottom w:val="0"/>
      <w:divBdr>
        <w:top w:val="none" w:sz="0" w:space="0" w:color="auto"/>
        <w:left w:val="none" w:sz="0" w:space="0" w:color="auto"/>
        <w:bottom w:val="none" w:sz="0" w:space="0" w:color="auto"/>
        <w:right w:val="none" w:sz="0" w:space="0" w:color="auto"/>
      </w:divBdr>
    </w:div>
    <w:div w:id="558825483">
      <w:bodyDiv w:val="1"/>
      <w:marLeft w:val="0"/>
      <w:marRight w:val="0"/>
      <w:marTop w:val="0"/>
      <w:marBottom w:val="0"/>
      <w:divBdr>
        <w:top w:val="none" w:sz="0" w:space="0" w:color="auto"/>
        <w:left w:val="none" w:sz="0" w:space="0" w:color="auto"/>
        <w:bottom w:val="none" w:sz="0" w:space="0" w:color="auto"/>
        <w:right w:val="none" w:sz="0" w:space="0" w:color="auto"/>
      </w:divBdr>
    </w:div>
    <w:div w:id="574706998">
      <w:bodyDiv w:val="1"/>
      <w:marLeft w:val="0"/>
      <w:marRight w:val="0"/>
      <w:marTop w:val="0"/>
      <w:marBottom w:val="0"/>
      <w:divBdr>
        <w:top w:val="none" w:sz="0" w:space="0" w:color="auto"/>
        <w:left w:val="none" w:sz="0" w:space="0" w:color="auto"/>
        <w:bottom w:val="none" w:sz="0" w:space="0" w:color="auto"/>
        <w:right w:val="none" w:sz="0" w:space="0" w:color="auto"/>
      </w:divBdr>
    </w:div>
    <w:div w:id="582759193">
      <w:bodyDiv w:val="1"/>
      <w:marLeft w:val="0"/>
      <w:marRight w:val="0"/>
      <w:marTop w:val="0"/>
      <w:marBottom w:val="0"/>
      <w:divBdr>
        <w:top w:val="none" w:sz="0" w:space="0" w:color="auto"/>
        <w:left w:val="none" w:sz="0" w:space="0" w:color="auto"/>
        <w:bottom w:val="none" w:sz="0" w:space="0" w:color="auto"/>
        <w:right w:val="none" w:sz="0" w:space="0" w:color="auto"/>
      </w:divBdr>
    </w:div>
    <w:div w:id="584194697">
      <w:bodyDiv w:val="1"/>
      <w:marLeft w:val="0"/>
      <w:marRight w:val="0"/>
      <w:marTop w:val="0"/>
      <w:marBottom w:val="0"/>
      <w:divBdr>
        <w:top w:val="none" w:sz="0" w:space="0" w:color="auto"/>
        <w:left w:val="none" w:sz="0" w:space="0" w:color="auto"/>
        <w:bottom w:val="none" w:sz="0" w:space="0" w:color="auto"/>
        <w:right w:val="none" w:sz="0" w:space="0" w:color="auto"/>
      </w:divBdr>
    </w:div>
    <w:div w:id="588580757">
      <w:bodyDiv w:val="1"/>
      <w:marLeft w:val="0"/>
      <w:marRight w:val="0"/>
      <w:marTop w:val="0"/>
      <w:marBottom w:val="0"/>
      <w:divBdr>
        <w:top w:val="none" w:sz="0" w:space="0" w:color="auto"/>
        <w:left w:val="none" w:sz="0" w:space="0" w:color="auto"/>
        <w:bottom w:val="none" w:sz="0" w:space="0" w:color="auto"/>
        <w:right w:val="none" w:sz="0" w:space="0" w:color="auto"/>
      </w:divBdr>
    </w:div>
    <w:div w:id="597061312">
      <w:bodyDiv w:val="1"/>
      <w:marLeft w:val="0"/>
      <w:marRight w:val="0"/>
      <w:marTop w:val="0"/>
      <w:marBottom w:val="0"/>
      <w:divBdr>
        <w:top w:val="none" w:sz="0" w:space="0" w:color="auto"/>
        <w:left w:val="none" w:sz="0" w:space="0" w:color="auto"/>
        <w:bottom w:val="none" w:sz="0" w:space="0" w:color="auto"/>
        <w:right w:val="none" w:sz="0" w:space="0" w:color="auto"/>
      </w:divBdr>
    </w:div>
    <w:div w:id="614291232">
      <w:bodyDiv w:val="1"/>
      <w:marLeft w:val="0"/>
      <w:marRight w:val="0"/>
      <w:marTop w:val="0"/>
      <w:marBottom w:val="0"/>
      <w:divBdr>
        <w:top w:val="none" w:sz="0" w:space="0" w:color="auto"/>
        <w:left w:val="none" w:sz="0" w:space="0" w:color="auto"/>
        <w:bottom w:val="none" w:sz="0" w:space="0" w:color="auto"/>
        <w:right w:val="none" w:sz="0" w:space="0" w:color="auto"/>
      </w:divBdr>
    </w:div>
    <w:div w:id="640354527">
      <w:bodyDiv w:val="1"/>
      <w:marLeft w:val="0"/>
      <w:marRight w:val="0"/>
      <w:marTop w:val="0"/>
      <w:marBottom w:val="0"/>
      <w:divBdr>
        <w:top w:val="none" w:sz="0" w:space="0" w:color="auto"/>
        <w:left w:val="none" w:sz="0" w:space="0" w:color="auto"/>
        <w:bottom w:val="none" w:sz="0" w:space="0" w:color="auto"/>
        <w:right w:val="none" w:sz="0" w:space="0" w:color="auto"/>
      </w:divBdr>
    </w:div>
    <w:div w:id="652949934">
      <w:bodyDiv w:val="1"/>
      <w:marLeft w:val="0"/>
      <w:marRight w:val="0"/>
      <w:marTop w:val="0"/>
      <w:marBottom w:val="0"/>
      <w:divBdr>
        <w:top w:val="none" w:sz="0" w:space="0" w:color="auto"/>
        <w:left w:val="none" w:sz="0" w:space="0" w:color="auto"/>
        <w:bottom w:val="none" w:sz="0" w:space="0" w:color="auto"/>
        <w:right w:val="none" w:sz="0" w:space="0" w:color="auto"/>
      </w:divBdr>
    </w:div>
    <w:div w:id="681005510">
      <w:bodyDiv w:val="1"/>
      <w:marLeft w:val="0"/>
      <w:marRight w:val="0"/>
      <w:marTop w:val="0"/>
      <w:marBottom w:val="0"/>
      <w:divBdr>
        <w:top w:val="none" w:sz="0" w:space="0" w:color="auto"/>
        <w:left w:val="none" w:sz="0" w:space="0" w:color="auto"/>
        <w:bottom w:val="none" w:sz="0" w:space="0" w:color="auto"/>
        <w:right w:val="none" w:sz="0" w:space="0" w:color="auto"/>
      </w:divBdr>
    </w:div>
    <w:div w:id="684870239">
      <w:bodyDiv w:val="1"/>
      <w:marLeft w:val="0"/>
      <w:marRight w:val="0"/>
      <w:marTop w:val="0"/>
      <w:marBottom w:val="0"/>
      <w:divBdr>
        <w:top w:val="none" w:sz="0" w:space="0" w:color="auto"/>
        <w:left w:val="none" w:sz="0" w:space="0" w:color="auto"/>
        <w:bottom w:val="none" w:sz="0" w:space="0" w:color="auto"/>
        <w:right w:val="none" w:sz="0" w:space="0" w:color="auto"/>
      </w:divBdr>
    </w:div>
    <w:div w:id="686100897">
      <w:bodyDiv w:val="1"/>
      <w:marLeft w:val="0"/>
      <w:marRight w:val="0"/>
      <w:marTop w:val="0"/>
      <w:marBottom w:val="0"/>
      <w:divBdr>
        <w:top w:val="none" w:sz="0" w:space="0" w:color="auto"/>
        <w:left w:val="none" w:sz="0" w:space="0" w:color="auto"/>
        <w:bottom w:val="none" w:sz="0" w:space="0" w:color="auto"/>
        <w:right w:val="none" w:sz="0" w:space="0" w:color="auto"/>
      </w:divBdr>
    </w:div>
    <w:div w:id="699355734">
      <w:bodyDiv w:val="1"/>
      <w:marLeft w:val="0"/>
      <w:marRight w:val="0"/>
      <w:marTop w:val="0"/>
      <w:marBottom w:val="0"/>
      <w:divBdr>
        <w:top w:val="none" w:sz="0" w:space="0" w:color="auto"/>
        <w:left w:val="none" w:sz="0" w:space="0" w:color="auto"/>
        <w:bottom w:val="none" w:sz="0" w:space="0" w:color="auto"/>
        <w:right w:val="none" w:sz="0" w:space="0" w:color="auto"/>
      </w:divBdr>
    </w:div>
    <w:div w:id="699404869">
      <w:bodyDiv w:val="1"/>
      <w:marLeft w:val="0"/>
      <w:marRight w:val="0"/>
      <w:marTop w:val="0"/>
      <w:marBottom w:val="0"/>
      <w:divBdr>
        <w:top w:val="none" w:sz="0" w:space="0" w:color="auto"/>
        <w:left w:val="none" w:sz="0" w:space="0" w:color="auto"/>
        <w:bottom w:val="none" w:sz="0" w:space="0" w:color="auto"/>
        <w:right w:val="none" w:sz="0" w:space="0" w:color="auto"/>
      </w:divBdr>
    </w:div>
    <w:div w:id="707147789">
      <w:bodyDiv w:val="1"/>
      <w:marLeft w:val="0"/>
      <w:marRight w:val="0"/>
      <w:marTop w:val="0"/>
      <w:marBottom w:val="0"/>
      <w:divBdr>
        <w:top w:val="none" w:sz="0" w:space="0" w:color="auto"/>
        <w:left w:val="none" w:sz="0" w:space="0" w:color="auto"/>
        <w:bottom w:val="none" w:sz="0" w:space="0" w:color="auto"/>
        <w:right w:val="none" w:sz="0" w:space="0" w:color="auto"/>
      </w:divBdr>
    </w:div>
    <w:div w:id="712000015">
      <w:bodyDiv w:val="1"/>
      <w:marLeft w:val="0"/>
      <w:marRight w:val="0"/>
      <w:marTop w:val="0"/>
      <w:marBottom w:val="0"/>
      <w:divBdr>
        <w:top w:val="none" w:sz="0" w:space="0" w:color="auto"/>
        <w:left w:val="none" w:sz="0" w:space="0" w:color="auto"/>
        <w:bottom w:val="none" w:sz="0" w:space="0" w:color="auto"/>
        <w:right w:val="none" w:sz="0" w:space="0" w:color="auto"/>
      </w:divBdr>
    </w:div>
    <w:div w:id="753237239">
      <w:bodyDiv w:val="1"/>
      <w:marLeft w:val="0"/>
      <w:marRight w:val="0"/>
      <w:marTop w:val="0"/>
      <w:marBottom w:val="0"/>
      <w:divBdr>
        <w:top w:val="none" w:sz="0" w:space="0" w:color="auto"/>
        <w:left w:val="none" w:sz="0" w:space="0" w:color="auto"/>
        <w:bottom w:val="none" w:sz="0" w:space="0" w:color="auto"/>
        <w:right w:val="none" w:sz="0" w:space="0" w:color="auto"/>
      </w:divBdr>
    </w:div>
    <w:div w:id="754132296">
      <w:bodyDiv w:val="1"/>
      <w:marLeft w:val="0"/>
      <w:marRight w:val="0"/>
      <w:marTop w:val="0"/>
      <w:marBottom w:val="0"/>
      <w:divBdr>
        <w:top w:val="none" w:sz="0" w:space="0" w:color="auto"/>
        <w:left w:val="none" w:sz="0" w:space="0" w:color="auto"/>
        <w:bottom w:val="none" w:sz="0" w:space="0" w:color="auto"/>
        <w:right w:val="none" w:sz="0" w:space="0" w:color="auto"/>
      </w:divBdr>
    </w:div>
    <w:div w:id="755520822">
      <w:bodyDiv w:val="1"/>
      <w:marLeft w:val="0"/>
      <w:marRight w:val="0"/>
      <w:marTop w:val="0"/>
      <w:marBottom w:val="0"/>
      <w:divBdr>
        <w:top w:val="none" w:sz="0" w:space="0" w:color="auto"/>
        <w:left w:val="none" w:sz="0" w:space="0" w:color="auto"/>
        <w:bottom w:val="none" w:sz="0" w:space="0" w:color="auto"/>
        <w:right w:val="none" w:sz="0" w:space="0" w:color="auto"/>
      </w:divBdr>
    </w:div>
    <w:div w:id="763384030">
      <w:bodyDiv w:val="1"/>
      <w:marLeft w:val="0"/>
      <w:marRight w:val="0"/>
      <w:marTop w:val="0"/>
      <w:marBottom w:val="0"/>
      <w:divBdr>
        <w:top w:val="none" w:sz="0" w:space="0" w:color="auto"/>
        <w:left w:val="none" w:sz="0" w:space="0" w:color="auto"/>
        <w:bottom w:val="none" w:sz="0" w:space="0" w:color="auto"/>
        <w:right w:val="none" w:sz="0" w:space="0" w:color="auto"/>
      </w:divBdr>
    </w:div>
    <w:div w:id="779490748">
      <w:bodyDiv w:val="1"/>
      <w:marLeft w:val="0"/>
      <w:marRight w:val="0"/>
      <w:marTop w:val="0"/>
      <w:marBottom w:val="0"/>
      <w:divBdr>
        <w:top w:val="none" w:sz="0" w:space="0" w:color="auto"/>
        <w:left w:val="none" w:sz="0" w:space="0" w:color="auto"/>
        <w:bottom w:val="none" w:sz="0" w:space="0" w:color="auto"/>
        <w:right w:val="none" w:sz="0" w:space="0" w:color="auto"/>
      </w:divBdr>
    </w:div>
    <w:div w:id="790633656">
      <w:bodyDiv w:val="1"/>
      <w:marLeft w:val="0"/>
      <w:marRight w:val="0"/>
      <w:marTop w:val="0"/>
      <w:marBottom w:val="0"/>
      <w:divBdr>
        <w:top w:val="none" w:sz="0" w:space="0" w:color="auto"/>
        <w:left w:val="none" w:sz="0" w:space="0" w:color="auto"/>
        <w:bottom w:val="none" w:sz="0" w:space="0" w:color="auto"/>
        <w:right w:val="none" w:sz="0" w:space="0" w:color="auto"/>
      </w:divBdr>
    </w:div>
    <w:div w:id="806437750">
      <w:bodyDiv w:val="1"/>
      <w:marLeft w:val="0"/>
      <w:marRight w:val="0"/>
      <w:marTop w:val="0"/>
      <w:marBottom w:val="0"/>
      <w:divBdr>
        <w:top w:val="none" w:sz="0" w:space="0" w:color="auto"/>
        <w:left w:val="none" w:sz="0" w:space="0" w:color="auto"/>
        <w:bottom w:val="none" w:sz="0" w:space="0" w:color="auto"/>
        <w:right w:val="none" w:sz="0" w:space="0" w:color="auto"/>
      </w:divBdr>
    </w:div>
    <w:div w:id="806582714">
      <w:bodyDiv w:val="1"/>
      <w:marLeft w:val="0"/>
      <w:marRight w:val="0"/>
      <w:marTop w:val="0"/>
      <w:marBottom w:val="0"/>
      <w:divBdr>
        <w:top w:val="none" w:sz="0" w:space="0" w:color="auto"/>
        <w:left w:val="none" w:sz="0" w:space="0" w:color="auto"/>
        <w:bottom w:val="none" w:sz="0" w:space="0" w:color="auto"/>
        <w:right w:val="none" w:sz="0" w:space="0" w:color="auto"/>
      </w:divBdr>
    </w:div>
    <w:div w:id="813453179">
      <w:bodyDiv w:val="1"/>
      <w:marLeft w:val="0"/>
      <w:marRight w:val="0"/>
      <w:marTop w:val="0"/>
      <w:marBottom w:val="0"/>
      <w:divBdr>
        <w:top w:val="none" w:sz="0" w:space="0" w:color="auto"/>
        <w:left w:val="none" w:sz="0" w:space="0" w:color="auto"/>
        <w:bottom w:val="none" w:sz="0" w:space="0" w:color="auto"/>
        <w:right w:val="none" w:sz="0" w:space="0" w:color="auto"/>
      </w:divBdr>
    </w:div>
    <w:div w:id="821972880">
      <w:bodyDiv w:val="1"/>
      <w:marLeft w:val="0"/>
      <w:marRight w:val="0"/>
      <w:marTop w:val="0"/>
      <w:marBottom w:val="0"/>
      <w:divBdr>
        <w:top w:val="none" w:sz="0" w:space="0" w:color="auto"/>
        <w:left w:val="none" w:sz="0" w:space="0" w:color="auto"/>
        <w:bottom w:val="none" w:sz="0" w:space="0" w:color="auto"/>
        <w:right w:val="none" w:sz="0" w:space="0" w:color="auto"/>
      </w:divBdr>
    </w:div>
    <w:div w:id="839198247">
      <w:bodyDiv w:val="1"/>
      <w:marLeft w:val="0"/>
      <w:marRight w:val="0"/>
      <w:marTop w:val="0"/>
      <w:marBottom w:val="0"/>
      <w:divBdr>
        <w:top w:val="none" w:sz="0" w:space="0" w:color="auto"/>
        <w:left w:val="none" w:sz="0" w:space="0" w:color="auto"/>
        <w:bottom w:val="none" w:sz="0" w:space="0" w:color="auto"/>
        <w:right w:val="none" w:sz="0" w:space="0" w:color="auto"/>
      </w:divBdr>
    </w:div>
    <w:div w:id="882055865">
      <w:bodyDiv w:val="1"/>
      <w:marLeft w:val="0"/>
      <w:marRight w:val="0"/>
      <w:marTop w:val="0"/>
      <w:marBottom w:val="0"/>
      <w:divBdr>
        <w:top w:val="none" w:sz="0" w:space="0" w:color="auto"/>
        <w:left w:val="none" w:sz="0" w:space="0" w:color="auto"/>
        <w:bottom w:val="none" w:sz="0" w:space="0" w:color="auto"/>
        <w:right w:val="none" w:sz="0" w:space="0" w:color="auto"/>
      </w:divBdr>
    </w:div>
    <w:div w:id="901214184">
      <w:bodyDiv w:val="1"/>
      <w:marLeft w:val="0"/>
      <w:marRight w:val="0"/>
      <w:marTop w:val="0"/>
      <w:marBottom w:val="0"/>
      <w:divBdr>
        <w:top w:val="none" w:sz="0" w:space="0" w:color="auto"/>
        <w:left w:val="none" w:sz="0" w:space="0" w:color="auto"/>
        <w:bottom w:val="none" w:sz="0" w:space="0" w:color="auto"/>
        <w:right w:val="none" w:sz="0" w:space="0" w:color="auto"/>
      </w:divBdr>
    </w:div>
    <w:div w:id="906187652">
      <w:bodyDiv w:val="1"/>
      <w:marLeft w:val="0"/>
      <w:marRight w:val="0"/>
      <w:marTop w:val="0"/>
      <w:marBottom w:val="0"/>
      <w:divBdr>
        <w:top w:val="none" w:sz="0" w:space="0" w:color="auto"/>
        <w:left w:val="none" w:sz="0" w:space="0" w:color="auto"/>
        <w:bottom w:val="none" w:sz="0" w:space="0" w:color="auto"/>
        <w:right w:val="none" w:sz="0" w:space="0" w:color="auto"/>
      </w:divBdr>
    </w:div>
    <w:div w:id="916936902">
      <w:bodyDiv w:val="1"/>
      <w:marLeft w:val="0"/>
      <w:marRight w:val="0"/>
      <w:marTop w:val="0"/>
      <w:marBottom w:val="0"/>
      <w:divBdr>
        <w:top w:val="none" w:sz="0" w:space="0" w:color="auto"/>
        <w:left w:val="none" w:sz="0" w:space="0" w:color="auto"/>
        <w:bottom w:val="none" w:sz="0" w:space="0" w:color="auto"/>
        <w:right w:val="none" w:sz="0" w:space="0" w:color="auto"/>
      </w:divBdr>
    </w:div>
    <w:div w:id="950861852">
      <w:bodyDiv w:val="1"/>
      <w:marLeft w:val="0"/>
      <w:marRight w:val="0"/>
      <w:marTop w:val="0"/>
      <w:marBottom w:val="0"/>
      <w:divBdr>
        <w:top w:val="none" w:sz="0" w:space="0" w:color="auto"/>
        <w:left w:val="none" w:sz="0" w:space="0" w:color="auto"/>
        <w:bottom w:val="none" w:sz="0" w:space="0" w:color="auto"/>
        <w:right w:val="none" w:sz="0" w:space="0" w:color="auto"/>
      </w:divBdr>
    </w:div>
    <w:div w:id="959532743">
      <w:bodyDiv w:val="1"/>
      <w:marLeft w:val="0"/>
      <w:marRight w:val="0"/>
      <w:marTop w:val="0"/>
      <w:marBottom w:val="0"/>
      <w:divBdr>
        <w:top w:val="none" w:sz="0" w:space="0" w:color="auto"/>
        <w:left w:val="none" w:sz="0" w:space="0" w:color="auto"/>
        <w:bottom w:val="none" w:sz="0" w:space="0" w:color="auto"/>
        <w:right w:val="none" w:sz="0" w:space="0" w:color="auto"/>
      </w:divBdr>
    </w:div>
    <w:div w:id="959729712">
      <w:bodyDiv w:val="1"/>
      <w:marLeft w:val="0"/>
      <w:marRight w:val="0"/>
      <w:marTop w:val="0"/>
      <w:marBottom w:val="0"/>
      <w:divBdr>
        <w:top w:val="none" w:sz="0" w:space="0" w:color="auto"/>
        <w:left w:val="none" w:sz="0" w:space="0" w:color="auto"/>
        <w:bottom w:val="none" w:sz="0" w:space="0" w:color="auto"/>
        <w:right w:val="none" w:sz="0" w:space="0" w:color="auto"/>
      </w:divBdr>
    </w:div>
    <w:div w:id="962074844">
      <w:bodyDiv w:val="1"/>
      <w:marLeft w:val="0"/>
      <w:marRight w:val="0"/>
      <w:marTop w:val="0"/>
      <w:marBottom w:val="0"/>
      <w:divBdr>
        <w:top w:val="none" w:sz="0" w:space="0" w:color="auto"/>
        <w:left w:val="none" w:sz="0" w:space="0" w:color="auto"/>
        <w:bottom w:val="none" w:sz="0" w:space="0" w:color="auto"/>
        <w:right w:val="none" w:sz="0" w:space="0" w:color="auto"/>
      </w:divBdr>
    </w:div>
    <w:div w:id="963777276">
      <w:bodyDiv w:val="1"/>
      <w:marLeft w:val="0"/>
      <w:marRight w:val="0"/>
      <w:marTop w:val="0"/>
      <w:marBottom w:val="0"/>
      <w:divBdr>
        <w:top w:val="none" w:sz="0" w:space="0" w:color="auto"/>
        <w:left w:val="none" w:sz="0" w:space="0" w:color="auto"/>
        <w:bottom w:val="none" w:sz="0" w:space="0" w:color="auto"/>
        <w:right w:val="none" w:sz="0" w:space="0" w:color="auto"/>
      </w:divBdr>
    </w:div>
    <w:div w:id="986938431">
      <w:bodyDiv w:val="1"/>
      <w:marLeft w:val="0"/>
      <w:marRight w:val="0"/>
      <w:marTop w:val="0"/>
      <w:marBottom w:val="0"/>
      <w:divBdr>
        <w:top w:val="none" w:sz="0" w:space="0" w:color="auto"/>
        <w:left w:val="none" w:sz="0" w:space="0" w:color="auto"/>
        <w:bottom w:val="none" w:sz="0" w:space="0" w:color="auto"/>
        <w:right w:val="none" w:sz="0" w:space="0" w:color="auto"/>
      </w:divBdr>
    </w:div>
    <w:div w:id="1007632234">
      <w:bodyDiv w:val="1"/>
      <w:marLeft w:val="0"/>
      <w:marRight w:val="0"/>
      <w:marTop w:val="0"/>
      <w:marBottom w:val="0"/>
      <w:divBdr>
        <w:top w:val="none" w:sz="0" w:space="0" w:color="auto"/>
        <w:left w:val="none" w:sz="0" w:space="0" w:color="auto"/>
        <w:bottom w:val="none" w:sz="0" w:space="0" w:color="auto"/>
        <w:right w:val="none" w:sz="0" w:space="0" w:color="auto"/>
      </w:divBdr>
    </w:div>
    <w:div w:id="1013536151">
      <w:bodyDiv w:val="1"/>
      <w:marLeft w:val="0"/>
      <w:marRight w:val="0"/>
      <w:marTop w:val="0"/>
      <w:marBottom w:val="0"/>
      <w:divBdr>
        <w:top w:val="none" w:sz="0" w:space="0" w:color="auto"/>
        <w:left w:val="none" w:sz="0" w:space="0" w:color="auto"/>
        <w:bottom w:val="none" w:sz="0" w:space="0" w:color="auto"/>
        <w:right w:val="none" w:sz="0" w:space="0" w:color="auto"/>
      </w:divBdr>
    </w:div>
    <w:div w:id="1031875436">
      <w:bodyDiv w:val="1"/>
      <w:marLeft w:val="0"/>
      <w:marRight w:val="0"/>
      <w:marTop w:val="0"/>
      <w:marBottom w:val="0"/>
      <w:divBdr>
        <w:top w:val="none" w:sz="0" w:space="0" w:color="auto"/>
        <w:left w:val="none" w:sz="0" w:space="0" w:color="auto"/>
        <w:bottom w:val="none" w:sz="0" w:space="0" w:color="auto"/>
        <w:right w:val="none" w:sz="0" w:space="0" w:color="auto"/>
      </w:divBdr>
    </w:div>
    <w:div w:id="1057051403">
      <w:bodyDiv w:val="1"/>
      <w:marLeft w:val="0"/>
      <w:marRight w:val="0"/>
      <w:marTop w:val="0"/>
      <w:marBottom w:val="0"/>
      <w:divBdr>
        <w:top w:val="none" w:sz="0" w:space="0" w:color="auto"/>
        <w:left w:val="none" w:sz="0" w:space="0" w:color="auto"/>
        <w:bottom w:val="none" w:sz="0" w:space="0" w:color="auto"/>
        <w:right w:val="none" w:sz="0" w:space="0" w:color="auto"/>
      </w:divBdr>
    </w:div>
    <w:div w:id="1083798988">
      <w:bodyDiv w:val="1"/>
      <w:marLeft w:val="0"/>
      <w:marRight w:val="0"/>
      <w:marTop w:val="0"/>
      <w:marBottom w:val="0"/>
      <w:divBdr>
        <w:top w:val="none" w:sz="0" w:space="0" w:color="auto"/>
        <w:left w:val="none" w:sz="0" w:space="0" w:color="auto"/>
        <w:bottom w:val="none" w:sz="0" w:space="0" w:color="auto"/>
        <w:right w:val="none" w:sz="0" w:space="0" w:color="auto"/>
      </w:divBdr>
    </w:div>
    <w:div w:id="1088618698">
      <w:bodyDiv w:val="1"/>
      <w:marLeft w:val="0"/>
      <w:marRight w:val="0"/>
      <w:marTop w:val="0"/>
      <w:marBottom w:val="0"/>
      <w:divBdr>
        <w:top w:val="none" w:sz="0" w:space="0" w:color="auto"/>
        <w:left w:val="none" w:sz="0" w:space="0" w:color="auto"/>
        <w:bottom w:val="none" w:sz="0" w:space="0" w:color="auto"/>
        <w:right w:val="none" w:sz="0" w:space="0" w:color="auto"/>
      </w:divBdr>
    </w:div>
    <w:div w:id="1094280956">
      <w:bodyDiv w:val="1"/>
      <w:marLeft w:val="0"/>
      <w:marRight w:val="0"/>
      <w:marTop w:val="0"/>
      <w:marBottom w:val="0"/>
      <w:divBdr>
        <w:top w:val="none" w:sz="0" w:space="0" w:color="auto"/>
        <w:left w:val="none" w:sz="0" w:space="0" w:color="auto"/>
        <w:bottom w:val="none" w:sz="0" w:space="0" w:color="auto"/>
        <w:right w:val="none" w:sz="0" w:space="0" w:color="auto"/>
      </w:divBdr>
    </w:div>
    <w:div w:id="1111128936">
      <w:bodyDiv w:val="1"/>
      <w:marLeft w:val="0"/>
      <w:marRight w:val="0"/>
      <w:marTop w:val="0"/>
      <w:marBottom w:val="0"/>
      <w:divBdr>
        <w:top w:val="none" w:sz="0" w:space="0" w:color="auto"/>
        <w:left w:val="none" w:sz="0" w:space="0" w:color="auto"/>
        <w:bottom w:val="none" w:sz="0" w:space="0" w:color="auto"/>
        <w:right w:val="none" w:sz="0" w:space="0" w:color="auto"/>
      </w:divBdr>
    </w:div>
    <w:div w:id="1112045572">
      <w:bodyDiv w:val="1"/>
      <w:marLeft w:val="0"/>
      <w:marRight w:val="0"/>
      <w:marTop w:val="0"/>
      <w:marBottom w:val="0"/>
      <w:divBdr>
        <w:top w:val="none" w:sz="0" w:space="0" w:color="auto"/>
        <w:left w:val="none" w:sz="0" w:space="0" w:color="auto"/>
        <w:bottom w:val="none" w:sz="0" w:space="0" w:color="auto"/>
        <w:right w:val="none" w:sz="0" w:space="0" w:color="auto"/>
      </w:divBdr>
    </w:div>
    <w:div w:id="1126894345">
      <w:bodyDiv w:val="1"/>
      <w:marLeft w:val="0"/>
      <w:marRight w:val="0"/>
      <w:marTop w:val="0"/>
      <w:marBottom w:val="0"/>
      <w:divBdr>
        <w:top w:val="none" w:sz="0" w:space="0" w:color="auto"/>
        <w:left w:val="none" w:sz="0" w:space="0" w:color="auto"/>
        <w:bottom w:val="none" w:sz="0" w:space="0" w:color="auto"/>
        <w:right w:val="none" w:sz="0" w:space="0" w:color="auto"/>
      </w:divBdr>
    </w:div>
    <w:div w:id="1133525337">
      <w:bodyDiv w:val="1"/>
      <w:marLeft w:val="0"/>
      <w:marRight w:val="0"/>
      <w:marTop w:val="0"/>
      <w:marBottom w:val="0"/>
      <w:divBdr>
        <w:top w:val="none" w:sz="0" w:space="0" w:color="auto"/>
        <w:left w:val="none" w:sz="0" w:space="0" w:color="auto"/>
        <w:bottom w:val="none" w:sz="0" w:space="0" w:color="auto"/>
        <w:right w:val="none" w:sz="0" w:space="0" w:color="auto"/>
      </w:divBdr>
    </w:div>
    <w:div w:id="1148278296">
      <w:bodyDiv w:val="1"/>
      <w:marLeft w:val="0"/>
      <w:marRight w:val="0"/>
      <w:marTop w:val="0"/>
      <w:marBottom w:val="0"/>
      <w:divBdr>
        <w:top w:val="none" w:sz="0" w:space="0" w:color="auto"/>
        <w:left w:val="none" w:sz="0" w:space="0" w:color="auto"/>
        <w:bottom w:val="none" w:sz="0" w:space="0" w:color="auto"/>
        <w:right w:val="none" w:sz="0" w:space="0" w:color="auto"/>
      </w:divBdr>
    </w:div>
    <w:div w:id="1148520707">
      <w:bodyDiv w:val="1"/>
      <w:marLeft w:val="0"/>
      <w:marRight w:val="0"/>
      <w:marTop w:val="0"/>
      <w:marBottom w:val="0"/>
      <w:divBdr>
        <w:top w:val="none" w:sz="0" w:space="0" w:color="auto"/>
        <w:left w:val="none" w:sz="0" w:space="0" w:color="auto"/>
        <w:bottom w:val="none" w:sz="0" w:space="0" w:color="auto"/>
        <w:right w:val="none" w:sz="0" w:space="0" w:color="auto"/>
      </w:divBdr>
    </w:div>
    <w:div w:id="1188299419">
      <w:bodyDiv w:val="1"/>
      <w:marLeft w:val="0"/>
      <w:marRight w:val="0"/>
      <w:marTop w:val="0"/>
      <w:marBottom w:val="0"/>
      <w:divBdr>
        <w:top w:val="none" w:sz="0" w:space="0" w:color="auto"/>
        <w:left w:val="none" w:sz="0" w:space="0" w:color="auto"/>
        <w:bottom w:val="none" w:sz="0" w:space="0" w:color="auto"/>
        <w:right w:val="none" w:sz="0" w:space="0" w:color="auto"/>
      </w:divBdr>
    </w:div>
    <w:div w:id="1191652842">
      <w:bodyDiv w:val="1"/>
      <w:marLeft w:val="0"/>
      <w:marRight w:val="0"/>
      <w:marTop w:val="0"/>
      <w:marBottom w:val="0"/>
      <w:divBdr>
        <w:top w:val="none" w:sz="0" w:space="0" w:color="auto"/>
        <w:left w:val="none" w:sz="0" w:space="0" w:color="auto"/>
        <w:bottom w:val="none" w:sz="0" w:space="0" w:color="auto"/>
        <w:right w:val="none" w:sz="0" w:space="0" w:color="auto"/>
      </w:divBdr>
    </w:div>
    <w:div w:id="1197546856">
      <w:bodyDiv w:val="1"/>
      <w:marLeft w:val="0"/>
      <w:marRight w:val="0"/>
      <w:marTop w:val="0"/>
      <w:marBottom w:val="0"/>
      <w:divBdr>
        <w:top w:val="none" w:sz="0" w:space="0" w:color="auto"/>
        <w:left w:val="none" w:sz="0" w:space="0" w:color="auto"/>
        <w:bottom w:val="none" w:sz="0" w:space="0" w:color="auto"/>
        <w:right w:val="none" w:sz="0" w:space="0" w:color="auto"/>
      </w:divBdr>
    </w:div>
    <w:div w:id="1223442132">
      <w:bodyDiv w:val="1"/>
      <w:marLeft w:val="0"/>
      <w:marRight w:val="0"/>
      <w:marTop w:val="0"/>
      <w:marBottom w:val="0"/>
      <w:divBdr>
        <w:top w:val="none" w:sz="0" w:space="0" w:color="auto"/>
        <w:left w:val="none" w:sz="0" w:space="0" w:color="auto"/>
        <w:bottom w:val="none" w:sz="0" w:space="0" w:color="auto"/>
        <w:right w:val="none" w:sz="0" w:space="0" w:color="auto"/>
      </w:divBdr>
    </w:div>
    <w:div w:id="1224564124">
      <w:bodyDiv w:val="1"/>
      <w:marLeft w:val="0"/>
      <w:marRight w:val="0"/>
      <w:marTop w:val="0"/>
      <w:marBottom w:val="0"/>
      <w:divBdr>
        <w:top w:val="none" w:sz="0" w:space="0" w:color="auto"/>
        <w:left w:val="none" w:sz="0" w:space="0" w:color="auto"/>
        <w:bottom w:val="none" w:sz="0" w:space="0" w:color="auto"/>
        <w:right w:val="none" w:sz="0" w:space="0" w:color="auto"/>
      </w:divBdr>
    </w:div>
    <w:div w:id="1231041483">
      <w:bodyDiv w:val="1"/>
      <w:marLeft w:val="0"/>
      <w:marRight w:val="0"/>
      <w:marTop w:val="0"/>
      <w:marBottom w:val="0"/>
      <w:divBdr>
        <w:top w:val="none" w:sz="0" w:space="0" w:color="auto"/>
        <w:left w:val="none" w:sz="0" w:space="0" w:color="auto"/>
        <w:bottom w:val="none" w:sz="0" w:space="0" w:color="auto"/>
        <w:right w:val="none" w:sz="0" w:space="0" w:color="auto"/>
      </w:divBdr>
    </w:div>
    <w:div w:id="1238128438">
      <w:bodyDiv w:val="1"/>
      <w:marLeft w:val="0"/>
      <w:marRight w:val="0"/>
      <w:marTop w:val="0"/>
      <w:marBottom w:val="0"/>
      <w:divBdr>
        <w:top w:val="none" w:sz="0" w:space="0" w:color="auto"/>
        <w:left w:val="none" w:sz="0" w:space="0" w:color="auto"/>
        <w:bottom w:val="none" w:sz="0" w:space="0" w:color="auto"/>
        <w:right w:val="none" w:sz="0" w:space="0" w:color="auto"/>
      </w:divBdr>
    </w:div>
    <w:div w:id="1297756075">
      <w:bodyDiv w:val="1"/>
      <w:marLeft w:val="0"/>
      <w:marRight w:val="0"/>
      <w:marTop w:val="0"/>
      <w:marBottom w:val="0"/>
      <w:divBdr>
        <w:top w:val="none" w:sz="0" w:space="0" w:color="auto"/>
        <w:left w:val="none" w:sz="0" w:space="0" w:color="auto"/>
        <w:bottom w:val="none" w:sz="0" w:space="0" w:color="auto"/>
        <w:right w:val="none" w:sz="0" w:space="0" w:color="auto"/>
      </w:divBdr>
    </w:div>
    <w:div w:id="1316030944">
      <w:bodyDiv w:val="1"/>
      <w:marLeft w:val="0"/>
      <w:marRight w:val="0"/>
      <w:marTop w:val="0"/>
      <w:marBottom w:val="0"/>
      <w:divBdr>
        <w:top w:val="none" w:sz="0" w:space="0" w:color="auto"/>
        <w:left w:val="none" w:sz="0" w:space="0" w:color="auto"/>
        <w:bottom w:val="none" w:sz="0" w:space="0" w:color="auto"/>
        <w:right w:val="none" w:sz="0" w:space="0" w:color="auto"/>
      </w:divBdr>
    </w:div>
    <w:div w:id="1316031707">
      <w:bodyDiv w:val="1"/>
      <w:marLeft w:val="0"/>
      <w:marRight w:val="0"/>
      <w:marTop w:val="0"/>
      <w:marBottom w:val="0"/>
      <w:divBdr>
        <w:top w:val="none" w:sz="0" w:space="0" w:color="auto"/>
        <w:left w:val="none" w:sz="0" w:space="0" w:color="auto"/>
        <w:bottom w:val="none" w:sz="0" w:space="0" w:color="auto"/>
        <w:right w:val="none" w:sz="0" w:space="0" w:color="auto"/>
      </w:divBdr>
    </w:div>
    <w:div w:id="1332415423">
      <w:bodyDiv w:val="1"/>
      <w:marLeft w:val="0"/>
      <w:marRight w:val="0"/>
      <w:marTop w:val="0"/>
      <w:marBottom w:val="0"/>
      <w:divBdr>
        <w:top w:val="none" w:sz="0" w:space="0" w:color="auto"/>
        <w:left w:val="none" w:sz="0" w:space="0" w:color="auto"/>
        <w:bottom w:val="none" w:sz="0" w:space="0" w:color="auto"/>
        <w:right w:val="none" w:sz="0" w:space="0" w:color="auto"/>
      </w:divBdr>
    </w:div>
    <w:div w:id="1335960759">
      <w:bodyDiv w:val="1"/>
      <w:marLeft w:val="0"/>
      <w:marRight w:val="0"/>
      <w:marTop w:val="0"/>
      <w:marBottom w:val="0"/>
      <w:divBdr>
        <w:top w:val="none" w:sz="0" w:space="0" w:color="auto"/>
        <w:left w:val="none" w:sz="0" w:space="0" w:color="auto"/>
        <w:bottom w:val="none" w:sz="0" w:space="0" w:color="auto"/>
        <w:right w:val="none" w:sz="0" w:space="0" w:color="auto"/>
      </w:divBdr>
    </w:div>
    <w:div w:id="1337611329">
      <w:bodyDiv w:val="1"/>
      <w:marLeft w:val="0"/>
      <w:marRight w:val="0"/>
      <w:marTop w:val="0"/>
      <w:marBottom w:val="0"/>
      <w:divBdr>
        <w:top w:val="none" w:sz="0" w:space="0" w:color="auto"/>
        <w:left w:val="none" w:sz="0" w:space="0" w:color="auto"/>
        <w:bottom w:val="none" w:sz="0" w:space="0" w:color="auto"/>
        <w:right w:val="none" w:sz="0" w:space="0" w:color="auto"/>
      </w:divBdr>
    </w:div>
    <w:div w:id="1348480565">
      <w:bodyDiv w:val="1"/>
      <w:marLeft w:val="0"/>
      <w:marRight w:val="0"/>
      <w:marTop w:val="0"/>
      <w:marBottom w:val="0"/>
      <w:divBdr>
        <w:top w:val="none" w:sz="0" w:space="0" w:color="auto"/>
        <w:left w:val="none" w:sz="0" w:space="0" w:color="auto"/>
        <w:bottom w:val="none" w:sz="0" w:space="0" w:color="auto"/>
        <w:right w:val="none" w:sz="0" w:space="0" w:color="auto"/>
      </w:divBdr>
    </w:div>
    <w:div w:id="1350253513">
      <w:bodyDiv w:val="1"/>
      <w:marLeft w:val="0"/>
      <w:marRight w:val="0"/>
      <w:marTop w:val="0"/>
      <w:marBottom w:val="0"/>
      <w:divBdr>
        <w:top w:val="none" w:sz="0" w:space="0" w:color="auto"/>
        <w:left w:val="none" w:sz="0" w:space="0" w:color="auto"/>
        <w:bottom w:val="none" w:sz="0" w:space="0" w:color="auto"/>
        <w:right w:val="none" w:sz="0" w:space="0" w:color="auto"/>
      </w:divBdr>
    </w:div>
    <w:div w:id="1355109009">
      <w:bodyDiv w:val="1"/>
      <w:marLeft w:val="0"/>
      <w:marRight w:val="0"/>
      <w:marTop w:val="0"/>
      <w:marBottom w:val="0"/>
      <w:divBdr>
        <w:top w:val="none" w:sz="0" w:space="0" w:color="auto"/>
        <w:left w:val="none" w:sz="0" w:space="0" w:color="auto"/>
        <w:bottom w:val="none" w:sz="0" w:space="0" w:color="auto"/>
        <w:right w:val="none" w:sz="0" w:space="0" w:color="auto"/>
      </w:divBdr>
    </w:div>
    <w:div w:id="1362824158">
      <w:bodyDiv w:val="1"/>
      <w:marLeft w:val="0"/>
      <w:marRight w:val="0"/>
      <w:marTop w:val="0"/>
      <w:marBottom w:val="0"/>
      <w:divBdr>
        <w:top w:val="none" w:sz="0" w:space="0" w:color="auto"/>
        <w:left w:val="none" w:sz="0" w:space="0" w:color="auto"/>
        <w:bottom w:val="none" w:sz="0" w:space="0" w:color="auto"/>
        <w:right w:val="none" w:sz="0" w:space="0" w:color="auto"/>
      </w:divBdr>
    </w:div>
    <w:div w:id="1372682590">
      <w:bodyDiv w:val="1"/>
      <w:marLeft w:val="0"/>
      <w:marRight w:val="0"/>
      <w:marTop w:val="0"/>
      <w:marBottom w:val="0"/>
      <w:divBdr>
        <w:top w:val="none" w:sz="0" w:space="0" w:color="auto"/>
        <w:left w:val="none" w:sz="0" w:space="0" w:color="auto"/>
        <w:bottom w:val="none" w:sz="0" w:space="0" w:color="auto"/>
        <w:right w:val="none" w:sz="0" w:space="0" w:color="auto"/>
      </w:divBdr>
    </w:div>
    <w:div w:id="1378046155">
      <w:bodyDiv w:val="1"/>
      <w:marLeft w:val="0"/>
      <w:marRight w:val="0"/>
      <w:marTop w:val="0"/>
      <w:marBottom w:val="0"/>
      <w:divBdr>
        <w:top w:val="none" w:sz="0" w:space="0" w:color="auto"/>
        <w:left w:val="none" w:sz="0" w:space="0" w:color="auto"/>
        <w:bottom w:val="none" w:sz="0" w:space="0" w:color="auto"/>
        <w:right w:val="none" w:sz="0" w:space="0" w:color="auto"/>
      </w:divBdr>
    </w:div>
    <w:div w:id="1382289052">
      <w:bodyDiv w:val="1"/>
      <w:marLeft w:val="0"/>
      <w:marRight w:val="0"/>
      <w:marTop w:val="0"/>
      <w:marBottom w:val="0"/>
      <w:divBdr>
        <w:top w:val="none" w:sz="0" w:space="0" w:color="auto"/>
        <w:left w:val="none" w:sz="0" w:space="0" w:color="auto"/>
        <w:bottom w:val="none" w:sz="0" w:space="0" w:color="auto"/>
        <w:right w:val="none" w:sz="0" w:space="0" w:color="auto"/>
      </w:divBdr>
    </w:div>
    <w:div w:id="1386248623">
      <w:bodyDiv w:val="1"/>
      <w:marLeft w:val="0"/>
      <w:marRight w:val="0"/>
      <w:marTop w:val="0"/>
      <w:marBottom w:val="0"/>
      <w:divBdr>
        <w:top w:val="none" w:sz="0" w:space="0" w:color="auto"/>
        <w:left w:val="none" w:sz="0" w:space="0" w:color="auto"/>
        <w:bottom w:val="none" w:sz="0" w:space="0" w:color="auto"/>
        <w:right w:val="none" w:sz="0" w:space="0" w:color="auto"/>
      </w:divBdr>
    </w:div>
    <w:div w:id="1393045530">
      <w:bodyDiv w:val="1"/>
      <w:marLeft w:val="0"/>
      <w:marRight w:val="0"/>
      <w:marTop w:val="0"/>
      <w:marBottom w:val="0"/>
      <w:divBdr>
        <w:top w:val="none" w:sz="0" w:space="0" w:color="auto"/>
        <w:left w:val="none" w:sz="0" w:space="0" w:color="auto"/>
        <w:bottom w:val="none" w:sz="0" w:space="0" w:color="auto"/>
        <w:right w:val="none" w:sz="0" w:space="0" w:color="auto"/>
      </w:divBdr>
    </w:div>
    <w:div w:id="1439136138">
      <w:bodyDiv w:val="1"/>
      <w:marLeft w:val="0"/>
      <w:marRight w:val="0"/>
      <w:marTop w:val="0"/>
      <w:marBottom w:val="0"/>
      <w:divBdr>
        <w:top w:val="none" w:sz="0" w:space="0" w:color="auto"/>
        <w:left w:val="none" w:sz="0" w:space="0" w:color="auto"/>
        <w:bottom w:val="none" w:sz="0" w:space="0" w:color="auto"/>
        <w:right w:val="none" w:sz="0" w:space="0" w:color="auto"/>
      </w:divBdr>
    </w:div>
    <w:div w:id="1447314515">
      <w:bodyDiv w:val="1"/>
      <w:marLeft w:val="0"/>
      <w:marRight w:val="0"/>
      <w:marTop w:val="0"/>
      <w:marBottom w:val="0"/>
      <w:divBdr>
        <w:top w:val="none" w:sz="0" w:space="0" w:color="auto"/>
        <w:left w:val="none" w:sz="0" w:space="0" w:color="auto"/>
        <w:bottom w:val="none" w:sz="0" w:space="0" w:color="auto"/>
        <w:right w:val="none" w:sz="0" w:space="0" w:color="auto"/>
      </w:divBdr>
    </w:div>
    <w:div w:id="1447429864">
      <w:bodyDiv w:val="1"/>
      <w:marLeft w:val="0"/>
      <w:marRight w:val="0"/>
      <w:marTop w:val="0"/>
      <w:marBottom w:val="0"/>
      <w:divBdr>
        <w:top w:val="none" w:sz="0" w:space="0" w:color="auto"/>
        <w:left w:val="none" w:sz="0" w:space="0" w:color="auto"/>
        <w:bottom w:val="none" w:sz="0" w:space="0" w:color="auto"/>
        <w:right w:val="none" w:sz="0" w:space="0" w:color="auto"/>
      </w:divBdr>
    </w:div>
    <w:div w:id="1450198015">
      <w:bodyDiv w:val="1"/>
      <w:marLeft w:val="0"/>
      <w:marRight w:val="0"/>
      <w:marTop w:val="0"/>
      <w:marBottom w:val="0"/>
      <w:divBdr>
        <w:top w:val="none" w:sz="0" w:space="0" w:color="auto"/>
        <w:left w:val="none" w:sz="0" w:space="0" w:color="auto"/>
        <w:bottom w:val="none" w:sz="0" w:space="0" w:color="auto"/>
        <w:right w:val="none" w:sz="0" w:space="0" w:color="auto"/>
      </w:divBdr>
    </w:div>
    <w:div w:id="1454441240">
      <w:bodyDiv w:val="1"/>
      <w:marLeft w:val="0"/>
      <w:marRight w:val="0"/>
      <w:marTop w:val="0"/>
      <w:marBottom w:val="0"/>
      <w:divBdr>
        <w:top w:val="none" w:sz="0" w:space="0" w:color="auto"/>
        <w:left w:val="none" w:sz="0" w:space="0" w:color="auto"/>
        <w:bottom w:val="none" w:sz="0" w:space="0" w:color="auto"/>
        <w:right w:val="none" w:sz="0" w:space="0" w:color="auto"/>
      </w:divBdr>
    </w:div>
    <w:div w:id="1478377367">
      <w:bodyDiv w:val="1"/>
      <w:marLeft w:val="0"/>
      <w:marRight w:val="0"/>
      <w:marTop w:val="0"/>
      <w:marBottom w:val="0"/>
      <w:divBdr>
        <w:top w:val="none" w:sz="0" w:space="0" w:color="auto"/>
        <w:left w:val="none" w:sz="0" w:space="0" w:color="auto"/>
        <w:bottom w:val="none" w:sz="0" w:space="0" w:color="auto"/>
        <w:right w:val="none" w:sz="0" w:space="0" w:color="auto"/>
      </w:divBdr>
    </w:div>
    <w:div w:id="1485774100">
      <w:bodyDiv w:val="1"/>
      <w:marLeft w:val="0"/>
      <w:marRight w:val="0"/>
      <w:marTop w:val="0"/>
      <w:marBottom w:val="0"/>
      <w:divBdr>
        <w:top w:val="none" w:sz="0" w:space="0" w:color="auto"/>
        <w:left w:val="none" w:sz="0" w:space="0" w:color="auto"/>
        <w:bottom w:val="none" w:sz="0" w:space="0" w:color="auto"/>
        <w:right w:val="none" w:sz="0" w:space="0" w:color="auto"/>
      </w:divBdr>
    </w:div>
    <w:div w:id="1489438435">
      <w:bodyDiv w:val="1"/>
      <w:marLeft w:val="0"/>
      <w:marRight w:val="0"/>
      <w:marTop w:val="0"/>
      <w:marBottom w:val="0"/>
      <w:divBdr>
        <w:top w:val="none" w:sz="0" w:space="0" w:color="auto"/>
        <w:left w:val="none" w:sz="0" w:space="0" w:color="auto"/>
        <w:bottom w:val="none" w:sz="0" w:space="0" w:color="auto"/>
        <w:right w:val="none" w:sz="0" w:space="0" w:color="auto"/>
      </w:divBdr>
    </w:div>
    <w:div w:id="1514491651">
      <w:bodyDiv w:val="1"/>
      <w:marLeft w:val="0"/>
      <w:marRight w:val="0"/>
      <w:marTop w:val="0"/>
      <w:marBottom w:val="0"/>
      <w:divBdr>
        <w:top w:val="none" w:sz="0" w:space="0" w:color="auto"/>
        <w:left w:val="none" w:sz="0" w:space="0" w:color="auto"/>
        <w:bottom w:val="none" w:sz="0" w:space="0" w:color="auto"/>
        <w:right w:val="none" w:sz="0" w:space="0" w:color="auto"/>
      </w:divBdr>
    </w:div>
    <w:div w:id="1530221024">
      <w:bodyDiv w:val="1"/>
      <w:marLeft w:val="0"/>
      <w:marRight w:val="0"/>
      <w:marTop w:val="0"/>
      <w:marBottom w:val="0"/>
      <w:divBdr>
        <w:top w:val="none" w:sz="0" w:space="0" w:color="auto"/>
        <w:left w:val="none" w:sz="0" w:space="0" w:color="auto"/>
        <w:bottom w:val="none" w:sz="0" w:space="0" w:color="auto"/>
        <w:right w:val="none" w:sz="0" w:space="0" w:color="auto"/>
      </w:divBdr>
    </w:div>
    <w:div w:id="1539775064">
      <w:bodyDiv w:val="1"/>
      <w:marLeft w:val="0"/>
      <w:marRight w:val="0"/>
      <w:marTop w:val="0"/>
      <w:marBottom w:val="0"/>
      <w:divBdr>
        <w:top w:val="none" w:sz="0" w:space="0" w:color="auto"/>
        <w:left w:val="none" w:sz="0" w:space="0" w:color="auto"/>
        <w:bottom w:val="none" w:sz="0" w:space="0" w:color="auto"/>
        <w:right w:val="none" w:sz="0" w:space="0" w:color="auto"/>
      </w:divBdr>
    </w:div>
    <w:div w:id="1574700974">
      <w:bodyDiv w:val="1"/>
      <w:marLeft w:val="0"/>
      <w:marRight w:val="0"/>
      <w:marTop w:val="0"/>
      <w:marBottom w:val="0"/>
      <w:divBdr>
        <w:top w:val="none" w:sz="0" w:space="0" w:color="auto"/>
        <w:left w:val="none" w:sz="0" w:space="0" w:color="auto"/>
        <w:bottom w:val="none" w:sz="0" w:space="0" w:color="auto"/>
        <w:right w:val="none" w:sz="0" w:space="0" w:color="auto"/>
      </w:divBdr>
    </w:div>
    <w:div w:id="1579170288">
      <w:bodyDiv w:val="1"/>
      <w:marLeft w:val="0"/>
      <w:marRight w:val="0"/>
      <w:marTop w:val="0"/>
      <w:marBottom w:val="0"/>
      <w:divBdr>
        <w:top w:val="none" w:sz="0" w:space="0" w:color="auto"/>
        <w:left w:val="none" w:sz="0" w:space="0" w:color="auto"/>
        <w:bottom w:val="none" w:sz="0" w:space="0" w:color="auto"/>
        <w:right w:val="none" w:sz="0" w:space="0" w:color="auto"/>
      </w:divBdr>
    </w:div>
    <w:div w:id="1582060755">
      <w:bodyDiv w:val="1"/>
      <w:marLeft w:val="0"/>
      <w:marRight w:val="0"/>
      <w:marTop w:val="0"/>
      <w:marBottom w:val="0"/>
      <w:divBdr>
        <w:top w:val="none" w:sz="0" w:space="0" w:color="auto"/>
        <w:left w:val="none" w:sz="0" w:space="0" w:color="auto"/>
        <w:bottom w:val="none" w:sz="0" w:space="0" w:color="auto"/>
        <w:right w:val="none" w:sz="0" w:space="0" w:color="auto"/>
      </w:divBdr>
    </w:div>
    <w:div w:id="1586067335">
      <w:bodyDiv w:val="1"/>
      <w:marLeft w:val="0"/>
      <w:marRight w:val="0"/>
      <w:marTop w:val="0"/>
      <w:marBottom w:val="0"/>
      <w:divBdr>
        <w:top w:val="none" w:sz="0" w:space="0" w:color="auto"/>
        <w:left w:val="none" w:sz="0" w:space="0" w:color="auto"/>
        <w:bottom w:val="none" w:sz="0" w:space="0" w:color="auto"/>
        <w:right w:val="none" w:sz="0" w:space="0" w:color="auto"/>
      </w:divBdr>
    </w:div>
    <w:div w:id="1610744898">
      <w:bodyDiv w:val="1"/>
      <w:marLeft w:val="0"/>
      <w:marRight w:val="0"/>
      <w:marTop w:val="0"/>
      <w:marBottom w:val="0"/>
      <w:divBdr>
        <w:top w:val="none" w:sz="0" w:space="0" w:color="auto"/>
        <w:left w:val="none" w:sz="0" w:space="0" w:color="auto"/>
        <w:bottom w:val="none" w:sz="0" w:space="0" w:color="auto"/>
        <w:right w:val="none" w:sz="0" w:space="0" w:color="auto"/>
      </w:divBdr>
    </w:div>
    <w:div w:id="1622305250">
      <w:bodyDiv w:val="1"/>
      <w:marLeft w:val="0"/>
      <w:marRight w:val="0"/>
      <w:marTop w:val="0"/>
      <w:marBottom w:val="0"/>
      <w:divBdr>
        <w:top w:val="none" w:sz="0" w:space="0" w:color="auto"/>
        <w:left w:val="none" w:sz="0" w:space="0" w:color="auto"/>
        <w:bottom w:val="none" w:sz="0" w:space="0" w:color="auto"/>
        <w:right w:val="none" w:sz="0" w:space="0" w:color="auto"/>
      </w:divBdr>
    </w:div>
    <w:div w:id="1636793469">
      <w:bodyDiv w:val="1"/>
      <w:marLeft w:val="0"/>
      <w:marRight w:val="0"/>
      <w:marTop w:val="0"/>
      <w:marBottom w:val="0"/>
      <w:divBdr>
        <w:top w:val="none" w:sz="0" w:space="0" w:color="auto"/>
        <w:left w:val="none" w:sz="0" w:space="0" w:color="auto"/>
        <w:bottom w:val="none" w:sz="0" w:space="0" w:color="auto"/>
        <w:right w:val="none" w:sz="0" w:space="0" w:color="auto"/>
      </w:divBdr>
    </w:div>
    <w:div w:id="1646158875">
      <w:bodyDiv w:val="1"/>
      <w:marLeft w:val="0"/>
      <w:marRight w:val="0"/>
      <w:marTop w:val="0"/>
      <w:marBottom w:val="0"/>
      <w:divBdr>
        <w:top w:val="none" w:sz="0" w:space="0" w:color="auto"/>
        <w:left w:val="none" w:sz="0" w:space="0" w:color="auto"/>
        <w:bottom w:val="none" w:sz="0" w:space="0" w:color="auto"/>
        <w:right w:val="none" w:sz="0" w:space="0" w:color="auto"/>
      </w:divBdr>
    </w:div>
    <w:div w:id="1675036269">
      <w:bodyDiv w:val="1"/>
      <w:marLeft w:val="0"/>
      <w:marRight w:val="0"/>
      <w:marTop w:val="0"/>
      <w:marBottom w:val="0"/>
      <w:divBdr>
        <w:top w:val="none" w:sz="0" w:space="0" w:color="auto"/>
        <w:left w:val="none" w:sz="0" w:space="0" w:color="auto"/>
        <w:bottom w:val="none" w:sz="0" w:space="0" w:color="auto"/>
        <w:right w:val="none" w:sz="0" w:space="0" w:color="auto"/>
      </w:divBdr>
    </w:div>
    <w:div w:id="1677687054">
      <w:bodyDiv w:val="1"/>
      <w:marLeft w:val="0"/>
      <w:marRight w:val="0"/>
      <w:marTop w:val="0"/>
      <w:marBottom w:val="0"/>
      <w:divBdr>
        <w:top w:val="none" w:sz="0" w:space="0" w:color="auto"/>
        <w:left w:val="none" w:sz="0" w:space="0" w:color="auto"/>
        <w:bottom w:val="none" w:sz="0" w:space="0" w:color="auto"/>
        <w:right w:val="none" w:sz="0" w:space="0" w:color="auto"/>
      </w:divBdr>
    </w:div>
    <w:div w:id="1683242973">
      <w:bodyDiv w:val="1"/>
      <w:marLeft w:val="0"/>
      <w:marRight w:val="0"/>
      <w:marTop w:val="0"/>
      <w:marBottom w:val="0"/>
      <w:divBdr>
        <w:top w:val="none" w:sz="0" w:space="0" w:color="auto"/>
        <w:left w:val="none" w:sz="0" w:space="0" w:color="auto"/>
        <w:bottom w:val="none" w:sz="0" w:space="0" w:color="auto"/>
        <w:right w:val="none" w:sz="0" w:space="0" w:color="auto"/>
      </w:divBdr>
    </w:div>
    <w:div w:id="1696496975">
      <w:bodyDiv w:val="1"/>
      <w:marLeft w:val="0"/>
      <w:marRight w:val="0"/>
      <w:marTop w:val="0"/>
      <w:marBottom w:val="0"/>
      <w:divBdr>
        <w:top w:val="none" w:sz="0" w:space="0" w:color="auto"/>
        <w:left w:val="none" w:sz="0" w:space="0" w:color="auto"/>
        <w:bottom w:val="none" w:sz="0" w:space="0" w:color="auto"/>
        <w:right w:val="none" w:sz="0" w:space="0" w:color="auto"/>
      </w:divBdr>
    </w:div>
    <w:div w:id="1715344268">
      <w:bodyDiv w:val="1"/>
      <w:marLeft w:val="0"/>
      <w:marRight w:val="0"/>
      <w:marTop w:val="0"/>
      <w:marBottom w:val="0"/>
      <w:divBdr>
        <w:top w:val="none" w:sz="0" w:space="0" w:color="auto"/>
        <w:left w:val="none" w:sz="0" w:space="0" w:color="auto"/>
        <w:bottom w:val="none" w:sz="0" w:space="0" w:color="auto"/>
        <w:right w:val="none" w:sz="0" w:space="0" w:color="auto"/>
      </w:divBdr>
    </w:div>
    <w:div w:id="1715890943">
      <w:bodyDiv w:val="1"/>
      <w:marLeft w:val="0"/>
      <w:marRight w:val="0"/>
      <w:marTop w:val="0"/>
      <w:marBottom w:val="0"/>
      <w:divBdr>
        <w:top w:val="none" w:sz="0" w:space="0" w:color="auto"/>
        <w:left w:val="none" w:sz="0" w:space="0" w:color="auto"/>
        <w:bottom w:val="none" w:sz="0" w:space="0" w:color="auto"/>
        <w:right w:val="none" w:sz="0" w:space="0" w:color="auto"/>
      </w:divBdr>
    </w:div>
    <w:div w:id="1725567074">
      <w:bodyDiv w:val="1"/>
      <w:marLeft w:val="0"/>
      <w:marRight w:val="0"/>
      <w:marTop w:val="0"/>
      <w:marBottom w:val="0"/>
      <w:divBdr>
        <w:top w:val="none" w:sz="0" w:space="0" w:color="auto"/>
        <w:left w:val="none" w:sz="0" w:space="0" w:color="auto"/>
        <w:bottom w:val="none" w:sz="0" w:space="0" w:color="auto"/>
        <w:right w:val="none" w:sz="0" w:space="0" w:color="auto"/>
      </w:divBdr>
    </w:div>
    <w:div w:id="1738825231">
      <w:bodyDiv w:val="1"/>
      <w:marLeft w:val="0"/>
      <w:marRight w:val="0"/>
      <w:marTop w:val="0"/>
      <w:marBottom w:val="0"/>
      <w:divBdr>
        <w:top w:val="none" w:sz="0" w:space="0" w:color="auto"/>
        <w:left w:val="none" w:sz="0" w:space="0" w:color="auto"/>
        <w:bottom w:val="none" w:sz="0" w:space="0" w:color="auto"/>
        <w:right w:val="none" w:sz="0" w:space="0" w:color="auto"/>
      </w:divBdr>
    </w:div>
    <w:div w:id="1759982113">
      <w:bodyDiv w:val="1"/>
      <w:marLeft w:val="0"/>
      <w:marRight w:val="0"/>
      <w:marTop w:val="0"/>
      <w:marBottom w:val="0"/>
      <w:divBdr>
        <w:top w:val="none" w:sz="0" w:space="0" w:color="auto"/>
        <w:left w:val="none" w:sz="0" w:space="0" w:color="auto"/>
        <w:bottom w:val="none" w:sz="0" w:space="0" w:color="auto"/>
        <w:right w:val="none" w:sz="0" w:space="0" w:color="auto"/>
      </w:divBdr>
    </w:div>
    <w:div w:id="1765491401">
      <w:bodyDiv w:val="1"/>
      <w:marLeft w:val="0"/>
      <w:marRight w:val="0"/>
      <w:marTop w:val="0"/>
      <w:marBottom w:val="0"/>
      <w:divBdr>
        <w:top w:val="none" w:sz="0" w:space="0" w:color="auto"/>
        <w:left w:val="none" w:sz="0" w:space="0" w:color="auto"/>
        <w:bottom w:val="none" w:sz="0" w:space="0" w:color="auto"/>
        <w:right w:val="none" w:sz="0" w:space="0" w:color="auto"/>
      </w:divBdr>
    </w:div>
    <w:div w:id="1785228212">
      <w:bodyDiv w:val="1"/>
      <w:marLeft w:val="0"/>
      <w:marRight w:val="0"/>
      <w:marTop w:val="0"/>
      <w:marBottom w:val="0"/>
      <w:divBdr>
        <w:top w:val="none" w:sz="0" w:space="0" w:color="auto"/>
        <w:left w:val="none" w:sz="0" w:space="0" w:color="auto"/>
        <w:bottom w:val="none" w:sz="0" w:space="0" w:color="auto"/>
        <w:right w:val="none" w:sz="0" w:space="0" w:color="auto"/>
      </w:divBdr>
    </w:div>
    <w:div w:id="1794670160">
      <w:bodyDiv w:val="1"/>
      <w:marLeft w:val="0"/>
      <w:marRight w:val="0"/>
      <w:marTop w:val="0"/>
      <w:marBottom w:val="0"/>
      <w:divBdr>
        <w:top w:val="none" w:sz="0" w:space="0" w:color="auto"/>
        <w:left w:val="none" w:sz="0" w:space="0" w:color="auto"/>
        <w:bottom w:val="none" w:sz="0" w:space="0" w:color="auto"/>
        <w:right w:val="none" w:sz="0" w:space="0" w:color="auto"/>
      </w:divBdr>
    </w:div>
    <w:div w:id="1798064378">
      <w:bodyDiv w:val="1"/>
      <w:marLeft w:val="0"/>
      <w:marRight w:val="0"/>
      <w:marTop w:val="0"/>
      <w:marBottom w:val="0"/>
      <w:divBdr>
        <w:top w:val="none" w:sz="0" w:space="0" w:color="auto"/>
        <w:left w:val="none" w:sz="0" w:space="0" w:color="auto"/>
        <w:bottom w:val="none" w:sz="0" w:space="0" w:color="auto"/>
        <w:right w:val="none" w:sz="0" w:space="0" w:color="auto"/>
      </w:divBdr>
    </w:div>
    <w:div w:id="1800144202">
      <w:bodyDiv w:val="1"/>
      <w:marLeft w:val="0"/>
      <w:marRight w:val="0"/>
      <w:marTop w:val="0"/>
      <w:marBottom w:val="0"/>
      <w:divBdr>
        <w:top w:val="none" w:sz="0" w:space="0" w:color="auto"/>
        <w:left w:val="none" w:sz="0" w:space="0" w:color="auto"/>
        <w:bottom w:val="none" w:sz="0" w:space="0" w:color="auto"/>
        <w:right w:val="none" w:sz="0" w:space="0" w:color="auto"/>
      </w:divBdr>
    </w:div>
    <w:div w:id="1835761357">
      <w:bodyDiv w:val="1"/>
      <w:marLeft w:val="0"/>
      <w:marRight w:val="0"/>
      <w:marTop w:val="0"/>
      <w:marBottom w:val="0"/>
      <w:divBdr>
        <w:top w:val="none" w:sz="0" w:space="0" w:color="auto"/>
        <w:left w:val="none" w:sz="0" w:space="0" w:color="auto"/>
        <w:bottom w:val="none" w:sz="0" w:space="0" w:color="auto"/>
        <w:right w:val="none" w:sz="0" w:space="0" w:color="auto"/>
      </w:divBdr>
    </w:div>
    <w:div w:id="1841583506">
      <w:bodyDiv w:val="1"/>
      <w:marLeft w:val="0"/>
      <w:marRight w:val="0"/>
      <w:marTop w:val="0"/>
      <w:marBottom w:val="0"/>
      <w:divBdr>
        <w:top w:val="none" w:sz="0" w:space="0" w:color="auto"/>
        <w:left w:val="none" w:sz="0" w:space="0" w:color="auto"/>
        <w:bottom w:val="none" w:sz="0" w:space="0" w:color="auto"/>
        <w:right w:val="none" w:sz="0" w:space="0" w:color="auto"/>
      </w:divBdr>
    </w:div>
    <w:div w:id="1846630764">
      <w:bodyDiv w:val="1"/>
      <w:marLeft w:val="0"/>
      <w:marRight w:val="0"/>
      <w:marTop w:val="0"/>
      <w:marBottom w:val="0"/>
      <w:divBdr>
        <w:top w:val="none" w:sz="0" w:space="0" w:color="auto"/>
        <w:left w:val="none" w:sz="0" w:space="0" w:color="auto"/>
        <w:bottom w:val="none" w:sz="0" w:space="0" w:color="auto"/>
        <w:right w:val="none" w:sz="0" w:space="0" w:color="auto"/>
      </w:divBdr>
    </w:div>
    <w:div w:id="1880163421">
      <w:bodyDiv w:val="1"/>
      <w:marLeft w:val="0"/>
      <w:marRight w:val="0"/>
      <w:marTop w:val="0"/>
      <w:marBottom w:val="0"/>
      <w:divBdr>
        <w:top w:val="none" w:sz="0" w:space="0" w:color="auto"/>
        <w:left w:val="none" w:sz="0" w:space="0" w:color="auto"/>
        <w:bottom w:val="none" w:sz="0" w:space="0" w:color="auto"/>
        <w:right w:val="none" w:sz="0" w:space="0" w:color="auto"/>
      </w:divBdr>
    </w:div>
    <w:div w:id="1883637384">
      <w:bodyDiv w:val="1"/>
      <w:marLeft w:val="0"/>
      <w:marRight w:val="0"/>
      <w:marTop w:val="0"/>
      <w:marBottom w:val="0"/>
      <w:divBdr>
        <w:top w:val="none" w:sz="0" w:space="0" w:color="auto"/>
        <w:left w:val="none" w:sz="0" w:space="0" w:color="auto"/>
        <w:bottom w:val="none" w:sz="0" w:space="0" w:color="auto"/>
        <w:right w:val="none" w:sz="0" w:space="0" w:color="auto"/>
      </w:divBdr>
    </w:div>
    <w:div w:id="1883712712">
      <w:bodyDiv w:val="1"/>
      <w:marLeft w:val="0"/>
      <w:marRight w:val="0"/>
      <w:marTop w:val="0"/>
      <w:marBottom w:val="0"/>
      <w:divBdr>
        <w:top w:val="none" w:sz="0" w:space="0" w:color="auto"/>
        <w:left w:val="none" w:sz="0" w:space="0" w:color="auto"/>
        <w:bottom w:val="none" w:sz="0" w:space="0" w:color="auto"/>
        <w:right w:val="none" w:sz="0" w:space="0" w:color="auto"/>
      </w:divBdr>
    </w:div>
    <w:div w:id="1911652326">
      <w:bodyDiv w:val="1"/>
      <w:marLeft w:val="0"/>
      <w:marRight w:val="0"/>
      <w:marTop w:val="0"/>
      <w:marBottom w:val="0"/>
      <w:divBdr>
        <w:top w:val="none" w:sz="0" w:space="0" w:color="auto"/>
        <w:left w:val="none" w:sz="0" w:space="0" w:color="auto"/>
        <w:bottom w:val="none" w:sz="0" w:space="0" w:color="auto"/>
        <w:right w:val="none" w:sz="0" w:space="0" w:color="auto"/>
      </w:divBdr>
    </w:div>
    <w:div w:id="1913393017">
      <w:bodyDiv w:val="1"/>
      <w:marLeft w:val="0"/>
      <w:marRight w:val="0"/>
      <w:marTop w:val="0"/>
      <w:marBottom w:val="0"/>
      <w:divBdr>
        <w:top w:val="none" w:sz="0" w:space="0" w:color="auto"/>
        <w:left w:val="none" w:sz="0" w:space="0" w:color="auto"/>
        <w:bottom w:val="none" w:sz="0" w:space="0" w:color="auto"/>
        <w:right w:val="none" w:sz="0" w:space="0" w:color="auto"/>
      </w:divBdr>
    </w:div>
    <w:div w:id="1915814557">
      <w:bodyDiv w:val="1"/>
      <w:marLeft w:val="0"/>
      <w:marRight w:val="0"/>
      <w:marTop w:val="0"/>
      <w:marBottom w:val="0"/>
      <w:divBdr>
        <w:top w:val="none" w:sz="0" w:space="0" w:color="auto"/>
        <w:left w:val="none" w:sz="0" w:space="0" w:color="auto"/>
        <w:bottom w:val="none" w:sz="0" w:space="0" w:color="auto"/>
        <w:right w:val="none" w:sz="0" w:space="0" w:color="auto"/>
      </w:divBdr>
    </w:div>
    <w:div w:id="1919705591">
      <w:bodyDiv w:val="1"/>
      <w:marLeft w:val="0"/>
      <w:marRight w:val="0"/>
      <w:marTop w:val="0"/>
      <w:marBottom w:val="0"/>
      <w:divBdr>
        <w:top w:val="none" w:sz="0" w:space="0" w:color="auto"/>
        <w:left w:val="none" w:sz="0" w:space="0" w:color="auto"/>
        <w:bottom w:val="none" w:sz="0" w:space="0" w:color="auto"/>
        <w:right w:val="none" w:sz="0" w:space="0" w:color="auto"/>
      </w:divBdr>
    </w:div>
    <w:div w:id="1949854675">
      <w:bodyDiv w:val="1"/>
      <w:marLeft w:val="0"/>
      <w:marRight w:val="0"/>
      <w:marTop w:val="0"/>
      <w:marBottom w:val="0"/>
      <w:divBdr>
        <w:top w:val="none" w:sz="0" w:space="0" w:color="auto"/>
        <w:left w:val="none" w:sz="0" w:space="0" w:color="auto"/>
        <w:bottom w:val="none" w:sz="0" w:space="0" w:color="auto"/>
        <w:right w:val="none" w:sz="0" w:space="0" w:color="auto"/>
      </w:divBdr>
    </w:div>
    <w:div w:id="1950620418">
      <w:bodyDiv w:val="1"/>
      <w:marLeft w:val="0"/>
      <w:marRight w:val="0"/>
      <w:marTop w:val="0"/>
      <w:marBottom w:val="0"/>
      <w:divBdr>
        <w:top w:val="none" w:sz="0" w:space="0" w:color="auto"/>
        <w:left w:val="none" w:sz="0" w:space="0" w:color="auto"/>
        <w:bottom w:val="none" w:sz="0" w:space="0" w:color="auto"/>
        <w:right w:val="none" w:sz="0" w:space="0" w:color="auto"/>
      </w:divBdr>
    </w:div>
    <w:div w:id="1953239383">
      <w:bodyDiv w:val="1"/>
      <w:marLeft w:val="0"/>
      <w:marRight w:val="0"/>
      <w:marTop w:val="0"/>
      <w:marBottom w:val="0"/>
      <w:divBdr>
        <w:top w:val="none" w:sz="0" w:space="0" w:color="auto"/>
        <w:left w:val="none" w:sz="0" w:space="0" w:color="auto"/>
        <w:bottom w:val="none" w:sz="0" w:space="0" w:color="auto"/>
        <w:right w:val="none" w:sz="0" w:space="0" w:color="auto"/>
      </w:divBdr>
    </w:div>
    <w:div w:id="1955166307">
      <w:bodyDiv w:val="1"/>
      <w:marLeft w:val="0"/>
      <w:marRight w:val="0"/>
      <w:marTop w:val="0"/>
      <w:marBottom w:val="0"/>
      <w:divBdr>
        <w:top w:val="none" w:sz="0" w:space="0" w:color="auto"/>
        <w:left w:val="none" w:sz="0" w:space="0" w:color="auto"/>
        <w:bottom w:val="none" w:sz="0" w:space="0" w:color="auto"/>
        <w:right w:val="none" w:sz="0" w:space="0" w:color="auto"/>
      </w:divBdr>
    </w:div>
    <w:div w:id="1968078736">
      <w:bodyDiv w:val="1"/>
      <w:marLeft w:val="0"/>
      <w:marRight w:val="0"/>
      <w:marTop w:val="0"/>
      <w:marBottom w:val="0"/>
      <w:divBdr>
        <w:top w:val="none" w:sz="0" w:space="0" w:color="auto"/>
        <w:left w:val="none" w:sz="0" w:space="0" w:color="auto"/>
        <w:bottom w:val="none" w:sz="0" w:space="0" w:color="auto"/>
        <w:right w:val="none" w:sz="0" w:space="0" w:color="auto"/>
      </w:divBdr>
    </w:div>
    <w:div w:id="1968193802">
      <w:bodyDiv w:val="1"/>
      <w:marLeft w:val="0"/>
      <w:marRight w:val="0"/>
      <w:marTop w:val="0"/>
      <w:marBottom w:val="0"/>
      <w:divBdr>
        <w:top w:val="none" w:sz="0" w:space="0" w:color="auto"/>
        <w:left w:val="none" w:sz="0" w:space="0" w:color="auto"/>
        <w:bottom w:val="none" w:sz="0" w:space="0" w:color="auto"/>
        <w:right w:val="none" w:sz="0" w:space="0" w:color="auto"/>
      </w:divBdr>
    </w:div>
    <w:div w:id="1970627579">
      <w:bodyDiv w:val="1"/>
      <w:marLeft w:val="0"/>
      <w:marRight w:val="0"/>
      <w:marTop w:val="0"/>
      <w:marBottom w:val="0"/>
      <w:divBdr>
        <w:top w:val="none" w:sz="0" w:space="0" w:color="auto"/>
        <w:left w:val="none" w:sz="0" w:space="0" w:color="auto"/>
        <w:bottom w:val="none" w:sz="0" w:space="0" w:color="auto"/>
        <w:right w:val="none" w:sz="0" w:space="0" w:color="auto"/>
      </w:divBdr>
    </w:div>
    <w:div w:id="1975943020">
      <w:bodyDiv w:val="1"/>
      <w:marLeft w:val="0"/>
      <w:marRight w:val="0"/>
      <w:marTop w:val="0"/>
      <w:marBottom w:val="0"/>
      <w:divBdr>
        <w:top w:val="none" w:sz="0" w:space="0" w:color="auto"/>
        <w:left w:val="none" w:sz="0" w:space="0" w:color="auto"/>
        <w:bottom w:val="none" w:sz="0" w:space="0" w:color="auto"/>
        <w:right w:val="none" w:sz="0" w:space="0" w:color="auto"/>
      </w:divBdr>
    </w:div>
    <w:div w:id="1976447977">
      <w:bodyDiv w:val="1"/>
      <w:marLeft w:val="0"/>
      <w:marRight w:val="0"/>
      <w:marTop w:val="0"/>
      <w:marBottom w:val="0"/>
      <w:divBdr>
        <w:top w:val="none" w:sz="0" w:space="0" w:color="auto"/>
        <w:left w:val="none" w:sz="0" w:space="0" w:color="auto"/>
        <w:bottom w:val="none" w:sz="0" w:space="0" w:color="auto"/>
        <w:right w:val="none" w:sz="0" w:space="0" w:color="auto"/>
      </w:divBdr>
    </w:div>
    <w:div w:id="1983654830">
      <w:bodyDiv w:val="1"/>
      <w:marLeft w:val="0"/>
      <w:marRight w:val="0"/>
      <w:marTop w:val="0"/>
      <w:marBottom w:val="0"/>
      <w:divBdr>
        <w:top w:val="none" w:sz="0" w:space="0" w:color="auto"/>
        <w:left w:val="none" w:sz="0" w:space="0" w:color="auto"/>
        <w:bottom w:val="none" w:sz="0" w:space="0" w:color="auto"/>
        <w:right w:val="none" w:sz="0" w:space="0" w:color="auto"/>
      </w:divBdr>
    </w:div>
    <w:div w:id="1987391110">
      <w:bodyDiv w:val="1"/>
      <w:marLeft w:val="0"/>
      <w:marRight w:val="0"/>
      <w:marTop w:val="0"/>
      <w:marBottom w:val="0"/>
      <w:divBdr>
        <w:top w:val="none" w:sz="0" w:space="0" w:color="auto"/>
        <w:left w:val="none" w:sz="0" w:space="0" w:color="auto"/>
        <w:bottom w:val="none" w:sz="0" w:space="0" w:color="auto"/>
        <w:right w:val="none" w:sz="0" w:space="0" w:color="auto"/>
      </w:divBdr>
    </w:div>
    <w:div w:id="1989359582">
      <w:bodyDiv w:val="1"/>
      <w:marLeft w:val="0"/>
      <w:marRight w:val="0"/>
      <w:marTop w:val="0"/>
      <w:marBottom w:val="0"/>
      <w:divBdr>
        <w:top w:val="none" w:sz="0" w:space="0" w:color="auto"/>
        <w:left w:val="none" w:sz="0" w:space="0" w:color="auto"/>
        <w:bottom w:val="none" w:sz="0" w:space="0" w:color="auto"/>
        <w:right w:val="none" w:sz="0" w:space="0" w:color="auto"/>
      </w:divBdr>
    </w:div>
    <w:div w:id="1995641876">
      <w:bodyDiv w:val="1"/>
      <w:marLeft w:val="0"/>
      <w:marRight w:val="0"/>
      <w:marTop w:val="0"/>
      <w:marBottom w:val="0"/>
      <w:divBdr>
        <w:top w:val="none" w:sz="0" w:space="0" w:color="auto"/>
        <w:left w:val="none" w:sz="0" w:space="0" w:color="auto"/>
        <w:bottom w:val="none" w:sz="0" w:space="0" w:color="auto"/>
        <w:right w:val="none" w:sz="0" w:space="0" w:color="auto"/>
      </w:divBdr>
    </w:div>
    <w:div w:id="1996910509">
      <w:bodyDiv w:val="1"/>
      <w:marLeft w:val="0"/>
      <w:marRight w:val="0"/>
      <w:marTop w:val="0"/>
      <w:marBottom w:val="0"/>
      <w:divBdr>
        <w:top w:val="none" w:sz="0" w:space="0" w:color="auto"/>
        <w:left w:val="none" w:sz="0" w:space="0" w:color="auto"/>
        <w:bottom w:val="none" w:sz="0" w:space="0" w:color="auto"/>
        <w:right w:val="none" w:sz="0" w:space="0" w:color="auto"/>
      </w:divBdr>
    </w:div>
    <w:div w:id="2005354457">
      <w:bodyDiv w:val="1"/>
      <w:marLeft w:val="0"/>
      <w:marRight w:val="0"/>
      <w:marTop w:val="0"/>
      <w:marBottom w:val="0"/>
      <w:divBdr>
        <w:top w:val="none" w:sz="0" w:space="0" w:color="auto"/>
        <w:left w:val="none" w:sz="0" w:space="0" w:color="auto"/>
        <w:bottom w:val="none" w:sz="0" w:space="0" w:color="auto"/>
        <w:right w:val="none" w:sz="0" w:space="0" w:color="auto"/>
      </w:divBdr>
    </w:div>
    <w:div w:id="2009869891">
      <w:bodyDiv w:val="1"/>
      <w:marLeft w:val="0"/>
      <w:marRight w:val="0"/>
      <w:marTop w:val="0"/>
      <w:marBottom w:val="0"/>
      <w:divBdr>
        <w:top w:val="none" w:sz="0" w:space="0" w:color="auto"/>
        <w:left w:val="none" w:sz="0" w:space="0" w:color="auto"/>
        <w:bottom w:val="none" w:sz="0" w:space="0" w:color="auto"/>
        <w:right w:val="none" w:sz="0" w:space="0" w:color="auto"/>
      </w:divBdr>
    </w:div>
    <w:div w:id="2014337355">
      <w:bodyDiv w:val="1"/>
      <w:marLeft w:val="0"/>
      <w:marRight w:val="0"/>
      <w:marTop w:val="0"/>
      <w:marBottom w:val="0"/>
      <w:divBdr>
        <w:top w:val="none" w:sz="0" w:space="0" w:color="auto"/>
        <w:left w:val="none" w:sz="0" w:space="0" w:color="auto"/>
        <w:bottom w:val="none" w:sz="0" w:space="0" w:color="auto"/>
        <w:right w:val="none" w:sz="0" w:space="0" w:color="auto"/>
      </w:divBdr>
    </w:div>
    <w:div w:id="2022273455">
      <w:bodyDiv w:val="1"/>
      <w:marLeft w:val="0"/>
      <w:marRight w:val="0"/>
      <w:marTop w:val="0"/>
      <w:marBottom w:val="0"/>
      <w:divBdr>
        <w:top w:val="none" w:sz="0" w:space="0" w:color="auto"/>
        <w:left w:val="none" w:sz="0" w:space="0" w:color="auto"/>
        <w:bottom w:val="none" w:sz="0" w:space="0" w:color="auto"/>
        <w:right w:val="none" w:sz="0" w:space="0" w:color="auto"/>
      </w:divBdr>
    </w:div>
    <w:div w:id="2033531355">
      <w:bodyDiv w:val="1"/>
      <w:marLeft w:val="0"/>
      <w:marRight w:val="0"/>
      <w:marTop w:val="0"/>
      <w:marBottom w:val="0"/>
      <w:divBdr>
        <w:top w:val="none" w:sz="0" w:space="0" w:color="auto"/>
        <w:left w:val="none" w:sz="0" w:space="0" w:color="auto"/>
        <w:bottom w:val="none" w:sz="0" w:space="0" w:color="auto"/>
        <w:right w:val="none" w:sz="0" w:space="0" w:color="auto"/>
      </w:divBdr>
    </w:div>
    <w:div w:id="2045909568">
      <w:bodyDiv w:val="1"/>
      <w:marLeft w:val="0"/>
      <w:marRight w:val="0"/>
      <w:marTop w:val="0"/>
      <w:marBottom w:val="0"/>
      <w:divBdr>
        <w:top w:val="none" w:sz="0" w:space="0" w:color="auto"/>
        <w:left w:val="none" w:sz="0" w:space="0" w:color="auto"/>
        <w:bottom w:val="none" w:sz="0" w:space="0" w:color="auto"/>
        <w:right w:val="none" w:sz="0" w:space="0" w:color="auto"/>
      </w:divBdr>
    </w:div>
    <w:div w:id="2051151463">
      <w:bodyDiv w:val="1"/>
      <w:marLeft w:val="0"/>
      <w:marRight w:val="0"/>
      <w:marTop w:val="0"/>
      <w:marBottom w:val="0"/>
      <w:divBdr>
        <w:top w:val="none" w:sz="0" w:space="0" w:color="auto"/>
        <w:left w:val="none" w:sz="0" w:space="0" w:color="auto"/>
        <w:bottom w:val="none" w:sz="0" w:space="0" w:color="auto"/>
        <w:right w:val="none" w:sz="0" w:space="0" w:color="auto"/>
      </w:divBdr>
    </w:div>
    <w:div w:id="2055302903">
      <w:bodyDiv w:val="1"/>
      <w:marLeft w:val="0"/>
      <w:marRight w:val="0"/>
      <w:marTop w:val="0"/>
      <w:marBottom w:val="0"/>
      <w:divBdr>
        <w:top w:val="none" w:sz="0" w:space="0" w:color="auto"/>
        <w:left w:val="none" w:sz="0" w:space="0" w:color="auto"/>
        <w:bottom w:val="none" w:sz="0" w:space="0" w:color="auto"/>
        <w:right w:val="none" w:sz="0" w:space="0" w:color="auto"/>
      </w:divBdr>
    </w:div>
    <w:div w:id="2059091301">
      <w:bodyDiv w:val="1"/>
      <w:marLeft w:val="0"/>
      <w:marRight w:val="0"/>
      <w:marTop w:val="0"/>
      <w:marBottom w:val="0"/>
      <w:divBdr>
        <w:top w:val="none" w:sz="0" w:space="0" w:color="auto"/>
        <w:left w:val="none" w:sz="0" w:space="0" w:color="auto"/>
        <w:bottom w:val="none" w:sz="0" w:space="0" w:color="auto"/>
        <w:right w:val="none" w:sz="0" w:space="0" w:color="auto"/>
      </w:divBdr>
    </w:div>
    <w:div w:id="2070224889">
      <w:bodyDiv w:val="1"/>
      <w:marLeft w:val="0"/>
      <w:marRight w:val="0"/>
      <w:marTop w:val="0"/>
      <w:marBottom w:val="0"/>
      <w:divBdr>
        <w:top w:val="none" w:sz="0" w:space="0" w:color="auto"/>
        <w:left w:val="none" w:sz="0" w:space="0" w:color="auto"/>
        <w:bottom w:val="none" w:sz="0" w:space="0" w:color="auto"/>
        <w:right w:val="none" w:sz="0" w:space="0" w:color="auto"/>
      </w:divBdr>
    </w:div>
    <w:div w:id="2080319657">
      <w:bodyDiv w:val="1"/>
      <w:marLeft w:val="0"/>
      <w:marRight w:val="0"/>
      <w:marTop w:val="0"/>
      <w:marBottom w:val="0"/>
      <w:divBdr>
        <w:top w:val="none" w:sz="0" w:space="0" w:color="auto"/>
        <w:left w:val="none" w:sz="0" w:space="0" w:color="auto"/>
        <w:bottom w:val="none" w:sz="0" w:space="0" w:color="auto"/>
        <w:right w:val="none" w:sz="0" w:space="0" w:color="auto"/>
      </w:divBdr>
    </w:div>
    <w:div w:id="2091155148">
      <w:bodyDiv w:val="1"/>
      <w:marLeft w:val="0"/>
      <w:marRight w:val="0"/>
      <w:marTop w:val="0"/>
      <w:marBottom w:val="0"/>
      <w:divBdr>
        <w:top w:val="none" w:sz="0" w:space="0" w:color="auto"/>
        <w:left w:val="none" w:sz="0" w:space="0" w:color="auto"/>
        <w:bottom w:val="none" w:sz="0" w:space="0" w:color="auto"/>
        <w:right w:val="none" w:sz="0" w:space="0" w:color="auto"/>
      </w:divBdr>
    </w:div>
    <w:div w:id="2091460893">
      <w:bodyDiv w:val="1"/>
      <w:marLeft w:val="0"/>
      <w:marRight w:val="0"/>
      <w:marTop w:val="0"/>
      <w:marBottom w:val="0"/>
      <w:divBdr>
        <w:top w:val="none" w:sz="0" w:space="0" w:color="auto"/>
        <w:left w:val="none" w:sz="0" w:space="0" w:color="auto"/>
        <w:bottom w:val="none" w:sz="0" w:space="0" w:color="auto"/>
        <w:right w:val="none" w:sz="0" w:space="0" w:color="auto"/>
      </w:divBdr>
    </w:div>
    <w:div w:id="2100327737">
      <w:bodyDiv w:val="1"/>
      <w:marLeft w:val="0"/>
      <w:marRight w:val="0"/>
      <w:marTop w:val="0"/>
      <w:marBottom w:val="0"/>
      <w:divBdr>
        <w:top w:val="none" w:sz="0" w:space="0" w:color="auto"/>
        <w:left w:val="none" w:sz="0" w:space="0" w:color="auto"/>
        <w:bottom w:val="none" w:sz="0" w:space="0" w:color="auto"/>
        <w:right w:val="none" w:sz="0" w:space="0" w:color="auto"/>
      </w:divBdr>
    </w:div>
    <w:div w:id="2106145182">
      <w:bodyDiv w:val="1"/>
      <w:marLeft w:val="0"/>
      <w:marRight w:val="0"/>
      <w:marTop w:val="0"/>
      <w:marBottom w:val="0"/>
      <w:divBdr>
        <w:top w:val="none" w:sz="0" w:space="0" w:color="auto"/>
        <w:left w:val="none" w:sz="0" w:space="0" w:color="auto"/>
        <w:bottom w:val="none" w:sz="0" w:space="0" w:color="auto"/>
        <w:right w:val="none" w:sz="0" w:space="0" w:color="auto"/>
      </w:divBdr>
    </w:div>
    <w:div w:id="2111470048">
      <w:bodyDiv w:val="1"/>
      <w:marLeft w:val="0"/>
      <w:marRight w:val="0"/>
      <w:marTop w:val="0"/>
      <w:marBottom w:val="0"/>
      <w:divBdr>
        <w:top w:val="none" w:sz="0" w:space="0" w:color="auto"/>
        <w:left w:val="none" w:sz="0" w:space="0" w:color="auto"/>
        <w:bottom w:val="none" w:sz="0" w:space="0" w:color="auto"/>
        <w:right w:val="none" w:sz="0" w:space="0" w:color="auto"/>
      </w:divBdr>
    </w:div>
    <w:div w:id="2111578648">
      <w:bodyDiv w:val="1"/>
      <w:marLeft w:val="0"/>
      <w:marRight w:val="0"/>
      <w:marTop w:val="0"/>
      <w:marBottom w:val="0"/>
      <w:divBdr>
        <w:top w:val="none" w:sz="0" w:space="0" w:color="auto"/>
        <w:left w:val="none" w:sz="0" w:space="0" w:color="auto"/>
        <w:bottom w:val="none" w:sz="0" w:space="0" w:color="auto"/>
        <w:right w:val="none" w:sz="0" w:space="0" w:color="auto"/>
      </w:divBdr>
    </w:div>
    <w:div w:id="2134471036">
      <w:bodyDiv w:val="1"/>
      <w:marLeft w:val="0"/>
      <w:marRight w:val="0"/>
      <w:marTop w:val="0"/>
      <w:marBottom w:val="0"/>
      <w:divBdr>
        <w:top w:val="none" w:sz="0" w:space="0" w:color="auto"/>
        <w:left w:val="none" w:sz="0" w:space="0" w:color="auto"/>
        <w:bottom w:val="none" w:sz="0" w:space="0" w:color="auto"/>
        <w:right w:val="none" w:sz="0" w:space="0" w:color="auto"/>
      </w:divBdr>
    </w:div>
    <w:div w:id="21399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heffield.ac.uk/scharr/sections/heds/mvh/paediatric/about-chu9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frew@bham.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3EF4-82E3-40F2-8EC7-3EF74E10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8025</Words>
  <Characters>45744</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53662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cp:lastPrinted>2017-10-31T02:23:00Z</cp:lastPrinted>
  <dcterms:created xsi:type="dcterms:W3CDTF">2018-02-05T15:17:00Z</dcterms:created>
  <dcterms:modified xsi:type="dcterms:W3CDTF">2018-02-05T15:17:00Z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13438</vt:lpwstr>
  </property>
  <property fmtid="{D5CDD505-2E9C-101B-9397-08002B2CF9AE}" pid="3" name="WnCSubscriberId">
    <vt:lpwstr>4489</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Documents///Prednos_HTA_20170402</vt:lpwstr>
  </property>
</Properties>
</file>