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05AD" w:rsidRPr="00ED1DEC" w:rsidRDefault="006914D8" w:rsidP="008215FE">
      <w:pPr>
        <w:spacing w:after="0" w:line="480" w:lineRule="auto"/>
        <w:jc w:val="center"/>
      </w:pPr>
      <w:r>
        <w:t>A National S</w:t>
      </w:r>
      <w:r w:rsidR="006D05AD" w:rsidRPr="00ED1DEC">
        <w:t xml:space="preserve">urvey of </w:t>
      </w:r>
      <w:proofErr w:type="spellStart"/>
      <w:r w:rsidR="006D05AD" w:rsidRPr="00ED1DEC">
        <w:t>Rett</w:t>
      </w:r>
      <w:proofErr w:type="spellEnd"/>
      <w:r>
        <w:t xml:space="preserve"> S</w:t>
      </w:r>
      <w:r w:rsidR="00D72F06" w:rsidRPr="00ED1DEC">
        <w:t>yndrome</w:t>
      </w:r>
      <w:r w:rsidR="006D05AD" w:rsidRPr="00ED1DEC">
        <w:t xml:space="preserve">: </w:t>
      </w:r>
      <w:r>
        <w:t>Age, C</w:t>
      </w:r>
      <w:r w:rsidR="00B76FE3">
        <w:t>linical</w:t>
      </w:r>
      <w:r>
        <w:t xml:space="preserve"> C</w:t>
      </w:r>
      <w:r w:rsidR="006D05AD" w:rsidRPr="00ED1DEC">
        <w:t>haracteristics</w:t>
      </w:r>
      <w:r>
        <w:t>, Current A</w:t>
      </w:r>
      <w:r w:rsidR="00817D93">
        <w:t>bilities</w:t>
      </w:r>
      <w:r>
        <w:t xml:space="preserve"> and H</w:t>
      </w:r>
      <w:r w:rsidR="00B76FE3">
        <w:t>ealth</w:t>
      </w:r>
    </w:p>
    <w:p w:rsidR="006D05AD" w:rsidRPr="00ED1DEC" w:rsidRDefault="006D05AD" w:rsidP="008215FE">
      <w:pPr>
        <w:spacing w:after="0" w:line="480" w:lineRule="auto"/>
      </w:pPr>
    </w:p>
    <w:p w:rsidR="006D05AD" w:rsidRPr="00ED1DEC" w:rsidRDefault="006D05AD" w:rsidP="008215FE">
      <w:pPr>
        <w:spacing w:after="0" w:line="480" w:lineRule="auto"/>
        <w:jc w:val="center"/>
        <w:rPr>
          <w:vertAlign w:val="superscript"/>
        </w:rPr>
      </w:pPr>
      <w:proofErr w:type="spellStart"/>
      <w:r w:rsidRPr="00ED1DEC">
        <w:t>Rina</w:t>
      </w:r>
      <w:proofErr w:type="spellEnd"/>
      <w:r w:rsidRPr="00ED1DEC">
        <w:t xml:space="preserve"> Cianfaglione</w:t>
      </w:r>
      <w:r w:rsidRPr="00ED1DEC">
        <w:rPr>
          <w:vertAlign w:val="superscript"/>
        </w:rPr>
        <w:t>1</w:t>
      </w:r>
      <w:r w:rsidRPr="00ED1DEC">
        <w:t>, Angus Clarke</w:t>
      </w:r>
      <w:r w:rsidRPr="00ED1DEC">
        <w:rPr>
          <w:vertAlign w:val="superscript"/>
        </w:rPr>
        <w:t>2</w:t>
      </w:r>
      <w:r w:rsidRPr="00ED1DEC">
        <w:t>, Mike Kerr</w:t>
      </w:r>
      <w:r w:rsidRPr="00ED1DEC">
        <w:rPr>
          <w:vertAlign w:val="superscript"/>
        </w:rPr>
        <w:t>1</w:t>
      </w:r>
      <w:r w:rsidRPr="00ED1DEC">
        <w:t xml:space="preserve">, Richard </w:t>
      </w:r>
      <w:r w:rsidR="00D57C5F">
        <w:t xml:space="preserve">P. </w:t>
      </w:r>
      <w:r w:rsidRPr="00ED1DEC">
        <w:t>Hastings</w:t>
      </w:r>
      <w:r w:rsidRPr="00ED1DEC">
        <w:rPr>
          <w:vertAlign w:val="superscript"/>
        </w:rPr>
        <w:t>3</w:t>
      </w:r>
      <w:r w:rsidR="00CF1AC7">
        <w:t xml:space="preserve">, </w:t>
      </w:r>
      <w:r w:rsidR="00CF1AC7" w:rsidRPr="00613218">
        <w:t>Chris</w:t>
      </w:r>
      <w:r w:rsidR="00CF1AC7">
        <w:t xml:space="preserve"> Oliver</w:t>
      </w:r>
      <w:r w:rsidR="00CF1AC7" w:rsidRPr="00613218">
        <w:rPr>
          <w:vertAlign w:val="superscript"/>
        </w:rPr>
        <w:t>4</w:t>
      </w:r>
      <w:r w:rsidRPr="00ED1DEC">
        <w:t xml:space="preserve"> and David Felce</w:t>
      </w:r>
      <w:r w:rsidRPr="00ED1DEC">
        <w:rPr>
          <w:vertAlign w:val="superscript"/>
        </w:rPr>
        <w:t>1</w:t>
      </w:r>
    </w:p>
    <w:p w:rsidR="008657CC" w:rsidRPr="00ED1DEC" w:rsidRDefault="006D05AD" w:rsidP="008215FE">
      <w:pPr>
        <w:spacing w:after="0" w:line="480" w:lineRule="auto"/>
      </w:pPr>
      <w:r w:rsidRPr="00ED1DEC">
        <w:rPr>
          <w:vertAlign w:val="superscript"/>
        </w:rPr>
        <w:t>1</w:t>
      </w:r>
      <w:r w:rsidRPr="00ED1DEC">
        <w:t xml:space="preserve"> Welsh Centre for Learning Disabilities,</w:t>
      </w:r>
      <w:r w:rsidR="008657CC" w:rsidRPr="00ED1DEC">
        <w:t xml:space="preserve"> </w:t>
      </w:r>
      <w:r w:rsidRPr="00ED1DEC">
        <w:t>Institute of Psychological Medicine and Clinical Neurosciences, Cardiff University</w:t>
      </w:r>
      <w:r w:rsidR="008657CC" w:rsidRPr="00ED1DEC">
        <w:t xml:space="preserve">, </w:t>
      </w:r>
      <w:r w:rsidRPr="00ED1DEC">
        <w:t xml:space="preserve">2nd floor </w:t>
      </w:r>
      <w:proofErr w:type="spellStart"/>
      <w:r w:rsidRPr="00ED1DEC">
        <w:t>Hadyn</w:t>
      </w:r>
      <w:proofErr w:type="spellEnd"/>
      <w:r w:rsidRPr="00ED1DEC">
        <w:t xml:space="preserve"> Ellis Building</w:t>
      </w:r>
      <w:r w:rsidR="008657CC" w:rsidRPr="00ED1DEC">
        <w:t xml:space="preserve">, </w:t>
      </w:r>
      <w:proofErr w:type="spellStart"/>
      <w:r w:rsidRPr="00ED1DEC">
        <w:t>Maindy</w:t>
      </w:r>
      <w:proofErr w:type="spellEnd"/>
      <w:r w:rsidRPr="00ED1DEC">
        <w:t xml:space="preserve"> Road</w:t>
      </w:r>
      <w:r w:rsidR="008657CC" w:rsidRPr="00ED1DEC">
        <w:t xml:space="preserve">, </w:t>
      </w:r>
      <w:r w:rsidRPr="00ED1DEC">
        <w:t>Cardiff CF24 4HQ</w:t>
      </w:r>
    </w:p>
    <w:p w:rsidR="008657CC" w:rsidRPr="00ED1DEC" w:rsidRDefault="008657CC" w:rsidP="008215FE">
      <w:pPr>
        <w:spacing w:after="0" w:line="480" w:lineRule="auto"/>
      </w:pPr>
      <w:r w:rsidRPr="00ED1DEC">
        <w:rPr>
          <w:vertAlign w:val="superscript"/>
        </w:rPr>
        <w:t>2</w:t>
      </w:r>
      <w:r w:rsidRPr="00ED1DEC">
        <w:t xml:space="preserve"> Institute of Cancer &amp; Genetics, Cardiff University, Institute of Medical Genetics Building, Heath Park, Cardiff CF14 4XN</w:t>
      </w:r>
    </w:p>
    <w:p w:rsidR="008657CC" w:rsidRPr="00ED1DEC" w:rsidRDefault="008657CC" w:rsidP="008215FE">
      <w:pPr>
        <w:spacing w:after="0" w:line="480" w:lineRule="auto"/>
      </w:pPr>
      <w:r w:rsidRPr="00CF1AC7">
        <w:rPr>
          <w:vertAlign w:val="superscript"/>
        </w:rPr>
        <w:t>3</w:t>
      </w:r>
      <w:r w:rsidRPr="00ED1DEC">
        <w:t xml:space="preserve"> Centre for Educational Development Appraisal and Research, University of Warwick, Coventry, CV4 7AL</w:t>
      </w:r>
    </w:p>
    <w:p w:rsidR="00CF1AC7" w:rsidRPr="00ED1DEC" w:rsidRDefault="00CF1AC7" w:rsidP="00CF1AC7">
      <w:pPr>
        <w:spacing w:line="480" w:lineRule="auto"/>
      </w:pPr>
      <w:r w:rsidRPr="00CF1AC7">
        <w:rPr>
          <w:vertAlign w:val="superscript"/>
        </w:rPr>
        <w:t>4</w:t>
      </w:r>
      <w:r>
        <w:t xml:space="preserve"> Cerebra Centre for </w:t>
      </w:r>
      <w:proofErr w:type="spellStart"/>
      <w:r>
        <w:t>Neurodevelopmental</w:t>
      </w:r>
      <w:proofErr w:type="spellEnd"/>
      <w:r>
        <w:t xml:space="preserve"> Disorders, School of Psychology, University of Birmingham, Birmingham, B15 2TT, UK</w:t>
      </w:r>
    </w:p>
    <w:p w:rsidR="006D05AD" w:rsidRPr="00ED1DEC" w:rsidRDefault="006D05AD" w:rsidP="008215FE">
      <w:pPr>
        <w:spacing w:after="0" w:line="480" w:lineRule="auto"/>
      </w:pPr>
    </w:p>
    <w:p w:rsidR="006D05AD" w:rsidRPr="00ED1DEC" w:rsidRDefault="006D05AD" w:rsidP="008215FE">
      <w:pPr>
        <w:spacing w:after="0" w:line="480" w:lineRule="auto"/>
        <w:rPr>
          <w:rFonts w:cs="Cambria"/>
        </w:rPr>
      </w:pPr>
      <w:r w:rsidRPr="00ED1DEC">
        <w:rPr>
          <w:rFonts w:cs="Cambria"/>
          <w:bCs/>
          <w:i/>
        </w:rPr>
        <w:t>Running head</w:t>
      </w:r>
      <w:r w:rsidRPr="00ED1DEC">
        <w:rPr>
          <w:rFonts w:cs="Cambria"/>
        </w:rPr>
        <w:t xml:space="preserve">: </w:t>
      </w:r>
      <w:r w:rsidR="006914D8">
        <w:t>C</w:t>
      </w:r>
      <w:r w:rsidR="008657CC" w:rsidRPr="00ED1DEC">
        <w:t xml:space="preserve">haracteristics </w:t>
      </w:r>
      <w:r w:rsidR="007F0A00">
        <w:t xml:space="preserve">and health </w:t>
      </w:r>
      <w:r w:rsidR="008657CC" w:rsidRPr="00ED1DEC">
        <w:t xml:space="preserve">of </w:t>
      </w:r>
      <w:proofErr w:type="spellStart"/>
      <w:r w:rsidR="008657CC" w:rsidRPr="00ED1DEC">
        <w:t>Rett</w:t>
      </w:r>
      <w:proofErr w:type="spellEnd"/>
      <w:r w:rsidR="008657CC" w:rsidRPr="00ED1DEC">
        <w:t xml:space="preserve"> syndrome</w:t>
      </w:r>
    </w:p>
    <w:p w:rsidR="006D05AD" w:rsidRPr="00ED1DEC" w:rsidRDefault="006D05AD" w:rsidP="008215FE">
      <w:pPr>
        <w:spacing w:after="0" w:line="480" w:lineRule="auto"/>
        <w:rPr>
          <w:rFonts w:cs="Cambria"/>
        </w:rPr>
      </w:pPr>
    </w:p>
    <w:p w:rsidR="006D05AD" w:rsidRPr="00ED1DEC" w:rsidRDefault="006D05AD" w:rsidP="008215FE">
      <w:pPr>
        <w:spacing w:after="0" w:line="480" w:lineRule="auto"/>
        <w:rPr>
          <w:rFonts w:cs="Cambria"/>
        </w:rPr>
      </w:pPr>
      <w:r w:rsidRPr="00ED1DEC">
        <w:rPr>
          <w:rFonts w:cs="Cambria"/>
          <w:bCs/>
          <w:i/>
        </w:rPr>
        <w:t>Corresponding author</w:t>
      </w:r>
      <w:r w:rsidRPr="00ED1DEC">
        <w:rPr>
          <w:rFonts w:cs="Cambria"/>
        </w:rPr>
        <w:t xml:space="preserve">: Professor David Felce, </w:t>
      </w:r>
      <w:r w:rsidR="008657CC" w:rsidRPr="00ED1DEC">
        <w:t xml:space="preserve">Welsh Centre for Learning Disabilities, Institute of Psychological Medicine and Clinical Neurosciences, Cardiff University, 2nd floor </w:t>
      </w:r>
      <w:proofErr w:type="spellStart"/>
      <w:r w:rsidR="008657CC" w:rsidRPr="00ED1DEC">
        <w:t>Hadyn</w:t>
      </w:r>
      <w:proofErr w:type="spellEnd"/>
      <w:r w:rsidR="008657CC" w:rsidRPr="00ED1DEC">
        <w:t xml:space="preserve"> Ellis Building, </w:t>
      </w:r>
      <w:proofErr w:type="spellStart"/>
      <w:r w:rsidR="008657CC" w:rsidRPr="00ED1DEC">
        <w:t>Maindy</w:t>
      </w:r>
      <w:proofErr w:type="spellEnd"/>
      <w:r w:rsidR="008657CC" w:rsidRPr="00ED1DEC">
        <w:t xml:space="preserve"> Road, Cardiff CF24 4HQ</w:t>
      </w:r>
      <w:r w:rsidRPr="00ED1DEC">
        <w:rPr>
          <w:rFonts w:cs="Cambria"/>
        </w:rPr>
        <w:t xml:space="preserve"> W</w:t>
      </w:r>
      <w:r w:rsidR="008657CC" w:rsidRPr="00ED1DEC">
        <w:rPr>
          <w:rFonts w:cs="Cambria"/>
        </w:rPr>
        <w:t>ales, UK (</w:t>
      </w:r>
      <w:proofErr w:type="spellStart"/>
      <w:r w:rsidR="008657CC" w:rsidRPr="00ED1DEC">
        <w:rPr>
          <w:rFonts w:cs="Cambria"/>
        </w:rPr>
        <w:t>tel</w:t>
      </w:r>
      <w:proofErr w:type="spellEnd"/>
      <w:r w:rsidR="008657CC" w:rsidRPr="00ED1DEC">
        <w:rPr>
          <w:rFonts w:cs="Cambria"/>
        </w:rPr>
        <w:t xml:space="preserve"> +44 (0)29 20688493</w:t>
      </w:r>
      <w:r w:rsidRPr="00ED1DEC">
        <w:rPr>
          <w:rFonts w:cs="Cambria"/>
        </w:rPr>
        <w:t xml:space="preserve">, email: </w:t>
      </w:r>
      <w:hyperlink r:id="rId5" w:history="1">
        <w:r w:rsidRPr="00ED1DEC">
          <w:rPr>
            <w:rStyle w:val="Hyperlink"/>
            <w:rFonts w:cs="Cambria"/>
          </w:rPr>
          <w:t>felce@cf.ac.uk</w:t>
        </w:r>
      </w:hyperlink>
      <w:r w:rsidRPr="00ED1DEC">
        <w:rPr>
          <w:rFonts w:cs="Cambria"/>
        </w:rPr>
        <w:t>)</w:t>
      </w:r>
    </w:p>
    <w:p w:rsidR="006D05AD" w:rsidRPr="00ED1DEC" w:rsidRDefault="006D05AD" w:rsidP="008215FE">
      <w:pPr>
        <w:spacing w:after="0" w:line="480" w:lineRule="auto"/>
        <w:rPr>
          <w:rFonts w:cs="Cambria"/>
        </w:rPr>
      </w:pPr>
    </w:p>
    <w:p w:rsidR="00B103A3" w:rsidRDefault="00B103A3" w:rsidP="00B103CF">
      <w:pPr>
        <w:spacing w:after="0" w:line="480" w:lineRule="auto"/>
        <w:jc w:val="center"/>
        <w:rPr>
          <w:rFonts w:cs="Cambria"/>
        </w:rPr>
      </w:pPr>
      <w:r>
        <w:rPr>
          <w:rFonts w:cs="Cambria"/>
        </w:rPr>
        <w:br w:type="page"/>
        <w:t>Abstract</w:t>
      </w:r>
    </w:p>
    <w:p w:rsidR="00D9124E" w:rsidRPr="00651165" w:rsidRDefault="00B103CF" w:rsidP="006914D8">
      <w:pPr>
        <w:spacing w:after="0" w:line="480" w:lineRule="auto"/>
        <w:rPr>
          <w:szCs w:val="20"/>
        </w:rPr>
      </w:pPr>
      <w:r>
        <w:t>As part of a wider s</w:t>
      </w:r>
      <w:r w:rsidR="00991486">
        <w:t>tudy to investigate the behavio</w:t>
      </w:r>
      <w:r>
        <w:t xml:space="preserve">ral phenotype of a </w:t>
      </w:r>
      <w:r w:rsidR="00031681">
        <w:t>national sample of girls and</w:t>
      </w:r>
      <w:r>
        <w:t xml:space="preserve"> women with </w:t>
      </w:r>
      <w:proofErr w:type="spellStart"/>
      <w:r>
        <w:t>Rett</w:t>
      </w:r>
      <w:proofErr w:type="spellEnd"/>
      <w:r>
        <w:t xml:space="preserve"> syndrome</w:t>
      </w:r>
      <w:r w:rsidR="00D9124E">
        <w:t xml:space="preserve"> (RTT)</w:t>
      </w:r>
      <w:r>
        <w:t xml:space="preserve"> in comparison to a well-chosen </w:t>
      </w:r>
      <w:r w:rsidR="00112128">
        <w:t>contrast</w:t>
      </w:r>
      <w:r>
        <w:t xml:space="preserve"> group and its relationship to parental well-being, the development, clinical severity, current abilities and healt</w:t>
      </w:r>
      <w:r w:rsidR="00D9124E">
        <w:t>h of 91 participants were analyz</w:t>
      </w:r>
      <w:r>
        <w:t>ed in relation to diagnostic, clinical</w:t>
      </w:r>
      <w:r w:rsidRPr="00ED1DEC">
        <w:t xml:space="preserve"> </w:t>
      </w:r>
      <w:r>
        <w:t>and genetic mutation categories</w:t>
      </w:r>
      <w:r w:rsidRPr="00ED1DEC">
        <w:t>.</w:t>
      </w:r>
      <w:r>
        <w:t xml:space="preserve"> </w:t>
      </w:r>
      <w:r w:rsidR="00BC777F">
        <w:rPr>
          <w:szCs w:val="20"/>
        </w:rPr>
        <w:t>Early t</w:t>
      </w:r>
      <w:r>
        <w:rPr>
          <w:szCs w:val="20"/>
        </w:rPr>
        <w:t>runcating mutation</w:t>
      </w:r>
      <w:r w:rsidR="00031681">
        <w:rPr>
          <w:szCs w:val="20"/>
        </w:rPr>
        <w:t>s</w:t>
      </w:r>
      <w:r w:rsidR="00BC777F">
        <w:rPr>
          <w:szCs w:val="20"/>
        </w:rPr>
        <w:t xml:space="preserve"> or large d</w:t>
      </w:r>
      <w:r w:rsidR="00D9124E">
        <w:rPr>
          <w:szCs w:val="20"/>
        </w:rPr>
        <w:t>eletion</w:t>
      </w:r>
      <w:r w:rsidR="00031681">
        <w:rPr>
          <w:szCs w:val="20"/>
        </w:rPr>
        <w:t>s</w:t>
      </w:r>
      <w:r w:rsidR="00D9124E">
        <w:rPr>
          <w:szCs w:val="20"/>
        </w:rPr>
        <w:t xml:space="preserve"> w</w:t>
      </w:r>
      <w:r w:rsidR="00031681">
        <w:rPr>
          <w:szCs w:val="20"/>
        </w:rPr>
        <w:t>ere</w:t>
      </w:r>
      <w:r>
        <w:rPr>
          <w:szCs w:val="20"/>
        </w:rPr>
        <w:t xml:space="preserve"> </w:t>
      </w:r>
      <w:r w:rsidR="00D9124E">
        <w:rPr>
          <w:szCs w:val="20"/>
        </w:rPr>
        <w:t>associated with</w:t>
      </w:r>
      <w:r>
        <w:rPr>
          <w:szCs w:val="20"/>
        </w:rPr>
        <w:t xml:space="preserve"> greater </w:t>
      </w:r>
      <w:r w:rsidR="00D9124E">
        <w:rPr>
          <w:szCs w:val="20"/>
        </w:rPr>
        <w:t>severity</w:t>
      </w:r>
      <w:r>
        <w:rPr>
          <w:szCs w:val="20"/>
        </w:rPr>
        <w:t xml:space="preserve">. Early regression was </w:t>
      </w:r>
      <w:r w:rsidR="00031681">
        <w:rPr>
          <w:szCs w:val="20"/>
        </w:rPr>
        <w:t xml:space="preserve">also </w:t>
      </w:r>
      <w:r w:rsidRPr="004615E2">
        <w:t>a</w:t>
      </w:r>
      <w:r>
        <w:t xml:space="preserve">ssociated with </w:t>
      </w:r>
      <w:r w:rsidR="00D9124E">
        <w:t xml:space="preserve">greater </w:t>
      </w:r>
      <w:r>
        <w:t>severity. All three</w:t>
      </w:r>
      <w:r>
        <w:rPr>
          <w:szCs w:val="20"/>
        </w:rPr>
        <w:t xml:space="preserve"> </w:t>
      </w:r>
      <w:r w:rsidR="00D9124E">
        <w:rPr>
          <w:szCs w:val="20"/>
        </w:rPr>
        <w:t>were associated with</w:t>
      </w:r>
      <w:r>
        <w:rPr>
          <w:szCs w:val="20"/>
        </w:rPr>
        <w:t xml:space="preserve"> lower current abilities</w:t>
      </w:r>
      <w:r w:rsidR="00D9124E">
        <w:rPr>
          <w:szCs w:val="20"/>
        </w:rPr>
        <w:t>.</w:t>
      </w:r>
      <w:r>
        <w:rPr>
          <w:szCs w:val="20"/>
        </w:rPr>
        <w:t xml:space="preserve"> </w:t>
      </w:r>
      <w:r w:rsidR="00D9124E">
        <w:rPr>
          <w:szCs w:val="20"/>
        </w:rPr>
        <w:t>Epilepsy and weight, gastrointestinal and bowel problems were common co-</w:t>
      </w:r>
      <w:r w:rsidR="00AD5E3C">
        <w:rPr>
          <w:szCs w:val="20"/>
        </w:rPr>
        <w:t>morbidities. Participants with c</w:t>
      </w:r>
      <w:r w:rsidR="00D9124E">
        <w:rPr>
          <w:szCs w:val="20"/>
        </w:rPr>
        <w:t>lassic RTT had greater h</w:t>
      </w:r>
      <w:r w:rsidR="00AD5E3C">
        <w:rPr>
          <w:szCs w:val="20"/>
        </w:rPr>
        <w:t>ealth problems than those with a</w:t>
      </w:r>
      <w:r w:rsidR="00D9124E">
        <w:rPr>
          <w:szCs w:val="20"/>
        </w:rPr>
        <w:t>typical RTT. A substantial minority of respondents report</w:t>
      </w:r>
      <w:r w:rsidR="00BF3D95">
        <w:rPr>
          <w:szCs w:val="20"/>
        </w:rPr>
        <w:t>ed</w:t>
      </w:r>
      <w:r w:rsidR="00D9124E">
        <w:rPr>
          <w:szCs w:val="20"/>
        </w:rPr>
        <w:t xml:space="preserve"> fairly frequent signs of possible pain being experienced by their relative with RTT. </w:t>
      </w:r>
      <w:r w:rsidR="00031681">
        <w:rPr>
          <w:szCs w:val="20"/>
        </w:rPr>
        <w:t>Overall, t</w:t>
      </w:r>
      <w:r w:rsidR="00D9124E">
        <w:rPr>
          <w:szCs w:val="20"/>
        </w:rPr>
        <w:t xml:space="preserve">he study provides new data on the current abilities and general health of people with RTT and adds to the evidence that the severity of the condition and variation of subsequent disability, albeit generally within the profound range, may be related to gene mutation. </w:t>
      </w:r>
      <w:r w:rsidR="00D9124E">
        <w:t xml:space="preserve">The presence of </w:t>
      </w:r>
      <w:r w:rsidR="00031681">
        <w:t>certain</w:t>
      </w:r>
      <w:r w:rsidR="00D9124E">
        <w:t xml:space="preserve"> co-morbidities represent</w:t>
      </w:r>
      <w:r w:rsidR="00031681">
        <w:t>s</w:t>
      </w:r>
      <w:r w:rsidR="00D9124E">
        <w:t xml:space="preserve"> a substantial</w:t>
      </w:r>
      <w:r w:rsidR="00031681">
        <w:t xml:space="preserve"> ongoing need for better health</w:t>
      </w:r>
      <w:r w:rsidR="00D9124E">
        <w:t xml:space="preserve">. </w:t>
      </w:r>
      <w:r w:rsidR="002722FB">
        <w:t>The experience of</w:t>
      </w:r>
      <w:r w:rsidR="00C34CBF">
        <w:t xml:space="preserve"> pain requires further investigation.</w:t>
      </w:r>
    </w:p>
    <w:p w:rsidR="006914D8" w:rsidRDefault="006914D8" w:rsidP="006914D8">
      <w:pPr>
        <w:spacing w:after="0" w:line="480" w:lineRule="auto"/>
        <w:rPr>
          <w:rFonts w:cs="Cambria"/>
          <w:bCs/>
          <w:i/>
        </w:rPr>
      </w:pPr>
      <w:r>
        <w:rPr>
          <w:rFonts w:cs="Cambria"/>
        </w:rPr>
        <w:br w:type="page"/>
      </w:r>
      <w:r w:rsidRPr="00ED1DEC">
        <w:rPr>
          <w:rFonts w:cs="Cambria"/>
          <w:bCs/>
          <w:i/>
        </w:rPr>
        <w:t>Key words</w:t>
      </w:r>
      <w:r w:rsidRPr="00ED1DEC">
        <w:rPr>
          <w:rFonts w:cs="Cambria"/>
        </w:rPr>
        <w:t xml:space="preserve">: Intellectual disabilities, </w:t>
      </w:r>
      <w:proofErr w:type="spellStart"/>
      <w:r w:rsidRPr="00ED1DEC">
        <w:rPr>
          <w:rFonts w:cs="Cambria"/>
        </w:rPr>
        <w:t>Rett</w:t>
      </w:r>
      <w:proofErr w:type="spellEnd"/>
      <w:r w:rsidRPr="00ED1DEC">
        <w:rPr>
          <w:rFonts w:cs="Cambria"/>
        </w:rPr>
        <w:t xml:space="preserve"> syndrome, </w:t>
      </w:r>
      <w:r w:rsidR="002722FB" w:rsidRPr="002722FB">
        <w:rPr>
          <w:rFonts w:cs="Cambria"/>
          <w:i/>
        </w:rPr>
        <w:t>MECP2</w:t>
      </w:r>
      <w:r w:rsidR="002722FB">
        <w:rPr>
          <w:rFonts w:cs="Cambria"/>
        </w:rPr>
        <w:t xml:space="preserve">, </w:t>
      </w:r>
      <w:r>
        <w:rPr>
          <w:rFonts w:cs="Cambria"/>
        </w:rPr>
        <w:t>clinical</w:t>
      </w:r>
      <w:r w:rsidRPr="00ED1DEC">
        <w:rPr>
          <w:rFonts w:cs="Cambria"/>
        </w:rPr>
        <w:t xml:space="preserve"> characteristics, </w:t>
      </w:r>
      <w:r>
        <w:rPr>
          <w:rFonts w:cs="Cambria"/>
        </w:rPr>
        <w:t>health</w:t>
      </w:r>
      <w:r w:rsidRPr="00ED1DEC">
        <w:rPr>
          <w:rFonts w:cs="Cambria"/>
          <w:bCs/>
          <w:i/>
        </w:rPr>
        <w:t xml:space="preserve"> </w:t>
      </w:r>
    </w:p>
    <w:p w:rsidR="006914D8" w:rsidRDefault="006914D8" w:rsidP="006914D8">
      <w:pPr>
        <w:spacing w:after="0" w:line="480" w:lineRule="auto"/>
        <w:rPr>
          <w:rFonts w:cs="Cambria"/>
          <w:bCs/>
          <w:i/>
        </w:rPr>
      </w:pPr>
    </w:p>
    <w:p w:rsidR="006914D8" w:rsidRPr="00ED1DEC" w:rsidRDefault="006914D8" w:rsidP="006914D8">
      <w:pPr>
        <w:spacing w:after="0" w:line="480" w:lineRule="auto"/>
        <w:rPr>
          <w:rFonts w:cs="Cambria"/>
          <w:b/>
          <w:bCs/>
        </w:rPr>
      </w:pPr>
    </w:p>
    <w:p w:rsidR="006914D8" w:rsidRPr="006914D8" w:rsidRDefault="006914D8" w:rsidP="007C7066">
      <w:pPr>
        <w:spacing w:after="0" w:line="480" w:lineRule="auto"/>
        <w:jc w:val="center"/>
        <w:rPr>
          <w:rFonts w:cs="Cambria"/>
          <w:b/>
        </w:rPr>
      </w:pPr>
      <w:r>
        <w:rPr>
          <w:rFonts w:cs="Cambria"/>
        </w:rPr>
        <w:br w:type="page"/>
      </w:r>
      <w:r w:rsidRPr="006914D8">
        <w:rPr>
          <w:rFonts w:cs="Cambria"/>
          <w:b/>
        </w:rPr>
        <w:t>INTRODUCTION</w:t>
      </w:r>
    </w:p>
    <w:p w:rsidR="001D6985" w:rsidRPr="00ED1DEC" w:rsidRDefault="001D6985" w:rsidP="008215FE">
      <w:pPr>
        <w:spacing w:after="0" w:line="480" w:lineRule="auto"/>
        <w:ind w:firstLine="426"/>
      </w:pPr>
      <w:proofErr w:type="spellStart"/>
      <w:r w:rsidRPr="00ED1DEC">
        <w:t>Rett</w:t>
      </w:r>
      <w:proofErr w:type="spellEnd"/>
      <w:r w:rsidRPr="00ED1DEC">
        <w:t xml:space="preserve"> syndrome (RTT</w:t>
      </w:r>
      <w:r w:rsidR="003F40E2" w:rsidRPr="00ED1DEC">
        <w:t xml:space="preserve">) is a </w:t>
      </w:r>
      <w:r w:rsidR="00903486">
        <w:t>genetic</w:t>
      </w:r>
      <w:r w:rsidR="003F40E2" w:rsidRPr="00ED1DEC">
        <w:t xml:space="preserve"> disorder that causes severe cognitive and physical impairments. In its classic form, it appears to affect </w:t>
      </w:r>
      <w:r w:rsidR="000C55DE" w:rsidRPr="000C55DE">
        <w:t>almost exclusively</w:t>
      </w:r>
      <w:r w:rsidR="003F40E2" w:rsidRPr="00ED1DEC">
        <w:t xml:space="preserve"> females</w:t>
      </w:r>
      <w:r w:rsidR="00160072" w:rsidRPr="00ED1DEC">
        <w:t xml:space="preserve">, with an </w:t>
      </w:r>
      <w:r w:rsidR="00B76FE3">
        <w:t xml:space="preserve">incidence of </w:t>
      </w:r>
      <w:r w:rsidR="00D07BB8">
        <w:t xml:space="preserve">up to </w:t>
      </w:r>
      <w:r w:rsidR="00B76FE3">
        <w:t>one in every 10,</w:t>
      </w:r>
      <w:r w:rsidR="00160072" w:rsidRPr="00ED1DEC">
        <w:t>000 live female births</w:t>
      </w:r>
      <w:r w:rsidR="003F40E2" w:rsidRPr="00ED1DEC">
        <w:t>. Its cause is</w:t>
      </w:r>
      <w:r w:rsidR="0084269C" w:rsidRPr="00ED1DEC">
        <w:t xml:space="preserve"> </w:t>
      </w:r>
      <w:r w:rsidR="003F40E2" w:rsidRPr="00ED1DEC">
        <w:t xml:space="preserve">most </w:t>
      </w:r>
      <w:r w:rsidR="000C55DE">
        <w:t>often</w:t>
      </w:r>
      <w:r w:rsidR="003F40E2" w:rsidRPr="00ED1DEC">
        <w:t xml:space="preserve"> a mutation in the </w:t>
      </w:r>
      <w:r w:rsidR="0084269C" w:rsidRPr="00ED1DEC">
        <w:t>methyl-</w:t>
      </w:r>
      <w:proofErr w:type="spellStart"/>
      <w:r w:rsidR="0084269C" w:rsidRPr="00ED1DEC">
        <w:t>CpG</w:t>
      </w:r>
      <w:proofErr w:type="spellEnd"/>
      <w:r w:rsidR="0084269C" w:rsidRPr="00ED1DEC">
        <w:t xml:space="preserve"> binding protein-2 (</w:t>
      </w:r>
      <w:r w:rsidR="000C55DE">
        <w:rPr>
          <w:i/>
        </w:rPr>
        <w:t>ME</w:t>
      </w:r>
      <w:r w:rsidR="0084269C" w:rsidRPr="00F80146">
        <w:rPr>
          <w:i/>
        </w:rPr>
        <w:t>CP2</w:t>
      </w:r>
      <w:r w:rsidR="0084269C" w:rsidRPr="00ED1DEC">
        <w:t xml:space="preserve">) gene, located on the X chromosome at </w:t>
      </w:r>
      <w:r w:rsidR="0084269C" w:rsidRPr="00F80146">
        <w:rPr>
          <w:i/>
        </w:rPr>
        <w:t>Xq28</w:t>
      </w:r>
      <w:r w:rsidR="002C785D">
        <w:t xml:space="preserve"> [</w:t>
      </w:r>
      <w:r w:rsidR="0084269C" w:rsidRPr="00ED1DEC">
        <w:t>Amir</w:t>
      </w:r>
      <w:r w:rsidR="00B4655F">
        <w:t xml:space="preserve"> </w:t>
      </w:r>
      <w:r w:rsidR="0084269C" w:rsidRPr="00ED1DEC">
        <w:t>et al.</w:t>
      </w:r>
      <w:r w:rsidR="001C4A6C">
        <w:t>,</w:t>
      </w:r>
      <w:r w:rsidR="002C785D">
        <w:t xml:space="preserve"> 1999]</w:t>
      </w:r>
      <w:r w:rsidR="003F40E2" w:rsidRPr="00ED1DEC">
        <w:t xml:space="preserve">. </w:t>
      </w:r>
      <w:r w:rsidR="003F2935" w:rsidRPr="00ED1DEC">
        <w:t xml:space="preserve">However, although </w:t>
      </w:r>
      <w:r w:rsidR="0008764E" w:rsidRPr="00ED1DEC">
        <w:t xml:space="preserve">a </w:t>
      </w:r>
      <w:r w:rsidR="003F2935" w:rsidRPr="00F80146">
        <w:rPr>
          <w:i/>
        </w:rPr>
        <w:t>MECP2</w:t>
      </w:r>
      <w:r w:rsidR="003F2935" w:rsidRPr="00ED1DEC">
        <w:t xml:space="preserve"> mutation is found in most </w:t>
      </w:r>
      <w:r w:rsidR="00991486">
        <w:t>instance</w:t>
      </w:r>
      <w:r w:rsidR="003F2935" w:rsidRPr="00ED1DEC">
        <w:t xml:space="preserve">s of </w:t>
      </w:r>
      <w:r w:rsidR="0008764E" w:rsidRPr="00ED1DEC">
        <w:t xml:space="preserve">the </w:t>
      </w:r>
      <w:r w:rsidR="003F2935" w:rsidRPr="00ED1DEC">
        <w:t>classic</w:t>
      </w:r>
      <w:r w:rsidR="0008764E" w:rsidRPr="00ED1DEC">
        <w:t xml:space="preserve"> form</w:t>
      </w:r>
      <w:r w:rsidR="003F2935" w:rsidRPr="00ED1DEC">
        <w:t xml:space="preserve">, RTT remains a clinical rather than a molecular diagnosis. </w:t>
      </w:r>
      <w:r w:rsidR="003F2935" w:rsidRPr="00F80146">
        <w:rPr>
          <w:i/>
        </w:rPr>
        <w:t>MECP2</w:t>
      </w:r>
      <w:r w:rsidR="003F2935" w:rsidRPr="00ED1DEC">
        <w:t xml:space="preserve"> mutations </w:t>
      </w:r>
      <w:r w:rsidR="0008764E" w:rsidRPr="00ED1DEC">
        <w:t>have</w:t>
      </w:r>
      <w:r w:rsidR="003F2935" w:rsidRPr="00ED1DEC">
        <w:t xml:space="preserve"> not</w:t>
      </w:r>
      <w:r w:rsidR="0008764E" w:rsidRPr="00ED1DEC">
        <w:t xml:space="preserve"> been</w:t>
      </w:r>
      <w:r w:rsidR="003F2935" w:rsidRPr="00ED1DEC">
        <w:t xml:space="preserve"> found in all </w:t>
      </w:r>
      <w:r w:rsidR="00991486">
        <w:t>individuals with</w:t>
      </w:r>
      <w:r w:rsidR="0008764E" w:rsidRPr="00ED1DEC">
        <w:t xml:space="preserve"> RTT </w:t>
      </w:r>
      <w:r w:rsidR="003F2935" w:rsidRPr="00ED1DEC">
        <w:t>and the mutation has been found in individuals who do not meet the clinical diagnostic crite</w:t>
      </w:r>
      <w:r w:rsidR="002C785D">
        <w:t>ria for classic or variant RTT [</w:t>
      </w:r>
      <w:proofErr w:type="spellStart"/>
      <w:r w:rsidR="003F2935" w:rsidRPr="00ED1DEC">
        <w:t>Hagberg</w:t>
      </w:r>
      <w:proofErr w:type="spellEnd"/>
      <w:r w:rsidR="001C4A6C">
        <w:t>,</w:t>
      </w:r>
      <w:r w:rsidR="002C785D">
        <w:t xml:space="preserve"> 2002]</w:t>
      </w:r>
      <w:r w:rsidR="003F2935" w:rsidRPr="00ED1DEC">
        <w:t>.</w:t>
      </w:r>
    </w:p>
    <w:p w:rsidR="00B76FE3" w:rsidRDefault="001D6985" w:rsidP="008215FE">
      <w:pPr>
        <w:spacing w:after="0" w:line="480" w:lineRule="auto"/>
        <w:ind w:firstLine="426"/>
      </w:pPr>
      <w:proofErr w:type="spellStart"/>
      <w:r w:rsidRPr="00ED1DEC">
        <w:t>Neul</w:t>
      </w:r>
      <w:proofErr w:type="spellEnd"/>
      <w:r w:rsidR="000219A1" w:rsidRPr="000219A1">
        <w:t xml:space="preserve"> </w:t>
      </w:r>
      <w:r w:rsidR="0031323B">
        <w:t>et al. [2010]</w:t>
      </w:r>
      <w:r w:rsidRPr="00ED1DEC">
        <w:t xml:space="preserve"> describe</w:t>
      </w:r>
      <w:r w:rsidR="00D443D6" w:rsidRPr="00ED1DEC">
        <w:t>d</w:t>
      </w:r>
      <w:r w:rsidRPr="00ED1DEC">
        <w:t xml:space="preserve"> revised diagnostic criteria for RTT. Classic RTT requires </w:t>
      </w:r>
      <w:r w:rsidR="00C123B1" w:rsidRPr="00ED1DEC">
        <w:t xml:space="preserve">apparently normal psychomotor development in the first 6 months of life followed by </w:t>
      </w:r>
      <w:r w:rsidRPr="00ED1DEC">
        <w:t>a period of regression</w:t>
      </w:r>
      <w:r w:rsidR="00B76FE3">
        <w:t>,</w:t>
      </w:r>
      <w:r w:rsidRPr="00ED1DEC">
        <w:t xml:space="preserve"> </w:t>
      </w:r>
      <w:r w:rsidR="00B76FE3">
        <w:t xml:space="preserve">which is </w:t>
      </w:r>
      <w:r w:rsidR="00C123B1" w:rsidRPr="00ED1DEC">
        <w:t xml:space="preserve">not due to brain injury secondary to trauma, </w:t>
      </w:r>
      <w:proofErr w:type="spellStart"/>
      <w:r w:rsidR="00C123B1" w:rsidRPr="00ED1DEC">
        <w:t>neurometabolic</w:t>
      </w:r>
      <w:proofErr w:type="spellEnd"/>
      <w:r w:rsidR="00C123B1" w:rsidRPr="00ED1DEC">
        <w:t xml:space="preserve"> disease, or severe infection, </w:t>
      </w:r>
      <w:r w:rsidR="00B76FE3">
        <w:t xml:space="preserve">and </w:t>
      </w:r>
      <w:r w:rsidR="00D443D6" w:rsidRPr="00ED1DEC">
        <w:t>involv</w:t>
      </w:r>
      <w:r w:rsidR="00B76FE3">
        <w:t>es</w:t>
      </w:r>
      <w:r w:rsidR="00D443D6" w:rsidRPr="00ED1DEC">
        <w:t xml:space="preserve"> partial or complete loss of acquired purposeful hand skills and language, gait abnormalities and the development of stereotypic hand movements, </w:t>
      </w:r>
      <w:r w:rsidRPr="00ED1DEC">
        <w:t xml:space="preserve">followed by </w:t>
      </w:r>
      <w:r w:rsidR="00D443D6" w:rsidRPr="00ED1DEC">
        <w:t xml:space="preserve">stabilization or </w:t>
      </w:r>
      <w:r w:rsidR="000C55DE">
        <w:t xml:space="preserve">even </w:t>
      </w:r>
      <w:r w:rsidR="00D443D6" w:rsidRPr="00ED1DEC">
        <w:t xml:space="preserve">some degree of </w:t>
      </w:r>
      <w:r w:rsidRPr="00ED1DEC">
        <w:t>recovery</w:t>
      </w:r>
      <w:r w:rsidR="00C123B1" w:rsidRPr="00ED1DEC">
        <w:t xml:space="preserve">. </w:t>
      </w:r>
      <w:r w:rsidR="000C55DE" w:rsidRPr="000C55DE">
        <w:t xml:space="preserve">An important aspect of the regression is a period of social withdrawal or impaired communication. </w:t>
      </w:r>
      <w:r w:rsidR="00D443D6" w:rsidRPr="00ED1DEC">
        <w:t>A</w:t>
      </w:r>
      <w:r w:rsidR="00C330EC" w:rsidRPr="00ED1DEC">
        <w:t xml:space="preserve">typical </w:t>
      </w:r>
      <w:r w:rsidR="00D443D6" w:rsidRPr="00ED1DEC">
        <w:t>RTT</w:t>
      </w:r>
      <w:r w:rsidR="00C330EC" w:rsidRPr="00ED1DEC">
        <w:t xml:space="preserve"> requires a similar perio</w:t>
      </w:r>
      <w:r w:rsidR="00D443D6" w:rsidRPr="00ED1DEC">
        <w:t xml:space="preserve">d of regression and </w:t>
      </w:r>
      <w:r w:rsidR="00D07BB8">
        <w:t xml:space="preserve">subsequent </w:t>
      </w:r>
      <w:r w:rsidR="0008764E" w:rsidRPr="00ED1DEC">
        <w:t>stabilization/</w:t>
      </w:r>
      <w:r w:rsidR="00D07BB8">
        <w:t xml:space="preserve"> </w:t>
      </w:r>
      <w:r w:rsidR="00D443D6" w:rsidRPr="00ED1DEC">
        <w:t>recovery, at</w:t>
      </w:r>
      <w:r w:rsidR="00C330EC" w:rsidRPr="00ED1DEC">
        <w:t xml:space="preserve"> leas</w:t>
      </w:r>
      <w:r w:rsidR="00991486">
        <w:t>t two of the above four behavio</w:t>
      </w:r>
      <w:r w:rsidR="00C330EC" w:rsidRPr="00ED1DEC">
        <w:t>ral manifestations an</w:t>
      </w:r>
      <w:r w:rsidR="002C785D">
        <w:t>d the presence of at least five, out of 11,</w:t>
      </w:r>
      <w:r w:rsidR="00C330EC" w:rsidRPr="00ED1DEC">
        <w:t xml:space="preserve"> supportive criteria</w:t>
      </w:r>
      <w:r w:rsidR="00D443D6" w:rsidRPr="00ED1DEC">
        <w:t xml:space="preserve">. Other variant forms have </w:t>
      </w:r>
      <w:r w:rsidR="0008764E" w:rsidRPr="00ED1DEC">
        <w:t xml:space="preserve">also </w:t>
      </w:r>
      <w:r w:rsidR="002C785D">
        <w:t>been described [</w:t>
      </w:r>
      <w:proofErr w:type="spellStart"/>
      <w:r w:rsidR="00D443D6" w:rsidRPr="00ED1DEC">
        <w:t>Neul</w:t>
      </w:r>
      <w:proofErr w:type="spellEnd"/>
      <w:r w:rsidR="00D443D6" w:rsidRPr="00ED1DEC">
        <w:t xml:space="preserve"> et al.</w:t>
      </w:r>
      <w:r w:rsidR="000219A1">
        <w:t>,</w:t>
      </w:r>
      <w:r w:rsidR="002C785D">
        <w:t xml:space="preserve"> 2010]</w:t>
      </w:r>
      <w:r w:rsidR="00D443D6" w:rsidRPr="00ED1DEC">
        <w:t>.</w:t>
      </w:r>
    </w:p>
    <w:p w:rsidR="009D48B7" w:rsidRDefault="009D48B7" w:rsidP="008215FE">
      <w:pPr>
        <w:spacing w:after="0" w:line="480" w:lineRule="auto"/>
        <w:ind w:firstLine="426"/>
      </w:pPr>
      <w:r>
        <w:t>Supportive criteria include clinical characteristics often found in RTT. These include breathing abnormalities, teeth grinding, impaired sleep pattern, abnormal muscle tone,</w:t>
      </w:r>
      <w:r w:rsidRPr="009D48B7">
        <w:t xml:space="preserve"> </w:t>
      </w:r>
      <w:r w:rsidR="002953BA">
        <w:t xml:space="preserve">small and </w:t>
      </w:r>
      <w:r>
        <w:t>cold hands and feet, scoliosis/</w:t>
      </w:r>
      <w:proofErr w:type="spellStart"/>
      <w:r>
        <w:t>kyphosis</w:t>
      </w:r>
      <w:proofErr w:type="spellEnd"/>
      <w:r>
        <w:t>, growth retardation</w:t>
      </w:r>
      <w:r w:rsidR="002953BA">
        <w:t xml:space="preserve"> and spells of </w:t>
      </w:r>
      <w:r w:rsidR="00177BFC">
        <w:t>i</w:t>
      </w:r>
      <w:r w:rsidR="002953BA">
        <w:t>nappropriate laughing and/or screaming</w:t>
      </w:r>
      <w:r w:rsidR="002C785D">
        <w:t xml:space="preserve"> [</w:t>
      </w:r>
      <w:r w:rsidR="00177BFC">
        <w:t>see</w:t>
      </w:r>
      <w:r w:rsidR="007024AA">
        <w:t>,</w:t>
      </w:r>
      <w:r w:rsidR="00B4655F">
        <w:t xml:space="preserve"> Cass</w:t>
      </w:r>
      <w:r w:rsidR="00177BFC">
        <w:t xml:space="preserve"> et al</w:t>
      </w:r>
      <w:r w:rsidR="002953BA">
        <w:t>.</w:t>
      </w:r>
      <w:r w:rsidR="00177BFC">
        <w:t>, 2003; Reilly</w:t>
      </w:r>
      <w:r w:rsidR="00177BFC" w:rsidRPr="00177BFC">
        <w:t xml:space="preserve"> </w:t>
      </w:r>
      <w:r w:rsidR="00B4655F">
        <w:t>and</w:t>
      </w:r>
      <w:r w:rsidR="00177BFC" w:rsidRPr="00177BFC">
        <w:t xml:space="preserve"> Cass</w:t>
      </w:r>
      <w:r w:rsidR="00177BFC">
        <w:t>, 2001;</w:t>
      </w:r>
      <w:r w:rsidR="00B4655F">
        <w:t xml:space="preserve"> Young</w:t>
      </w:r>
      <w:r w:rsidR="00D07BB8">
        <w:t xml:space="preserve"> </w:t>
      </w:r>
      <w:r w:rsidR="002C785D">
        <w:t>et al., 2007]</w:t>
      </w:r>
      <w:r w:rsidR="007024AA">
        <w:t>. Feeding difficulties</w:t>
      </w:r>
      <w:r w:rsidR="002C785D">
        <w:t xml:space="preserve"> have also been described [</w:t>
      </w:r>
      <w:proofErr w:type="spellStart"/>
      <w:r w:rsidR="00B4655F">
        <w:t>Oddy</w:t>
      </w:r>
      <w:proofErr w:type="spellEnd"/>
      <w:r w:rsidR="007024AA">
        <w:t xml:space="preserve"> et al.</w:t>
      </w:r>
      <w:r w:rsidR="0042272C">
        <w:t>,</w:t>
      </w:r>
      <w:r w:rsidR="002C785D">
        <w:t xml:space="preserve"> 2007]</w:t>
      </w:r>
      <w:r w:rsidR="007024AA">
        <w:t xml:space="preserve">. </w:t>
      </w:r>
      <w:r w:rsidR="002C785D">
        <w:t>These researchers</w:t>
      </w:r>
      <w:r w:rsidR="00D07BB8">
        <w:t xml:space="preserve"> found that body mass index z scores for a RTT sample were lower than age group comparisons and decreased steadily with age. Twenty percent had </w:t>
      </w:r>
      <w:proofErr w:type="spellStart"/>
      <w:r w:rsidR="00D07BB8">
        <w:t>enteral</w:t>
      </w:r>
      <w:proofErr w:type="spellEnd"/>
      <w:r w:rsidR="00D07BB8">
        <w:t xml:space="preserve"> nutrition support and this was more common in the older age group. Those with low mobility had lower mean body mass index z scores than those with higher mobility. Increased frequencies of breath-holding and hyperventilation were associated with lower body mass index z scores.</w:t>
      </w:r>
    </w:p>
    <w:p w:rsidR="008D2009" w:rsidRPr="00ED1DEC" w:rsidRDefault="00D07BB8" w:rsidP="008215FE">
      <w:pPr>
        <w:spacing w:after="0" w:line="480" w:lineRule="auto"/>
        <w:ind w:firstLine="426"/>
      </w:pPr>
      <w:r w:rsidRPr="00D07BB8">
        <w:t xml:space="preserve">The majority of people with </w:t>
      </w:r>
      <w:r w:rsidR="001B2A28">
        <w:t>RTT</w:t>
      </w:r>
      <w:r w:rsidRPr="00D07BB8">
        <w:t xml:space="preserve"> have epilepsy</w:t>
      </w:r>
      <w:r>
        <w:t>, with reported rate</w:t>
      </w:r>
      <w:r w:rsidR="002C785D">
        <w:t>s of 60-80% [</w:t>
      </w:r>
      <w:proofErr w:type="spellStart"/>
      <w:r w:rsidR="00B4655F">
        <w:t>Cardoza</w:t>
      </w:r>
      <w:proofErr w:type="spellEnd"/>
      <w:r w:rsidRPr="00D07BB8">
        <w:t xml:space="preserve"> </w:t>
      </w:r>
      <w:r>
        <w:t>et al</w:t>
      </w:r>
      <w:r w:rsidRPr="00D07BB8">
        <w:t>.</w:t>
      </w:r>
      <w:r>
        <w:t xml:space="preserve">, 2011; Glaze et al., 2010; </w:t>
      </w:r>
      <w:proofErr w:type="spellStart"/>
      <w:r>
        <w:t>Jian</w:t>
      </w:r>
      <w:proofErr w:type="spellEnd"/>
      <w:r w:rsidRPr="00D07BB8">
        <w:t xml:space="preserve"> </w:t>
      </w:r>
      <w:r>
        <w:t>et al.</w:t>
      </w:r>
      <w:r w:rsidR="0042272C">
        <w:t>,</w:t>
      </w:r>
      <w:r w:rsidR="002C785D">
        <w:t xml:space="preserve"> 2007]</w:t>
      </w:r>
      <w:r w:rsidR="00B74703">
        <w:t xml:space="preserve">. Rates vary across mutation types, although findings are not entirely consistent. </w:t>
      </w:r>
      <w:r w:rsidR="004A677E">
        <w:t xml:space="preserve">At least two of the three studies above reported lower rates for C-terminal mutations and </w:t>
      </w:r>
      <w:r w:rsidR="00134996">
        <w:t>p.</w:t>
      </w:r>
      <w:r w:rsidR="004A677E" w:rsidRPr="0042272C">
        <w:t xml:space="preserve">R255X and </w:t>
      </w:r>
      <w:r w:rsidR="00134996">
        <w:t>p.</w:t>
      </w:r>
      <w:r w:rsidR="004A677E" w:rsidRPr="0042272C">
        <w:t xml:space="preserve">R294X mutations, and higher rates for </w:t>
      </w:r>
      <w:r w:rsidR="00134996">
        <w:t>p</w:t>
      </w:r>
      <w:r w:rsidR="00112128">
        <w:t>.</w:t>
      </w:r>
      <w:r w:rsidR="004A677E" w:rsidRPr="0042272C">
        <w:t>T158M</w:t>
      </w:r>
      <w:r w:rsidR="001B2A28" w:rsidRPr="0042272C">
        <w:t xml:space="preserve"> and </w:t>
      </w:r>
      <w:r w:rsidR="00134996">
        <w:t>p.</w:t>
      </w:r>
      <w:r w:rsidR="001B2A28" w:rsidRPr="0042272C">
        <w:t xml:space="preserve">R270X </w:t>
      </w:r>
      <w:r w:rsidR="001B2A28">
        <w:t xml:space="preserve">mutations. </w:t>
      </w:r>
      <w:proofErr w:type="spellStart"/>
      <w:r w:rsidR="001B2A28" w:rsidRPr="00651165">
        <w:t>Rett</w:t>
      </w:r>
      <w:proofErr w:type="spellEnd"/>
      <w:r w:rsidR="001B2A28" w:rsidRPr="00651165">
        <w:t xml:space="preserve"> ‘epi</w:t>
      </w:r>
      <w:r w:rsidR="002C785D">
        <w:t xml:space="preserve">sodes’, which consist of </w:t>
      </w:r>
      <w:r w:rsidR="00991486">
        <w:t>a non-epileptic behavio</w:t>
      </w:r>
      <w:r w:rsidR="001B2A28" w:rsidRPr="00651165">
        <w:t xml:space="preserve">r often </w:t>
      </w:r>
      <w:r w:rsidR="000C55DE">
        <w:t>mis</w:t>
      </w:r>
      <w:r w:rsidR="001B2A28" w:rsidRPr="00651165">
        <w:t>identified as a possible seizure in which the eye gaze is not fixed, the person appears not to be breathing, with absence of hand movements a</w:t>
      </w:r>
      <w:r w:rsidR="002C785D">
        <w:t>nd motor activities,</w:t>
      </w:r>
      <w:r w:rsidR="001B2A28">
        <w:t xml:space="preserve"> were </w:t>
      </w:r>
      <w:r w:rsidR="002C785D">
        <w:t>reported in 74% of a UK sample [</w:t>
      </w:r>
      <w:proofErr w:type="spellStart"/>
      <w:r w:rsidR="002C785D">
        <w:t>Cardoza</w:t>
      </w:r>
      <w:proofErr w:type="spellEnd"/>
      <w:r w:rsidR="002C785D">
        <w:t xml:space="preserve"> et al., 2011]</w:t>
      </w:r>
      <w:r w:rsidR="001B2A28">
        <w:t xml:space="preserve"> with rates varying between mutation types from 50% to 100%.</w:t>
      </w:r>
    </w:p>
    <w:p w:rsidR="00DF23BF" w:rsidRPr="00ED1DEC" w:rsidRDefault="007621F1" w:rsidP="008215FE">
      <w:pPr>
        <w:spacing w:after="0" w:line="480" w:lineRule="auto"/>
        <w:ind w:firstLine="426"/>
      </w:pPr>
      <w:r>
        <w:t>As the above illustrates, t</w:t>
      </w:r>
      <w:r w:rsidR="001B2A28">
        <w:t>he literature on typical clinical characteristics</w:t>
      </w:r>
      <w:r>
        <w:t>, particularly on those</w:t>
      </w:r>
      <w:r w:rsidR="001B2A28">
        <w:t xml:space="preserve"> that underpin </w:t>
      </w:r>
      <w:r w:rsidR="000C55DE">
        <w:t xml:space="preserve">the </w:t>
      </w:r>
      <w:r w:rsidR="001B2A28">
        <w:t>diagnostic criteria</w:t>
      </w:r>
      <w:r>
        <w:t>,</w:t>
      </w:r>
      <w:r w:rsidR="001B2A28">
        <w:t xml:space="preserve"> is well-established. However, studies on the health of people with RTT are scarce</w:t>
      </w:r>
      <w:r w:rsidR="002C785D">
        <w:t>. A</w:t>
      </w:r>
      <w:r w:rsidR="001B2A28">
        <w:t xml:space="preserve"> Medline search pairing the key terms, ‘</w:t>
      </w:r>
      <w:proofErr w:type="spellStart"/>
      <w:r w:rsidR="001B2A28">
        <w:t>Rett</w:t>
      </w:r>
      <w:proofErr w:type="spellEnd"/>
      <w:r w:rsidR="001B2A28">
        <w:t xml:space="preserve"> syndrome’ and ‘health’ </w:t>
      </w:r>
      <w:r>
        <w:t>produced</w:t>
      </w:r>
      <w:r w:rsidR="002C785D">
        <w:t xml:space="preserve"> a zero return</w:t>
      </w:r>
      <w:r w:rsidR="001B2A28">
        <w:t xml:space="preserve">. </w:t>
      </w:r>
      <w:r>
        <w:t xml:space="preserve">General health was assessed in a longitudinal study of ageing among </w:t>
      </w:r>
      <w:r w:rsidR="002C785D">
        <w:t>53 at T1</w:t>
      </w:r>
      <w:r w:rsidR="00B4655F">
        <w:t xml:space="preserve"> </w:t>
      </w:r>
      <w:r w:rsidR="002C785D">
        <w:t>Dutch women with RTT [</w:t>
      </w:r>
      <w:proofErr w:type="spellStart"/>
      <w:r w:rsidR="00B4655F">
        <w:t>Halbach</w:t>
      </w:r>
      <w:proofErr w:type="spellEnd"/>
      <w:r>
        <w:t xml:space="preserve"> </w:t>
      </w:r>
      <w:r w:rsidR="002C785D">
        <w:t>et al., 2013]</w:t>
      </w:r>
      <w:r w:rsidR="00D57C5F">
        <w:t>. These researchers</w:t>
      </w:r>
      <w:r>
        <w:t xml:space="preserve"> found that general health was usually rated as good. During the previous 5 years, 10 </w:t>
      </w:r>
      <w:r w:rsidR="00D57C5F">
        <w:t xml:space="preserve">of the 53 </w:t>
      </w:r>
      <w:r>
        <w:t xml:space="preserve">women had been hospitalized for reasons of pneumonia, respiratory distress, status </w:t>
      </w:r>
      <w:proofErr w:type="spellStart"/>
      <w:r>
        <w:t>epilepticus</w:t>
      </w:r>
      <w:proofErr w:type="spellEnd"/>
      <w:r>
        <w:t xml:space="preserve">, rectal bleeding, PEG probe, bladder inspection, decline in walking and refusal to eat and/or drink. Three women had had orthopedic surgery </w:t>
      </w:r>
      <w:r w:rsidR="00C707D2">
        <w:t>for</w:t>
      </w:r>
      <w:r>
        <w:t xml:space="preserve"> contractures, and two dental surgery for extraction of wisdom teeth.</w:t>
      </w:r>
    </w:p>
    <w:p w:rsidR="007621F1" w:rsidRDefault="00D57C5F" w:rsidP="008215FE">
      <w:pPr>
        <w:spacing w:after="0" w:line="480" w:lineRule="auto"/>
        <w:ind w:firstLine="426"/>
      </w:pPr>
      <w:r>
        <w:t>The purpose of our research</w:t>
      </w:r>
      <w:r w:rsidR="007621F1" w:rsidRPr="00ED1DEC">
        <w:t xml:space="preserve"> was to gain a UK national </w:t>
      </w:r>
      <w:r w:rsidR="007621F1">
        <w:t xml:space="preserve">RTT </w:t>
      </w:r>
      <w:r w:rsidR="007621F1" w:rsidRPr="00ED1DEC">
        <w:t xml:space="preserve">sample </w:t>
      </w:r>
      <w:r w:rsidR="007621F1">
        <w:t>mainly to inv</w:t>
      </w:r>
      <w:r w:rsidR="00991486">
        <w:t>estigate the associated behavio</w:t>
      </w:r>
      <w:r w:rsidR="007621F1">
        <w:t>ral phenotype in comparison</w:t>
      </w:r>
      <w:r w:rsidR="007C7066">
        <w:t xml:space="preserve"> to a well-chosen cont</w:t>
      </w:r>
      <w:r w:rsidR="00112128">
        <w:t>rast</w:t>
      </w:r>
      <w:r w:rsidR="007C7066">
        <w:t xml:space="preserve"> group</w:t>
      </w:r>
      <w:r w:rsidR="00F31AB6">
        <w:t xml:space="preserve"> and its relationship to parental well-being</w:t>
      </w:r>
      <w:r w:rsidR="007621F1" w:rsidRPr="00ED1DEC">
        <w:t xml:space="preserve">. This paper </w:t>
      </w:r>
      <w:r w:rsidR="00CF1AC7">
        <w:t xml:space="preserve">focuses on </w:t>
      </w:r>
      <w:r w:rsidR="004C225F">
        <w:t xml:space="preserve">abilities and </w:t>
      </w:r>
      <w:r w:rsidR="00CF1AC7">
        <w:t xml:space="preserve">health </w:t>
      </w:r>
      <w:r w:rsidR="004C225F">
        <w:t>in relation to diagnostic,</w:t>
      </w:r>
      <w:r w:rsidR="007621F1">
        <w:t xml:space="preserve"> clinical</w:t>
      </w:r>
      <w:r w:rsidR="007621F1" w:rsidRPr="00ED1DEC">
        <w:t xml:space="preserve"> </w:t>
      </w:r>
      <w:r w:rsidR="004C225F">
        <w:t>and genetic mutation categories</w:t>
      </w:r>
      <w:r w:rsidR="007621F1" w:rsidRPr="00ED1DEC">
        <w:t xml:space="preserve">. </w:t>
      </w:r>
    </w:p>
    <w:p w:rsidR="008D2009" w:rsidRPr="006914D8" w:rsidRDefault="006914D8" w:rsidP="008215FE">
      <w:pPr>
        <w:spacing w:after="0" w:line="480" w:lineRule="auto"/>
        <w:jc w:val="center"/>
        <w:rPr>
          <w:b/>
        </w:rPr>
      </w:pPr>
      <w:r w:rsidRPr="006914D8">
        <w:rPr>
          <w:b/>
        </w:rPr>
        <w:t>MATERIALS AND METHODS</w:t>
      </w:r>
    </w:p>
    <w:p w:rsidR="00A0372F" w:rsidRPr="00ED1DEC" w:rsidRDefault="00A0372F" w:rsidP="008215FE">
      <w:pPr>
        <w:spacing w:after="0" w:line="480" w:lineRule="auto"/>
        <w:rPr>
          <w:u w:val="single"/>
        </w:rPr>
      </w:pPr>
      <w:r w:rsidRPr="00ED1DEC">
        <w:rPr>
          <w:u w:val="single"/>
        </w:rPr>
        <w:t>Survey sample</w:t>
      </w:r>
    </w:p>
    <w:p w:rsidR="00A0372F" w:rsidRPr="00ED1DEC" w:rsidRDefault="00A0372F" w:rsidP="008215FE">
      <w:pPr>
        <w:spacing w:after="0" w:line="480" w:lineRule="auto"/>
        <w:ind w:firstLine="426"/>
        <w:rPr>
          <w:rFonts w:cs="Arial"/>
        </w:rPr>
      </w:pPr>
      <w:r w:rsidRPr="00ED1DEC">
        <w:t>Before commencing the study, ethical approval was received by the Resea</w:t>
      </w:r>
      <w:r w:rsidR="002C785D">
        <w:t xml:space="preserve">rch Ethics Committee for Wales: </w:t>
      </w:r>
      <w:r w:rsidRPr="00ED1DEC">
        <w:t xml:space="preserve">Application number: </w:t>
      </w:r>
      <w:r w:rsidR="002C785D">
        <w:rPr>
          <w:rFonts w:cs="Arial"/>
        </w:rPr>
        <w:t>09/MRE09/50</w:t>
      </w:r>
      <w:r w:rsidRPr="00ED1DEC">
        <w:rPr>
          <w:rFonts w:cs="Arial"/>
        </w:rPr>
        <w:t xml:space="preserve">. </w:t>
      </w:r>
    </w:p>
    <w:p w:rsidR="00B6216D" w:rsidRPr="00ED1DEC" w:rsidRDefault="00A0372F" w:rsidP="008215FE">
      <w:pPr>
        <w:spacing w:after="0" w:line="480" w:lineRule="auto"/>
        <w:ind w:firstLine="426"/>
      </w:pPr>
      <w:r w:rsidRPr="00ED1DEC">
        <w:t xml:space="preserve">Families were recruited through the British Isle </w:t>
      </w:r>
      <w:proofErr w:type="spellStart"/>
      <w:r w:rsidRPr="00ED1DEC">
        <w:t>Rett</w:t>
      </w:r>
      <w:proofErr w:type="spellEnd"/>
      <w:r w:rsidRPr="00ED1DEC">
        <w:t xml:space="preserve"> Syndrome Survey (BIRSS).</w:t>
      </w:r>
      <w:r w:rsidR="00EF039E" w:rsidRPr="00ED1DEC">
        <w:t xml:space="preserve"> The BIRSS was established in 1982 by Dr Alison Kerr at Glasgow University and developed by her over more than 20 years. On her retirement in 2005, the BIRRS database was transferred to Cardiff University, where it is maintained by Professor Angus Clarke. In September 2010, the database he</w:t>
      </w:r>
      <w:r w:rsidR="002C785D">
        <w:t>ld data on 933 people with RTT: 807 living and 126 deceased</w:t>
      </w:r>
      <w:r w:rsidR="00EF039E" w:rsidRPr="00ED1DEC">
        <w:t>.</w:t>
      </w:r>
      <w:r w:rsidR="00B6216D" w:rsidRPr="00ED1DEC">
        <w:rPr>
          <w:rFonts w:cs="Arial"/>
        </w:rPr>
        <w:t xml:space="preserve"> Invitation letters were sent by the</w:t>
      </w:r>
      <w:r w:rsidR="00B6216D" w:rsidRPr="00ED1DEC">
        <w:t xml:space="preserve"> BIRSS</w:t>
      </w:r>
      <w:r w:rsidR="00B6216D" w:rsidRPr="00ED1DEC">
        <w:rPr>
          <w:rFonts w:cs="Arial"/>
        </w:rPr>
        <w:t xml:space="preserve"> and details of potential participants were not known </w:t>
      </w:r>
      <w:r w:rsidR="00F31AB6">
        <w:rPr>
          <w:rFonts w:cs="Arial"/>
        </w:rPr>
        <w:t xml:space="preserve">to the researchers in this study </w:t>
      </w:r>
      <w:r w:rsidR="00B6216D" w:rsidRPr="00ED1DEC">
        <w:rPr>
          <w:rFonts w:cs="Arial"/>
        </w:rPr>
        <w:t xml:space="preserve">until the families provided them. </w:t>
      </w:r>
    </w:p>
    <w:p w:rsidR="000219A1" w:rsidRDefault="00EF039E" w:rsidP="008215FE">
      <w:pPr>
        <w:spacing w:after="0" w:line="480" w:lineRule="auto"/>
        <w:ind w:firstLine="426"/>
      </w:pPr>
      <w:r w:rsidRPr="00ED1DEC">
        <w:t>As t</w:t>
      </w:r>
      <w:r w:rsidR="008D2009" w:rsidRPr="00ED1DEC">
        <w:t>he study began before the new diagnostic cr</w:t>
      </w:r>
      <w:r w:rsidRPr="00ED1DEC">
        <w:t xml:space="preserve">iteria for RTT were established, </w:t>
      </w:r>
      <w:r w:rsidR="008D2009" w:rsidRPr="00ED1DEC">
        <w:t xml:space="preserve">participants </w:t>
      </w:r>
      <w:r w:rsidRPr="00ED1DEC">
        <w:t xml:space="preserve">were </w:t>
      </w:r>
      <w:r w:rsidR="008D2009" w:rsidRPr="00ED1DEC">
        <w:t xml:space="preserve">selected </w:t>
      </w:r>
      <w:r w:rsidRPr="00ED1DEC">
        <w:t>on the basis of fulfilling</w:t>
      </w:r>
      <w:r w:rsidR="008D2009" w:rsidRPr="00ED1DEC">
        <w:t xml:space="preserve"> the </w:t>
      </w:r>
      <w:proofErr w:type="spellStart"/>
      <w:r w:rsidR="008D2009" w:rsidRPr="00ED1DEC">
        <w:t>Hagberg</w:t>
      </w:r>
      <w:proofErr w:type="spellEnd"/>
      <w:r w:rsidR="008D2009" w:rsidRPr="00ED1DEC">
        <w:t xml:space="preserve"> et al. </w:t>
      </w:r>
      <w:r w:rsidR="002C785D">
        <w:t>[2002]</w:t>
      </w:r>
      <w:r w:rsidR="008D2009" w:rsidRPr="00ED1DEC">
        <w:t xml:space="preserve"> diagnostic criteria. Participants </w:t>
      </w:r>
      <w:r w:rsidRPr="00ED1DEC">
        <w:t xml:space="preserve">to be </w:t>
      </w:r>
      <w:r w:rsidR="008D2009" w:rsidRPr="00ED1DEC">
        <w:t xml:space="preserve">included </w:t>
      </w:r>
      <w:r w:rsidRPr="00ED1DEC">
        <w:t xml:space="preserve">were to </w:t>
      </w:r>
      <w:r w:rsidR="00F31AB6">
        <w:t xml:space="preserve">be </w:t>
      </w:r>
      <w:r w:rsidR="006424AB">
        <w:t xml:space="preserve">of all ages </w:t>
      </w:r>
      <w:r w:rsidR="00F31AB6">
        <w:t xml:space="preserve">living in the family home and </w:t>
      </w:r>
      <w:r w:rsidRPr="00ED1DEC">
        <w:t>have a clinical diagnosis of either c</w:t>
      </w:r>
      <w:r w:rsidR="008D2009" w:rsidRPr="00ED1DEC">
        <w:t xml:space="preserve">lassic </w:t>
      </w:r>
      <w:r w:rsidRPr="00ED1DEC">
        <w:t>RTT</w:t>
      </w:r>
      <w:r w:rsidR="008D2009" w:rsidRPr="00ED1DEC">
        <w:t xml:space="preserve"> </w:t>
      </w:r>
      <w:r w:rsidRPr="00ED1DEC">
        <w:t>or classic RTT incomplete</w:t>
      </w:r>
      <w:r w:rsidR="002C785D">
        <w:t xml:space="preserve">, </w:t>
      </w:r>
      <w:r w:rsidR="00E953B4" w:rsidRPr="00E953B4">
        <w:t>usually when head cir</w:t>
      </w:r>
      <w:r w:rsidR="002C785D">
        <w:t>cumference at birth was unknown,</w:t>
      </w:r>
      <w:r w:rsidR="00E953B4">
        <w:t xml:space="preserve"> </w:t>
      </w:r>
      <w:r w:rsidR="008D2009" w:rsidRPr="00ED1DEC">
        <w:t xml:space="preserve">regardless of </w:t>
      </w:r>
      <w:r w:rsidR="008D2009" w:rsidRPr="00ED1DEC">
        <w:rPr>
          <w:i/>
        </w:rPr>
        <w:t xml:space="preserve">MECP2 </w:t>
      </w:r>
      <w:r w:rsidR="00E953B4">
        <w:t>mutation test result,</w:t>
      </w:r>
      <w:r w:rsidR="008D2009" w:rsidRPr="00ED1DEC">
        <w:t xml:space="preserve"> </w:t>
      </w:r>
      <w:r w:rsidRPr="00ED1DEC">
        <w:t>or a</w:t>
      </w:r>
      <w:r w:rsidR="008D2009" w:rsidRPr="00ED1DEC">
        <w:t xml:space="preserve">typical </w:t>
      </w:r>
      <w:r w:rsidRPr="00ED1DEC">
        <w:t>RTT</w:t>
      </w:r>
      <w:r w:rsidR="00E953B4">
        <w:t xml:space="preserve"> but </w:t>
      </w:r>
      <w:r w:rsidR="008D2009" w:rsidRPr="00ED1DEC">
        <w:t xml:space="preserve">with </w:t>
      </w:r>
      <w:r w:rsidRPr="00ED1DEC">
        <w:t xml:space="preserve">a </w:t>
      </w:r>
      <w:r w:rsidR="008D2009" w:rsidRPr="00ED1DEC">
        <w:t xml:space="preserve">positive </w:t>
      </w:r>
      <w:r w:rsidR="008D2009" w:rsidRPr="00ED1DEC">
        <w:rPr>
          <w:i/>
        </w:rPr>
        <w:t>MECP2</w:t>
      </w:r>
      <w:r w:rsidR="00E953B4">
        <w:t xml:space="preserve"> mutation test result</w:t>
      </w:r>
      <w:r w:rsidR="008D2009" w:rsidRPr="00ED1DEC">
        <w:t>.</w:t>
      </w:r>
      <w:r w:rsidR="000219A1">
        <w:t xml:space="preserve"> </w:t>
      </w:r>
      <w:r w:rsidR="00B6216D" w:rsidRPr="00ED1DEC">
        <w:t>Initially</w:t>
      </w:r>
      <w:r w:rsidR="008D2009" w:rsidRPr="00ED1DEC">
        <w:t>, a random sample of 150 individuals and families was selected from a sample of 364 who met the inclusion criteria for the study</w:t>
      </w:r>
      <w:r w:rsidR="00B929F7">
        <w:t xml:space="preserve"> and had given consent to be contacted further</w:t>
      </w:r>
      <w:r w:rsidR="008D2009" w:rsidRPr="00ED1DEC">
        <w:t xml:space="preserve">. The sample was stratified by age into </w:t>
      </w:r>
      <w:r w:rsidR="00286A34">
        <w:t>four</w:t>
      </w:r>
      <w:r w:rsidR="008D2009" w:rsidRPr="00ED1DEC">
        <w:t xml:space="preserve"> groups: 5-11 years, 12-17 years, 18-25 years and 26 years or over. </w:t>
      </w:r>
      <w:r w:rsidR="00286A34">
        <w:t xml:space="preserve">There were 40, 67, 111 and </w:t>
      </w:r>
      <w:r w:rsidR="00286A34" w:rsidRPr="00286A34">
        <w:t>146</w:t>
      </w:r>
      <w:r w:rsidR="008D2009" w:rsidRPr="00ED1DEC">
        <w:t xml:space="preserve"> </w:t>
      </w:r>
      <w:r w:rsidR="00286A34">
        <w:t>people respectively</w:t>
      </w:r>
      <w:r w:rsidR="00286A34" w:rsidRPr="00ED1DEC">
        <w:t xml:space="preserve"> </w:t>
      </w:r>
      <w:r w:rsidR="008D2009" w:rsidRPr="00ED1DEC">
        <w:t>in each age group</w:t>
      </w:r>
      <w:r w:rsidR="00286A34">
        <w:t>,</w:t>
      </w:r>
      <w:r w:rsidR="008D2009" w:rsidRPr="00ED1DEC">
        <w:t xml:space="preserve"> who met the inclusion criteria in the BIRSS database</w:t>
      </w:r>
      <w:r w:rsidR="00286A34">
        <w:t xml:space="preserve">, of whom 16, 28, 46 and </w:t>
      </w:r>
      <w:r w:rsidR="00286A34" w:rsidRPr="00286A34">
        <w:t>60</w:t>
      </w:r>
      <w:r w:rsidR="00286A34">
        <w:t xml:space="preserve"> were respectively </w:t>
      </w:r>
      <w:r w:rsidR="008D2009" w:rsidRPr="00ED1DEC">
        <w:t xml:space="preserve">randomly selected </w:t>
      </w:r>
      <w:r w:rsidR="00286A34">
        <w:t>for inclusion in</w:t>
      </w:r>
      <w:r w:rsidR="008D2009" w:rsidRPr="00ED1DEC">
        <w:t xml:space="preserve"> the study.</w:t>
      </w:r>
      <w:r w:rsidR="004D7946" w:rsidRPr="00ED1DEC">
        <w:t xml:space="preserve"> </w:t>
      </w:r>
    </w:p>
    <w:p w:rsidR="008D2009" w:rsidRPr="00ED1DEC" w:rsidRDefault="004D7946" w:rsidP="008215FE">
      <w:pPr>
        <w:spacing w:after="0" w:line="480" w:lineRule="auto"/>
        <w:ind w:firstLine="426"/>
      </w:pPr>
      <w:r w:rsidRPr="00ED1DEC">
        <w:t>An invitation letter, cont</w:t>
      </w:r>
      <w:r w:rsidR="008215FE">
        <w:t>aining an information leaflet,</w:t>
      </w:r>
      <w:r w:rsidRPr="00ED1DEC">
        <w:t xml:space="preserve"> consent </w:t>
      </w:r>
      <w:r w:rsidR="004C0A27">
        <w:t>an</w:t>
      </w:r>
      <w:r w:rsidR="008215FE">
        <w:t>d</w:t>
      </w:r>
      <w:r w:rsidR="004C0A27">
        <w:t xml:space="preserve"> </w:t>
      </w:r>
      <w:r w:rsidRPr="00ED1DEC">
        <w:t>assent form</w:t>
      </w:r>
      <w:r w:rsidR="008215FE">
        <w:t>s</w:t>
      </w:r>
      <w:r w:rsidRPr="00ED1DEC">
        <w:t xml:space="preserve">, prepaid envelope and prepaid card that families could return if they did not wish to participate in the study was sent to all but 16 of the families of </w:t>
      </w:r>
      <w:r w:rsidR="000219A1">
        <w:t xml:space="preserve">the 150 </w:t>
      </w:r>
      <w:r w:rsidRPr="00ED1DEC">
        <w:t>identified individuals. Sixteen families were omitted as the BIRSS did not have established contact with them</w:t>
      </w:r>
      <w:r w:rsidRPr="00ED1DEC">
        <w:rPr>
          <w:i/>
        </w:rPr>
        <w:t>.</w:t>
      </w:r>
      <w:r w:rsidRPr="00ED1DEC">
        <w:t xml:space="preserve"> However, </w:t>
      </w:r>
      <w:r w:rsidR="002C785D">
        <w:t xml:space="preserve">following a low response rate in which only </w:t>
      </w:r>
      <w:r w:rsidR="008D2009" w:rsidRPr="00ED1DEC">
        <w:t xml:space="preserve">56 </w:t>
      </w:r>
      <w:r w:rsidR="00903486" w:rsidRPr="00ED1DEC">
        <w:t xml:space="preserve">families </w:t>
      </w:r>
      <w:r w:rsidR="00903486">
        <w:t xml:space="preserve">(41.8%) </w:t>
      </w:r>
      <w:r w:rsidR="002C785D">
        <w:t>returned a consent form</w:t>
      </w:r>
      <w:r w:rsidR="008D2009" w:rsidRPr="00ED1DEC">
        <w:t xml:space="preserve">, invitation letters were then sent to the families of the remaining 174 individuals who met the inclusion criteria </w:t>
      </w:r>
      <w:r w:rsidRPr="00ED1DEC">
        <w:t>and were contactable. In total, 30</w:t>
      </w:r>
      <w:r w:rsidR="008D2009" w:rsidRPr="00ED1DEC">
        <w:t xml:space="preserve">8 invitation letters were </w:t>
      </w:r>
      <w:r w:rsidR="008215FE">
        <w:t>sent out</w:t>
      </w:r>
      <w:r w:rsidR="000219A1">
        <w:t>. A follow-</w:t>
      </w:r>
      <w:r w:rsidR="008D2009" w:rsidRPr="00ED1DEC">
        <w:t xml:space="preserve">up letter was sent to families who did not return the consent form or the card, two months after </w:t>
      </w:r>
      <w:r w:rsidR="000219A1">
        <w:t>being sent</w:t>
      </w:r>
      <w:r w:rsidR="004C0A27">
        <w:t xml:space="preserve"> the first invitation letter, repeating the</w:t>
      </w:r>
      <w:r w:rsidR="008D2009" w:rsidRPr="00ED1DEC">
        <w:t xml:space="preserve"> invitation </w:t>
      </w:r>
      <w:r w:rsidR="004C0A27">
        <w:t>to take part and including second copies of all enclosures. This</w:t>
      </w:r>
      <w:r w:rsidR="008D2009" w:rsidRPr="00ED1DEC">
        <w:t xml:space="preserve"> letter explained that they would not be contacted again. </w:t>
      </w:r>
    </w:p>
    <w:p w:rsidR="008D2009" w:rsidRPr="00ED1DEC" w:rsidRDefault="008D2009" w:rsidP="008215FE">
      <w:pPr>
        <w:spacing w:after="0" w:line="480" w:lineRule="auto"/>
        <w:ind w:firstLine="426"/>
      </w:pPr>
      <w:r w:rsidRPr="00ED1DEC">
        <w:t xml:space="preserve">A total of 126 families </w:t>
      </w:r>
      <w:r w:rsidR="004D7946" w:rsidRPr="00ED1DEC">
        <w:t>(40.9</w:t>
      </w:r>
      <w:r w:rsidR="004C0A27" w:rsidRPr="00ED1DEC">
        <w:t>% of the original 308 contactable families</w:t>
      </w:r>
      <w:r w:rsidR="004D7946" w:rsidRPr="00ED1DEC">
        <w:t xml:space="preserve">) </w:t>
      </w:r>
      <w:r w:rsidRPr="00ED1DEC">
        <w:t xml:space="preserve">returned a consent form. </w:t>
      </w:r>
      <w:r w:rsidR="004D7946" w:rsidRPr="00ED1DEC">
        <w:t>Q</w:t>
      </w:r>
      <w:r w:rsidRPr="00ED1DEC">
        <w:t xml:space="preserve">uestionnaire packs with prepaid return envelopes were </w:t>
      </w:r>
      <w:r w:rsidR="004D7946" w:rsidRPr="00ED1DEC">
        <w:t xml:space="preserve">then </w:t>
      </w:r>
      <w:r w:rsidRPr="00ED1DEC">
        <w:t xml:space="preserve">distributed </w:t>
      </w:r>
      <w:r w:rsidR="004D7946" w:rsidRPr="00ED1DEC">
        <w:t>and f</w:t>
      </w:r>
      <w:r w:rsidRPr="00ED1DEC">
        <w:t xml:space="preserve">amilies were contacted first by </w:t>
      </w:r>
      <w:r w:rsidR="00D57C5F">
        <w:t>tele</w:t>
      </w:r>
      <w:r w:rsidRPr="00ED1DEC">
        <w:t>phone and then by letter if they had</w:t>
      </w:r>
      <w:r w:rsidR="004D7946" w:rsidRPr="00ED1DEC">
        <w:t xml:space="preserve"> not returned the questionnaire</w:t>
      </w:r>
      <w:r w:rsidRPr="00ED1DEC">
        <w:t xml:space="preserve">s within two months </w:t>
      </w:r>
      <w:r w:rsidR="00274898">
        <w:t>of</w:t>
      </w:r>
      <w:r w:rsidRPr="00ED1DEC">
        <w:t xml:space="preserve"> them</w:t>
      </w:r>
      <w:r w:rsidR="00274898">
        <w:t xml:space="preserve"> being sent</w:t>
      </w:r>
      <w:r w:rsidRPr="00ED1DEC">
        <w:t xml:space="preserve">. </w:t>
      </w:r>
      <w:r w:rsidR="004D7946" w:rsidRPr="00ED1DEC">
        <w:t>Thirteen</w:t>
      </w:r>
      <w:r w:rsidRPr="00ED1DEC">
        <w:t xml:space="preserve"> families indicated that they did not wish to fill in the questionnaires and wanted to be removed from the list of participants. In a further 2 cases, invitation letters were returned because o</w:t>
      </w:r>
      <w:r w:rsidR="0037674F" w:rsidRPr="00ED1DEC">
        <w:t>f an incorrect address. Ninety-</w:t>
      </w:r>
      <w:r w:rsidRPr="00ED1DEC">
        <w:t>three families returned completed questionnaires (</w:t>
      </w:r>
      <w:r w:rsidR="0037674F" w:rsidRPr="00ED1DEC">
        <w:t>30</w:t>
      </w:r>
      <w:r w:rsidRPr="00ED1DEC">
        <w:t>.2%</w:t>
      </w:r>
      <w:r w:rsidR="0037674F" w:rsidRPr="00ED1DEC">
        <w:t xml:space="preserve"> of the original 308</w:t>
      </w:r>
      <w:r w:rsidRPr="00ED1DEC">
        <w:t>). Ninety-two participants with RTT were female and 1 male. The male participant was e</w:t>
      </w:r>
      <w:r w:rsidR="0037674F" w:rsidRPr="00ED1DEC">
        <w:t xml:space="preserve">xcluded from the final </w:t>
      </w:r>
      <w:r w:rsidR="00274898">
        <w:t>analysis</w:t>
      </w:r>
      <w:r w:rsidR="0037674F" w:rsidRPr="00ED1DEC">
        <w:t>. One</w:t>
      </w:r>
      <w:r w:rsidRPr="00ED1DEC">
        <w:t xml:space="preserve"> participant passed away during the study and was </w:t>
      </w:r>
      <w:r w:rsidR="00274898">
        <w:t xml:space="preserve">also </w:t>
      </w:r>
      <w:r w:rsidRPr="00ED1DEC">
        <w:t xml:space="preserve">not included in the analysis.  </w:t>
      </w:r>
    </w:p>
    <w:p w:rsidR="008D2009" w:rsidRPr="00447BDA" w:rsidRDefault="00447BDA" w:rsidP="008215FE">
      <w:pPr>
        <w:spacing w:after="0" w:line="480" w:lineRule="auto"/>
        <w:rPr>
          <w:u w:val="single"/>
        </w:rPr>
      </w:pPr>
      <w:r w:rsidRPr="00447BDA">
        <w:rPr>
          <w:u w:val="single"/>
        </w:rPr>
        <w:t>Measurement</w:t>
      </w:r>
    </w:p>
    <w:p w:rsidR="008D2009" w:rsidRPr="00651165" w:rsidRDefault="008D2009" w:rsidP="008215FE">
      <w:pPr>
        <w:spacing w:after="0" w:line="480" w:lineRule="auto"/>
        <w:ind w:left="51" w:firstLine="357"/>
      </w:pPr>
      <w:r w:rsidRPr="00651165">
        <w:t xml:space="preserve">Families were asked to complete two questionnaire packs, </w:t>
      </w:r>
      <w:r w:rsidR="00447BDA">
        <w:t>one</w:t>
      </w:r>
      <w:r w:rsidRPr="00651165">
        <w:t xml:space="preserve"> relating to the person with RTT, covering their early development, current skills, </w:t>
      </w:r>
      <w:r w:rsidR="007C27C2">
        <w:t>health and behavio</w:t>
      </w:r>
      <w:r w:rsidR="00447BDA">
        <w:t xml:space="preserve">ral characteristics and the other </w:t>
      </w:r>
      <w:r w:rsidRPr="00651165">
        <w:t xml:space="preserve">relating to </w:t>
      </w:r>
      <w:r w:rsidR="00447BDA">
        <w:t xml:space="preserve">various aspects of </w:t>
      </w:r>
      <w:r w:rsidRPr="00651165">
        <w:t xml:space="preserve">family </w:t>
      </w:r>
      <w:r w:rsidR="00447BDA">
        <w:t xml:space="preserve">experience. It is </w:t>
      </w:r>
      <w:r w:rsidR="00286A34">
        <w:t xml:space="preserve">some of </w:t>
      </w:r>
      <w:r w:rsidR="00447BDA">
        <w:t>t</w:t>
      </w:r>
      <w:r w:rsidR="00286A34">
        <w:t>he first set of measures that are</w:t>
      </w:r>
      <w:r w:rsidR="00447BDA">
        <w:t xml:space="preserve"> of concern here. </w:t>
      </w:r>
      <w:r w:rsidRPr="00651165">
        <w:t>After parents returned the completed questionnaire packs, the Vineland Adaptive Behavio</w:t>
      </w:r>
      <w:r w:rsidR="002C785D">
        <w:t>r Scale – Survey Form [</w:t>
      </w:r>
      <w:r w:rsidR="00B4655F">
        <w:t xml:space="preserve">Sparrow et al., </w:t>
      </w:r>
      <w:r w:rsidRPr="00651165">
        <w:t>1984</w:t>
      </w:r>
      <w:r w:rsidR="00447BDA">
        <w:t xml:space="preserve"> - see below</w:t>
      </w:r>
      <w:r w:rsidR="002C785D">
        <w:t>]</w:t>
      </w:r>
      <w:r w:rsidRPr="00651165">
        <w:t xml:space="preserve"> was carried out as a telephone interview with one of the parents. </w:t>
      </w:r>
    </w:p>
    <w:p w:rsidR="008D2009" w:rsidRPr="00E102E9" w:rsidRDefault="008D2009" w:rsidP="008215FE">
      <w:pPr>
        <w:spacing w:after="0" w:line="480" w:lineRule="auto"/>
        <w:ind w:firstLine="426"/>
        <w:rPr>
          <w:i/>
        </w:rPr>
      </w:pPr>
      <w:r w:rsidRPr="00651165">
        <w:rPr>
          <w:i/>
        </w:rPr>
        <w:t>Demographic information</w:t>
      </w:r>
      <w:r w:rsidR="00447BDA">
        <w:rPr>
          <w:i/>
        </w:rPr>
        <w:t>.</w:t>
      </w:r>
      <w:r w:rsidR="00E102E9">
        <w:rPr>
          <w:i/>
        </w:rPr>
        <w:t xml:space="preserve"> </w:t>
      </w:r>
      <w:r w:rsidRPr="00651165">
        <w:t>Information was requested about date of birth, age of diagnos</w:t>
      </w:r>
      <w:r w:rsidR="00E102E9">
        <w:t>is, who diagnosed the condition</w:t>
      </w:r>
      <w:r w:rsidRPr="00651165">
        <w:t xml:space="preserve"> </w:t>
      </w:r>
      <w:r w:rsidR="00E102E9">
        <w:t xml:space="preserve">and </w:t>
      </w:r>
      <w:r w:rsidRPr="00651165">
        <w:t>whether o</w:t>
      </w:r>
      <w:r w:rsidR="00E102E9">
        <w:t>r not a genetic cause of RTT had</w:t>
      </w:r>
      <w:r w:rsidRPr="00651165">
        <w:t xml:space="preserve"> been identified. </w:t>
      </w:r>
    </w:p>
    <w:p w:rsidR="008D2009" w:rsidRPr="00E102E9" w:rsidRDefault="008D2009" w:rsidP="008215FE">
      <w:pPr>
        <w:spacing w:after="0" w:line="480" w:lineRule="auto"/>
        <w:ind w:firstLine="426"/>
        <w:rPr>
          <w:i/>
        </w:rPr>
      </w:pPr>
      <w:r w:rsidRPr="00651165">
        <w:rPr>
          <w:i/>
        </w:rPr>
        <w:t>RTT development</w:t>
      </w:r>
      <w:r w:rsidR="00E102E9">
        <w:rPr>
          <w:i/>
        </w:rPr>
        <w:t xml:space="preserve">. </w:t>
      </w:r>
      <w:r w:rsidR="00E102E9" w:rsidRPr="00651165">
        <w:t xml:space="preserve">Information was requested </w:t>
      </w:r>
      <w:r w:rsidRPr="00651165">
        <w:t>about development and current abilities based on t</w:t>
      </w:r>
      <w:r w:rsidR="002C785D">
        <w:t>he diagnostic criteria for RTT [</w:t>
      </w:r>
      <w:proofErr w:type="spellStart"/>
      <w:r w:rsidRPr="00651165">
        <w:t>Hagberg</w:t>
      </w:r>
      <w:proofErr w:type="spellEnd"/>
      <w:r w:rsidRPr="00651165">
        <w:t xml:space="preserve"> et al.</w:t>
      </w:r>
      <w:r w:rsidR="002C785D">
        <w:t>, 2002]</w:t>
      </w:r>
      <w:r w:rsidR="00E102E9">
        <w:t xml:space="preserve">, </w:t>
      </w:r>
      <w:r w:rsidRPr="00651165">
        <w:t xml:space="preserve">pregnancy, delivery, early development, head growth, regression and </w:t>
      </w:r>
      <w:r w:rsidR="00E102E9">
        <w:t>current</w:t>
      </w:r>
      <w:r w:rsidRPr="00651165">
        <w:t xml:space="preserve"> abilities</w:t>
      </w:r>
      <w:r w:rsidR="00E102E9">
        <w:t>,</w:t>
      </w:r>
      <w:r w:rsidR="00E102E9" w:rsidRPr="00E102E9">
        <w:t xml:space="preserve"> </w:t>
      </w:r>
      <w:r w:rsidR="00E102E9" w:rsidRPr="00651165">
        <w:t>height and weight</w:t>
      </w:r>
      <w:r w:rsidRPr="00651165">
        <w:t xml:space="preserve">. </w:t>
      </w:r>
    </w:p>
    <w:p w:rsidR="008D2009" w:rsidRPr="00E102E9" w:rsidRDefault="00E102E9" w:rsidP="008215FE">
      <w:pPr>
        <w:spacing w:after="0" w:line="480" w:lineRule="auto"/>
        <w:ind w:firstLine="426"/>
        <w:rPr>
          <w:i/>
        </w:rPr>
      </w:pPr>
      <w:r>
        <w:rPr>
          <w:i/>
        </w:rPr>
        <w:t xml:space="preserve">Simplified </w:t>
      </w:r>
      <w:r w:rsidR="008D2009" w:rsidRPr="00651165">
        <w:rPr>
          <w:i/>
        </w:rPr>
        <w:t xml:space="preserve">Severity Score </w:t>
      </w:r>
      <w:r w:rsidR="002C785D">
        <w:t>[</w:t>
      </w:r>
      <w:proofErr w:type="spellStart"/>
      <w:r w:rsidR="008D2009" w:rsidRPr="00F80146">
        <w:t>Smeets</w:t>
      </w:r>
      <w:proofErr w:type="spellEnd"/>
      <w:r w:rsidR="00B4655F">
        <w:t xml:space="preserve"> et al., </w:t>
      </w:r>
      <w:r w:rsidR="002C785D">
        <w:t>2009]</w:t>
      </w:r>
      <w:r>
        <w:t>.</w:t>
      </w:r>
      <w:r>
        <w:rPr>
          <w:i/>
        </w:rPr>
        <w:t xml:space="preserve"> </w:t>
      </w:r>
      <w:r w:rsidR="004A413E">
        <w:t>I</w:t>
      </w:r>
      <w:r w:rsidRPr="00651165">
        <w:t xml:space="preserve">nformation was requested </w:t>
      </w:r>
      <w:r>
        <w:t>about six</w:t>
      </w:r>
      <w:r w:rsidR="008D2009" w:rsidRPr="00651165">
        <w:t xml:space="preserve"> features of RTT</w:t>
      </w:r>
      <w:r w:rsidR="002C785D">
        <w:t xml:space="preserve">: </w:t>
      </w:r>
      <w:r w:rsidR="008D2009" w:rsidRPr="00651165">
        <w:t>sitting, walking, hand use, speech,</w:t>
      </w:r>
      <w:r w:rsidR="002C785D">
        <w:t xml:space="preserve"> epilepsy and spine deformation</w:t>
      </w:r>
      <w:r w:rsidR="008D2009" w:rsidRPr="00651165">
        <w:t xml:space="preserve">. Each domain is scored from 0 to 3, where 0 indicates a normal situation, 1 indicates impaired ability to sit and walk, reduced hand use, some words, epilepsy is controlled with medication and scoliosis is mild; 2 indicates that the abilities to sit, walk, use hands and speak are lost, epilepsy is uncontrolled and scoliosis is severe; 3 indicates that the individual never acquired the abilities to sit, walk, use hands and speak, status </w:t>
      </w:r>
      <w:proofErr w:type="spellStart"/>
      <w:r w:rsidR="008D2009" w:rsidRPr="00651165">
        <w:t>epilepticus</w:t>
      </w:r>
      <w:proofErr w:type="spellEnd"/>
      <w:r w:rsidR="008D2009" w:rsidRPr="00651165">
        <w:t xml:space="preserve"> occurs and scoliosis has been operated upon. The score</w:t>
      </w:r>
      <w:r w:rsidR="002C785D">
        <w:t xml:space="preserve">, which has a maximum of </w:t>
      </w:r>
      <w:r w:rsidR="007C27C2" w:rsidRPr="00651165">
        <w:t>18</w:t>
      </w:r>
      <w:r w:rsidR="002C785D">
        <w:t>,</w:t>
      </w:r>
      <w:r w:rsidR="007C27C2">
        <w:t xml:space="preserve"> </w:t>
      </w:r>
      <w:r w:rsidR="008D2009" w:rsidRPr="00651165">
        <w:t>evaluates the overall severity of the syndrome and indicates domains that are considered to influence evolution and severi</w:t>
      </w:r>
      <w:r w:rsidR="00274898">
        <w:t xml:space="preserve">ty in the long term. </w:t>
      </w:r>
      <w:r w:rsidR="00082A7C">
        <w:t>S</w:t>
      </w:r>
      <w:r w:rsidR="008D2009" w:rsidRPr="00651165">
        <w:t>core</w:t>
      </w:r>
      <w:r w:rsidR="00082A7C">
        <w:t xml:space="preserve">s of </w:t>
      </w:r>
      <w:r w:rsidR="00082A7C" w:rsidRPr="00651165">
        <w:t>9</w:t>
      </w:r>
      <w:r w:rsidR="00082A7C">
        <w:t xml:space="preserve"> or </w:t>
      </w:r>
      <w:r w:rsidR="008D2009" w:rsidRPr="00651165">
        <w:t xml:space="preserve">less </w:t>
      </w:r>
      <w:r w:rsidR="00082A7C">
        <w:t>are</w:t>
      </w:r>
      <w:r w:rsidR="008D2009" w:rsidRPr="00651165">
        <w:t xml:space="preserve"> considered mild or less severe. </w:t>
      </w:r>
      <w:r w:rsidR="007E5312">
        <w:t>Internal consistency of the data in this study was good, alpha = 0.73.</w:t>
      </w:r>
    </w:p>
    <w:p w:rsidR="008D2009" w:rsidRPr="0097725D" w:rsidRDefault="008E378D" w:rsidP="008215FE">
      <w:pPr>
        <w:spacing w:after="0" w:line="480" w:lineRule="auto"/>
        <w:ind w:firstLine="426"/>
        <w:rPr>
          <w:i/>
        </w:rPr>
      </w:pPr>
      <w:r>
        <w:rPr>
          <w:i/>
        </w:rPr>
        <w:t>Health Q</w:t>
      </w:r>
      <w:r w:rsidR="008D2009" w:rsidRPr="00651165">
        <w:rPr>
          <w:i/>
        </w:rPr>
        <w:t xml:space="preserve">uestionnaire </w:t>
      </w:r>
      <w:r w:rsidR="002C785D">
        <w:t>[</w:t>
      </w:r>
      <w:r w:rsidR="008D2009" w:rsidRPr="00F80146">
        <w:t>Hall</w:t>
      </w:r>
      <w:r w:rsidR="00B4655F">
        <w:t xml:space="preserve"> et al.</w:t>
      </w:r>
      <w:r w:rsidR="0097725D" w:rsidRPr="00F80146">
        <w:t xml:space="preserve">, </w:t>
      </w:r>
      <w:r w:rsidR="002C785D">
        <w:t>2008]</w:t>
      </w:r>
      <w:r w:rsidR="0097725D" w:rsidRPr="00F80146">
        <w:t>.</w:t>
      </w:r>
      <w:r w:rsidR="0097725D">
        <w:rPr>
          <w:i/>
        </w:rPr>
        <w:t xml:space="preserve"> </w:t>
      </w:r>
      <w:r w:rsidR="0097725D" w:rsidRPr="00651165">
        <w:t xml:space="preserve">Information was requested about </w:t>
      </w:r>
      <w:r w:rsidR="008D2009" w:rsidRPr="00651165">
        <w:t>15 possible medical problems</w:t>
      </w:r>
      <w:r w:rsidR="00D50D84">
        <w:t xml:space="preserve"> in relation to two time periods: ever in their life </w:t>
      </w:r>
      <w:r w:rsidR="008D2009" w:rsidRPr="00651165">
        <w:t xml:space="preserve">and </w:t>
      </w:r>
      <w:r w:rsidR="00D50D84">
        <w:t>during</w:t>
      </w:r>
      <w:r w:rsidR="008D2009" w:rsidRPr="00651165">
        <w:t xml:space="preserve"> the last month. Each proble</w:t>
      </w:r>
      <w:r w:rsidR="002C785D">
        <w:t>m is rated from 0=never to 3=severe</w:t>
      </w:r>
      <w:r w:rsidR="008D2009" w:rsidRPr="00651165">
        <w:t xml:space="preserve">. An Overall Health Score is obtained by summing the total for </w:t>
      </w:r>
      <w:r w:rsidR="00D50D84">
        <w:t>both time periods. Inter-rater reliability scores of</w:t>
      </w:r>
      <w:r w:rsidR="008D2009" w:rsidRPr="00651165">
        <w:t xml:space="preserve"> 0.72 for health problems occurring in the person’s life and 0.76 for the health problems </w:t>
      </w:r>
      <w:r w:rsidR="00D50D84">
        <w:t>occurring during</w:t>
      </w:r>
      <w:r w:rsidR="008D2009" w:rsidRPr="00651165">
        <w:t xml:space="preserve"> the last month </w:t>
      </w:r>
      <w:r w:rsidR="00D50D84">
        <w:t xml:space="preserve">have been reported </w:t>
      </w:r>
      <w:r w:rsidR="002C785D">
        <w:t>[</w:t>
      </w:r>
      <w:r w:rsidR="008D2009" w:rsidRPr="00651165">
        <w:t>Hall et al.</w:t>
      </w:r>
      <w:r w:rsidR="00D50D84">
        <w:t>,</w:t>
      </w:r>
      <w:r w:rsidR="002C785D">
        <w:t xml:space="preserve"> 2008]</w:t>
      </w:r>
      <w:r w:rsidR="008D2009" w:rsidRPr="00651165">
        <w:t xml:space="preserve">. </w:t>
      </w:r>
      <w:r w:rsidR="007E5312">
        <w:t>Internal consistency of the data in this study was good, alpha = 0.77 for the overall health score.</w:t>
      </w:r>
    </w:p>
    <w:p w:rsidR="00367790" w:rsidRDefault="00C76EB9" w:rsidP="008215FE">
      <w:pPr>
        <w:spacing w:after="0" w:line="480" w:lineRule="auto"/>
        <w:ind w:firstLine="426"/>
      </w:pPr>
      <w:r w:rsidRPr="00C76EB9">
        <w:rPr>
          <w:i/>
        </w:rPr>
        <w:t xml:space="preserve">Non-communicating Children’s Pain Checklist </w:t>
      </w:r>
      <w:r w:rsidR="002C785D">
        <w:t>[</w:t>
      </w:r>
      <w:r w:rsidRPr="00C76EB9">
        <w:t>NCCPC-R</w:t>
      </w:r>
      <w:r>
        <w:t xml:space="preserve">, </w:t>
      </w:r>
      <w:proofErr w:type="spellStart"/>
      <w:r w:rsidR="00B4655F">
        <w:t>Breau</w:t>
      </w:r>
      <w:proofErr w:type="spellEnd"/>
      <w:r w:rsidR="00B4655F">
        <w:t xml:space="preserve"> et al.</w:t>
      </w:r>
      <w:r w:rsidRPr="00C76EB9">
        <w:t xml:space="preserve">, </w:t>
      </w:r>
      <w:r>
        <w:t>2002</w:t>
      </w:r>
      <w:r w:rsidR="002C785D">
        <w:t>]</w:t>
      </w:r>
      <w:r>
        <w:t>.</w:t>
      </w:r>
      <w:r w:rsidRPr="00C76EB9">
        <w:rPr>
          <w:i/>
        </w:rPr>
        <w:t xml:space="preserve"> </w:t>
      </w:r>
      <w:r>
        <w:t xml:space="preserve">The NCCPC-R </w:t>
      </w:r>
      <w:r w:rsidRPr="00C76EB9">
        <w:t>was designed to be used for children, aged 3 to 18 years, who are unable</w:t>
      </w:r>
      <w:r>
        <w:t xml:space="preserve"> to speak because of cognitive or intellectual</w:t>
      </w:r>
      <w:r w:rsidRPr="00C76EB9">
        <w:t xml:space="preserve"> impairments</w:t>
      </w:r>
      <w:r w:rsidR="000C55DE">
        <w:t>,</w:t>
      </w:r>
      <w:r w:rsidRPr="00C76EB9">
        <w:t xml:space="preserve"> </w:t>
      </w:r>
      <w:r>
        <w:t xml:space="preserve">by parents or </w:t>
      </w:r>
      <w:proofErr w:type="spellStart"/>
      <w:r>
        <w:t>carers</w:t>
      </w:r>
      <w:proofErr w:type="spellEnd"/>
      <w:r>
        <w:t>, without training</w:t>
      </w:r>
      <w:r w:rsidRPr="00C76EB9">
        <w:t xml:space="preserve">. </w:t>
      </w:r>
      <w:r>
        <w:t>It has 30 questions arranged in seven sections: Vocal, Social, Facial, Activity, Body and Limbs, Physiological, Eating and Sleeping. It was designed as an observational assessment to cover a two-hour period. Psychometric properties and threshold scores are gi</w:t>
      </w:r>
      <w:r w:rsidR="002C785D">
        <w:t xml:space="preserve">ven in </w:t>
      </w:r>
      <w:proofErr w:type="spellStart"/>
      <w:r w:rsidR="002C785D">
        <w:t>Breau</w:t>
      </w:r>
      <w:proofErr w:type="spellEnd"/>
      <w:r w:rsidR="002C785D">
        <w:t xml:space="preserve"> et al. [2002]</w:t>
      </w:r>
      <w:r w:rsidR="009831DF">
        <w:t>. This study follows the example of other</w:t>
      </w:r>
      <w:r w:rsidR="003C55D0">
        <w:t>s designed to measure ‘typical’ pain</w:t>
      </w:r>
      <w:r w:rsidR="0024648C">
        <w:t xml:space="preserve"> experienced by individuals with </w:t>
      </w:r>
      <w:proofErr w:type="spellStart"/>
      <w:r w:rsidR="0024648C">
        <w:t>n</w:t>
      </w:r>
      <w:r w:rsidR="002C785D">
        <w:t>eurodevelopmental</w:t>
      </w:r>
      <w:proofErr w:type="spellEnd"/>
      <w:r w:rsidR="002C785D">
        <w:t xml:space="preserve"> disabilities [</w:t>
      </w:r>
      <w:r w:rsidR="009831DF">
        <w:t xml:space="preserve">e.g., </w:t>
      </w:r>
      <w:r w:rsidR="00B4655F">
        <w:t>Eden et al., 2014; Symons et al.</w:t>
      </w:r>
      <w:r w:rsidR="003C55D0">
        <w:t xml:space="preserve">, </w:t>
      </w:r>
      <w:r w:rsidR="002C785D">
        <w:t>2009]</w:t>
      </w:r>
      <w:r w:rsidR="0024648C">
        <w:t xml:space="preserve"> </w:t>
      </w:r>
      <w:r w:rsidR="009831DF">
        <w:t xml:space="preserve">by using a modified form of </w:t>
      </w:r>
      <w:r>
        <w:t xml:space="preserve">the </w:t>
      </w:r>
      <w:r w:rsidR="0024648C">
        <w:t>NCCP-R. R</w:t>
      </w:r>
      <w:r>
        <w:t xml:space="preserve">espondents were asked to rate the occurrence of items over the previous week </w:t>
      </w:r>
      <w:r w:rsidR="0024648C">
        <w:t>rather than two hours. T</w:t>
      </w:r>
      <w:r>
        <w:t xml:space="preserve">he </w:t>
      </w:r>
      <w:r w:rsidR="00367790">
        <w:t xml:space="preserve">published cut-off scores </w:t>
      </w:r>
      <w:r w:rsidR="00CF1AC7">
        <w:t>do</w:t>
      </w:r>
      <w:r w:rsidR="00367790">
        <w:t xml:space="preserve"> not apply. Moreover, items in two sections, Activity and Physiology, have not been included in </w:t>
      </w:r>
      <w:r w:rsidR="000C55DE">
        <w:t xml:space="preserve">the </w:t>
      </w:r>
      <w:r w:rsidR="00367790">
        <w:t>anal</w:t>
      </w:r>
      <w:r w:rsidR="002C785D">
        <w:t xml:space="preserve">ysis because they contain items, such as </w:t>
      </w:r>
      <w:r w:rsidR="00367790">
        <w:t>‘Not moving, less acti</w:t>
      </w:r>
      <w:r w:rsidR="002C785D">
        <w:t>ve, quiet’ and ‘Breath holding’,</w:t>
      </w:r>
      <w:r w:rsidR="00367790">
        <w:t xml:space="preserve"> that are characteristic of RTT. </w:t>
      </w:r>
      <w:r w:rsidR="00CF1AC7">
        <w:t>The information within the other five sections</w:t>
      </w:r>
      <w:r w:rsidR="00367790">
        <w:t xml:space="preserve"> </w:t>
      </w:r>
      <w:r w:rsidR="00CF1AC7">
        <w:t>is presented</w:t>
      </w:r>
      <w:r w:rsidR="00367790">
        <w:t xml:space="preserve"> descriptively.</w:t>
      </w:r>
    </w:p>
    <w:p w:rsidR="00367790" w:rsidRDefault="00367790" w:rsidP="008524DE">
      <w:pPr>
        <w:spacing w:after="0" w:line="480" w:lineRule="auto"/>
        <w:ind w:right="-347" w:firstLine="426"/>
        <w:rPr>
          <w:i/>
        </w:rPr>
      </w:pPr>
      <w:r w:rsidRPr="00367790">
        <w:rPr>
          <w:i/>
        </w:rPr>
        <w:t>Gastro-</w:t>
      </w:r>
      <w:proofErr w:type="spellStart"/>
      <w:r w:rsidRPr="00367790">
        <w:rPr>
          <w:i/>
        </w:rPr>
        <w:t>oesophageal</w:t>
      </w:r>
      <w:proofErr w:type="spellEnd"/>
      <w:r w:rsidRPr="00367790">
        <w:rPr>
          <w:i/>
        </w:rPr>
        <w:t xml:space="preserve"> Distress Questionnaire </w:t>
      </w:r>
      <w:r w:rsidR="002C785D">
        <w:t>[</w:t>
      </w:r>
      <w:r>
        <w:t xml:space="preserve">GDQ, </w:t>
      </w:r>
      <w:r w:rsidR="00B4655F">
        <w:t>Oliver and</w:t>
      </w:r>
      <w:r w:rsidR="002C785D">
        <w:t xml:space="preserve"> </w:t>
      </w:r>
      <w:proofErr w:type="spellStart"/>
      <w:r w:rsidR="002C785D">
        <w:t>Wilkie</w:t>
      </w:r>
      <w:proofErr w:type="spellEnd"/>
      <w:r w:rsidR="002C785D">
        <w:t>, 2005]</w:t>
      </w:r>
      <w:r w:rsidR="00274898">
        <w:t>.</w:t>
      </w:r>
      <w:r w:rsidRPr="00367790">
        <w:rPr>
          <w:i/>
        </w:rPr>
        <w:t xml:space="preserve"> </w:t>
      </w:r>
      <w:r w:rsidRPr="00367790">
        <w:t>The GDQ is a 17 item informant-based questionnaire designed to assess the freque</w:t>
      </w:r>
      <w:r w:rsidR="007C27C2">
        <w:t>ncy of behavio</w:t>
      </w:r>
      <w:r w:rsidRPr="00367790">
        <w:t xml:space="preserve">rs </w:t>
      </w:r>
      <w:r>
        <w:t xml:space="preserve">in the previous two weeks </w:t>
      </w:r>
      <w:r w:rsidRPr="00367790">
        <w:t xml:space="preserve">that are indicative of pain in the </w:t>
      </w:r>
      <w:proofErr w:type="spellStart"/>
      <w:r w:rsidRPr="00367790">
        <w:t>oesophagus</w:t>
      </w:r>
      <w:proofErr w:type="spellEnd"/>
      <w:r w:rsidRPr="00367790">
        <w:t xml:space="preserve"> and stomach. </w:t>
      </w:r>
      <w:r>
        <w:t>Twelve items are rated on a five point scale where 0 = Not occurred, 1 = Once a week, 2 = Once a day, 3 = Once an hour and 4 = More than once an hour. Two items are dichotomous (Yes/no)</w:t>
      </w:r>
      <w:r w:rsidR="00DE6CD6">
        <w:t xml:space="preserve"> and three are rated on a four point scale where 0 = Not occurred, 1 = Once a week, and the wording of the more frequent two values depend on the item in question. </w:t>
      </w:r>
      <w:r>
        <w:t xml:space="preserve">Data on </w:t>
      </w:r>
      <w:r w:rsidR="00DE6CD6">
        <w:t>its psychometric properties have not been published. Hence the data are also treated purely descriptively</w:t>
      </w:r>
      <w:r w:rsidR="00946FE8">
        <w:t>, with only the item on perceived pain being reported</w:t>
      </w:r>
      <w:r w:rsidR="00DE6CD6">
        <w:t>.</w:t>
      </w:r>
    </w:p>
    <w:p w:rsidR="008D2009" w:rsidRPr="00E329A1" w:rsidRDefault="008D2009" w:rsidP="00367790">
      <w:pPr>
        <w:spacing w:after="0" w:line="480" w:lineRule="auto"/>
        <w:ind w:firstLine="426"/>
        <w:rPr>
          <w:i/>
        </w:rPr>
      </w:pPr>
      <w:r w:rsidRPr="00651165">
        <w:rPr>
          <w:i/>
        </w:rPr>
        <w:t xml:space="preserve">Vineland Adaptive Behavior Scale – Survey Form </w:t>
      </w:r>
      <w:r w:rsidR="002C785D">
        <w:t>[</w:t>
      </w:r>
      <w:r w:rsidRPr="00F80146">
        <w:t>VABS, Sparrow et al.</w:t>
      </w:r>
      <w:r w:rsidR="00E329A1" w:rsidRPr="00F80146">
        <w:t>,</w:t>
      </w:r>
      <w:r w:rsidR="002C785D">
        <w:t xml:space="preserve"> 1984]</w:t>
      </w:r>
      <w:r w:rsidR="00E329A1" w:rsidRPr="00F80146">
        <w:t>.</w:t>
      </w:r>
      <w:r w:rsidR="00E329A1">
        <w:rPr>
          <w:i/>
        </w:rPr>
        <w:t xml:space="preserve"> </w:t>
      </w:r>
      <w:r w:rsidRPr="00651165">
        <w:t xml:space="preserve">The VABS </w:t>
      </w:r>
      <w:r w:rsidR="00D33985">
        <w:t>Survey F</w:t>
      </w:r>
      <w:r w:rsidRPr="00651165">
        <w:t>orm</w:t>
      </w:r>
      <w:r w:rsidR="00946FE8">
        <w:t xml:space="preserve"> is a well established scale to </w:t>
      </w:r>
      <w:r w:rsidR="007C27C2">
        <w:t>assess adaptive behavio</w:t>
      </w:r>
      <w:r w:rsidRPr="00651165">
        <w:t xml:space="preserve">r in </w:t>
      </w:r>
      <w:r w:rsidR="00726AFB">
        <w:t>people</w:t>
      </w:r>
      <w:r w:rsidRPr="00651165">
        <w:t xml:space="preserve"> with and without intellectual disabilities. </w:t>
      </w:r>
      <w:r w:rsidR="00946FE8">
        <w:t xml:space="preserve">It </w:t>
      </w:r>
      <w:r w:rsidR="00946FE8" w:rsidRPr="00651165">
        <w:t>contains 297 items</w:t>
      </w:r>
      <w:r w:rsidR="00946FE8">
        <w:t>.</w:t>
      </w:r>
      <w:r w:rsidR="00946FE8" w:rsidRPr="00651165">
        <w:t xml:space="preserve"> </w:t>
      </w:r>
      <w:r w:rsidRPr="00651165">
        <w:t xml:space="preserve">The scale is divided into four domains: Communication, Daily Living, Socialization and Motor Skills. </w:t>
      </w:r>
      <w:r w:rsidR="00E329A1">
        <w:t xml:space="preserve">Standard scores </w:t>
      </w:r>
      <w:r w:rsidRPr="00651165">
        <w:t>(mean = 100; SD= 15) and age equivalent scores can be combined to derive an Adaptive Behavior Composite. Internal consistency (median Co</w:t>
      </w:r>
      <w:r w:rsidR="008215FE">
        <w:t>mmunication 0.89, Daily Living S</w:t>
      </w:r>
      <w:r w:rsidRPr="00651165">
        <w:t>kills 0</w:t>
      </w:r>
      <w:r w:rsidR="008215FE">
        <w:t>.90, Socialization 0.86, Motor S</w:t>
      </w:r>
      <w:r w:rsidRPr="00651165">
        <w:t>kills 0.83, Ad</w:t>
      </w:r>
      <w:r w:rsidR="00D33985">
        <w:t xml:space="preserve">aptive Behavior Composite 0.94), </w:t>
      </w:r>
      <w:r w:rsidRPr="00651165">
        <w:t>test re-test reliability (Communication 0.86, Daily Living Skills 0.85, Socialization 0.81, Motor Skills 0.81, Adaptive Behavior Composite 0.88) and inter rater reliability (Co</w:t>
      </w:r>
      <w:r w:rsidR="008215FE">
        <w:t>mmunication 0.75, Daily Living S</w:t>
      </w:r>
      <w:r w:rsidRPr="00651165">
        <w:t>kills 0</w:t>
      </w:r>
      <w:r w:rsidR="008215FE">
        <w:t>.72, Socialization 0.62, Motor S</w:t>
      </w:r>
      <w:r w:rsidRPr="00651165">
        <w:t xml:space="preserve">kills 0.78, Adaptive Behavior Composite 0.74) </w:t>
      </w:r>
      <w:r w:rsidR="002C785D">
        <w:t>have been reported [</w:t>
      </w:r>
      <w:r w:rsidR="00D33985">
        <w:t>Sparrow et al.</w:t>
      </w:r>
      <w:r w:rsidR="0042272C">
        <w:t>,</w:t>
      </w:r>
      <w:r w:rsidR="002C785D">
        <w:t xml:space="preserve"> 1984]</w:t>
      </w:r>
      <w:r w:rsidRPr="00651165">
        <w:t xml:space="preserve">. </w:t>
      </w:r>
    </w:p>
    <w:p w:rsidR="008D2009" w:rsidRPr="00D33985" w:rsidRDefault="008D2009" w:rsidP="008215FE">
      <w:pPr>
        <w:spacing w:after="0" w:line="480" w:lineRule="auto"/>
        <w:rPr>
          <w:u w:val="single"/>
        </w:rPr>
      </w:pPr>
      <w:r w:rsidRPr="00D33985">
        <w:rPr>
          <w:u w:val="single"/>
        </w:rPr>
        <w:t xml:space="preserve">Data analysis </w:t>
      </w:r>
    </w:p>
    <w:p w:rsidR="008D2009" w:rsidRPr="00651165" w:rsidRDefault="00F80146" w:rsidP="008215FE">
      <w:pPr>
        <w:spacing w:after="0" w:line="480" w:lineRule="auto"/>
        <w:ind w:firstLine="357"/>
      </w:pPr>
      <w:r w:rsidRPr="00651165">
        <w:t xml:space="preserve">Analysis </w:t>
      </w:r>
      <w:r>
        <w:t>investigated</w:t>
      </w:r>
      <w:r w:rsidRPr="00651165">
        <w:t xml:space="preserve"> severity score</w:t>
      </w:r>
      <w:r w:rsidR="004A413E">
        <w:t>,</w:t>
      </w:r>
      <w:r w:rsidRPr="00651165">
        <w:t xml:space="preserve"> </w:t>
      </w:r>
      <w:r w:rsidR="004A413E">
        <w:t xml:space="preserve">current abilities </w:t>
      </w:r>
      <w:r>
        <w:t>and</w:t>
      </w:r>
      <w:r w:rsidRPr="00651165">
        <w:t xml:space="preserve"> health in relation to</w:t>
      </w:r>
      <w:r w:rsidR="002C785D">
        <w:t>, first,</w:t>
      </w:r>
      <w:r w:rsidRPr="00651165">
        <w:t xml:space="preserve"> whether a mutation in the </w:t>
      </w:r>
      <w:r w:rsidRPr="00651165">
        <w:rPr>
          <w:i/>
        </w:rPr>
        <w:t>MECP2</w:t>
      </w:r>
      <w:r w:rsidRPr="00651165">
        <w:t xml:space="preserve"> gene had been identified and, if</w:t>
      </w:r>
      <w:r w:rsidR="002C785D">
        <w:t xml:space="preserve"> so, the nature of the mutation</w:t>
      </w:r>
      <w:r w:rsidRPr="00651165">
        <w:t xml:space="preserve"> and</w:t>
      </w:r>
      <w:r w:rsidR="002C785D">
        <w:t>, second,</w:t>
      </w:r>
      <w:r w:rsidRPr="00651165">
        <w:t xml:space="preserve"> diag</w:t>
      </w:r>
      <w:r w:rsidR="00AD5E3C">
        <w:t>nostic classification</w:t>
      </w:r>
      <w:r w:rsidR="002C785D">
        <w:t xml:space="preserve">: </w:t>
      </w:r>
      <w:r w:rsidR="00AD5E3C">
        <w:t>classic, a</w:t>
      </w:r>
      <w:r w:rsidRPr="00651165">
        <w:t xml:space="preserve">typical and </w:t>
      </w:r>
      <w:r w:rsidRPr="00651165">
        <w:rPr>
          <w:i/>
        </w:rPr>
        <w:t>MECP2</w:t>
      </w:r>
      <w:r w:rsidR="002C785D">
        <w:t xml:space="preserve"> related disorder</w:t>
      </w:r>
      <w:r w:rsidRPr="00651165">
        <w:t xml:space="preserve">. </w:t>
      </w:r>
      <w:r w:rsidR="00274898">
        <w:t>Non-</w:t>
      </w:r>
      <w:proofErr w:type="spellStart"/>
      <w:r w:rsidR="00274898">
        <w:t>categoric</w:t>
      </w:r>
      <w:proofErr w:type="spellEnd"/>
      <w:r w:rsidR="00274898">
        <w:t xml:space="preserve"> measures</w:t>
      </w:r>
      <w:r w:rsidR="008D2009" w:rsidRPr="00651165">
        <w:t xml:space="preserve"> were tested for normality using the </w:t>
      </w:r>
      <w:proofErr w:type="spellStart"/>
      <w:r w:rsidR="008D2009" w:rsidRPr="00651165">
        <w:t>Kolmogorov</w:t>
      </w:r>
      <w:proofErr w:type="spellEnd"/>
      <w:r w:rsidR="008D2009" w:rsidRPr="00651165">
        <w:t xml:space="preserve">-Smirnov test and a critical region of p&lt; .05.  Results from such testing and examination of </w:t>
      </w:r>
      <w:proofErr w:type="spellStart"/>
      <w:r w:rsidR="008D2009" w:rsidRPr="00651165">
        <w:t>skewness</w:t>
      </w:r>
      <w:proofErr w:type="spellEnd"/>
      <w:r w:rsidR="008D2009" w:rsidRPr="00651165">
        <w:t xml:space="preserve"> and kurtosis </w:t>
      </w:r>
      <w:r w:rsidR="0005215C">
        <w:t>found that</w:t>
      </w:r>
      <w:r w:rsidR="008D2009" w:rsidRPr="00651165">
        <w:t xml:space="preserve"> severity </w:t>
      </w:r>
      <w:r w:rsidR="007C27C2">
        <w:t>and adaptive behavio</w:t>
      </w:r>
      <w:r w:rsidR="0005215C">
        <w:t>r scores</w:t>
      </w:r>
      <w:r w:rsidR="008D2009" w:rsidRPr="00651165">
        <w:t xml:space="preserve"> were non-normal. Non-parametric tests were </w:t>
      </w:r>
      <w:r>
        <w:t xml:space="preserve">therefore </w:t>
      </w:r>
      <w:r w:rsidR="008D2009" w:rsidRPr="00651165">
        <w:t xml:space="preserve">used to explore differences between groups. </w:t>
      </w:r>
    </w:p>
    <w:p w:rsidR="008D2009" w:rsidRPr="00D6706E" w:rsidRDefault="00D6706E" w:rsidP="008215FE">
      <w:pPr>
        <w:spacing w:after="0" w:line="480" w:lineRule="auto"/>
        <w:jc w:val="center"/>
        <w:rPr>
          <w:b/>
        </w:rPr>
      </w:pPr>
      <w:r w:rsidRPr="00D6706E">
        <w:rPr>
          <w:b/>
        </w:rPr>
        <w:t>RESULTS</w:t>
      </w:r>
    </w:p>
    <w:p w:rsidR="00DC77CF" w:rsidRPr="00DC77CF" w:rsidRDefault="000132FE" w:rsidP="008215FE">
      <w:pPr>
        <w:spacing w:after="0" w:line="480" w:lineRule="auto"/>
        <w:rPr>
          <w:u w:val="single"/>
        </w:rPr>
      </w:pPr>
      <w:r>
        <w:rPr>
          <w:u w:val="single"/>
        </w:rPr>
        <w:t>Age and diagnosis</w:t>
      </w:r>
    </w:p>
    <w:p w:rsidR="00112128" w:rsidRDefault="00DC77CF" w:rsidP="008215FE">
      <w:pPr>
        <w:spacing w:after="0" w:line="480" w:lineRule="auto"/>
        <w:ind w:firstLine="357"/>
      </w:pPr>
      <w:r w:rsidRPr="00DC77CF">
        <w:t>The</w:t>
      </w:r>
      <w:r>
        <w:rPr>
          <w:b/>
        </w:rPr>
        <w:t xml:space="preserve"> </w:t>
      </w:r>
      <w:r w:rsidR="008D2009" w:rsidRPr="00651165">
        <w:t xml:space="preserve">sample </w:t>
      </w:r>
      <w:r>
        <w:t>were</w:t>
      </w:r>
      <w:r w:rsidR="008D2009" w:rsidRPr="00651165">
        <w:t xml:space="preserve"> 91 </w:t>
      </w:r>
      <w:r>
        <w:t>girl</w:t>
      </w:r>
      <w:r w:rsidR="008D2009" w:rsidRPr="00651165">
        <w:t xml:space="preserve">s </w:t>
      </w:r>
      <w:r>
        <w:t xml:space="preserve">and women with a diagnosis of RTT, of whom 80 (87.9%) </w:t>
      </w:r>
      <w:r w:rsidR="008D2009" w:rsidRPr="00651165">
        <w:t>lived at home</w:t>
      </w:r>
      <w:r>
        <w:t xml:space="preserve"> </w:t>
      </w:r>
      <w:r w:rsidR="008D2009" w:rsidRPr="00651165">
        <w:t xml:space="preserve">and </w:t>
      </w:r>
      <w:r>
        <w:t xml:space="preserve">11 </w:t>
      </w:r>
      <w:r w:rsidR="008D2009" w:rsidRPr="00651165">
        <w:t>(</w:t>
      </w:r>
      <w:r w:rsidRPr="00651165">
        <w:t>12.1%</w:t>
      </w:r>
      <w:r w:rsidR="008D2009" w:rsidRPr="00651165">
        <w:t xml:space="preserve">) lived in </w:t>
      </w:r>
      <w:r w:rsidR="000132FE">
        <w:t>out-of-</w:t>
      </w:r>
      <w:r>
        <w:t xml:space="preserve">family </w:t>
      </w:r>
      <w:r w:rsidRPr="00DC77CF">
        <w:t>placements</w:t>
      </w:r>
      <w:r w:rsidR="002C785D">
        <w:t>. A</w:t>
      </w:r>
      <w:r w:rsidR="00F31AB6">
        <w:t>lthough the survey sought to include only individuals living with their parents, the information on the BIRSS database was not up-to-date and a minority did</w:t>
      </w:r>
      <w:r w:rsidR="002C785D">
        <w:t xml:space="preserve"> not do so</w:t>
      </w:r>
      <w:r w:rsidR="008D2009" w:rsidRPr="00DC77CF">
        <w:t xml:space="preserve">. </w:t>
      </w:r>
      <w:r w:rsidRPr="00DC77CF">
        <w:t>Their a</w:t>
      </w:r>
      <w:r w:rsidR="008D2009" w:rsidRPr="00DC77CF">
        <w:t xml:space="preserve">ges ranged from 4 to 47 years with a mean of 20.5 years. </w:t>
      </w:r>
      <w:r w:rsidR="002722FB">
        <w:t xml:space="preserve">In terms of the </w:t>
      </w:r>
      <w:proofErr w:type="spellStart"/>
      <w:r w:rsidR="002C785D">
        <w:t>Neul</w:t>
      </w:r>
      <w:proofErr w:type="spellEnd"/>
      <w:r w:rsidR="002C785D">
        <w:t xml:space="preserve"> et al. [2010]</w:t>
      </w:r>
      <w:r w:rsidR="00047518">
        <w:t xml:space="preserve"> criteria: 69</w:t>
      </w:r>
      <w:r w:rsidR="008D2009" w:rsidRPr="00651165">
        <w:t xml:space="preserve"> had classic RTT (75.8%</w:t>
      </w:r>
      <w:r w:rsidR="000132FE">
        <w:t>), 19 atypical RTT (20.9%) and three</w:t>
      </w:r>
      <w:r w:rsidR="008D2009" w:rsidRPr="00651165">
        <w:t xml:space="preserve"> a </w:t>
      </w:r>
      <w:r w:rsidR="008D2009" w:rsidRPr="00651165">
        <w:rPr>
          <w:i/>
        </w:rPr>
        <w:t>MECP2</w:t>
      </w:r>
      <w:r w:rsidR="008D2009" w:rsidRPr="00651165">
        <w:t>-relate</w:t>
      </w:r>
      <w:r>
        <w:t>d disorder (4.3%). Seventy-one we</w:t>
      </w:r>
      <w:r w:rsidR="008D2009" w:rsidRPr="00651165">
        <w:t xml:space="preserve">re known to be </w:t>
      </w:r>
      <w:r w:rsidR="008D2009" w:rsidRPr="00651165">
        <w:rPr>
          <w:i/>
        </w:rPr>
        <w:t>MECP2</w:t>
      </w:r>
      <w:r w:rsidR="008D2009" w:rsidRPr="00651165">
        <w:t xml:space="preserve"> positive (78</w:t>
      </w:r>
      <w:r>
        <w:t>.0</w:t>
      </w:r>
      <w:r w:rsidR="00E90B95">
        <w:t>%): 52 in the c</w:t>
      </w:r>
      <w:r w:rsidR="00E90B95" w:rsidRPr="00651165">
        <w:t>lass</w:t>
      </w:r>
      <w:r w:rsidR="00E90B95">
        <w:t>ic group and 16 in the a</w:t>
      </w:r>
      <w:r w:rsidR="00E90B95" w:rsidRPr="00651165">
        <w:t xml:space="preserve">typical group in addition to the three with </w:t>
      </w:r>
      <w:r w:rsidR="00E90B95" w:rsidRPr="00651165">
        <w:rPr>
          <w:i/>
        </w:rPr>
        <w:t>MECP2</w:t>
      </w:r>
      <w:r w:rsidR="00E90B95" w:rsidRPr="00651165">
        <w:t>-related disorder</w:t>
      </w:r>
      <w:r w:rsidR="008524DE">
        <w:t xml:space="preserve">. Only one person classified as having classic RTT was known not to have a </w:t>
      </w:r>
      <w:r w:rsidR="008524DE" w:rsidRPr="008524DE">
        <w:rPr>
          <w:i/>
        </w:rPr>
        <w:t>MECP2</w:t>
      </w:r>
      <w:r w:rsidR="008524DE">
        <w:t xml:space="preserve"> mutation, the remainder without a known mutation had been diagnosed prior to testing becoming routine clinical practice. N</w:t>
      </w:r>
      <w:r w:rsidR="00B929F7">
        <w:t xml:space="preserve">ot all participants in the </w:t>
      </w:r>
      <w:r w:rsidR="008524DE">
        <w:t>more up-to-date</w:t>
      </w:r>
      <w:r w:rsidR="00B929F7">
        <w:t xml:space="preserve"> atypical category had a known </w:t>
      </w:r>
      <w:r w:rsidR="00B929F7" w:rsidRPr="008524DE">
        <w:rPr>
          <w:i/>
        </w:rPr>
        <w:t>MECP2</w:t>
      </w:r>
      <w:r w:rsidR="00B929F7">
        <w:t xml:space="preserve"> mutation as this group now contained individuals previously classified</w:t>
      </w:r>
      <w:r w:rsidR="00C617C1" w:rsidRPr="00C617C1">
        <w:t xml:space="preserve"> </w:t>
      </w:r>
      <w:r w:rsidR="00C617C1">
        <w:t xml:space="preserve">by the </w:t>
      </w:r>
      <w:proofErr w:type="spellStart"/>
      <w:r w:rsidR="00C617C1">
        <w:t>Hagberg</w:t>
      </w:r>
      <w:proofErr w:type="spellEnd"/>
      <w:r w:rsidR="00C617C1">
        <w:t xml:space="preserve"> et al. [2002] criteria</w:t>
      </w:r>
      <w:r w:rsidR="00B929F7">
        <w:t xml:space="preserve"> as having classic</w:t>
      </w:r>
      <w:r w:rsidR="008524DE">
        <w:t xml:space="preserve"> RTT incomplete</w:t>
      </w:r>
      <w:r w:rsidR="00E90B95" w:rsidRPr="00651165">
        <w:t xml:space="preserve">. </w:t>
      </w:r>
    </w:p>
    <w:p w:rsidR="001E6EBA" w:rsidRDefault="00672EBC" w:rsidP="008215FE">
      <w:pPr>
        <w:spacing w:after="0" w:line="480" w:lineRule="auto"/>
        <w:ind w:firstLine="357"/>
      </w:pPr>
      <w:r>
        <w:t xml:space="preserve">Mutations found in two or more cases were </w:t>
      </w:r>
      <w:r w:rsidRPr="008524DE">
        <w:t>C-terminal</w:t>
      </w:r>
      <w:r>
        <w:t xml:space="preserve"> (N = 13), </w:t>
      </w:r>
      <w:r w:rsidR="00134996">
        <w:t>p.</w:t>
      </w:r>
      <w:r w:rsidRPr="00455616">
        <w:t xml:space="preserve">R168X, </w:t>
      </w:r>
      <w:r w:rsidR="00134996">
        <w:t>p.</w:t>
      </w:r>
      <w:r w:rsidRPr="00455616">
        <w:t xml:space="preserve">R270X and </w:t>
      </w:r>
      <w:r w:rsidR="00134996">
        <w:t>p.</w:t>
      </w:r>
      <w:r w:rsidRPr="00455616">
        <w:t>R306C</w:t>
      </w:r>
      <w:r>
        <w:t xml:space="preserve"> (all N = 6),</w:t>
      </w:r>
      <w:r w:rsidRPr="00672EBC">
        <w:t xml:space="preserve"> </w:t>
      </w:r>
      <w:r w:rsidR="00134996">
        <w:t>p.</w:t>
      </w:r>
      <w:r w:rsidRPr="00455616">
        <w:t xml:space="preserve">R255X and </w:t>
      </w:r>
      <w:r w:rsidR="00134996">
        <w:t>p.</w:t>
      </w:r>
      <w:r w:rsidRPr="00455616">
        <w:t xml:space="preserve">R294X (both N = 5), </w:t>
      </w:r>
      <w:r w:rsidR="00134996">
        <w:t>p.</w:t>
      </w:r>
      <w:r w:rsidRPr="00455616">
        <w:t xml:space="preserve">T158M and </w:t>
      </w:r>
      <w:r w:rsidR="00134996">
        <w:t>p.</w:t>
      </w:r>
      <w:r w:rsidRPr="00455616">
        <w:rPr>
          <w:rFonts w:cs="Arial"/>
        </w:rPr>
        <w:t>P152R</w:t>
      </w:r>
      <w:r w:rsidRPr="00455616">
        <w:t xml:space="preserve"> (both N=4), </w:t>
      </w:r>
      <w:r w:rsidR="00134996">
        <w:t>p.</w:t>
      </w:r>
      <w:r w:rsidRPr="00455616">
        <w:t xml:space="preserve">R306H </w:t>
      </w:r>
      <w:r w:rsidRPr="00672EBC">
        <w:t>(</w:t>
      </w:r>
      <w:r>
        <w:t xml:space="preserve">N = </w:t>
      </w:r>
      <w:r w:rsidRPr="00672EBC">
        <w:t>3)</w:t>
      </w:r>
      <w:r>
        <w:t xml:space="preserve">. </w:t>
      </w:r>
      <w:r w:rsidR="008D2009" w:rsidRPr="00651165">
        <w:t xml:space="preserve">Diagnosis of RTT was made by a pediatrician in 42.9% of cases, a clinical geneticist in 26.4%, by both a pediatrician and clinical geneticist in 3.3% and by </w:t>
      </w:r>
      <w:r w:rsidR="002C785D">
        <w:t>another professional in 25.3%. T</w:t>
      </w:r>
      <w:r w:rsidR="008D2009" w:rsidRPr="00651165">
        <w:t xml:space="preserve">his information was </w:t>
      </w:r>
      <w:r w:rsidR="002C785D">
        <w:t>missing for the remaining 2.2%</w:t>
      </w:r>
      <w:r w:rsidR="00E90B95">
        <w:t xml:space="preserve">. </w:t>
      </w:r>
      <w:r w:rsidR="008D2009" w:rsidRPr="00651165">
        <w:t xml:space="preserve">Median age of diagnosis was 3.0 years (range, 1-39 years). Diagnosis occurred most commonly between 2 and 4 years of age. </w:t>
      </w:r>
    </w:p>
    <w:p w:rsidR="008D2009" w:rsidRPr="00651165" w:rsidRDefault="00C707D2" w:rsidP="008215FE">
      <w:pPr>
        <w:spacing w:after="0" w:line="480" w:lineRule="auto"/>
        <w:ind w:firstLine="357"/>
      </w:pPr>
      <w:r w:rsidRPr="00C707D2">
        <w:t xml:space="preserve">Although data on the </w:t>
      </w:r>
      <w:r w:rsidRPr="008524DE">
        <w:rPr>
          <w:i/>
        </w:rPr>
        <w:t>MECP2</w:t>
      </w:r>
      <w:r w:rsidRPr="00C707D2">
        <w:t xml:space="preserve"> mutation were available, </w:t>
      </w:r>
      <w:r>
        <w:t xml:space="preserve">six </w:t>
      </w:r>
      <w:r w:rsidRPr="00C707D2">
        <w:t>broad categories were created to avoid subgroups being too small</w:t>
      </w:r>
      <w:r w:rsidR="00BC777F">
        <w:t xml:space="preserve">: </w:t>
      </w:r>
      <w:proofErr w:type="spellStart"/>
      <w:r w:rsidR="00BC777F">
        <w:t>m</w:t>
      </w:r>
      <w:r w:rsidR="008D2009" w:rsidRPr="00651165">
        <w:t>issense</w:t>
      </w:r>
      <w:proofErr w:type="spellEnd"/>
      <w:r w:rsidR="008D2009" w:rsidRPr="00651165">
        <w:t xml:space="preserve"> (n=2</w:t>
      </w:r>
      <w:r w:rsidR="00BC777F">
        <w:t>3, 25.3%), early truncating (n=26, 28.6%), late t</w:t>
      </w:r>
      <w:r w:rsidR="008D2009" w:rsidRPr="00651165">
        <w:t>runcating (</w:t>
      </w:r>
      <w:r w:rsidR="0031323B">
        <w:t>n=</w:t>
      </w:r>
      <w:r w:rsidR="00BC777F">
        <w:t>7, 7.7%), C-t</w:t>
      </w:r>
      <w:r w:rsidR="008D2009" w:rsidRPr="00651165">
        <w:t>erminal (</w:t>
      </w:r>
      <w:r w:rsidR="0031323B">
        <w:t>n=</w:t>
      </w:r>
      <w:r w:rsidR="008D2009" w:rsidRPr="00651165">
        <w:t>13, 14.3%)</w:t>
      </w:r>
      <w:r w:rsidR="00BC777F">
        <w:t>, large d</w:t>
      </w:r>
      <w:r w:rsidR="0005215C">
        <w:t>eletion (</w:t>
      </w:r>
      <w:r w:rsidR="0031323B">
        <w:t>n=</w:t>
      </w:r>
      <w:r w:rsidR="00BC777F">
        <w:t>2, 2.2%) and n</w:t>
      </w:r>
      <w:r w:rsidR="008D2009" w:rsidRPr="00651165">
        <w:t xml:space="preserve">o </w:t>
      </w:r>
      <w:r w:rsidR="00BC777F">
        <w:t>k</w:t>
      </w:r>
      <w:r w:rsidR="0005215C">
        <w:t xml:space="preserve">nown </w:t>
      </w:r>
      <w:r w:rsidR="00BC777F">
        <w:t>m</w:t>
      </w:r>
      <w:r w:rsidR="008D2009" w:rsidRPr="00651165">
        <w:t xml:space="preserve">utation (n=20, 22.0%). </w:t>
      </w:r>
      <w:r w:rsidR="0005215C">
        <w:t>Disregarding the last category, these were then combined into two broader mutation groups: (a)</w:t>
      </w:r>
      <w:r w:rsidR="00BC777F">
        <w:t xml:space="preserve"> early truncating and large d</w:t>
      </w:r>
      <w:r w:rsidR="0005215C">
        <w:t xml:space="preserve">eletion, and (b) </w:t>
      </w:r>
      <w:proofErr w:type="spellStart"/>
      <w:r w:rsidR="00BC777F">
        <w:t>missense</w:t>
      </w:r>
      <w:proofErr w:type="spellEnd"/>
      <w:r w:rsidR="00BC777F">
        <w:t>, late t</w:t>
      </w:r>
      <w:r w:rsidR="0005215C" w:rsidRPr="00651165">
        <w:t xml:space="preserve">runcating </w:t>
      </w:r>
      <w:r w:rsidR="0005215C">
        <w:t>and</w:t>
      </w:r>
      <w:r w:rsidR="00BC777F">
        <w:t xml:space="preserve"> C-t</w:t>
      </w:r>
      <w:r w:rsidR="0005215C" w:rsidRPr="00651165">
        <w:t>erminal</w:t>
      </w:r>
      <w:r w:rsidR="0005215C">
        <w:t xml:space="preserve">, in line with the findings of </w:t>
      </w:r>
      <w:proofErr w:type="spellStart"/>
      <w:r w:rsidR="00B4655F">
        <w:t>Neul</w:t>
      </w:r>
      <w:proofErr w:type="spellEnd"/>
      <w:r w:rsidR="0005215C" w:rsidRPr="00BC3073">
        <w:t xml:space="preserve"> </w:t>
      </w:r>
      <w:r w:rsidR="002C785D">
        <w:t>et al. [2008]</w:t>
      </w:r>
      <w:r w:rsidR="0005215C">
        <w:t>.</w:t>
      </w:r>
    </w:p>
    <w:p w:rsidR="000132FE" w:rsidRDefault="000132FE" w:rsidP="008215FE">
      <w:pPr>
        <w:spacing w:after="0" w:line="480" w:lineRule="auto"/>
        <w:rPr>
          <w:u w:val="single"/>
        </w:rPr>
      </w:pPr>
      <w:r>
        <w:rPr>
          <w:u w:val="single"/>
        </w:rPr>
        <w:t>Maternal pregnancy, early development and regression features.</w:t>
      </w:r>
    </w:p>
    <w:p w:rsidR="004615E2" w:rsidRDefault="000132FE" w:rsidP="00B77ED0">
      <w:pPr>
        <w:spacing w:after="0" w:line="480" w:lineRule="auto"/>
        <w:ind w:firstLine="426"/>
      </w:pPr>
      <w:r w:rsidRPr="000132FE">
        <w:t xml:space="preserve">Eight-five (93.4%) of mothers </w:t>
      </w:r>
      <w:r>
        <w:t>reported experiencing</w:t>
      </w:r>
      <w:r w:rsidRPr="000132FE">
        <w:t xml:space="preserve"> a normal pregnancy and 74 (81.3%) a normal delivery. The majority reported normal development in the first few months of life (85.7%) wit</w:t>
      </w:r>
      <w:r w:rsidR="00B77ED0">
        <w:t xml:space="preserve">h no apparent problems (73.6%). </w:t>
      </w:r>
      <w:r w:rsidRPr="00651165">
        <w:t>Regress</w:t>
      </w:r>
      <w:r w:rsidR="00282495">
        <w:t>ion was reported in 87 (95.6%</w:t>
      </w:r>
      <w:r w:rsidRPr="00651165">
        <w:t xml:space="preserve"> of the sample</w:t>
      </w:r>
      <w:r w:rsidR="00282495">
        <w:t>)</w:t>
      </w:r>
      <w:r w:rsidRPr="00651165">
        <w:t>. In one case (1.1%), the mother was not sure if the child had had a regression and, in 3 others</w:t>
      </w:r>
      <w:r>
        <w:t xml:space="preserve"> </w:t>
      </w:r>
      <w:r w:rsidRPr="00651165">
        <w:t>(3.3%)</w:t>
      </w:r>
      <w:r>
        <w:t xml:space="preserve">, all with </w:t>
      </w:r>
      <w:r w:rsidRPr="001E6EBA">
        <w:rPr>
          <w:i/>
        </w:rPr>
        <w:t>MECP2</w:t>
      </w:r>
      <w:r>
        <w:t>-related disorder,</w:t>
      </w:r>
      <w:r w:rsidRPr="00651165">
        <w:t xml:space="preserve"> they reported that the child did not have a regression. Mean age of regression was 18.9 months (range, 6-84 months; SD 11.75). The most common month for regression </w:t>
      </w:r>
      <w:r w:rsidR="00AB72D1">
        <w:t xml:space="preserve">onset </w:t>
      </w:r>
      <w:r w:rsidRPr="00651165">
        <w:t>was 18 months (18.7% of cases). Overall, 15 (16.5%) had a regression before 12 months, 49 (53.8%) between 12 and 18 months, 18 (19.0%) between 19 and 36 months and 5 (5.5%) after 36 months.</w:t>
      </w:r>
      <w:r>
        <w:t xml:space="preserve"> </w:t>
      </w:r>
      <w:r w:rsidR="00B77ED0" w:rsidRPr="004615E2">
        <w:t>Loss of hand use was reported in 92.3% of the sample, loss of communication skills in 83.7%, loss of mobility in 70.3% and loss of social contact in 53.8%. In one case, the parent reported that the child had never gained any skills in communication, mobility, func</w:t>
      </w:r>
      <w:r w:rsidR="00B77ED0">
        <w:t>tional hand use and sociability</w:t>
      </w:r>
      <w:r w:rsidR="00B77ED0" w:rsidRPr="004615E2">
        <w:t xml:space="preserve">. </w:t>
      </w:r>
      <w:r w:rsidR="00B77ED0">
        <w:t>There were</w:t>
      </w:r>
      <w:r w:rsidR="00B77ED0" w:rsidRPr="004615E2">
        <w:t xml:space="preserve"> no significant difference</w:t>
      </w:r>
      <w:r w:rsidR="00B77ED0">
        <w:t>s</w:t>
      </w:r>
      <w:r w:rsidR="00B77ED0" w:rsidRPr="004615E2">
        <w:t xml:space="preserve"> </w:t>
      </w:r>
      <w:r w:rsidRPr="00651165">
        <w:t>in age of regression</w:t>
      </w:r>
      <w:r w:rsidR="00B77ED0">
        <w:t xml:space="preserve"> or reported loss </w:t>
      </w:r>
      <w:r w:rsidR="00B77ED0" w:rsidRPr="004615E2">
        <w:t xml:space="preserve">of previously acquired skills </w:t>
      </w:r>
      <w:r>
        <w:t xml:space="preserve">either </w:t>
      </w:r>
      <w:r w:rsidRPr="00651165">
        <w:t xml:space="preserve">between the classic and atypical group </w:t>
      </w:r>
      <w:r>
        <w:t xml:space="preserve">or </w:t>
      </w:r>
      <w:r w:rsidRPr="00651165">
        <w:t xml:space="preserve">between </w:t>
      </w:r>
      <w:r w:rsidR="00AB72D1">
        <w:t xml:space="preserve">the two </w:t>
      </w:r>
      <w:r w:rsidRPr="00651165">
        <w:t>mutation groups</w:t>
      </w:r>
      <w:r>
        <w:t>.</w:t>
      </w:r>
    </w:p>
    <w:p w:rsidR="008D2009" w:rsidRPr="001D29A8" w:rsidRDefault="008D2009" w:rsidP="008215FE">
      <w:pPr>
        <w:spacing w:after="0" w:line="480" w:lineRule="auto"/>
        <w:rPr>
          <w:u w:val="single"/>
        </w:rPr>
      </w:pPr>
      <w:r w:rsidRPr="001D29A8">
        <w:rPr>
          <w:u w:val="single"/>
        </w:rPr>
        <w:t xml:space="preserve">Characteristic features </w:t>
      </w:r>
    </w:p>
    <w:p w:rsidR="008D2009" w:rsidRPr="00651165" w:rsidRDefault="008D2009" w:rsidP="008215FE">
      <w:pPr>
        <w:spacing w:after="0" w:line="480" w:lineRule="auto"/>
        <w:ind w:firstLine="357"/>
      </w:pPr>
      <w:r w:rsidRPr="00651165">
        <w:t xml:space="preserve">Loss of functional hand skills, followed by the appearance of hand </w:t>
      </w:r>
      <w:proofErr w:type="spellStart"/>
      <w:r w:rsidRPr="00651165">
        <w:t>stereotypies</w:t>
      </w:r>
      <w:proofErr w:type="spellEnd"/>
      <w:r w:rsidRPr="00651165">
        <w:t xml:space="preserve"> such as hand wringing, clapping and tapping, was reported in all </w:t>
      </w:r>
      <w:r w:rsidR="001D29A8">
        <w:t>but one case (98.9%)</w:t>
      </w:r>
      <w:r w:rsidRPr="00651165">
        <w:t xml:space="preserve">. </w:t>
      </w:r>
      <w:r w:rsidR="001D29A8">
        <w:t>B</w:t>
      </w:r>
      <w:r w:rsidRPr="00651165">
        <w:t xml:space="preserve">reath holding </w:t>
      </w:r>
      <w:r w:rsidR="001D29A8">
        <w:t xml:space="preserve">(76.9%), </w:t>
      </w:r>
      <w:r w:rsidRPr="00651165">
        <w:t>hyperventilation</w:t>
      </w:r>
      <w:r w:rsidR="001D29A8">
        <w:t xml:space="preserve"> (58.2%)</w:t>
      </w:r>
      <w:r w:rsidRPr="00651165">
        <w:t xml:space="preserve">, teeth grinding </w:t>
      </w:r>
      <w:r w:rsidR="001D29A8">
        <w:t xml:space="preserve">(57.1%) </w:t>
      </w:r>
      <w:r w:rsidRPr="00651165">
        <w:t>and sleep disturbances</w:t>
      </w:r>
      <w:r w:rsidR="001D29A8">
        <w:t xml:space="preserve"> (61.5%) were also commonly reported</w:t>
      </w:r>
      <w:r w:rsidR="009E4E57">
        <w:t xml:space="preserve">. </w:t>
      </w:r>
      <w:proofErr w:type="spellStart"/>
      <w:r w:rsidR="009E4E57">
        <w:t>Rett</w:t>
      </w:r>
      <w:proofErr w:type="spellEnd"/>
      <w:r w:rsidR="009E4E57">
        <w:t xml:space="preserve"> ‘episodes’ </w:t>
      </w:r>
      <w:r w:rsidRPr="00651165">
        <w:t xml:space="preserve">were also frequent (72.6%). </w:t>
      </w:r>
      <w:r w:rsidR="001D29A8">
        <w:t>Individuals with c</w:t>
      </w:r>
      <w:r w:rsidRPr="00651165">
        <w:t xml:space="preserve">lassic RTT were more likely to present with breath holding </w:t>
      </w:r>
      <w:r w:rsidR="001D29A8">
        <w:t>than those with a</w:t>
      </w:r>
      <w:r w:rsidRPr="00651165">
        <w:t xml:space="preserve">typical </w:t>
      </w:r>
      <w:r w:rsidR="001D29A8">
        <w:t xml:space="preserve">RTT </w:t>
      </w:r>
      <w:r w:rsidR="009D2A30">
        <w:t>(χ²</w:t>
      </w:r>
      <w:r w:rsidR="001D29A8" w:rsidRPr="00651165">
        <w:rPr>
          <w:vertAlign w:val="subscript"/>
        </w:rPr>
        <w:t>(2)</w:t>
      </w:r>
      <w:r w:rsidR="001D29A8" w:rsidRPr="00651165">
        <w:rPr>
          <w:vertAlign w:val="superscript"/>
        </w:rPr>
        <w:t xml:space="preserve"> </w:t>
      </w:r>
      <w:r w:rsidR="009D2A30">
        <w:t>=8.38</w:t>
      </w:r>
      <w:r w:rsidR="001D29A8" w:rsidRPr="00651165">
        <w:t>,</w:t>
      </w:r>
      <w:r w:rsidR="001D29A8" w:rsidRPr="00651165">
        <w:rPr>
          <w:vertAlign w:val="superscript"/>
        </w:rPr>
        <w:t xml:space="preserve"> </w:t>
      </w:r>
      <w:r w:rsidR="001D29A8">
        <w:t>p&lt; .05)</w:t>
      </w:r>
      <w:r w:rsidRPr="00651165">
        <w:t xml:space="preserve">. </w:t>
      </w:r>
    </w:p>
    <w:p w:rsidR="006D696E" w:rsidRPr="008215FE" w:rsidRDefault="006D696E" w:rsidP="008215FE">
      <w:pPr>
        <w:spacing w:after="0" w:line="480" w:lineRule="auto"/>
        <w:rPr>
          <w:u w:val="single"/>
        </w:rPr>
      </w:pPr>
      <w:r w:rsidRPr="008215FE">
        <w:rPr>
          <w:u w:val="single"/>
        </w:rPr>
        <w:t xml:space="preserve">Clinical Severity </w:t>
      </w:r>
    </w:p>
    <w:p w:rsidR="006D696E" w:rsidRPr="00651165" w:rsidRDefault="006D696E" w:rsidP="008215FE">
      <w:pPr>
        <w:spacing w:after="0" w:line="480" w:lineRule="auto"/>
        <w:ind w:firstLine="357"/>
        <w:rPr>
          <w:sz w:val="20"/>
          <w:szCs w:val="20"/>
        </w:rPr>
      </w:pPr>
      <w:r w:rsidRPr="00651165">
        <w:t xml:space="preserve">Total Severity Scores ranged from 3 to 15 (mean 8.6, SD 3.16). </w:t>
      </w:r>
      <w:r w:rsidR="008215FE">
        <w:t>Fifty-five (60.4%)</w:t>
      </w:r>
      <w:r w:rsidRPr="00651165">
        <w:t xml:space="preserve"> present</w:t>
      </w:r>
      <w:r w:rsidR="008215FE">
        <w:t>ed</w:t>
      </w:r>
      <w:r w:rsidRPr="00651165">
        <w:t xml:space="preserve"> with a mild phenotype (</w:t>
      </w:r>
      <w:r w:rsidR="008215FE">
        <w:t xml:space="preserve">severity </w:t>
      </w:r>
      <w:r w:rsidRPr="00651165">
        <w:t xml:space="preserve">score ≤ 9) </w:t>
      </w:r>
      <w:r w:rsidR="008215FE">
        <w:t>and the remaining 36 (39.6%) with a</w:t>
      </w:r>
      <w:r w:rsidRPr="00651165">
        <w:t xml:space="preserve"> more severe phenotype (score &gt;9). </w:t>
      </w:r>
      <w:r w:rsidR="007049FB">
        <w:rPr>
          <w:szCs w:val="20"/>
        </w:rPr>
        <w:t xml:space="preserve">The </w:t>
      </w:r>
      <w:r w:rsidR="007049FB" w:rsidRPr="00651165">
        <w:rPr>
          <w:szCs w:val="20"/>
        </w:rPr>
        <w:t>severity score</w:t>
      </w:r>
      <w:r w:rsidR="007049FB">
        <w:rPr>
          <w:szCs w:val="20"/>
        </w:rPr>
        <w:t>s of</w:t>
      </w:r>
      <w:r w:rsidR="007049FB" w:rsidRPr="00651165">
        <w:rPr>
          <w:szCs w:val="20"/>
        </w:rPr>
        <w:t xml:space="preserve"> mutation groups </w:t>
      </w:r>
      <w:r w:rsidRPr="00651165">
        <w:rPr>
          <w:szCs w:val="20"/>
        </w:rPr>
        <w:t>significant</w:t>
      </w:r>
      <w:r w:rsidR="007049FB">
        <w:rPr>
          <w:szCs w:val="20"/>
        </w:rPr>
        <w:t>ly differed</w:t>
      </w:r>
      <w:r w:rsidRPr="00651165">
        <w:rPr>
          <w:szCs w:val="20"/>
        </w:rPr>
        <w:t xml:space="preserve"> </w:t>
      </w:r>
      <w:r w:rsidR="004A413E">
        <w:t>(</w:t>
      </w:r>
      <w:r w:rsidR="008215FE">
        <w:t>χ²</w:t>
      </w:r>
      <w:r w:rsidRPr="00651165">
        <w:rPr>
          <w:vertAlign w:val="subscript"/>
        </w:rPr>
        <w:t>5</w:t>
      </w:r>
      <w:r w:rsidRPr="00651165">
        <w:rPr>
          <w:vertAlign w:val="subscript"/>
        </w:rPr>
        <w:t></w:t>
      </w:r>
      <w:r w:rsidRPr="00651165">
        <w:rPr>
          <w:vertAlign w:val="superscript"/>
        </w:rPr>
        <w:t xml:space="preserve"> </w:t>
      </w:r>
      <w:r w:rsidR="008215FE">
        <w:t>= 11.62</w:t>
      </w:r>
      <w:r w:rsidRPr="00651165">
        <w:t>, p&lt; .05</w:t>
      </w:r>
      <w:r w:rsidR="00FF24C6">
        <w:t>, see Table I</w:t>
      </w:r>
      <w:r w:rsidRPr="00651165">
        <w:t>).</w:t>
      </w:r>
      <w:r w:rsidRPr="00651165">
        <w:rPr>
          <w:szCs w:val="20"/>
        </w:rPr>
        <w:t xml:space="preserve"> </w:t>
      </w:r>
      <w:r w:rsidR="00BC3073">
        <w:rPr>
          <w:szCs w:val="20"/>
        </w:rPr>
        <w:t xml:space="preserve">Those with an </w:t>
      </w:r>
      <w:r w:rsidR="00BC777F">
        <w:rPr>
          <w:szCs w:val="20"/>
        </w:rPr>
        <w:t xml:space="preserve">early truncating or large deletion mutation had greater severity scores in total and in relation to walking and hand use than those with </w:t>
      </w:r>
      <w:proofErr w:type="spellStart"/>
      <w:r w:rsidR="00BC777F" w:rsidRPr="00651165">
        <w:t>missense</w:t>
      </w:r>
      <w:proofErr w:type="spellEnd"/>
      <w:r w:rsidR="00BC777F" w:rsidRPr="00651165">
        <w:t>, late trunc</w:t>
      </w:r>
      <w:r w:rsidR="006B66FF" w:rsidRPr="00651165">
        <w:t xml:space="preserve">ating </w:t>
      </w:r>
      <w:r w:rsidR="006B66FF">
        <w:t>and</w:t>
      </w:r>
      <w:r w:rsidR="00BC777F">
        <w:t xml:space="preserve"> C-t</w:t>
      </w:r>
      <w:r w:rsidR="006B66FF" w:rsidRPr="00651165">
        <w:t>erminal</w:t>
      </w:r>
      <w:r w:rsidR="006B66FF">
        <w:t xml:space="preserve"> </w:t>
      </w:r>
      <w:r w:rsidR="006B66FF">
        <w:rPr>
          <w:szCs w:val="20"/>
        </w:rPr>
        <w:t xml:space="preserve">mutations </w:t>
      </w:r>
      <w:r w:rsidR="00BC3073">
        <w:rPr>
          <w:szCs w:val="20"/>
        </w:rPr>
        <w:t xml:space="preserve">(U= 377.5, 324.5 and 445.0; p&lt;.01, </w:t>
      </w:r>
      <w:r w:rsidR="004C225F">
        <w:rPr>
          <w:szCs w:val="20"/>
        </w:rPr>
        <w:t>.01 and .05 respectively).</w:t>
      </w:r>
      <w:r w:rsidR="00BC3073">
        <w:rPr>
          <w:szCs w:val="20"/>
        </w:rPr>
        <w:t xml:space="preserve"> In addition, a</w:t>
      </w:r>
      <w:r w:rsidR="00E9494D">
        <w:rPr>
          <w:szCs w:val="20"/>
        </w:rPr>
        <w:t xml:space="preserve">ge of regression was </w:t>
      </w:r>
      <w:r w:rsidR="00927186">
        <w:t xml:space="preserve">significantly inversely </w:t>
      </w:r>
      <w:r w:rsidR="00927186" w:rsidRPr="004615E2">
        <w:t>a</w:t>
      </w:r>
      <w:r w:rsidR="00927186">
        <w:t>ssociated with severity score (</w:t>
      </w:r>
      <w:proofErr w:type="spellStart"/>
      <w:r w:rsidR="00927186">
        <w:t>r</w:t>
      </w:r>
      <w:r w:rsidR="00927186" w:rsidRPr="004615E2">
        <w:rPr>
          <w:vertAlign w:val="subscript"/>
        </w:rPr>
        <w:t>s</w:t>
      </w:r>
      <w:proofErr w:type="spellEnd"/>
      <w:r w:rsidR="00927186">
        <w:t xml:space="preserve"> =</w:t>
      </w:r>
      <w:r w:rsidR="00927186" w:rsidRPr="004615E2">
        <w:t xml:space="preserve"> </w:t>
      </w:r>
      <w:r w:rsidR="00726AFB">
        <w:t>-0.31, p&lt;.01</w:t>
      </w:r>
      <w:r w:rsidR="00927186">
        <w:t>)</w:t>
      </w:r>
      <w:r w:rsidR="00927186" w:rsidRPr="004615E2">
        <w:t>.</w:t>
      </w:r>
    </w:p>
    <w:p w:rsidR="008215FE" w:rsidRPr="00DE04C3" w:rsidRDefault="008215FE" w:rsidP="008215FE">
      <w:pPr>
        <w:spacing w:after="0" w:line="480" w:lineRule="auto"/>
        <w:rPr>
          <w:u w:val="single"/>
        </w:rPr>
      </w:pPr>
      <w:r w:rsidRPr="00DE04C3">
        <w:rPr>
          <w:u w:val="single"/>
        </w:rPr>
        <w:t>Current abilities</w:t>
      </w:r>
    </w:p>
    <w:p w:rsidR="008215FE" w:rsidRDefault="008215FE" w:rsidP="008215FE">
      <w:pPr>
        <w:spacing w:after="0" w:line="480" w:lineRule="auto"/>
        <w:ind w:firstLine="357"/>
      </w:pPr>
      <w:r w:rsidRPr="00651165">
        <w:t>According to parental report, 14 individuals (15.4%) had retained some speech, although only 3 (3.3%) of the sample had 30 or more words. About two-thirds (65.9%</w:t>
      </w:r>
      <w:r>
        <w:t>)</w:t>
      </w:r>
      <w:r w:rsidRPr="00651165">
        <w:t xml:space="preserve"> could com</w:t>
      </w:r>
      <w:r w:rsidR="002C785D">
        <w:t xml:space="preserve">municate with gesture or sound, </w:t>
      </w:r>
      <w:r w:rsidRPr="00651165">
        <w:t>predominantly w</w:t>
      </w:r>
      <w:r w:rsidR="002C785D">
        <w:t>ith eye contact or eye pointing,</w:t>
      </w:r>
      <w:r w:rsidRPr="00651165">
        <w:t xml:space="preserve"> and 67.0%</w:t>
      </w:r>
      <w:r>
        <w:t xml:space="preserve"> could </w:t>
      </w:r>
      <w:r w:rsidRPr="00651165">
        <w:t xml:space="preserve">make a choice between two items. Although hand use was lost during regression, </w:t>
      </w:r>
      <w:r>
        <w:t>minorities</w:t>
      </w:r>
      <w:r w:rsidRPr="00651165">
        <w:t xml:space="preserve"> could still feed with fingers and/or use a spoon or fork (36.9% and 17.</w:t>
      </w:r>
      <w:r>
        <w:t>6%, respectively). The ability</w:t>
      </w:r>
      <w:r w:rsidRPr="00651165">
        <w:t xml:space="preserve"> to reach for an object </w:t>
      </w:r>
      <w:r>
        <w:t xml:space="preserve">was retained </w:t>
      </w:r>
      <w:r w:rsidRPr="00651165">
        <w:t>o</w:t>
      </w:r>
      <w:r>
        <w:t>r regained</w:t>
      </w:r>
      <w:r w:rsidRPr="00651165">
        <w:t xml:space="preserve"> in 52.7% an</w:t>
      </w:r>
      <w:r>
        <w:t>d to hold an object in</w:t>
      </w:r>
      <w:r w:rsidRPr="00651165">
        <w:t xml:space="preserve"> 35.2%. Although the ability to walk was impaired, 52.7% of the </w:t>
      </w:r>
      <w:r>
        <w:t>sample could walk with support and 37.4%</w:t>
      </w:r>
      <w:r w:rsidRPr="00651165">
        <w:t xml:space="preserve"> </w:t>
      </w:r>
      <w:r>
        <w:t>could</w:t>
      </w:r>
      <w:r w:rsidRPr="00651165">
        <w:t xml:space="preserve"> walk independently. </w:t>
      </w:r>
    </w:p>
    <w:p w:rsidR="008215FE" w:rsidRPr="00651165" w:rsidRDefault="008215FE" w:rsidP="008215FE">
      <w:pPr>
        <w:spacing w:after="0" w:line="480" w:lineRule="auto"/>
        <w:ind w:firstLine="357"/>
      </w:pPr>
      <w:r>
        <w:t>According to the VABS (N = 84), 71 (84.5%) scored b</w:t>
      </w:r>
      <w:r w:rsidR="001837EC">
        <w:t>elow 20 on the Adaptive Behavio</w:t>
      </w:r>
      <w:r>
        <w:t xml:space="preserve">r Composite and the remaining </w:t>
      </w:r>
      <w:r w:rsidR="00B512A9">
        <w:t xml:space="preserve">13 </w:t>
      </w:r>
      <w:r>
        <w:t>(15.5%) between 20 and 34. Descriptive analysis indicated that</w:t>
      </w:r>
      <w:r w:rsidR="001837EC">
        <w:t xml:space="preserve"> those with an Adaptive Behavio</w:t>
      </w:r>
      <w:r>
        <w:t xml:space="preserve">r Composite above 20 were children aged 4 -11 years. Mean age equivalent scores were 10.5 months (SD </w:t>
      </w:r>
      <w:r w:rsidRPr="004615E2">
        <w:t>3.15</w:t>
      </w:r>
      <w:r>
        <w:t xml:space="preserve">, range </w:t>
      </w:r>
      <w:r w:rsidRPr="004615E2">
        <w:t>4 – 23</w:t>
      </w:r>
      <w:r w:rsidR="001837EC">
        <w:t>) for the Adaptive Behavio</w:t>
      </w:r>
      <w:r>
        <w:t>r Composite, 9.9</w:t>
      </w:r>
      <w:r w:rsidRPr="004615E2">
        <w:t xml:space="preserve"> </w:t>
      </w:r>
      <w:r>
        <w:t>months (SD 4.67,</w:t>
      </w:r>
      <w:r w:rsidRPr="004615E2">
        <w:t xml:space="preserve"> </w:t>
      </w:r>
      <w:r>
        <w:t xml:space="preserve">range </w:t>
      </w:r>
      <w:r w:rsidRPr="004615E2">
        <w:t>1 – 34</w:t>
      </w:r>
      <w:r>
        <w:t xml:space="preserve">) for the Communication domain, </w:t>
      </w:r>
      <w:r w:rsidR="00111B4E">
        <w:t>12.7</w:t>
      </w:r>
      <w:r w:rsidRPr="004615E2">
        <w:t xml:space="preserve"> </w:t>
      </w:r>
      <w:r>
        <w:t>months (SD 3.91,</w:t>
      </w:r>
      <w:r w:rsidRPr="004615E2">
        <w:t xml:space="preserve"> </w:t>
      </w:r>
      <w:r>
        <w:t xml:space="preserve">range 1 – </w:t>
      </w:r>
      <w:r w:rsidRPr="004615E2">
        <w:t>23</w:t>
      </w:r>
      <w:r>
        <w:t xml:space="preserve">) for the Daily Living Skills domain, </w:t>
      </w:r>
      <w:r w:rsidR="00111B4E">
        <w:t>9.0</w:t>
      </w:r>
      <w:r w:rsidRPr="004615E2">
        <w:t xml:space="preserve"> </w:t>
      </w:r>
      <w:r>
        <w:t xml:space="preserve">months (SD </w:t>
      </w:r>
      <w:r w:rsidRPr="004615E2">
        <w:t>4.53</w:t>
      </w:r>
      <w:r>
        <w:t>,</w:t>
      </w:r>
      <w:r w:rsidRPr="004615E2">
        <w:t xml:space="preserve"> </w:t>
      </w:r>
      <w:r>
        <w:t xml:space="preserve">range 1 – </w:t>
      </w:r>
      <w:r w:rsidRPr="004615E2">
        <w:t>23</w:t>
      </w:r>
      <w:r>
        <w:t xml:space="preserve">) for the Socialization domain and </w:t>
      </w:r>
      <w:r w:rsidR="00111B4E">
        <w:t>5.5 months</w:t>
      </w:r>
      <w:r w:rsidRPr="004615E2">
        <w:t xml:space="preserve"> </w:t>
      </w:r>
      <w:r>
        <w:t>(SD 5.52,</w:t>
      </w:r>
      <w:r w:rsidRPr="004615E2">
        <w:t xml:space="preserve"> </w:t>
      </w:r>
      <w:r>
        <w:t xml:space="preserve">range 1 – </w:t>
      </w:r>
      <w:r w:rsidRPr="004615E2">
        <w:t>23</w:t>
      </w:r>
      <w:r>
        <w:t xml:space="preserve">) for the Motor Skills domain. Level of developmental delay was </w:t>
      </w:r>
      <w:r w:rsidR="00AB72D1">
        <w:t xml:space="preserve">thus </w:t>
      </w:r>
      <w:r>
        <w:t>assessed as p</w:t>
      </w:r>
      <w:r w:rsidRPr="004615E2">
        <w:t xml:space="preserve">rofound </w:t>
      </w:r>
      <w:r>
        <w:t xml:space="preserve">in </w:t>
      </w:r>
      <w:r w:rsidRPr="004615E2">
        <w:t>77</w:t>
      </w:r>
      <w:r>
        <w:t xml:space="preserve"> (91.7%</w:t>
      </w:r>
      <w:r w:rsidRPr="004615E2">
        <w:t xml:space="preserve">) </w:t>
      </w:r>
      <w:r>
        <w:t>and s</w:t>
      </w:r>
      <w:r w:rsidRPr="004615E2">
        <w:t xml:space="preserve">evere </w:t>
      </w:r>
      <w:r>
        <w:t>in seven (8.3%</w:t>
      </w:r>
      <w:r w:rsidRPr="004615E2">
        <w:t>)</w:t>
      </w:r>
      <w:r>
        <w:t>. There were</w:t>
      </w:r>
      <w:r w:rsidRPr="004615E2">
        <w:t xml:space="preserve"> significant negative associations between the </w:t>
      </w:r>
      <w:r>
        <w:t xml:space="preserve">simplified </w:t>
      </w:r>
      <w:r w:rsidRPr="004615E2">
        <w:t>severity score and all VABS domains except for socialization skills</w:t>
      </w:r>
      <w:r>
        <w:t xml:space="preserve"> (-0.75&lt;</w:t>
      </w:r>
      <w:proofErr w:type="spellStart"/>
      <w:r>
        <w:t>r</w:t>
      </w:r>
      <w:r w:rsidRPr="004615E2">
        <w:rPr>
          <w:vertAlign w:val="subscript"/>
        </w:rPr>
        <w:t>s</w:t>
      </w:r>
      <w:proofErr w:type="spellEnd"/>
      <w:r>
        <w:t>&lt;-0.32, all p&lt;.01</w:t>
      </w:r>
      <w:r w:rsidRPr="004615E2">
        <w:t>.</w:t>
      </w:r>
      <w:r>
        <w:t>)</w:t>
      </w:r>
      <w:r w:rsidRPr="004615E2">
        <w:t xml:space="preserve"> Older age of regression was </w:t>
      </w:r>
      <w:r>
        <w:t xml:space="preserve">significantly </w:t>
      </w:r>
      <w:r w:rsidRPr="004615E2">
        <w:t>a</w:t>
      </w:r>
      <w:r>
        <w:t>ssociated with higher Daily L</w:t>
      </w:r>
      <w:r w:rsidRPr="004615E2">
        <w:t xml:space="preserve">iving </w:t>
      </w:r>
      <w:r>
        <w:t>Skills (</w:t>
      </w:r>
      <w:proofErr w:type="spellStart"/>
      <w:r>
        <w:t>r</w:t>
      </w:r>
      <w:r w:rsidRPr="004615E2">
        <w:rPr>
          <w:vertAlign w:val="subscript"/>
        </w:rPr>
        <w:t>s</w:t>
      </w:r>
      <w:proofErr w:type="spellEnd"/>
      <w:r>
        <w:t xml:space="preserve"> =</w:t>
      </w:r>
      <w:r w:rsidRPr="004615E2">
        <w:t xml:space="preserve"> </w:t>
      </w:r>
      <w:r>
        <w:t xml:space="preserve">0.32, p&lt;.005) </w:t>
      </w:r>
      <w:r w:rsidR="00111B4E">
        <w:t>and Motor S</w:t>
      </w:r>
      <w:r w:rsidRPr="004615E2">
        <w:t>kills</w:t>
      </w:r>
      <w:r>
        <w:t xml:space="preserve"> (</w:t>
      </w:r>
      <w:proofErr w:type="spellStart"/>
      <w:r>
        <w:t>r</w:t>
      </w:r>
      <w:r w:rsidRPr="004615E2">
        <w:rPr>
          <w:vertAlign w:val="subscript"/>
        </w:rPr>
        <w:t>s</w:t>
      </w:r>
      <w:proofErr w:type="spellEnd"/>
      <w:r>
        <w:t xml:space="preserve"> =</w:t>
      </w:r>
      <w:r w:rsidRPr="004615E2">
        <w:t xml:space="preserve"> </w:t>
      </w:r>
      <w:r>
        <w:t>0.33, p&lt;.005)</w:t>
      </w:r>
      <w:r w:rsidRPr="004615E2">
        <w:t>.</w:t>
      </w:r>
      <w:r w:rsidR="004C225F">
        <w:t xml:space="preserve"> In addition, individuals with an </w:t>
      </w:r>
      <w:r w:rsidR="00BC777F">
        <w:t xml:space="preserve">early truncating mutation or a large deletion </w:t>
      </w:r>
      <w:r w:rsidR="004C225F">
        <w:t>had signi</w:t>
      </w:r>
      <w:r w:rsidR="001837EC">
        <w:t>ficantly lower Adaptive Behavio</w:t>
      </w:r>
      <w:r w:rsidR="004C225F">
        <w:t xml:space="preserve">r Composite, Communication domain, and Socialization domain scores </w:t>
      </w:r>
      <w:r w:rsidR="004C225F">
        <w:rPr>
          <w:szCs w:val="20"/>
        </w:rPr>
        <w:t>(U= 564.5, 619.0 and 537.5; p&lt;.01, .05 and .01 respectively).</w:t>
      </w:r>
    </w:p>
    <w:p w:rsidR="008D2009" w:rsidRPr="00321315" w:rsidRDefault="00321315" w:rsidP="008215FE">
      <w:pPr>
        <w:spacing w:after="0" w:line="480" w:lineRule="auto"/>
        <w:rPr>
          <w:u w:val="single"/>
        </w:rPr>
      </w:pPr>
      <w:r w:rsidRPr="00321315">
        <w:rPr>
          <w:u w:val="single"/>
        </w:rPr>
        <w:t>Health</w:t>
      </w:r>
    </w:p>
    <w:p w:rsidR="008215FE" w:rsidRDefault="008215FE" w:rsidP="008215FE">
      <w:pPr>
        <w:spacing w:after="0" w:line="480" w:lineRule="auto"/>
        <w:ind w:firstLine="357"/>
      </w:pPr>
      <w:r>
        <w:t>About two-thirds</w:t>
      </w:r>
      <w:r w:rsidR="00AB72D1">
        <w:t xml:space="preserve"> of the </w:t>
      </w:r>
      <w:r w:rsidR="00B77ED0">
        <w:t>91 participants</w:t>
      </w:r>
      <w:r w:rsidR="00AB72D1">
        <w:t xml:space="preserve"> was</w:t>
      </w:r>
      <w:r w:rsidRPr="00651165">
        <w:t xml:space="preserve"> reported to have </w:t>
      </w:r>
      <w:r w:rsidR="000B1F16">
        <w:t>seizures</w:t>
      </w:r>
      <w:r w:rsidRPr="00651165">
        <w:t xml:space="preserve"> </w:t>
      </w:r>
      <w:r w:rsidR="00471A69">
        <w:t>(</w:t>
      </w:r>
      <w:r w:rsidR="00B77ED0">
        <w:t xml:space="preserve">n=63, </w:t>
      </w:r>
      <w:r w:rsidR="00471A69">
        <w:t xml:space="preserve">69.2%) </w:t>
      </w:r>
      <w:r w:rsidRPr="00651165">
        <w:t>and to be currently on anti-epilepsy medication</w:t>
      </w:r>
      <w:r w:rsidR="00471A69">
        <w:t xml:space="preserve"> (</w:t>
      </w:r>
      <w:r w:rsidR="00B77ED0">
        <w:t xml:space="preserve">n=59, </w:t>
      </w:r>
      <w:r w:rsidR="00471A69">
        <w:t>64.8%)</w:t>
      </w:r>
      <w:r w:rsidR="00DD0CD1">
        <w:t xml:space="preserve">. However, </w:t>
      </w:r>
      <w:r w:rsidR="00206788">
        <w:t>about half</w:t>
      </w:r>
      <w:r w:rsidRPr="00651165">
        <w:t xml:space="preserve"> </w:t>
      </w:r>
      <w:r w:rsidR="00206788">
        <w:t>(</w:t>
      </w:r>
      <w:r w:rsidR="00B77ED0">
        <w:t>n=</w:t>
      </w:r>
      <w:r w:rsidR="00147EA4">
        <w:t>44, 48.4</w:t>
      </w:r>
      <w:r w:rsidR="00206788">
        <w:t xml:space="preserve">%) </w:t>
      </w:r>
      <w:r w:rsidRPr="00651165">
        <w:t xml:space="preserve">had not experienced seizures for </w:t>
      </w:r>
      <w:r w:rsidR="00DD0CD1">
        <w:t>at least a year</w:t>
      </w:r>
      <w:r w:rsidRPr="00651165">
        <w:t xml:space="preserve">. In contrast, </w:t>
      </w:r>
      <w:r w:rsidR="00147EA4">
        <w:t xml:space="preserve">7 </w:t>
      </w:r>
      <w:r w:rsidR="00AB72D1">
        <w:t xml:space="preserve">of the sample </w:t>
      </w:r>
      <w:r w:rsidR="00147EA4">
        <w:t xml:space="preserve">(7.7%) </w:t>
      </w:r>
      <w:r w:rsidR="00AB72D1">
        <w:t>was</w:t>
      </w:r>
      <w:r w:rsidRPr="00651165">
        <w:t xml:space="preserve"> reported to have seizu</w:t>
      </w:r>
      <w:r w:rsidR="00EB7A85">
        <w:t xml:space="preserve">res </w:t>
      </w:r>
      <w:r w:rsidR="000C55DE">
        <w:t xml:space="preserve">daily </w:t>
      </w:r>
      <w:r w:rsidR="006A1CAC">
        <w:t xml:space="preserve">and </w:t>
      </w:r>
      <w:r w:rsidR="00147EA4">
        <w:t>18 (</w:t>
      </w:r>
      <w:r w:rsidR="006A1CAC">
        <w:t>19.8</w:t>
      </w:r>
      <w:r w:rsidR="00726AFB">
        <w:t>%</w:t>
      </w:r>
      <w:r w:rsidR="00147EA4">
        <w:t>)</w:t>
      </w:r>
      <w:r w:rsidR="00EB7A85">
        <w:t xml:space="preserve"> weekly</w:t>
      </w:r>
      <w:r w:rsidRPr="00651165">
        <w:t>. A</w:t>
      </w:r>
      <w:r w:rsidR="001667EC">
        <w:t>lthough an apparently</w:t>
      </w:r>
      <w:r w:rsidRPr="00651165">
        <w:t xml:space="preserve"> hi</w:t>
      </w:r>
      <w:r>
        <w:t>gher proportion of people with c</w:t>
      </w:r>
      <w:r w:rsidRPr="00651165">
        <w:t>lassic RTT were reported to experienc</w:t>
      </w:r>
      <w:r w:rsidR="00182DDF">
        <w:t>e daily or weekly seizures</w:t>
      </w:r>
      <w:r w:rsidR="00282495">
        <w:t xml:space="preserve"> (32.4</w:t>
      </w:r>
      <w:r w:rsidR="00282495" w:rsidRPr="00651165">
        <w:t>%</w:t>
      </w:r>
      <w:r w:rsidR="00282495">
        <w:t>)</w:t>
      </w:r>
      <w:r w:rsidR="00182DDF">
        <w:t xml:space="preserve"> </w:t>
      </w:r>
      <w:r w:rsidRPr="00651165">
        <w:t>compared t</w:t>
      </w:r>
      <w:r>
        <w:t>o those with a</w:t>
      </w:r>
      <w:r w:rsidRPr="00651165">
        <w:t xml:space="preserve">typical RTT </w:t>
      </w:r>
      <w:r w:rsidR="00282495">
        <w:t>(</w:t>
      </w:r>
      <w:r w:rsidR="00182DDF">
        <w:t>10.3</w:t>
      </w:r>
      <w:r w:rsidR="00EB7A85" w:rsidRPr="00651165">
        <w:t>%</w:t>
      </w:r>
      <w:r w:rsidR="00EB7A85">
        <w:t>)</w:t>
      </w:r>
      <w:r w:rsidR="001667EC">
        <w:t>, this difference failed to reach statistical significance (χ²</w:t>
      </w:r>
      <w:r w:rsidR="001667EC">
        <w:rPr>
          <w:vertAlign w:val="subscript"/>
        </w:rPr>
        <w:t>(1</w:t>
      </w:r>
      <w:r w:rsidR="001667EC" w:rsidRPr="00651165">
        <w:rPr>
          <w:vertAlign w:val="subscript"/>
        </w:rPr>
        <w:t>)</w:t>
      </w:r>
      <w:r w:rsidR="001667EC" w:rsidRPr="00651165">
        <w:rPr>
          <w:vertAlign w:val="superscript"/>
        </w:rPr>
        <w:t xml:space="preserve"> </w:t>
      </w:r>
      <w:r w:rsidR="001667EC">
        <w:t>=3.54</w:t>
      </w:r>
      <w:r w:rsidR="001667EC" w:rsidRPr="00651165">
        <w:t>,</w:t>
      </w:r>
      <w:r w:rsidR="001667EC" w:rsidRPr="00651165">
        <w:rPr>
          <w:vertAlign w:val="superscript"/>
        </w:rPr>
        <w:t xml:space="preserve"> </w:t>
      </w:r>
      <w:r w:rsidR="001667EC">
        <w:t>p= .060)</w:t>
      </w:r>
      <w:r w:rsidRPr="00651165">
        <w:t>.</w:t>
      </w:r>
      <w:r w:rsidR="001667EC">
        <w:t xml:space="preserve"> Similarly, although an apparently</w:t>
      </w:r>
      <w:r w:rsidR="001667EC" w:rsidRPr="00651165">
        <w:t xml:space="preserve"> hi</w:t>
      </w:r>
      <w:r w:rsidR="001667EC">
        <w:t xml:space="preserve">gher proportion of people with </w:t>
      </w:r>
      <w:r w:rsidR="00BC777F">
        <w:t xml:space="preserve">early truncating or large deletion mutations </w:t>
      </w:r>
      <w:r w:rsidR="00BC777F" w:rsidRPr="00651165">
        <w:t>were reported to experienc</w:t>
      </w:r>
      <w:r w:rsidR="00BC777F">
        <w:t>e daily or weekly seizures (44.4</w:t>
      </w:r>
      <w:r w:rsidR="00BC777F" w:rsidRPr="00651165">
        <w:t>%</w:t>
      </w:r>
      <w:r w:rsidR="00BC777F">
        <w:t>)</w:t>
      </w:r>
      <w:r w:rsidR="00BC777F" w:rsidRPr="00651165">
        <w:t xml:space="preserve"> compared t</w:t>
      </w:r>
      <w:r w:rsidR="00BC777F">
        <w:t xml:space="preserve">o those with </w:t>
      </w:r>
      <w:proofErr w:type="spellStart"/>
      <w:r w:rsidR="00BC777F" w:rsidRPr="00651165">
        <w:t>missense</w:t>
      </w:r>
      <w:proofErr w:type="spellEnd"/>
      <w:r w:rsidR="00BC777F" w:rsidRPr="00651165">
        <w:t>, late truncating</w:t>
      </w:r>
      <w:r w:rsidR="001667EC" w:rsidRPr="00651165">
        <w:t xml:space="preserve"> </w:t>
      </w:r>
      <w:r w:rsidR="001667EC">
        <w:t>and</w:t>
      </w:r>
      <w:r w:rsidR="00BC777F">
        <w:t xml:space="preserve"> C-t</w:t>
      </w:r>
      <w:r w:rsidR="001667EC" w:rsidRPr="00651165">
        <w:t>erminal</w:t>
      </w:r>
      <w:r w:rsidR="001667EC">
        <w:t xml:space="preserve"> </w:t>
      </w:r>
      <w:r w:rsidR="001667EC">
        <w:rPr>
          <w:szCs w:val="20"/>
        </w:rPr>
        <w:t>mutations</w:t>
      </w:r>
      <w:r w:rsidR="001667EC">
        <w:t xml:space="preserve"> </w:t>
      </w:r>
      <w:r w:rsidR="00282495">
        <w:t>(</w:t>
      </w:r>
      <w:r w:rsidR="001667EC">
        <w:t>23.3</w:t>
      </w:r>
      <w:r w:rsidR="001667EC" w:rsidRPr="00651165">
        <w:t>%</w:t>
      </w:r>
      <w:r w:rsidR="001667EC">
        <w:t>), this difference also failed to reach statistical significance (χ²</w:t>
      </w:r>
      <w:r w:rsidR="001667EC">
        <w:rPr>
          <w:vertAlign w:val="subscript"/>
        </w:rPr>
        <w:t>(1</w:t>
      </w:r>
      <w:r w:rsidR="001667EC" w:rsidRPr="00651165">
        <w:rPr>
          <w:vertAlign w:val="subscript"/>
        </w:rPr>
        <w:t>)</w:t>
      </w:r>
      <w:r w:rsidR="001667EC" w:rsidRPr="00651165">
        <w:rPr>
          <w:vertAlign w:val="superscript"/>
        </w:rPr>
        <w:t xml:space="preserve"> </w:t>
      </w:r>
      <w:r w:rsidR="001667EC">
        <w:t>=3.46</w:t>
      </w:r>
      <w:r w:rsidR="001667EC" w:rsidRPr="00651165">
        <w:t>,</w:t>
      </w:r>
      <w:r w:rsidR="001667EC" w:rsidRPr="00651165">
        <w:rPr>
          <w:vertAlign w:val="superscript"/>
        </w:rPr>
        <w:t xml:space="preserve"> </w:t>
      </w:r>
      <w:r w:rsidR="001667EC">
        <w:t>p= .063)</w:t>
      </w:r>
      <w:r w:rsidR="001667EC" w:rsidRPr="00651165">
        <w:t>.</w:t>
      </w:r>
    </w:p>
    <w:p w:rsidR="00D50D55" w:rsidRPr="00651165" w:rsidRDefault="003C1EB8" w:rsidP="008215FE">
      <w:pPr>
        <w:spacing w:after="0" w:line="480" w:lineRule="auto"/>
        <w:ind w:firstLine="357"/>
      </w:pPr>
      <w:r>
        <w:t xml:space="preserve">Reported heights and weights for participants aged </w:t>
      </w:r>
      <w:r w:rsidR="001565BA">
        <w:t>below 20 years were entered with their ages into the Center for Disease Control and Prevention body mass i</w:t>
      </w:r>
      <w:r w:rsidR="001565BA" w:rsidRPr="00651165">
        <w:t>nd</w:t>
      </w:r>
      <w:r w:rsidR="001565BA">
        <w:t>ex</w:t>
      </w:r>
      <w:r w:rsidR="001565BA" w:rsidRPr="00651165">
        <w:t xml:space="preserve"> </w:t>
      </w:r>
      <w:r w:rsidR="001565BA">
        <w:t xml:space="preserve">(BMI) calculator for children and teenagers to determine whether they were a healthy weight. Otherwise, for participants aged 20 years or over, a BMI&lt; </w:t>
      </w:r>
      <w:r w:rsidR="001565BA" w:rsidRPr="00651165">
        <w:t>18.5</w:t>
      </w:r>
      <w:r w:rsidR="001565BA">
        <w:t xml:space="preserve"> was considered as underweight, a BMI between 18.5 and 24.9 was considered as a healthy weight, a BMI between 25.0 and 29.9 was considered overweight and a BMI of 30 or greater was considered obese. </w:t>
      </w:r>
      <w:r w:rsidR="003F7DCC">
        <w:t>Among the children and teenagers, 19.4</w:t>
      </w:r>
      <w:r w:rsidR="00D50D55">
        <w:t>%</w:t>
      </w:r>
      <w:r w:rsidR="008D2009" w:rsidRPr="00651165">
        <w:t xml:space="preserve"> </w:t>
      </w:r>
      <w:r w:rsidR="00D50D55" w:rsidRPr="00651165">
        <w:t>were underweight</w:t>
      </w:r>
      <w:r w:rsidR="00D50D55">
        <w:t xml:space="preserve">, </w:t>
      </w:r>
      <w:r w:rsidR="001C5508">
        <w:t>58.3</w:t>
      </w:r>
      <w:r w:rsidR="008D2009" w:rsidRPr="00651165">
        <w:t xml:space="preserve">% </w:t>
      </w:r>
      <w:r w:rsidR="00D50D55">
        <w:t xml:space="preserve">had </w:t>
      </w:r>
      <w:r w:rsidR="001C5508">
        <w:t>healthy weight and</w:t>
      </w:r>
      <w:r w:rsidR="00D50D55">
        <w:t xml:space="preserve"> </w:t>
      </w:r>
      <w:r w:rsidR="001C5508">
        <w:t>22.2</w:t>
      </w:r>
      <w:r w:rsidR="008D2009" w:rsidRPr="00651165">
        <w:t xml:space="preserve">% </w:t>
      </w:r>
      <w:r w:rsidR="00D50D55">
        <w:t xml:space="preserve">were </w:t>
      </w:r>
      <w:r w:rsidR="00D50D55" w:rsidRPr="00651165">
        <w:t>overweight</w:t>
      </w:r>
      <w:r w:rsidR="008D2009" w:rsidRPr="00651165">
        <w:t xml:space="preserve">. </w:t>
      </w:r>
      <w:r w:rsidR="001C5508">
        <w:t>Among adults aged 20 years or over, 44.7</w:t>
      </w:r>
      <w:r w:rsidR="003F7DCC">
        <w:t>%</w:t>
      </w:r>
      <w:r w:rsidR="001C5508">
        <w:t xml:space="preserve"> were underweight</w:t>
      </w:r>
      <w:r w:rsidR="003F7DCC">
        <w:t xml:space="preserve">, </w:t>
      </w:r>
      <w:r w:rsidR="001C5508">
        <w:t>36.8</w:t>
      </w:r>
      <w:r w:rsidR="003F7DCC" w:rsidRPr="00651165">
        <w:t xml:space="preserve">% </w:t>
      </w:r>
      <w:r w:rsidR="003F7DCC">
        <w:t xml:space="preserve">had </w:t>
      </w:r>
      <w:r w:rsidR="001C5508">
        <w:t>healthy</w:t>
      </w:r>
      <w:r w:rsidR="003F7DCC">
        <w:t xml:space="preserve"> weight, </w:t>
      </w:r>
      <w:r w:rsidR="001C5508">
        <w:t>15.8</w:t>
      </w:r>
      <w:r w:rsidR="003F7DCC" w:rsidRPr="00651165">
        <w:t xml:space="preserve">% </w:t>
      </w:r>
      <w:r w:rsidR="003F7DCC">
        <w:t xml:space="preserve">were </w:t>
      </w:r>
      <w:r w:rsidR="003F7DCC" w:rsidRPr="00651165">
        <w:t xml:space="preserve">overweight </w:t>
      </w:r>
      <w:r w:rsidR="001C5508">
        <w:t>and 2.6</w:t>
      </w:r>
      <w:r w:rsidR="003F7DCC" w:rsidRPr="00651165">
        <w:t xml:space="preserve">% </w:t>
      </w:r>
      <w:r w:rsidR="003F7DCC">
        <w:t>were</w:t>
      </w:r>
      <w:r w:rsidR="003F7DCC" w:rsidRPr="00651165">
        <w:t xml:space="preserve"> obese. </w:t>
      </w:r>
      <w:r w:rsidR="00A40958">
        <w:t xml:space="preserve">The </w:t>
      </w:r>
      <w:r w:rsidR="00846A19">
        <w:t>distribution of weight categories</w:t>
      </w:r>
      <w:r w:rsidR="008D2009" w:rsidRPr="00651165">
        <w:t xml:space="preserve"> </w:t>
      </w:r>
      <w:r w:rsidR="00282495">
        <w:t xml:space="preserve">did not differ across </w:t>
      </w:r>
      <w:r w:rsidR="00846A19">
        <w:t>diagnostic</w:t>
      </w:r>
      <w:r w:rsidR="00282495">
        <w:t xml:space="preserve"> or mutation groups</w:t>
      </w:r>
      <w:r w:rsidR="00846A19">
        <w:t xml:space="preserve"> among the children and teenagers</w:t>
      </w:r>
      <w:r w:rsidR="008D2009" w:rsidRPr="00651165">
        <w:t xml:space="preserve">. </w:t>
      </w:r>
      <w:r w:rsidR="00846A19">
        <w:t>However, among participants 20 years or over, there was a significant difference between diagnostic categories (χ²</w:t>
      </w:r>
      <w:r w:rsidR="00846A19">
        <w:rPr>
          <w:vertAlign w:val="subscript"/>
        </w:rPr>
        <w:t>(6</w:t>
      </w:r>
      <w:r w:rsidR="00846A19" w:rsidRPr="00651165">
        <w:rPr>
          <w:vertAlign w:val="subscript"/>
        </w:rPr>
        <w:t>)</w:t>
      </w:r>
      <w:r w:rsidR="00846A19" w:rsidRPr="00651165">
        <w:rPr>
          <w:vertAlign w:val="superscript"/>
        </w:rPr>
        <w:t xml:space="preserve"> </w:t>
      </w:r>
      <w:r w:rsidR="00846A19">
        <w:t>=23.19</w:t>
      </w:r>
      <w:r w:rsidR="00846A19" w:rsidRPr="00651165">
        <w:t>,</w:t>
      </w:r>
      <w:r w:rsidR="00846A19" w:rsidRPr="00651165">
        <w:rPr>
          <w:vertAlign w:val="superscript"/>
        </w:rPr>
        <w:t xml:space="preserve"> </w:t>
      </w:r>
      <w:r w:rsidR="0001717E">
        <w:t>p=</w:t>
      </w:r>
      <w:r w:rsidR="00846A19">
        <w:t>.001). There was a higher proportion of underweight older participants among those with classic RTT</w:t>
      </w:r>
      <w:r w:rsidR="0001717E">
        <w:t xml:space="preserve"> than those with atypical RTT or </w:t>
      </w:r>
      <w:r w:rsidR="0001717E" w:rsidRPr="0001717E">
        <w:rPr>
          <w:i/>
        </w:rPr>
        <w:t>MECP2</w:t>
      </w:r>
      <w:r w:rsidR="0001717E">
        <w:t>-related disorder and a corresponding lower proportion overweight or obese.</w:t>
      </w:r>
    </w:p>
    <w:p w:rsidR="00112128" w:rsidRDefault="00FF24C6" w:rsidP="00112128">
      <w:pPr>
        <w:spacing w:after="0" w:line="480" w:lineRule="auto"/>
        <w:ind w:firstLine="357"/>
      </w:pPr>
      <w:r>
        <w:t>Table II</w:t>
      </w:r>
      <w:r w:rsidR="008D2009" w:rsidRPr="00651165">
        <w:t xml:space="preserve"> lists the percentage occurrence </w:t>
      </w:r>
      <w:r w:rsidR="00D154A3">
        <w:t xml:space="preserve">at some level </w:t>
      </w:r>
      <w:r w:rsidR="008D2009" w:rsidRPr="00651165">
        <w:t xml:space="preserve">of a variety of health problems ever in the past and </w:t>
      </w:r>
      <w:r w:rsidR="00BD2CE0">
        <w:t>during</w:t>
      </w:r>
      <w:r w:rsidR="008D2009" w:rsidRPr="00651165">
        <w:t xml:space="preserve"> the last month. </w:t>
      </w:r>
      <w:r w:rsidR="00D154A3" w:rsidRPr="00D154A3">
        <w:t xml:space="preserve">The most common </w:t>
      </w:r>
      <w:r w:rsidR="00D154A3">
        <w:t>was epilepsy (79.1%</w:t>
      </w:r>
      <w:r w:rsidR="00D154A3" w:rsidRPr="00D154A3">
        <w:t xml:space="preserve"> ever</w:t>
      </w:r>
      <w:r w:rsidR="00D154A3">
        <w:t>,</w:t>
      </w:r>
      <w:r w:rsidR="00D154A3" w:rsidRPr="00D154A3">
        <w:t xml:space="preserve"> 51.6</w:t>
      </w:r>
      <w:r w:rsidR="00D154A3">
        <w:t>%</w:t>
      </w:r>
      <w:r w:rsidR="00D154A3" w:rsidRPr="00D154A3">
        <w:t xml:space="preserve"> </w:t>
      </w:r>
      <w:r w:rsidR="00D154A3">
        <w:t>in the last month), followed by</w:t>
      </w:r>
      <w:r w:rsidR="00D154A3" w:rsidRPr="00D154A3">
        <w:t xml:space="preserve"> gastrointestinal problems</w:t>
      </w:r>
      <w:r w:rsidR="00E0054F">
        <w:t>, such as reflux or stomach problems,</w:t>
      </w:r>
      <w:r w:rsidR="00D154A3" w:rsidRPr="00D154A3">
        <w:t xml:space="preserve"> (60.4%</w:t>
      </w:r>
      <w:r w:rsidR="00D154A3">
        <w:t xml:space="preserve"> ever, </w:t>
      </w:r>
      <w:r w:rsidR="00D154A3" w:rsidRPr="00D154A3">
        <w:t>35.1%</w:t>
      </w:r>
      <w:r w:rsidR="00D154A3">
        <w:t xml:space="preserve"> in the last month</w:t>
      </w:r>
      <w:r w:rsidR="00D154A3" w:rsidRPr="00D154A3">
        <w:t>), bowel problems</w:t>
      </w:r>
      <w:r w:rsidR="00E0054F">
        <w:t>, such as constipation or obstruction,</w:t>
      </w:r>
      <w:r w:rsidR="00D154A3" w:rsidRPr="00D154A3">
        <w:t xml:space="preserve"> (56.0%</w:t>
      </w:r>
      <w:r w:rsidR="00D154A3">
        <w:t xml:space="preserve"> ever, </w:t>
      </w:r>
      <w:r w:rsidR="00D154A3" w:rsidRPr="00D154A3">
        <w:t>41.7%</w:t>
      </w:r>
      <w:r w:rsidR="00D154A3">
        <w:t xml:space="preserve"> in the last month</w:t>
      </w:r>
      <w:r w:rsidR="00D154A3" w:rsidRPr="00D154A3">
        <w:t xml:space="preserve">), </w:t>
      </w:r>
      <w:r w:rsidR="00D154A3">
        <w:t xml:space="preserve">dental problems (42.8% ever, 12.1% in the last month) </w:t>
      </w:r>
      <w:r w:rsidR="00D154A3" w:rsidRPr="00D154A3">
        <w:t>and skin problems (40.6%</w:t>
      </w:r>
      <w:r w:rsidR="00D154A3">
        <w:t xml:space="preserve"> ever, 29.7% in the last month</w:t>
      </w:r>
      <w:r w:rsidR="00D154A3" w:rsidRPr="00D154A3">
        <w:t xml:space="preserve">). </w:t>
      </w:r>
      <w:r w:rsidR="007B1D16">
        <w:t>T</w:t>
      </w:r>
      <w:r w:rsidR="007B1D16" w:rsidRPr="00B25C2B">
        <w:t>he majority of the sample had some degree of scoliosis (59.4%, requiring surgery in 29.7%).</w:t>
      </w:r>
      <w:r w:rsidR="007B1D16">
        <w:t xml:space="preserve"> </w:t>
      </w:r>
      <w:r w:rsidR="00D154A3">
        <w:t xml:space="preserve">Lung or </w:t>
      </w:r>
      <w:r w:rsidR="00D154A3" w:rsidRPr="00D154A3">
        <w:t xml:space="preserve">respiratory problems </w:t>
      </w:r>
      <w:r w:rsidR="00282495">
        <w:t xml:space="preserve">in the last month </w:t>
      </w:r>
      <w:r w:rsidR="00D154A3">
        <w:t>were also reported by 11.0%</w:t>
      </w:r>
      <w:r w:rsidR="00D154A3" w:rsidRPr="00D154A3">
        <w:t>.</w:t>
      </w:r>
      <w:r w:rsidR="00D154A3">
        <w:t xml:space="preserve"> </w:t>
      </w:r>
      <w:r w:rsidR="00112128">
        <w:t>In addition, in response to one of the GDQ questions, 34.1% assessed their daughter as being prone to respiratory tract infections, a tenth of whom reported monthly occurrence, three tenths quarterly occurrence, just over a quarter biannual occurrence and about a third annual occurrence.</w:t>
      </w:r>
    </w:p>
    <w:p w:rsidR="00B84C3B" w:rsidRDefault="00D154A3" w:rsidP="006A1CAC">
      <w:pPr>
        <w:spacing w:after="0" w:line="480" w:lineRule="auto"/>
        <w:ind w:firstLine="357"/>
      </w:pPr>
      <w:r>
        <w:t>Compared to maximum scores possible of 45</w:t>
      </w:r>
      <w:r w:rsidR="00B512A9">
        <w:t xml:space="preserve"> in each time period</w:t>
      </w:r>
      <w:r w:rsidR="00112128">
        <w:t xml:space="preserve"> on the Health Questionnaire</w:t>
      </w:r>
      <w:r>
        <w:t>, m</w:t>
      </w:r>
      <w:r w:rsidRPr="00D154A3">
        <w:t xml:space="preserve">ean </w:t>
      </w:r>
      <w:r>
        <w:t>scores were 3.4</w:t>
      </w:r>
      <w:r w:rsidRPr="00D154A3">
        <w:t xml:space="preserve"> (SD 3.30) </w:t>
      </w:r>
      <w:r>
        <w:t>in the previous month and 9.5</w:t>
      </w:r>
      <w:r w:rsidRPr="00D154A3">
        <w:t xml:space="preserve"> (SD 5.82)</w:t>
      </w:r>
      <w:r>
        <w:t xml:space="preserve"> ever</w:t>
      </w:r>
      <w:r w:rsidRPr="00D154A3">
        <w:t xml:space="preserve"> during the </w:t>
      </w:r>
      <w:r>
        <w:t>person’s life</w:t>
      </w:r>
      <w:r w:rsidRPr="00D154A3">
        <w:t xml:space="preserve">. </w:t>
      </w:r>
      <w:r w:rsidR="008D2009" w:rsidRPr="00651165">
        <w:t>There were no significant differences in the distribution of health problems between diagnostic groups</w:t>
      </w:r>
      <w:r w:rsidR="00A97D16">
        <w:t>, although there was a difference in</w:t>
      </w:r>
      <w:r>
        <w:t xml:space="preserve"> the overall health score </w:t>
      </w:r>
      <w:r w:rsidR="00A96C43">
        <w:t>ever during</w:t>
      </w:r>
      <w:r w:rsidR="00A96C43" w:rsidRPr="00651165">
        <w:t xml:space="preserve"> the person’s life</w:t>
      </w:r>
      <w:r w:rsidR="00A96C43">
        <w:t xml:space="preserve"> </w:t>
      </w:r>
      <w:r>
        <w:t>(χ²</w:t>
      </w:r>
      <w:r w:rsidR="008D2009" w:rsidRPr="00A96C43">
        <w:rPr>
          <w:vertAlign w:val="subscript"/>
        </w:rPr>
        <w:t>(2)</w:t>
      </w:r>
      <w:r w:rsidR="008D2009" w:rsidRPr="00651165">
        <w:rPr>
          <w:vertAlign w:val="superscript"/>
        </w:rPr>
        <w:t xml:space="preserve"> </w:t>
      </w:r>
      <w:r>
        <w:t>= 9.97</w:t>
      </w:r>
      <w:r w:rsidR="008D2009" w:rsidRPr="00651165">
        <w:t xml:space="preserve">, p&lt; .05). Post-hoc analysis indicated that individuals </w:t>
      </w:r>
      <w:r w:rsidR="00A97D16">
        <w:t>with c</w:t>
      </w:r>
      <w:r w:rsidR="008D2009" w:rsidRPr="00651165">
        <w:t>lassic RTT experienced greater he</w:t>
      </w:r>
      <w:r w:rsidR="00A96C43">
        <w:t xml:space="preserve">alth problems during their lives than </w:t>
      </w:r>
      <w:r w:rsidR="008D2009" w:rsidRPr="00651165">
        <w:t xml:space="preserve">individuals with atypical RTT (U = 351.0 z = -3.096, p&lt; .005). </w:t>
      </w:r>
      <w:r w:rsidR="002D0A76">
        <w:t>Health scores did not differ between mutation groups.</w:t>
      </w:r>
    </w:p>
    <w:p w:rsidR="00360FA7" w:rsidRPr="00360FA7" w:rsidRDefault="00360FA7" w:rsidP="00360FA7">
      <w:pPr>
        <w:spacing w:after="0" w:line="480" w:lineRule="auto"/>
        <w:rPr>
          <w:u w:val="single"/>
        </w:rPr>
      </w:pPr>
      <w:r w:rsidRPr="00360FA7">
        <w:rPr>
          <w:u w:val="single"/>
        </w:rPr>
        <w:t>Indications of Pain</w:t>
      </w:r>
    </w:p>
    <w:p w:rsidR="00996CC3" w:rsidRDefault="00FF24C6" w:rsidP="006A1CAC">
      <w:pPr>
        <w:spacing w:after="0" w:line="480" w:lineRule="auto"/>
        <w:ind w:firstLine="357"/>
      </w:pPr>
      <w:r>
        <w:t>Table III</w:t>
      </w:r>
      <w:r w:rsidR="00B84C3B">
        <w:t xml:space="preserve"> gives descriptive information about the five sections of the NCCP-R included in the study. Mean section scores were towards the lower end of their ranges. However, the higher ends of the ranges either equaled or approached the section maximum scores. Moreover, </w:t>
      </w:r>
      <w:r w:rsidR="00996CC3">
        <w:t xml:space="preserve">for each of the five sections, </w:t>
      </w:r>
      <w:r w:rsidR="00B84C3B">
        <w:t xml:space="preserve">only approximately an eighth to a third </w:t>
      </w:r>
      <w:r w:rsidR="00EB7A85">
        <w:t xml:space="preserve">of the sample </w:t>
      </w:r>
      <w:r w:rsidR="00B84C3B">
        <w:t xml:space="preserve">had </w:t>
      </w:r>
      <w:r w:rsidR="00996CC3">
        <w:t>all items</w:t>
      </w:r>
      <w:r w:rsidR="00FB5F1D">
        <w:t xml:space="preserve"> </w:t>
      </w:r>
      <w:r w:rsidR="00996CC3">
        <w:t>rated as not occurring. S</w:t>
      </w:r>
      <w:r w:rsidR="00FB5F1D">
        <w:t xml:space="preserve">imilar proportions had at least one item in </w:t>
      </w:r>
      <w:r w:rsidR="00996CC3">
        <w:t>each</w:t>
      </w:r>
      <w:r w:rsidR="00FB5F1D">
        <w:t xml:space="preserve"> section rated as occurring very frequently. Across the five sets of items as a whole, 51.2% of the sample were reported as having </w:t>
      </w:r>
      <w:r w:rsidR="00996CC3">
        <w:t>experience</w:t>
      </w:r>
      <w:r w:rsidR="00FB5F1D">
        <w:t>d at least one item very frequently in the previous week (12.2% had 3 or more very frequently). In addition, in response to one of the GDQ questions, only 33.4% reported that their daughter did not appear to be in pain or discomfort in the previous two weeks. Over a third (37.8%) reported the appearance of pain or discomfort as occurring weekly, 20.0% daily, 4.4% hourly and 3.3% more than hourly.</w:t>
      </w:r>
    </w:p>
    <w:p w:rsidR="008D2009" w:rsidRPr="00D6706E" w:rsidRDefault="00D6706E" w:rsidP="006A1CAC">
      <w:pPr>
        <w:spacing w:after="0" w:line="480" w:lineRule="auto"/>
        <w:jc w:val="center"/>
        <w:rPr>
          <w:b/>
        </w:rPr>
      </w:pPr>
      <w:r w:rsidRPr="00D6706E">
        <w:rPr>
          <w:b/>
        </w:rPr>
        <w:t>DISCUSSION</w:t>
      </w:r>
    </w:p>
    <w:p w:rsidR="00B528DA" w:rsidRDefault="00282495" w:rsidP="004A6763">
      <w:pPr>
        <w:spacing w:after="0" w:line="480" w:lineRule="auto"/>
        <w:ind w:firstLine="357"/>
      </w:pPr>
      <w:r>
        <w:t>In t</w:t>
      </w:r>
      <w:r w:rsidR="008D2009" w:rsidRPr="00651165">
        <w:t xml:space="preserve">his </w:t>
      </w:r>
      <w:r w:rsidR="00231638">
        <w:t>pap</w:t>
      </w:r>
      <w:r w:rsidR="008D2009" w:rsidRPr="00651165">
        <w:t>er</w:t>
      </w:r>
      <w:r>
        <w:t>,</w:t>
      </w:r>
      <w:r w:rsidR="008D2009" w:rsidRPr="00651165">
        <w:t xml:space="preserve"> </w:t>
      </w:r>
      <w:r>
        <w:t>we</w:t>
      </w:r>
      <w:r w:rsidR="00231638">
        <w:t xml:space="preserve"> presented descriptive,</w:t>
      </w:r>
      <w:r w:rsidR="008D2009" w:rsidRPr="00651165">
        <w:t xml:space="preserve"> clinical </w:t>
      </w:r>
      <w:r w:rsidR="00231638">
        <w:t xml:space="preserve">and health </w:t>
      </w:r>
      <w:r w:rsidR="008D2009" w:rsidRPr="00651165">
        <w:t xml:space="preserve">data on 91 </w:t>
      </w:r>
      <w:r w:rsidR="006415CB">
        <w:t xml:space="preserve">girls and women </w:t>
      </w:r>
      <w:r w:rsidR="008D2009" w:rsidRPr="00651165">
        <w:t xml:space="preserve">with RTT. </w:t>
      </w:r>
      <w:r w:rsidR="006415CB">
        <w:t xml:space="preserve">The sample was drawn from a national database with all families whose child met the criteria invited to participate. It was also a </w:t>
      </w:r>
      <w:r w:rsidR="00147EA4">
        <w:t>reasonably</w:t>
      </w:r>
      <w:r w:rsidR="006415CB">
        <w:t xml:space="preserve"> large sample for a study of RTT. However, it</w:t>
      </w:r>
      <w:r w:rsidR="00231638">
        <w:t xml:space="preserve"> was skewed towards those living in the family home as the main research purpose was to investigate the relat</w:t>
      </w:r>
      <w:r w:rsidR="006415CB">
        <w:t>ionship between child character</w:t>
      </w:r>
      <w:r w:rsidR="00231638">
        <w:t>i</w:t>
      </w:r>
      <w:r w:rsidR="006415CB">
        <w:t>s</w:t>
      </w:r>
      <w:r w:rsidR="00231638">
        <w:t>tics and parental well-being</w:t>
      </w:r>
      <w:r w:rsidR="006415CB">
        <w:t xml:space="preserve">. </w:t>
      </w:r>
      <w:r w:rsidR="00B528DA">
        <w:t xml:space="preserve">The 11 participants in out-of-family placements were, on average, older than those living in the family home (mean, 28.0 yrs vs. 19.5 yrs), </w:t>
      </w:r>
      <w:r w:rsidR="004A6763">
        <w:t xml:space="preserve">albeit that the two groups were similar in age among the adults: </w:t>
      </w:r>
      <w:r w:rsidR="00B528DA">
        <w:t xml:space="preserve">almost all of the children lived with their parents. In addition, </w:t>
      </w:r>
      <w:r w:rsidR="004A6763">
        <w:t xml:space="preserve">the two groups were similar in </w:t>
      </w:r>
      <w:r w:rsidR="00B528DA">
        <w:t>diagnostic distribution (</w:t>
      </w:r>
      <w:r w:rsidR="004A6763">
        <w:t>82%</w:t>
      </w:r>
      <w:r w:rsidR="00B528DA">
        <w:t xml:space="preserve"> classic vs</w:t>
      </w:r>
      <w:r w:rsidR="004A6763">
        <w:t>. 75%</w:t>
      </w:r>
      <w:r w:rsidR="00B528DA">
        <w:t>), mean age of regression (</w:t>
      </w:r>
      <w:r w:rsidR="004A6763">
        <w:t xml:space="preserve">18.5 </w:t>
      </w:r>
      <w:proofErr w:type="spellStart"/>
      <w:r w:rsidR="00B528DA">
        <w:t>mnths</w:t>
      </w:r>
      <w:proofErr w:type="spellEnd"/>
      <w:r w:rsidR="00B528DA">
        <w:t xml:space="preserve"> vs</w:t>
      </w:r>
      <w:r w:rsidR="004A6763">
        <w:t>. 19.3) and</w:t>
      </w:r>
      <w:r w:rsidR="00B528DA">
        <w:t xml:space="preserve"> mean severity score (</w:t>
      </w:r>
      <w:r w:rsidR="004A6763">
        <w:t xml:space="preserve">9.0 </w:t>
      </w:r>
      <w:r w:rsidR="00B528DA">
        <w:t>vs</w:t>
      </w:r>
      <w:r w:rsidR="004A6763">
        <w:t>. 8.5</w:t>
      </w:r>
      <w:r w:rsidR="00B528DA">
        <w:t>).</w:t>
      </w:r>
    </w:p>
    <w:p w:rsidR="008D2009" w:rsidRPr="00651165" w:rsidRDefault="004A6763" w:rsidP="006A1CAC">
      <w:pPr>
        <w:spacing w:after="0" w:line="480" w:lineRule="auto"/>
        <w:ind w:firstLine="357"/>
      </w:pPr>
      <w:r>
        <w:t>T</w:t>
      </w:r>
      <w:r w:rsidR="006415CB">
        <w:t xml:space="preserve">he response rate was low and it is not possible to assess </w:t>
      </w:r>
      <w:r w:rsidR="00533EB7">
        <w:t>the</w:t>
      </w:r>
      <w:r w:rsidR="006415CB">
        <w:t xml:space="preserve"> representative</w:t>
      </w:r>
      <w:r w:rsidR="00533EB7">
        <w:t>ness of</w:t>
      </w:r>
      <w:r w:rsidR="006415CB">
        <w:t xml:space="preserve"> the achieved sample</w:t>
      </w:r>
      <w:r w:rsidR="00533EB7">
        <w:t>.</w:t>
      </w:r>
      <w:r w:rsidR="006415CB">
        <w:t xml:space="preserve"> </w:t>
      </w:r>
      <w:r w:rsidR="000834DC">
        <w:t>However, the age distribution was similar to a recent all-age, large sample (n=983) study of gastrointestinal and feeding problems [</w:t>
      </w:r>
      <w:proofErr w:type="spellStart"/>
      <w:r w:rsidR="000834DC">
        <w:t>Motil</w:t>
      </w:r>
      <w:proofErr w:type="spellEnd"/>
      <w:r w:rsidR="000834DC">
        <w:t xml:space="preserve"> et al., 2012]. </w:t>
      </w:r>
      <w:r w:rsidR="0001188E">
        <w:t>In addition, o</w:t>
      </w:r>
      <w:r w:rsidR="00533EB7">
        <w:t>ver three-quarters</w:t>
      </w:r>
      <w:r w:rsidR="008D2009" w:rsidRPr="00651165">
        <w:t xml:space="preserve"> of the sample had a positive mutation in the </w:t>
      </w:r>
      <w:r w:rsidR="008D2009" w:rsidRPr="00651165">
        <w:rPr>
          <w:i/>
        </w:rPr>
        <w:t xml:space="preserve">MECP2 </w:t>
      </w:r>
      <w:r w:rsidR="008D2009" w:rsidRPr="00651165">
        <w:t>gene. Not all individuals in the sa</w:t>
      </w:r>
      <w:r w:rsidR="00533EB7">
        <w:t xml:space="preserve">mple had been tested, but </w:t>
      </w:r>
      <w:r w:rsidR="00344AF5">
        <w:t xml:space="preserve">in </w:t>
      </w:r>
      <w:r w:rsidR="00533EB7">
        <w:t>only one</w:t>
      </w:r>
      <w:r w:rsidR="00AD5E3C">
        <w:t xml:space="preserve"> case diagnosed with c</w:t>
      </w:r>
      <w:r w:rsidR="008D2009" w:rsidRPr="00651165">
        <w:t xml:space="preserve">lassic RTT was a </w:t>
      </w:r>
      <w:r w:rsidR="00533EB7" w:rsidRPr="00651165">
        <w:rPr>
          <w:i/>
        </w:rPr>
        <w:t>MECP2</w:t>
      </w:r>
      <w:r w:rsidR="00533EB7" w:rsidRPr="00651165">
        <w:t xml:space="preserve"> </w:t>
      </w:r>
      <w:r w:rsidR="008D2009" w:rsidRPr="00651165">
        <w:t>mutation</w:t>
      </w:r>
      <w:r w:rsidR="00344AF5">
        <w:t xml:space="preserve"> not found</w:t>
      </w:r>
      <w:r w:rsidR="008D2009" w:rsidRPr="00651165">
        <w:t xml:space="preserve">. This is consistent with the literature that a mutation in the </w:t>
      </w:r>
      <w:r w:rsidR="008D2009" w:rsidRPr="00651165">
        <w:rPr>
          <w:i/>
        </w:rPr>
        <w:t>MECP2</w:t>
      </w:r>
      <w:r w:rsidR="008D2009" w:rsidRPr="00651165">
        <w:t xml:space="preserve"> gene can be f</w:t>
      </w:r>
      <w:r w:rsidR="00AD5E3C">
        <w:t>ound in over 90% of cases with c</w:t>
      </w:r>
      <w:r w:rsidR="002C785D">
        <w:t>lassic RTT [</w:t>
      </w:r>
      <w:proofErr w:type="spellStart"/>
      <w:r w:rsidR="008D2009" w:rsidRPr="00651165">
        <w:t>Neul</w:t>
      </w:r>
      <w:proofErr w:type="spellEnd"/>
      <w:r w:rsidR="008D2009" w:rsidRPr="00651165">
        <w:t xml:space="preserve"> et al.</w:t>
      </w:r>
      <w:r w:rsidR="0042272C">
        <w:t>,</w:t>
      </w:r>
      <w:r w:rsidR="002C785D">
        <w:t xml:space="preserve"> 2010]</w:t>
      </w:r>
      <w:r w:rsidR="008D2009" w:rsidRPr="00651165">
        <w:t xml:space="preserve">. </w:t>
      </w:r>
    </w:p>
    <w:p w:rsidR="00726AFB" w:rsidRDefault="008D2009" w:rsidP="00B80D86">
      <w:pPr>
        <w:spacing w:after="0" w:line="480" w:lineRule="auto"/>
        <w:ind w:firstLine="357"/>
        <w:rPr>
          <w:szCs w:val="20"/>
        </w:rPr>
      </w:pPr>
      <w:r w:rsidRPr="00651165">
        <w:t>Although there is now evidence of developmenta</w:t>
      </w:r>
      <w:r w:rsidR="002C785D">
        <w:t>l problems in the first months [</w:t>
      </w:r>
      <w:proofErr w:type="spellStart"/>
      <w:r w:rsidRPr="00651165">
        <w:t>Burford</w:t>
      </w:r>
      <w:proofErr w:type="spellEnd"/>
      <w:r w:rsidRPr="00651165">
        <w:t xml:space="preserve"> et al.</w:t>
      </w:r>
      <w:r w:rsidR="00CA3FD1">
        <w:t>, 2003;</w:t>
      </w:r>
      <w:r w:rsidRPr="00651165">
        <w:t xml:space="preserve"> </w:t>
      </w:r>
      <w:proofErr w:type="spellStart"/>
      <w:r w:rsidRPr="00651165">
        <w:t>Einspieler</w:t>
      </w:r>
      <w:proofErr w:type="spellEnd"/>
      <w:r w:rsidRPr="00651165">
        <w:t xml:space="preserve"> et al.</w:t>
      </w:r>
      <w:r w:rsidR="00CA3FD1">
        <w:t>,</w:t>
      </w:r>
      <w:r w:rsidRPr="00651165">
        <w:t xml:space="preserve"> 2005; Leonard and Bower</w:t>
      </w:r>
      <w:r w:rsidR="0042272C">
        <w:t>,</w:t>
      </w:r>
      <w:r w:rsidRPr="00651165">
        <w:t xml:space="preserve"> 1997; </w:t>
      </w:r>
      <w:proofErr w:type="spellStart"/>
      <w:r w:rsidR="00E0054F">
        <w:t>Neul</w:t>
      </w:r>
      <w:proofErr w:type="spellEnd"/>
      <w:r w:rsidR="00E0054F">
        <w:t xml:space="preserve"> et al., 2014; </w:t>
      </w:r>
      <w:r w:rsidRPr="00651165">
        <w:t>Witt-</w:t>
      </w:r>
      <w:proofErr w:type="spellStart"/>
      <w:r w:rsidRPr="00651165">
        <w:t>Engerstrom</w:t>
      </w:r>
      <w:proofErr w:type="spellEnd"/>
      <w:r w:rsidR="00CA3FD1">
        <w:t>,</w:t>
      </w:r>
      <w:r w:rsidR="002C785D">
        <w:t xml:space="preserve"> 1987]</w:t>
      </w:r>
      <w:r w:rsidRPr="00651165">
        <w:t>, apparent</w:t>
      </w:r>
      <w:r w:rsidR="00533EB7">
        <w:t>ly</w:t>
      </w:r>
      <w:r w:rsidRPr="00651165">
        <w:t xml:space="preserve"> normal </w:t>
      </w:r>
      <w:r w:rsidR="00533EB7">
        <w:t xml:space="preserve">early </w:t>
      </w:r>
      <w:r w:rsidRPr="00651165">
        <w:t xml:space="preserve">development </w:t>
      </w:r>
      <w:r w:rsidR="00533EB7">
        <w:t>was</w:t>
      </w:r>
      <w:r w:rsidRPr="00651165">
        <w:t xml:space="preserve"> reported by most parents</w:t>
      </w:r>
      <w:r w:rsidR="00533EB7">
        <w:t xml:space="preserve"> prior to the r</w:t>
      </w:r>
      <w:r w:rsidRPr="00651165">
        <w:t>egressio</w:t>
      </w:r>
      <w:r w:rsidR="00533EB7">
        <w:t>n of previously acquired skills</w:t>
      </w:r>
      <w:r w:rsidRPr="00651165">
        <w:t xml:space="preserve">. Consistent with other studies, the most common age of </w:t>
      </w:r>
      <w:r w:rsidR="00E953B4">
        <w:t xml:space="preserve">onset of </w:t>
      </w:r>
      <w:r w:rsidRPr="00651165">
        <w:t xml:space="preserve">regression was between 12 and 18 months. </w:t>
      </w:r>
      <w:r w:rsidRPr="00651165">
        <w:rPr>
          <w:szCs w:val="20"/>
        </w:rPr>
        <w:t xml:space="preserve">Age of regression </w:t>
      </w:r>
      <w:r w:rsidR="00E9494D">
        <w:rPr>
          <w:szCs w:val="20"/>
        </w:rPr>
        <w:t>tended to predict</w:t>
      </w:r>
      <w:r w:rsidRPr="00651165">
        <w:rPr>
          <w:szCs w:val="20"/>
        </w:rPr>
        <w:t xml:space="preserve"> severity</w:t>
      </w:r>
      <w:r w:rsidR="00E9494D">
        <w:rPr>
          <w:szCs w:val="20"/>
        </w:rPr>
        <w:t xml:space="preserve"> of </w:t>
      </w:r>
      <w:r w:rsidR="00927186">
        <w:rPr>
          <w:szCs w:val="20"/>
        </w:rPr>
        <w:t xml:space="preserve">the condition and subsequent </w:t>
      </w:r>
      <w:r w:rsidR="00E9494D">
        <w:rPr>
          <w:szCs w:val="20"/>
        </w:rPr>
        <w:t>disability</w:t>
      </w:r>
      <w:r w:rsidRPr="00651165">
        <w:rPr>
          <w:szCs w:val="20"/>
        </w:rPr>
        <w:t xml:space="preserve">. </w:t>
      </w:r>
      <w:r w:rsidR="00927186">
        <w:rPr>
          <w:szCs w:val="20"/>
        </w:rPr>
        <w:t>However, clinical severity was also associated with mutation group</w:t>
      </w:r>
      <w:r w:rsidRPr="00651165">
        <w:rPr>
          <w:szCs w:val="20"/>
        </w:rPr>
        <w:t>.</w:t>
      </w:r>
    </w:p>
    <w:p w:rsidR="008D2009" w:rsidRPr="00651165" w:rsidRDefault="00CA3FD1" w:rsidP="00B80D86">
      <w:pPr>
        <w:spacing w:after="0" w:line="480" w:lineRule="auto"/>
        <w:ind w:firstLine="357"/>
      </w:pPr>
      <w:proofErr w:type="spellStart"/>
      <w:r>
        <w:t>Cheadle</w:t>
      </w:r>
      <w:proofErr w:type="spellEnd"/>
      <w:r w:rsidR="002C785D">
        <w:t xml:space="preserve"> et al. [2000]</w:t>
      </w:r>
      <w:r w:rsidR="006A1CAC">
        <w:t xml:space="preserve"> found that </w:t>
      </w:r>
      <w:r w:rsidR="007A03F8">
        <w:t xml:space="preserve">individuals with </w:t>
      </w:r>
      <w:r w:rsidR="007A03F8" w:rsidRPr="006A1CAC">
        <w:t xml:space="preserve">truncating mutations </w:t>
      </w:r>
      <w:r w:rsidR="007A03F8">
        <w:t xml:space="preserve">were more severely affected than those with </w:t>
      </w:r>
      <w:proofErr w:type="spellStart"/>
      <w:r w:rsidR="006A1CAC" w:rsidRPr="006A1CAC">
        <w:t>missense</w:t>
      </w:r>
      <w:proofErr w:type="spellEnd"/>
      <w:r w:rsidR="006A1CAC" w:rsidRPr="006A1CAC">
        <w:t xml:space="preserve"> mutations, and </w:t>
      </w:r>
      <w:r w:rsidR="007A03F8">
        <w:t xml:space="preserve">that the same was true of early </w:t>
      </w:r>
      <w:r w:rsidR="007A03F8" w:rsidRPr="006A1CAC">
        <w:t>truncating mutatio</w:t>
      </w:r>
      <w:r w:rsidR="007A03F8">
        <w:t>ns</w:t>
      </w:r>
      <w:r w:rsidR="007A03F8" w:rsidRPr="006A1CAC">
        <w:t xml:space="preserve"> compared </w:t>
      </w:r>
      <w:r w:rsidR="007A03F8">
        <w:t>to</w:t>
      </w:r>
      <w:r w:rsidR="006A1CAC" w:rsidRPr="006A1CAC">
        <w:t xml:space="preserve"> </w:t>
      </w:r>
      <w:r w:rsidR="005103AA">
        <w:t>late</w:t>
      </w:r>
      <w:r w:rsidR="007A03F8">
        <w:t xml:space="preserve"> truncating mutations</w:t>
      </w:r>
      <w:r w:rsidR="006A1CAC">
        <w:t>.</w:t>
      </w:r>
      <w:r w:rsidR="006A1CAC" w:rsidRPr="006A1CAC">
        <w:t xml:space="preserve"> </w:t>
      </w:r>
      <w:proofErr w:type="spellStart"/>
      <w:r w:rsidR="00344AF5">
        <w:t>Neu</w:t>
      </w:r>
      <w:r w:rsidR="002C785D">
        <w:t>l</w:t>
      </w:r>
      <w:proofErr w:type="spellEnd"/>
      <w:r w:rsidR="002C785D">
        <w:t xml:space="preserve"> et al. [2008]</w:t>
      </w:r>
      <w:r w:rsidR="006A1CAC">
        <w:t xml:space="preserve"> reported that</w:t>
      </w:r>
      <w:r w:rsidR="00712DCB">
        <w:t xml:space="preserve"> individuals with: (a)</w:t>
      </w:r>
      <w:r w:rsidR="002C785D">
        <w:t xml:space="preserve"> </w:t>
      </w:r>
      <w:r w:rsidR="00134996">
        <w:t>p.</w:t>
      </w:r>
      <w:r w:rsidR="002C785D">
        <w:t xml:space="preserve">R133C, </w:t>
      </w:r>
      <w:r w:rsidR="00712DCB">
        <w:t xml:space="preserve">a </w:t>
      </w:r>
      <w:proofErr w:type="spellStart"/>
      <w:r w:rsidR="00BC777F">
        <w:t>m</w:t>
      </w:r>
      <w:r w:rsidR="002C785D">
        <w:t>issense</w:t>
      </w:r>
      <w:proofErr w:type="spellEnd"/>
      <w:r w:rsidR="006A1CAC">
        <w:t xml:space="preserve"> </w:t>
      </w:r>
      <w:r w:rsidR="006A1CAC" w:rsidRPr="006A1CAC">
        <w:t>mutation</w:t>
      </w:r>
      <w:r w:rsidR="002C785D">
        <w:t>,</w:t>
      </w:r>
      <w:r w:rsidR="006A1CAC" w:rsidRPr="006A1CAC">
        <w:t xml:space="preserve"> </w:t>
      </w:r>
      <w:r w:rsidR="006A1CAC">
        <w:t>we</w:t>
      </w:r>
      <w:r w:rsidR="006A1CAC" w:rsidRPr="006A1CAC">
        <w:t>re less severely</w:t>
      </w:r>
      <w:r w:rsidR="00BC777F">
        <w:t xml:space="preserve"> affected than those with large d</w:t>
      </w:r>
      <w:r w:rsidR="002C785D">
        <w:t xml:space="preserve">eletion or </w:t>
      </w:r>
      <w:r w:rsidR="00134996">
        <w:t>p.</w:t>
      </w:r>
      <w:r w:rsidR="00BC777F">
        <w:t>R168X mutation, an early t</w:t>
      </w:r>
      <w:r w:rsidR="002C785D">
        <w:t>runcating</w:t>
      </w:r>
      <w:r w:rsidR="00712DCB">
        <w:t xml:space="preserve"> mutation</w:t>
      </w:r>
      <w:r w:rsidR="002C785D">
        <w:t>,</w:t>
      </w:r>
      <w:r w:rsidR="00712DCB">
        <w:t xml:space="preserve"> (b) </w:t>
      </w:r>
      <w:r w:rsidR="00134996">
        <w:t>p.</w:t>
      </w:r>
      <w:r w:rsidR="006A1CAC">
        <w:t>R168X mutation we</w:t>
      </w:r>
      <w:r w:rsidR="006A1CAC" w:rsidRPr="006A1CAC">
        <w:t>re more severely</w:t>
      </w:r>
      <w:r w:rsidR="002C785D">
        <w:t xml:space="preserve"> affected than those with C-terminal mutation or </w:t>
      </w:r>
      <w:r w:rsidR="00134996">
        <w:t>p.</w:t>
      </w:r>
      <w:r w:rsidR="002C785D">
        <w:t xml:space="preserve">R294X mutation, </w:t>
      </w:r>
      <w:r w:rsidR="00BC777F">
        <w:t>a late t</w:t>
      </w:r>
      <w:r w:rsidR="006A1CAC">
        <w:t>runcating</w:t>
      </w:r>
      <w:r w:rsidR="00712DCB">
        <w:t xml:space="preserve"> mutation</w:t>
      </w:r>
      <w:r w:rsidR="002C785D">
        <w:t>,</w:t>
      </w:r>
      <w:r w:rsidR="00712DCB">
        <w:t xml:space="preserve"> and (c)</w:t>
      </w:r>
      <w:r w:rsidR="006A1CAC" w:rsidRPr="006A1CAC">
        <w:t xml:space="preserve"> </w:t>
      </w:r>
      <w:r w:rsidR="00134996">
        <w:t>p.</w:t>
      </w:r>
      <w:r w:rsidR="006A1CAC">
        <w:t xml:space="preserve">R168X </w:t>
      </w:r>
      <w:r w:rsidR="00712DCB">
        <w:t xml:space="preserve">mutation </w:t>
      </w:r>
      <w:r w:rsidR="006A1CAC">
        <w:t>we</w:t>
      </w:r>
      <w:r w:rsidR="006A1CAC" w:rsidRPr="006A1CAC">
        <w:t>re less likely to walk, retain hand use or use words.</w:t>
      </w:r>
      <w:r w:rsidR="007A03F8">
        <w:t xml:space="preserve"> </w:t>
      </w:r>
      <w:r w:rsidR="00A51614" w:rsidRPr="0001188E">
        <w:t>Further work based on the large US Natural Hist</w:t>
      </w:r>
      <w:r w:rsidR="00A51614">
        <w:t>ory study [</w:t>
      </w:r>
      <w:proofErr w:type="spellStart"/>
      <w:r w:rsidR="00A51614">
        <w:t>Cuddapah</w:t>
      </w:r>
      <w:proofErr w:type="spellEnd"/>
      <w:r w:rsidR="00A51614">
        <w:t xml:space="preserve"> et al., 2014] has </w:t>
      </w:r>
      <w:r w:rsidR="00A51614" w:rsidRPr="0001188E">
        <w:t>confirmed a</w:t>
      </w:r>
      <w:r w:rsidR="00A51614">
        <w:t xml:space="preserve">nd extended these observations, in that: (a) individuals </w:t>
      </w:r>
      <w:r w:rsidR="00BC777F">
        <w:t>with early t</w:t>
      </w:r>
      <w:r w:rsidR="00BC777F" w:rsidRPr="0001188E">
        <w:t>runcating mutat</w:t>
      </w:r>
      <w:r w:rsidR="00BC777F">
        <w:t xml:space="preserve">ions or either of two specific </w:t>
      </w:r>
      <w:proofErr w:type="spellStart"/>
      <w:r w:rsidR="00BC777F">
        <w:t>m</w:t>
      </w:r>
      <w:r w:rsidR="00BC777F" w:rsidRPr="0001188E">
        <w:t>issense</w:t>
      </w:r>
      <w:proofErr w:type="spellEnd"/>
      <w:r w:rsidR="00BC777F" w:rsidRPr="0001188E">
        <w:t xml:space="preserve"> mutations have on average a more se</w:t>
      </w:r>
      <w:r w:rsidR="00BC777F">
        <w:t>vere phenotype than those with late t</w:t>
      </w:r>
      <w:r w:rsidR="00BC777F" w:rsidRPr="0001188E">
        <w:t>runcating mutations or mo</w:t>
      </w:r>
      <w:r w:rsidR="00BC777F">
        <w:t xml:space="preserve">st other </w:t>
      </w:r>
      <w:proofErr w:type="spellStart"/>
      <w:r w:rsidR="00BC777F">
        <w:t>missense</w:t>
      </w:r>
      <w:proofErr w:type="spellEnd"/>
      <w:r w:rsidR="00BC777F">
        <w:t xml:space="preserve"> </w:t>
      </w:r>
      <w:r w:rsidR="00A51614">
        <w:t>mutations, (b</w:t>
      </w:r>
      <w:r w:rsidR="00A51614" w:rsidRPr="0001188E">
        <w:t xml:space="preserve">) that the phenotype associated with the </w:t>
      </w:r>
      <w:r w:rsidR="00BC777F">
        <w:t xml:space="preserve">p.T158M </w:t>
      </w:r>
      <w:proofErr w:type="spellStart"/>
      <w:r w:rsidR="00BC777F">
        <w:t>m</w:t>
      </w:r>
      <w:r w:rsidR="00A51614" w:rsidRPr="0001188E">
        <w:t>issense</w:t>
      </w:r>
      <w:proofErr w:type="spellEnd"/>
      <w:r w:rsidR="00A51614" w:rsidRPr="0001188E">
        <w:t xml:space="preserve"> mutation is often of</w:t>
      </w:r>
      <w:r w:rsidR="00A51614">
        <w:t xml:space="preserve"> intermediate severity; and (c</w:t>
      </w:r>
      <w:r w:rsidR="00A51614" w:rsidRPr="0001188E">
        <w:t xml:space="preserve">) that severity increases with age at least into the third decade, and that ambulation, hand use and age at onset of </w:t>
      </w:r>
      <w:proofErr w:type="spellStart"/>
      <w:r w:rsidR="00A51614" w:rsidRPr="0001188E">
        <w:t>stereotypies</w:t>
      </w:r>
      <w:proofErr w:type="spellEnd"/>
      <w:r w:rsidR="00A51614" w:rsidRPr="0001188E">
        <w:t xml:space="preserve"> are strongly linked to overall disease severity.</w:t>
      </w:r>
      <w:r w:rsidR="00A51614">
        <w:t xml:space="preserve"> </w:t>
      </w:r>
      <w:r w:rsidR="00712DCB">
        <w:t>Our</w:t>
      </w:r>
      <w:r w:rsidR="007A03F8">
        <w:t xml:space="preserve"> results were broadly consistent with </w:t>
      </w:r>
      <w:r w:rsidR="00A51614">
        <w:t>these findings</w:t>
      </w:r>
      <w:r w:rsidR="007A03F8">
        <w:t xml:space="preserve">. </w:t>
      </w:r>
      <w:r w:rsidR="008B710F">
        <w:t xml:space="preserve">We found that </w:t>
      </w:r>
      <w:r w:rsidR="00BC777F">
        <w:t xml:space="preserve">early truncating mutations and large deletions </w:t>
      </w:r>
      <w:r w:rsidR="009E4E57">
        <w:t xml:space="preserve">were associated with </w:t>
      </w:r>
      <w:r w:rsidR="00042C51">
        <w:t>greater severity overall, poorer retention of walking skills and hand use and less good current skills overall and less good communication and socialization skills in particular</w:t>
      </w:r>
      <w:r w:rsidR="00A51614">
        <w:t>.</w:t>
      </w:r>
    </w:p>
    <w:p w:rsidR="00F32A88" w:rsidRDefault="008D2009" w:rsidP="001475F6">
      <w:pPr>
        <w:spacing w:after="0" w:line="480" w:lineRule="auto"/>
        <w:ind w:firstLine="357"/>
      </w:pPr>
      <w:r w:rsidRPr="00651165">
        <w:t xml:space="preserve">Health problems most commonly reported included epilepsy, scoliosis, gastrointestinal, bowel and dental problems. </w:t>
      </w:r>
      <w:r w:rsidR="00B80D86">
        <w:t>Rates of occurrence of epilepsy and ‘</w:t>
      </w:r>
      <w:proofErr w:type="spellStart"/>
      <w:r w:rsidR="00B80D86">
        <w:t>Rett</w:t>
      </w:r>
      <w:proofErr w:type="spellEnd"/>
      <w:r w:rsidR="00B80D86">
        <w:t xml:space="preserve"> episodes’ were broadly c</w:t>
      </w:r>
      <w:r w:rsidR="002C785D">
        <w:t>onsistent with earlier studies [</w:t>
      </w:r>
      <w:r w:rsidR="00B80D86">
        <w:t xml:space="preserve">e.g., </w:t>
      </w:r>
      <w:proofErr w:type="spellStart"/>
      <w:r w:rsidR="00B80D86">
        <w:t>Cardoza</w:t>
      </w:r>
      <w:proofErr w:type="spellEnd"/>
      <w:r w:rsidR="00B80D86">
        <w:t xml:space="preserve"> et al., 2011; </w:t>
      </w:r>
      <w:proofErr w:type="spellStart"/>
      <w:r w:rsidR="00B80D86">
        <w:t>Halbach</w:t>
      </w:r>
      <w:proofErr w:type="spellEnd"/>
      <w:r w:rsidR="00B80D86">
        <w:t xml:space="preserve"> et al.</w:t>
      </w:r>
      <w:r w:rsidR="00CA3FD1">
        <w:t>,</w:t>
      </w:r>
      <w:r w:rsidR="00B80D86">
        <w:t xml:space="preserve"> 20</w:t>
      </w:r>
      <w:r w:rsidR="002C785D">
        <w:t>13]. Poorly controlled epilepsy, that is seizures daily or weekly,</w:t>
      </w:r>
      <w:r w:rsidR="00B80D86">
        <w:t xml:space="preserve"> appears to be an is</w:t>
      </w:r>
      <w:r w:rsidR="008B710F">
        <w:t xml:space="preserve">sue for about a quarter overall, </w:t>
      </w:r>
      <w:r w:rsidR="00AD5E3C">
        <w:t>a third with c</w:t>
      </w:r>
      <w:r w:rsidR="00B80D86">
        <w:t>lassic RTT</w:t>
      </w:r>
      <w:r w:rsidR="008B710F">
        <w:t xml:space="preserve"> and nearly a half of individuals with </w:t>
      </w:r>
      <w:r w:rsidR="00BC777F">
        <w:t xml:space="preserve">early truncating or large deletion </w:t>
      </w:r>
      <w:r w:rsidR="008B710F">
        <w:t>mutations</w:t>
      </w:r>
      <w:r w:rsidR="00B80D86">
        <w:t xml:space="preserve">. Being underweight is also an issue of </w:t>
      </w:r>
      <w:r w:rsidR="001475F6">
        <w:t xml:space="preserve">concern for individuals with classic RTT </w:t>
      </w:r>
      <w:r w:rsidR="00125575">
        <w:t>to the extent that parental report data can be relied upon</w:t>
      </w:r>
      <w:r w:rsidR="00B80D86">
        <w:t xml:space="preserve">. The proportion </w:t>
      </w:r>
      <w:r w:rsidR="00E322E5">
        <w:t xml:space="preserve">with </w:t>
      </w:r>
      <w:proofErr w:type="spellStart"/>
      <w:r w:rsidR="00E322E5">
        <w:t>BMIs</w:t>
      </w:r>
      <w:proofErr w:type="spellEnd"/>
      <w:r w:rsidR="00E322E5">
        <w:t xml:space="preserve"> indicating </w:t>
      </w:r>
      <w:r w:rsidR="00B80D86">
        <w:t xml:space="preserve">underweight found here </w:t>
      </w:r>
      <w:r w:rsidR="0001717E">
        <w:t>among children and teenagers (19.4%), although lower than among the older participants</w:t>
      </w:r>
      <w:r w:rsidR="001475F6">
        <w:t>, wa</w:t>
      </w:r>
      <w:r w:rsidR="0001717E">
        <w:t xml:space="preserve">s still considerably greater than that found in the general population [e.g., 0.9% aged 4-5 years and 1.3% aged 10-11 years in the UK, Public Health </w:t>
      </w:r>
      <w:r w:rsidR="00996B92">
        <w:t xml:space="preserve">England, </w:t>
      </w:r>
      <w:r w:rsidR="00DC4BAC">
        <w:t>2014</w:t>
      </w:r>
      <w:r w:rsidR="00996B92">
        <w:t xml:space="preserve">]. The 44.7% found among those 20 years or over </w:t>
      </w:r>
      <w:r w:rsidR="0019120F">
        <w:t xml:space="preserve">was similar to the </w:t>
      </w:r>
      <w:r w:rsidR="002C785D">
        <w:t xml:space="preserve">39% reported by </w:t>
      </w:r>
      <w:proofErr w:type="spellStart"/>
      <w:r w:rsidR="002C785D">
        <w:t>Halbach</w:t>
      </w:r>
      <w:proofErr w:type="spellEnd"/>
      <w:r w:rsidR="002C785D">
        <w:t xml:space="preserve"> et al. [2013]</w:t>
      </w:r>
      <w:r w:rsidR="0019120F">
        <w:t xml:space="preserve">. </w:t>
      </w:r>
      <w:r w:rsidR="001475F6">
        <w:t xml:space="preserve">These findings are consistent with those of </w:t>
      </w:r>
      <w:proofErr w:type="spellStart"/>
      <w:r w:rsidR="001475F6" w:rsidRPr="00FF6779">
        <w:t>Tarquinio</w:t>
      </w:r>
      <w:proofErr w:type="spellEnd"/>
      <w:r w:rsidR="001475F6">
        <w:t xml:space="preserve"> et al. [2012] who found that the weight trajectory for classic RTT diverged below the normative pattern at age 6 months and that mean weight was lower than the normative at 13 months. Moreover, the weight of 71% of participants with classic RTT was below the second percentile on the normative reference by the age of 18 years. </w:t>
      </w:r>
      <w:r w:rsidR="00F32A88">
        <w:t>Leonard et al. [2013] provide recommendations for the clinical management of poor growth and weight gain in RTT derived from evidence review and consensus among an expert panel of clinicians.</w:t>
      </w:r>
    </w:p>
    <w:p w:rsidR="00802E2A" w:rsidRPr="0019120F" w:rsidRDefault="00B80D86" w:rsidP="0019120F">
      <w:pPr>
        <w:spacing w:after="0" w:line="480" w:lineRule="auto"/>
        <w:ind w:firstLine="357"/>
      </w:pPr>
      <w:r>
        <w:t>In other respects, the</w:t>
      </w:r>
      <w:r w:rsidR="00125575">
        <w:t>re were</w:t>
      </w:r>
      <w:r>
        <w:t xml:space="preserve"> relatively low</w:t>
      </w:r>
      <w:r w:rsidR="0019120F">
        <w:t xml:space="preserve"> mean scores on the Health Questionnaire</w:t>
      </w:r>
      <w:r w:rsidR="00125575">
        <w:t xml:space="preserve"> and this appears consistent</w:t>
      </w:r>
      <w:r w:rsidR="002C785D">
        <w:t xml:space="preserve"> with the </w:t>
      </w:r>
      <w:proofErr w:type="spellStart"/>
      <w:r w:rsidR="002C785D">
        <w:t>Halbach</w:t>
      </w:r>
      <w:proofErr w:type="spellEnd"/>
      <w:r w:rsidR="002C785D">
        <w:t xml:space="preserve"> et al. [2013]</w:t>
      </w:r>
      <w:r w:rsidR="0019120F">
        <w:t xml:space="preserve"> study, in which respondents generally reported the health of the RTT women as good. However, </w:t>
      </w:r>
      <w:r w:rsidR="00125575">
        <w:t>in addition to epilepsy, gastrointestinal and bowel problems were a common co-morbidity</w:t>
      </w:r>
      <w:r w:rsidR="00560650">
        <w:t>. Moreover,</w:t>
      </w:r>
      <w:r w:rsidR="00125575">
        <w:t xml:space="preserve"> the fact that the mean </w:t>
      </w:r>
      <w:r w:rsidR="00560650">
        <w:t>score for problems in the last month was over a third as high as the mean score for problems ever</w:t>
      </w:r>
      <w:r w:rsidR="00560650" w:rsidRPr="00D154A3">
        <w:t xml:space="preserve"> during the </w:t>
      </w:r>
      <w:r w:rsidR="00560650">
        <w:t>person’s life would indicate that certain co-morbidity tends to be chronic</w:t>
      </w:r>
      <w:r w:rsidR="00560650" w:rsidRPr="00D154A3">
        <w:t xml:space="preserve">. </w:t>
      </w:r>
      <w:r w:rsidR="00AD5E3C">
        <w:t>Participants diagnosed with c</w:t>
      </w:r>
      <w:r w:rsidR="008D2009" w:rsidRPr="00651165">
        <w:t xml:space="preserve">lassic </w:t>
      </w:r>
      <w:r w:rsidR="00492264">
        <w:t>RTT had</w:t>
      </w:r>
      <w:r w:rsidR="008D2009" w:rsidRPr="00651165">
        <w:t xml:space="preserve"> hi</w:t>
      </w:r>
      <w:r w:rsidR="0019120F">
        <w:t>gher o</w:t>
      </w:r>
      <w:r w:rsidR="008D2009" w:rsidRPr="00651165">
        <w:t xml:space="preserve">verall health </w:t>
      </w:r>
      <w:r w:rsidR="00560650">
        <w:t xml:space="preserve">problem </w:t>
      </w:r>
      <w:r w:rsidR="008D2009" w:rsidRPr="00651165">
        <w:t>score</w:t>
      </w:r>
      <w:r w:rsidR="00560650">
        <w:t>s</w:t>
      </w:r>
      <w:r w:rsidR="008D2009" w:rsidRPr="00651165">
        <w:t xml:space="preserve"> </w:t>
      </w:r>
      <w:r w:rsidR="0019120F">
        <w:t xml:space="preserve">than those </w:t>
      </w:r>
      <w:r w:rsidR="00AD5E3C">
        <w:t>with a</w:t>
      </w:r>
      <w:r w:rsidR="008D2009" w:rsidRPr="00651165">
        <w:t xml:space="preserve">typical RTT. </w:t>
      </w:r>
    </w:p>
    <w:p w:rsidR="00166D3D" w:rsidRDefault="00544751" w:rsidP="00166D3D">
      <w:pPr>
        <w:spacing w:after="0" w:line="480" w:lineRule="auto"/>
        <w:ind w:firstLine="357"/>
        <w:rPr>
          <w:szCs w:val="20"/>
        </w:rPr>
      </w:pPr>
      <w:r>
        <w:rPr>
          <w:szCs w:val="20"/>
        </w:rPr>
        <w:t>S</w:t>
      </w:r>
      <w:r w:rsidRPr="00544751">
        <w:rPr>
          <w:szCs w:val="20"/>
        </w:rPr>
        <w:t xml:space="preserve">cientific </w:t>
      </w:r>
      <w:r>
        <w:rPr>
          <w:szCs w:val="20"/>
        </w:rPr>
        <w:t>evidence about</w:t>
      </w:r>
      <w:r w:rsidRPr="00544751">
        <w:rPr>
          <w:szCs w:val="20"/>
        </w:rPr>
        <w:t xml:space="preserve"> pain among </w:t>
      </w:r>
      <w:r>
        <w:rPr>
          <w:szCs w:val="20"/>
        </w:rPr>
        <w:t>people</w:t>
      </w:r>
      <w:r w:rsidRPr="00544751">
        <w:rPr>
          <w:szCs w:val="20"/>
        </w:rPr>
        <w:t xml:space="preserve"> with RTT is limited and </w:t>
      </w:r>
      <w:r w:rsidR="00C258FC">
        <w:rPr>
          <w:szCs w:val="20"/>
        </w:rPr>
        <w:t>unclear</w:t>
      </w:r>
      <w:r w:rsidRPr="00544751">
        <w:rPr>
          <w:szCs w:val="20"/>
        </w:rPr>
        <w:t xml:space="preserve">. </w:t>
      </w:r>
      <w:r w:rsidR="00651CA7" w:rsidRPr="00651CA7">
        <w:rPr>
          <w:szCs w:val="20"/>
        </w:rPr>
        <w:t xml:space="preserve">There is now evidence to suggest that </w:t>
      </w:r>
      <w:r w:rsidR="00560650">
        <w:rPr>
          <w:i/>
          <w:szCs w:val="20"/>
        </w:rPr>
        <w:t>ME</w:t>
      </w:r>
      <w:r w:rsidR="00651CA7" w:rsidRPr="00651CA7">
        <w:rPr>
          <w:i/>
          <w:szCs w:val="20"/>
        </w:rPr>
        <w:t>CP2</w:t>
      </w:r>
      <w:r w:rsidR="00651CA7" w:rsidRPr="00651CA7">
        <w:rPr>
          <w:szCs w:val="20"/>
        </w:rPr>
        <w:t xml:space="preserve"> could be </w:t>
      </w:r>
      <w:r w:rsidR="00651CA7">
        <w:rPr>
          <w:szCs w:val="20"/>
        </w:rPr>
        <w:t xml:space="preserve">implicated in the </w:t>
      </w:r>
      <w:r w:rsidR="00651CA7" w:rsidRPr="00651CA7">
        <w:rPr>
          <w:szCs w:val="20"/>
        </w:rPr>
        <w:t xml:space="preserve">molecular events required for the initiation of pain </w:t>
      </w:r>
      <w:r w:rsidR="00866A3D">
        <w:rPr>
          <w:szCs w:val="20"/>
        </w:rPr>
        <w:t>and, therefore, alterations in</w:t>
      </w:r>
      <w:r w:rsidR="00651CA7" w:rsidRPr="00651CA7">
        <w:rPr>
          <w:szCs w:val="20"/>
        </w:rPr>
        <w:t xml:space="preserve"> </w:t>
      </w:r>
      <w:r w:rsidR="00560650" w:rsidRPr="00560650">
        <w:rPr>
          <w:i/>
          <w:szCs w:val="20"/>
        </w:rPr>
        <w:t>MECP2</w:t>
      </w:r>
      <w:r w:rsidR="00866A3D">
        <w:rPr>
          <w:szCs w:val="20"/>
        </w:rPr>
        <w:t xml:space="preserve"> such as those in RTT may affect</w:t>
      </w:r>
      <w:r w:rsidR="00651CA7" w:rsidRPr="00651CA7">
        <w:rPr>
          <w:szCs w:val="20"/>
        </w:rPr>
        <w:t xml:space="preserve"> pain sensitivity</w:t>
      </w:r>
      <w:r w:rsidR="002C785D">
        <w:rPr>
          <w:szCs w:val="20"/>
        </w:rPr>
        <w:t xml:space="preserve"> [</w:t>
      </w:r>
      <w:r w:rsidR="00CA3FD1">
        <w:rPr>
          <w:szCs w:val="20"/>
        </w:rPr>
        <w:t>see Downs</w:t>
      </w:r>
      <w:r w:rsidR="00866A3D">
        <w:rPr>
          <w:szCs w:val="20"/>
        </w:rPr>
        <w:t xml:space="preserve"> et a</w:t>
      </w:r>
      <w:r w:rsidR="002C785D">
        <w:rPr>
          <w:szCs w:val="20"/>
        </w:rPr>
        <w:t>l., 2010]</w:t>
      </w:r>
      <w:r w:rsidR="00651CA7" w:rsidRPr="00651CA7">
        <w:rPr>
          <w:szCs w:val="20"/>
        </w:rPr>
        <w:t>.</w:t>
      </w:r>
      <w:r w:rsidR="002C785D">
        <w:rPr>
          <w:szCs w:val="20"/>
        </w:rPr>
        <w:t xml:space="preserve"> Indeed, Downs et al. [2010]</w:t>
      </w:r>
      <w:r w:rsidR="00866A3D">
        <w:rPr>
          <w:szCs w:val="20"/>
        </w:rPr>
        <w:t xml:space="preserve"> have reported </w:t>
      </w:r>
      <w:r w:rsidR="00333550">
        <w:rPr>
          <w:szCs w:val="20"/>
        </w:rPr>
        <w:t xml:space="preserve">on the prevalence of </w:t>
      </w:r>
      <w:r w:rsidR="00333550" w:rsidRPr="00333550">
        <w:rPr>
          <w:szCs w:val="20"/>
        </w:rPr>
        <w:t>abnormal pain response</w:t>
      </w:r>
      <w:r w:rsidR="00333550">
        <w:rPr>
          <w:szCs w:val="20"/>
        </w:rPr>
        <w:t xml:space="preserve"> in RTT. </w:t>
      </w:r>
      <w:r w:rsidR="00C258FC">
        <w:rPr>
          <w:szCs w:val="20"/>
        </w:rPr>
        <w:t>In their</w:t>
      </w:r>
      <w:r w:rsidR="00C258FC" w:rsidRPr="00C258FC">
        <w:rPr>
          <w:szCs w:val="20"/>
        </w:rPr>
        <w:t xml:space="preserve"> study, the majority of parents </w:t>
      </w:r>
      <w:r w:rsidR="00C258FC">
        <w:rPr>
          <w:szCs w:val="20"/>
        </w:rPr>
        <w:t xml:space="preserve">(60% of 628) </w:t>
      </w:r>
      <w:r w:rsidR="00C258FC" w:rsidRPr="00C258FC">
        <w:rPr>
          <w:szCs w:val="20"/>
        </w:rPr>
        <w:t>re</w:t>
      </w:r>
      <w:r w:rsidR="00C258FC">
        <w:rPr>
          <w:szCs w:val="20"/>
        </w:rPr>
        <w:t>ported reduced pain sensitivity. However, f</w:t>
      </w:r>
      <w:r w:rsidR="00C258FC" w:rsidRPr="00C258FC">
        <w:rPr>
          <w:szCs w:val="20"/>
        </w:rPr>
        <w:t xml:space="preserve">or </w:t>
      </w:r>
      <w:r w:rsidR="00C258FC">
        <w:rPr>
          <w:szCs w:val="20"/>
        </w:rPr>
        <w:t>15%</w:t>
      </w:r>
      <w:r w:rsidR="00C258FC" w:rsidRPr="00C258FC">
        <w:rPr>
          <w:szCs w:val="20"/>
        </w:rPr>
        <w:t>, pain sensitiv</w:t>
      </w:r>
      <w:r w:rsidR="00C258FC">
        <w:rPr>
          <w:szCs w:val="20"/>
        </w:rPr>
        <w:t xml:space="preserve">ity was reported as increased. Moreover, a distinction was made between </w:t>
      </w:r>
      <w:r w:rsidR="00C258FC" w:rsidRPr="00C258FC">
        <w:rPr>
          <w:szCs w:val="20"/>
        </w:rPr>
        <w:t xml:space="preserve">pain </w:t>
      </w:r>
      <w:r w:rsidR="00C258FC">
        <w:rPr>
          <w:szCs w:val="20"/>
        </w:rPr>
        <w:t>from external causes</w:t>
      </w:r>
      <w:r w:rsidR="002C785D">
        <w:rPr>
          <w:szCs w:val="20"/>
        </w:rPr>
        <w:t>, such as</w:t>
      </w:r>
      <w:r w:rsidR="00C258FC">
        <w:rPr>
          <w:szCs w:val="20"/>
        </w:rPr>
        <w:t xml:space="preserve"> </w:t>
      </w:r>
      <w:r w:rsidR="00C258FC" w:rsidRPr="00C258FC">
        <w:rPr>
          <w:szCs w:val="20"/>
        </w:rPr>
        <w:t xml:space="preserve">trauma, </w:t>
      </w:r>
      <w:r w:rsidR="00C258FC">
        <w:rPr>
          <w:szCs w:val="20"/>
        </w:rPr>
        <w:t xml:space="preserve">accidents, </w:t>
      </w:r>
      <w:r w:rsidR="002C785D">
        <w:rPr>
          <w:szCs w:val="20"/>
        </w:rPr>
        <w:t xml:space="preserve">or </w:t>
      </w:r>
      <w:r w:rsidR="00C258FC">
        <w:rPr>
          <w:szCs w:val="20"/>
        </w:rPr>
        <w:t>self-injury</w:t>
      </w:r>
      <w:r w:rsidR="002C785D">
        <w:rPr>
          <w:szCs w:val="20"/>
        </w:rPr>
        <w:t>,</w:t>
      </w:r>
      <w:r w:rsidR="00C258FC" w:rsidRPr="00C258FC">
        <w:rPr>
          <w:szCs w:val="20"/>
        </w:rPr>
        <w:t xml:space="preserve"> </w:t>
      </w:r>
      <w:r w:rsidR="00C258FC">
        <w:rPr>
          <w:szCs w:val="20"/>
        </w:rPr>
        <w:t>and that from internal</w:t>
      </w:r>
      <w:r w:rsidR="00C258FC" w:rsidRPr="00C258FC">
        <w:rPr>
          <w:szCs w:val="20"/>
        </w:rPr>
        <w:t xml:space="preserve"> </w:t>
      </w:r>
      <w:r w:rsidR="00C258FC">
        <w:rPr>
          <w:szCs w:val="20"/>
        </w:rPr>
        <w:t>causes</w:t>
      </w:r>
      <w:r w:rsidR="002C785D">
        <w:rPr>
          <w:szCs w:val="20"/>
        </w:rPr>
        <w:t>, such as</w:t>
      </w:r>
      <w:r w:rsidR="001D1AC4">
        <w:rPr>
          <w:szCs w:val="20"/>
        </w:rPr>
        <w:t xml:space="preserve"> </w:t>
      </w:r>
      <w:r w:rsidR="00293519" w:rsidRPr="00293519">
        <w:rPr>
          <w:szCs w:val="20"/>
        </w:rPr>
        <w:t>abdominal pain, flu or headaches</w:t>
      </w:r>
      <w:r w:rsidR="00293519">
        <w:rPr>
          <w:szCs w:val="20"/>
        </w:rPr>
        <w:t>. Whereas, sensitivity to pain could be decreased in relation to the former, it could be</w:t>
      </w:r>
      <w:r w:rsidR="00293519" w:rsidRPr="00293519">
        <w:rPr>
          <w:szCs w:val="20"/>
        </w:rPr>
        <w:t xml:space="preserve"> increased </w:t>
      </w:r>
      <w:r w:rsidR="00293519">
        <w:rPr>
          <w:szCs w:val="20"/>
        </w:rPr>
        <w:t>in relation to the latter</w:t>
      </w:r>
      <w:r w:rsidR="00C258FC" w:rsidRPr="00C258FC">
        <w:rPr>
          <w:szCs w:val="20"/>
        </w:rPr>
        <w:t xml:space="preserve">. There was also preliminary evidence that </w:t>
      </w:r>
      <w:r w:rsidR="00C258FC">
        <w:rPr>
          <w:szCs w:val="20"/>
        </w:rPr>
        <w:t>the precise</w:t>
      </w:r>
      <w:r w:rsidR="00C258FC" w:rsidRPr="00C258FC">
        <w:rPr>
          <w:szCs w:val="20"/>
        </w:rPr>
        <w:t xml:space="preserve"> mutation </w:t>
      </w:r>
      <w:r w:rsidR="00C258FC">
        <w:rPr>
          <w:szCs w:val="20"/>
        </w:rPr>
        <w:t>may play a role in abnormal</w:t>
      </w:r>
      <w:r w:rsidR="00CA3FD1">
        <w:rPr>
          <w:szCs w:val="20"/>
        </w:rPr>
        <w:t xml:space="preserve"> pain sensitivity. Symons et al.</w:t>
      </w:r>
      <w:r w:rsidR="00C258FC" w:rsidRPr="00C258FC">
        <w:rPr>
          <w:szCs w:val="20"/>
        </w:rPr>
        <w:t xml:space="preserve"> </w:t>
      </w:r>
      <w:r w:rsidR="002C785D">
        <w:rPr>
          <w:szCs w:val="20"/>
        </w:rPr>
        <w:t>[2013]</w:t>
      </w:r>
      <w:r w:rsidR="00166D3D">
        <w:rPr>
          <w:szCs w:val="20"/>
        </w:rPr>
        <w:t xml:space="preserve"> found that </w:t>
      </w:r>
      <w:r w:rsidR="00166D3D" w:rsidRPr="00166D3D">
        <w:rPr>
          <w:szCs w:val="20"/>
        </w:rPr>
        <w:t xml:space="preserve">24% </w:t>
      </w:r>
      <w:r w:rsidR="00166D3D">
        <w:rPr>
          <w:szCs w:val="20"/>
        </w:rPr>
        <w:t xml:space="preserve">(of 44 parents) </w:t>
      </w:r>
      <w:r w:rsidR="00166D3D" w:rsidRPr="00166D3D">
        <w:rPr>
          <w:szCs w:val="20"/>
        </w:rPr>
        <w:t>reported that their child had experienced pain on 8 or more days in the previous 30 days</w:t>
      </w:r>
      <w:r w:rsidR="00166D3D">
        <w:rPr>
          <w:szCs w:val="20"/>
        </w:rPr>
        <w:t xml:space="preserve">, </w:t>
      </w:r>
      <w:r w:rsidR="00293519">
        <w:rPr>
          <w:szCs w:val="20"/>
        </w:rPr>
        <w:t>a</w:t>
      </w:r>
      <w:r w:rsidR="00166D3D">
        <w:rPr>
          <w:szCs w:val="20"/>
        </w:rPr>
        <w:t xml:space="preserve"> finding which is consistent with </w:t>
      </w:r>
      <w:r w:rsidR="00492264">
        <w:rPr>
          <w:szCs w:val="20"/>
        </w:rPr>
        <w:t>a</w:t>
      </w:r>
      <w:r w:rsidR="00C258FC">
        <w:rPr>
          <w:szCs w:val="20"/>
        </w:rPr>
        <w:t xml:space="preserve"> substantial minority of res</w:t>
      </w:r>
      <w:r w:rsidR="00166D3D">
        <w:rPr>
          <w:szCs w:val="20"/>
        </w:rPr>
        <w:t>pondents in this survey reporting</w:t>
      </w:r>
      <w:r w:rsidR="00C258FC">
        <w:rPr>
          <w:szCs w:val="20"/>
        </w:rPr>
        <w:t xml:space="preserve"> fairly frequent signs of possible pain being experienced by their relative with RTT.</w:t>
      </w:r>
      <w:r w:rsidR="00166D3D">
        <w:rPr>
          <w:szCs w:val="20"/>
        </w:rPr>
        <w:t xml:space="preserve"> </w:t>
      </w:r>
      <w:r>
        <w:rPr>
          <w:szCs w:val="20"/>
        </w:rPr>
        <w:t xml:space="preserve">The </w:t>
      </w:r>
      <w:r w:rsidR="00166D3D">
        <w:rPr>
          <w:szCs w:val="20"/>
        </w:rPr>
        <w:t>investigation of pain in RTT</w:t>
      </w:r>
      <w:r>
        <w:rPr>
          <w:szCs w:val="20"/>
        </w:rPr>
        <w:t xml:space="preserve"> deserve</w:t>
      </w:r>
      <w:r w:rsidR="00166D3D">
        <w:rPr>
          <w:szCs w:val="20"/>
        </w:rPr>
        <w:t>s</w:t>
      </w:r>
      <w:r>
        <w:rPr>
          <w:szCs w:val="20"/>
        </w:rPr>
        <w:t xml:space="preserve"> further research.</w:t>
      </w:r>
    </w:p>
    <w:p w:rsidR="008D2009" w:rsidRPr="00651165" w:rsidRDefault="00D25A90" w:rsidP="00166D3D">
      <w:pPr>
        <w:spacing w:after="0" w:line="480" w:lineRule="auto"/>
        <w:ind w:firstLine="357"/>
        <w:rPr>
          <w:szCs w:val="20"/>
        </w:rPr>
      </w:pPr>
      <w:r>
        <w:rPr>
          <w:szCs w:val="20"/>
        </w:rPr>
        <w:t xml:space="preserve">In conclusion, this paper describes a </w:t>
      </w:r>
      <w:r w:rsidR="00492264">
        <w:rPr>
          <w:szCs w:val="20"/>
        </w:rPr>
        <w:t>substantial</w:t>
      </w:r>
      <w:r>
        <w:rPr>
          <w:szCs w:val="20"/>
        </w:rPr>
        <w:t xml:space="preserve"> national survey of </w:t>
      </w:r>
      <w:r w:rsidR="00492264">
        <w:rPr>
          <w:szCs w:val="20"/>
        </w:rPr>
        <w:t>girls or women</w:t>
      </w:r>
      <w:r>
        <w:rPr>
          <w:szCs w:val="20"/>
        </w:rPr>
        <w:t xml:space="preserve"> with RTT. The representativeness of the sample is not known, but </w:t>
      </w:r>
      <w:r w:rsidR="001D1AC4">
        <w:rPr>
          <w:szCs w:val="20"/>
        </w:rPr>
        <w:t xml:space="preserve">the consistency of findings in some key respects to previous literature is reassuring. The study provides new data on the current abilities and general health of people with RTT and adds to the evidence that the severity of the condition and variation of subsequent disability, albeit generally within the profound range, may be related to </w:t>
      </w:r>
      <w:r w:rsidR="00E953B4">
        <w:rPr>
          <w:szCs w:val="20"/>
        </w:rPr>
        <w:t xml:space="preserve">the associated </w:t>
      </w:r>
      <w:r w:rsidR="001D1AC4">
        <w:rPr>
          <w:szCs w:val="20"/>
        </w:rPr>
        <w:t xml:space="preserve">gene mutation. Although their general health may be </w:t>
      </w:r>
      <w:r w:rsidR="00293519">
        <w:rPr>
          <w:szCs w:val="20"/>
        </w:rPr>
        <w:t>thought to be</w:t>
      </w:r>
      <w:r w:rsidR="001D1AC4">
        <w:rPr>
          <w:szCs w:val="20"/>
        </w:rPr>
        <w:t xml:space="preserve"> </w:t>
      </w:r>
      <w:r w:rsidR="00293519">
        <w:rPr>
          <w:szCs w:val="20"/>
        </w:rPr>
        <w:t xml:space="preserve">reasonably </w:t>
      </w:r>
      <w:r w:rsidR="001D1AC4">
        <w:rPr>
          <w:szCs w:val="20"/>
        </w:rPr>
        <w:t xml:space="preserve">good, substantial proportions of </w:t>
      </w:r>
      <w:r w:rsidR="000803EE">
        <w:rPr>
          <w:szCs w:val="20"/>
        </w:rPr>
        <w:t>females</w:t>
      </w:r>
      <w:r w:rsidR="001D1AC4">
        <w:rPr>
          <w:szCs w:val="20"/>
        </w:rPr>
        <w:t xml:space="preserve"> with RTT have poorly controlled epilepsy, are underweight, have </w:t>
      </w:r>
      <w:r w:rsidR="001D1AC4" w:rsidRPr="00D154A3">
        <w:t xml:space="preserve">gastrointestinal </w:t>
      </w:r>
      <w:r w:rsidR="001D1AC4">
        <w:t>and/or</w:t>
      </w:r>
      <w:r w:rsidR="001D1AC4" w:rsidRPr="00D154A3">
        <w:t xml:space="preserve"> bowel problems</w:t>
      </w:r>
      <w:r w:rsidR="00564693">
        <w:t xml:space="preserve"> and may experience regular pain. </w:t>
      </w:r>
      <w:r w:rsidR="00293519">
        <w:t>The presence of such co-morbidities represent a substantial ongoing need for better health, particularly given the age of partic</w:t>
      </w:r>
      <w:r w:rsidR="00C63AF8">
        <w:t>i</w:t>
      </w:r>
      <w:r w:rsidR="00293519">
        <w:t xml:space="preserve">pants. </w:t>
      </w:r>
    </w:p>
    <w:p w:rsidR="006914D8" w:rsidRPr="00ED1DEC" w:rsidRDefault="006914D8" w:rsidP="006914D8">
      <w:pPr>
        <w:spacing w:after="0" w:line="480" w:lineRule="auto"/>
        <w:rPr>
          <w:rFonts w:cs="Cambria"/>
        </w:rPr>
      </w:pPr>
      <w:r>
        <w:br w:type="page"/>
      </w:r>
      <w:r w:rsidRPr="00ED1DEC">
        <w:rPr>
          <w:rFonts w:cs="Cambria"/>
          <w:bCs/>
          <w:i/>
        </w:rPr>
        <w:t>Acknowledgements</w:t>
      </w:r>
      <w:r w:rsidRPr="00ED1DEC">
        <w:rPr>
          <w:rFonts w:cs="Cambria"/>
        </w:rPr>
        <w:t xml:space="preserve">: This project was funded by the NISCHR Social Care Studentship scheme. We would like to thank the families and individuals who agreed to take part and the </w:t>
      </w:r>
      <w:proofErr w:type="spellStart"/>
      <w:r w:rsidRPr="00ED1DEC">
        <w:rPr>
          <w:rFonts w:cs="Cambria"/>
        </w:rPr>
        <w:t>Rett</w:t>
      </w:r>
      <w:proofErr w:type="spellEnd"/>
      <w:r w:rsidRPr="00ED1DEC">
        <w:rPr>
          <w:rFonts w:cs="Cambria"/>
        </w:rPr>
        <w:t xml:space="preserve"> </w:t>
      </w:r>
      <w:r w:rsidR="00BF3D95">
        <w:rPr>
          <w:rFonts w:cs="Cambria"/>
        </w:rPr>
        <w:t>UK</w:t>
      </w:r>
      <w:r w:rsidRPr="00ED1DEC">
        <w:rPr>
          <w:rFonts w:cs="Cambria"/>
        </w:rPr>
        <w:t xml:space="preserve"> for their support</w:t>
      </w:r>
      <w:r w:rsidR="00BF3D95">
        <w:rPr>
          <w:rFonts w:cs="Cambria"/>
        </w:rPr>
        <w:t xml:space="preserve"> of the study and the BIRSS database</w:t>
      </w:r>
      <w:r w:rsidRPr="00ED1DEC">
        <w:rPr>
          <w:rFonts w:cs="Cambria"/>
        </w:rPr>
        <w:t>.</w:t>
      </w:r>
    </w:p>
    <w:p w:rsidR="009155EF" w:rsidRDefault="009155EF" w:rsidP="006914D8">
      <w:pPr>
        <w:spacing w:after="0" w:line="480" w:lineRule="auto"/>
        <w:rPr>
          <w:rFonts w:cs="Cambria"/>
        </w:rPr>
      </w:pPr>
    </w:p>
    <w:p w:rsidR="009155EF" w:rsidRPr="00ED1DEC" w:rsidRDefault="009155EF" w:rsidP="009155EF">
      <w:pPr>
        <w:spacing w:after="0" w:line="480" w:lineRule="auto"/>
        <w:rPr>
          <w:rFonts w:cs="Cambria"/>
        </w:rPr>
      </w:pPr>
      <w:r w:rsidRPr="00ED1DEC">
        <w:rPr>
          <w:rFonts w:cs="Cambria"/>
          <w:bCs/>
          <w:i/>
        </w:rPr>
        <w:t>Role of the funding source</w:t>
      </w:r>
      <w:r w:rsidRPr="00ED1DEC">
        <w:rPr>
          <w:rFonts w:cs="Cambria"/>
        </w:rPr>
        <w:t>: NISCHR had no involvement in the writing of this paper or the decision to submit the paper for publication.</w:t>
      </w:r>
    </w:p>
    <w:p w:rsidR="009155EF" w:rsidRPr="00ED1DEC" w:rsidRDefault="009155EF" w:rsidP="009155EF">
      <w:pPr>
        <w:spacing w:after="0" w:line="480" w:lineRule="auto"/>
        <w:rPr>
          <w:rFonts w:cs="Cambria"/>
        </w:rPr>
      </w:pPr>
    </w:p>
    <w:p w:rsidR="009155EF" w:rsidRPr="00ED1DEC" w:rsidRDefault="009155EF" w:rsidP="009155EF">
      <w:pPr>
        <w:spacing w:after="0" w:line="480" w:lineRule="auto"/>
        <w:rPr>
          <w:rFonts w:cs="Cambria"/>
        </w:rPr>
      </w:pPr>
      <w:r>
        <w:rPr>
          <w:rFonts w:cs="Cambria"/>
          <w:bCs/>
          <w:i/>
        </w:rPr>
        <w:t>Conflic</w:t>
      </w:r>
      <w:r w:rsidRPr="00ED1DEC">
        <w:rPr>
          <w:rFonts w:cs="Cambria"/>
          <w:bCs/>
          <w:i/>
        </w:rPr>
        <w:t>ting interests</w:t>
      </w:r>
      <w:r w:rsidRPr="00ED1DEC">
        <w:rPr>
          <w:rFonts w:cs="Cambria"/>
        </w:rPr>
        <w:t>: None.</w:t>
      </w:r>
    </w:p>
    <w:p w:rsidR="009155EF" w:rsidRPr="00ED1DEC" w:rsidRDefault="009155EF" w:rsidP="009155EF">
      <w:pPr>
        <w:spacing w:after="0" w:line="480" w:lineRule="auto"/>
        <w:rPr>
          <w:rFonts w:cs="Cambria"/>
        </w:rPr>
      </w:pPr>
    </w:p>
    <w:p w:rsidR="009155EF" w:rsidRPr="00ED1DEC" w:rsidRDefault="009155EF" w:rsidP="009155EF">
      <w:pPr>
        <w:spacing w:after="0" w:line="480" w:lineRule="auto"/>
        <w:rPr>
          <w:rFonts w:cs="Cambria"/>
          <w:bCs/>
        </w:rPr>
      </w:pPr>
      <w:r w:rsidRPr="00ED1DEC">
        <w:rPr>
          <w:rFonts w:cs="Cambria"/>
          <w:bCs/>
          <w:i/>
        </w:rPr>
        <w:t>Ethical approval</w:t>
      </w:r>
      <w:r w:rsidRPr="00ED1DEC">
        <w:rPr>
          <w:rFonts w:cs="Cambria"/>
          <w:bCs/>
        </w:rPr>
        <w:t xml:space="preserve">: Ethical approval was provided by the Research Ethics Committee for Wales, Cardiff, Wales, UK. </w:t>
      </w:r>
    </w:p>
    <w:p w:rsidR="006914D8" w:rsidRPr="00ED1DEC" w:rsidRDefault="006914D8" w:rsidP="006914D8">
      <w:pPr>
        <w:spacing w:after="0" w:line="480" w:lineRule="auto"/>
        <w:rPr>
          <w:rFonts w:cs="Cambria"/>
        </w:rPr>
      </w:pPr>
    </w:p>
    <w:p w:rsidR="006914D8" w:rsidRPr="00B54CEB" w:rsidRDefault="009A7677" w:rsidP="00B54CEB">
      <w:pPr>
        <w:spacing w:after="0" w:line="480" w:lineRule="auto"/>
        <w:ind w:left="567" w:hanging="567"/>
        <w:jc w:val="center"/>
        <w:rPr>
          <w:b/>
        </w:rPr>
      </w:pPr>
      <w:r>
        <w:br w:type="page"/>
      </w:r>
      <w:r w:rsidR="00B54CEB" w:rsidRPr="00B54CEB">
        <w:rPr>
          <w:b/>
        </w:rPr>
        <w:t>REFERENCES</w:t>
      </w:r>
    </w:p>
    <w:p w:rsidR="009A7677" w:rsidRPr="00B54CEB" w:rsidRDefault="009A7677" w:rsidP="009A7677">
      <w:pPr>
        <w:spacing w:after="0" w:line="480" w:lineRule="auto"/>
        <w:ind w:left="567" w:hanging="567"/>
      </w:pPr>
      <w:r w:rsidRPr="00B54CEB">
        <w:t>Amir</w:t>
      </w:r>
      <w:r w:rsidR="00B54CEB" w:rsidRPr="00B54CEB">
        <w:t xml:space="preserve"> RE</w:t>
      </w:r>
      <w:r w:rsidRPr="00B54CEB">
        <w:t xml:space="preserve">, </w:t>
      </w:r>
      <w:proofErr w:type="spellStart"/>
      <w:r w:rsidRPr="00B54CEB">
        <w:t>Veyver</w:t>
      </w:r>
      <w:proofErr w:type="spellEnd"/>
      <w:r w:rsidRPr="00B54CEB">
        <w:t xml:space="preserve"> I</w:t>
      </w:r>
      <w:r w:rsidR="00B54CEB" w:rsidRPr="00B54CEB">
        <w:t>B</w:t>
      </w:r>
      <w:r w:rsidRPr="00B54CEB">
        <w:t xml:space="preserve">, </w:t>
      </w:r>
      <w:r w:rsidR="00B54CEB" w:rsidRPr="00B54CEB">
        <w:t xml:space="preserve">Wan M, Tran CQ, </w:t>
      </w:r>
      <w:proofErr w:type="spellStart"/>
      <w:r w:rsidR="00B54CEB" w:rsidRPr="00B54CEB">
        <w:t>Franckle</w:t>
      </w:r>
      <w:proofErr w:type="spellEnd"/>
      <w:r w:rsidR="00B54CEB" w:rsidRPr="00B54CEB">
        <w:t xml:space="preserve"> U,</w:t>
      </w:r>
      <w:r w:rsidRPr="00B54CEB">
        <w:t xml:space="preserve"> </w:t>
      </w:r>
      <w:proofErr w:type="spellStart"/>
      <w:r w:rsidR="00B54CEB" w:rsidRPr="00B54CEB">
        <w:t>Zoghbi</w:t>
      </w:r>
      <w:proofErr w:type="spellEnd"/>
      <w:r w:rsidR="00B54CEB" w:rsidRPr="00B54CEB">
        <w:t xml:space="preserve"> HY. 1999</w:t>
      </w:r>
      <w:r w:rsidRPr="00B54CEB">
        <w:t xml:space="preserve">. </w:t>
      </w:r>
      <w:proofErr w:type="spellStart"/>
      <w:r w:rsidRPr="00B54CEB">
        <w:t>Rett</w:t>
      </w:r>
      <w:proofErr w:type="spellEnd"/>
      <w:r w:rsidRPr="00B54CEB">
        <w:t xml:space="preserve"> syndrome is caused by mutations in X-linked MECP2, encoding methyl</w:t>
      </w:r>
      <w:r w:rsidR="007F72B1">
        <w:t>-</w:t>
      </w:r>
      <w:proofErr w:type="spellStart"/>
      <w:r w:rsidR="007F72B1">
        <w:t>CpG</w:t>
      </w:r>
      <w:proofErr w:type="spellEnd"/>
      <w:r w:rsidR="007F72B1">
        <w:t xml:space="preserve"> – binding protein 2. Nat Genet</w:t>
      </w:r>
      <w:r w:rsidR="00B54CEB">
        <w:t xml:space="preserve"> 23:</w:t>
      </w:r>
      <w:r w:rsidRPr="00B54CEB">
        <w:t xml:space="preserve"> 185-187.</w:t>
      </w:r>
    </w:p>
    <w:p w:rsidR="009A7677" w:rsidRPr="00B54CEB" w:rsidRDefault="00B54CEB" w:rsidP="009A7677">
      <w:pPr>
        <w:spacing w:after="0" w:line="480" w:lineRule="auto"/>
        <w:ind w:left="567" w:hanging="567"/>
      </w:pPr>
      <w:proofErr w:type="spellStart"/>
      <w:r>
        <w:t>Breau</w:t>
      </w:r>
      <w:proofErr w:type="spellEnd"/>
      <w:r>
        <w:t xml:space="preserve"> LM, McGrath PJ, </w:t>
      </w:r>
      <w:proofErr w:type="spellStart"/>
      <w:r>
        <w:t>Camfield</w:t>
      </w:r>
      <w:proofErr w:type="spellEnd"/>
      <w:r>
        <w:t xml:space="preserve"> CS, Finley GA. 2002</w:t>
      </w:r>
      <w:r w:rsidR="009A7677" w:rsidRPr="00B54CEB">
        <w:t>. Psychometric Properties of the Non-communicating Children’s Pain Checklist-Revised. Pain</w:t>
      </w:r>
      <w:r>
        <w:t xml:space="preserve"> 99:</w:t>
      </w:r>
      <w:r w:rsidR="009A7677" w:rsidRPr="00B54CEB">
        <w:t xml:space="preserve"> 349-357.</w:t>
      </w:r>
    </w:p>
    <w:p w:rsidR="009A7677" w:rsidRPr="00B54CEB" w:rsidRDefault="00B54CEB" w:rsidP="009A7677">
      <w:pPr>
        <w:spacing w:after="0" w:line="480" w:lineRule="auto"/>
        <w:ind w:left="567" w:hanging="567"/>
      </w:pPr>
      <w:proofErr w:type="spellStart"/>
      <w:r>
        <w:t>Burford</w:t>
      </w:r>
      <w:proofErr w:type="spellEnd"/>
      <w:r>
        <w:t xml:space="preserve"> B, Kerr AM, Macleod HA. 2003</w:t>
      </w:r>
      <w:r w:rsidR="009A7677" w:rsidRPr="00B54CEB">
        <w:t>. Nurse recognition of early deviation in the development in home videos of infants wi</w:t>
      </w:r>
      <w:r w:rsidR="008B68EF">
        <w:t xml:space="preserve">th </w:t>
      </w:r>
      <w:proofErr w:type="spellStart"/>
      <w:r w:rsidR="008B68EF">
        <w:t>Rett</w:t>
      </w:r>
      <w:proofErr w:type="spellEnd"/>
      <w:r w:rsidR="008B68EF">
        <w:t xml:space="preserve"> disorder. J </w:t>
      </w:r>
      <w:proofErr w:type="spellStart"/>
      <w:r w:rsidR="008B68EF">
        <w:t>Intell</w:t>
      </w:r>
      <w:proofErr w:type="spellEnd"/>
      <w:r w:rsidR="008B68EF">
        <w:t xml:space="preserve"> </w:t>
      </w:r>
      <w:proofErr w:type="spellStart"/>
      <w:r w:rsidR="008B68EF">
        <w:t>Disabil</w:t>
      </w:r>
      <w:proofErr w:type="spellEnd"/>
      <w:r w:rsidR="008B68EF">
        <w:t xml:space="preserve"> Res</w:t>
      </w:r>
      <w:r>
        <w:t xml:space="preserve"> 47:</w:t>
      </w:r>
      <w:r w:rsidR="009A7677" w:rsidRPr="00B54CEB">
        <w:t xml:space="preserve"> 588-596.</w:t>
      </w:r>
    </w:p>
    <w:p w:rsidR="009A7677" w:rsidRPr="00B54CEB" w:rsidRDefault="009A7677" w:rsidP="000E4B95">
      <w:pPr>
        <w:spacing w:after="0" w:line="480" w:lineRule="auto"/>
        <w:ind w:left="567" w:hanging="567"/>
      </w:pPr>
      <w:proofErr w:type="spellStart"/>
      <w:r w:rsidRPr="00B54CEB">
        <w:t>Cardoza</w:t>
      </w:r>
      <w:proofErr w:type="spellEnd"/>
      <w:r w:rsidR="00B54CEB">
        <w:t xml:space="preserve"> B</w:t>
      </w:r>
      <w:r w:rsidRPr="00B54CEB">
        <w:t>, Clarke</w:t>
      </w:r>
      <w:r w:rsidR="00B54CEB">
        <w:t xml:space="preserve"> A</w:t>
      </w:r>
      <w:r w:rsidRPr="00B54CEB">
        <w:t>, Wilcox</w:t>
      </w:r>
      <w:r w:rsidR="00B54CEB">
        <w:t xml:space="preserve"> J</w:t>
      </w:r>
      <w:r w:rsidRPr="00B54CEB">
        <w:t>, Gibbon</w:t>
      </w:r>
      <w:r w:rsidR="00B54CEB">
        <w:t xml:space="preserve"> F</w:t>
      </w:r>
      <w:r w:rsidRPr="00B54CEB">
        <w:t>, Smith</w:t>
      </w:r>
      <w:r w:rsidR="00B54CEB">
        <w:t xml:space="preserve"> PEM, Archer H, </w:t>
      </w:r>
      <w:proofErr w:type="spellStart"/>
      <w:r w:rsidR="00B54CEB">
        <w:t>Hryniewiecka-Jaworska</w:t>
      </w:r>
      <w:proofErr w:type="spellEnd"/>
      <w:r w:rsidR="00B54CEB">
        <w:t xml:space="preserve"> A, Kerr M. </w:t>
      </w:r>
      <w:r w:rsidRPr="00B54CEB">
        <w:t>2011</w:t>
      </w:r>
      <w:r w:rsidR="000E4B95" w:rsidRPr="00B54CEB">
        <w:t xml:space="preserve">. Epilepsy in </w:t>
      </w:r>
      <w:proofErr w:type="spellStart"/>
      <w:r w:rsidR="000E4B95" w:rsidRPr="00B54CEB">
        <w:t>Rett</w:t>
      </w:r>
      <w:proofErr w:type="spellEnd"/>
      <w:r w:rsidR="000E4B95" w:rsidRPr="00B54CEB">
        <w:t xml:space="preserve"> syndrome: Association between phenotype and genotype, and implications for practice. Seizure 20</w:t>
      </w:r>
      <w:r w:rsidR="00B54CEB">
        <w:t>:</w:t>
      </w:r>
      <w:r w:rsidR="000E4B95" w:rsidRPr="00B54CEB">
        <w:t xml:space="preserve"> 646–649</w:t>
      </w:r>
      <w:r w:rsidR="00B54CEB">
        <w:t>.</w:t>
      </w:r>
    </w:p>
    <w:p w:rsidR="009A7677" w:rsidRPr="00B54CEB" w:rsidRDefault="009A7677" w:rsidP="002B0D2B">
      <w:pPr>
        <w:spacing w:after="0" w:line="480" w:lineRule="auto"/>
        <w:ind w:left="567" w:hanging="567"/>
      </w:pPr>
      <w:r w:rsidRPr="00B54CEB">
        <w:t>Cass</w:t>
      </w:r>
      <w:r w:rsidR="00B54CEB">
        <w:t xml:space="preserve"> H</w:t>
      </w:r>
      <w:r w:rsidRPr="00B54CEB">
        <w:t>, Reilly</w:t>
      </w:r>
      <w:r w:rsidR="00B54CEB">
        <w:t xml:space="preserve"> S</w:t>
      </w:r>
      <w:r w:rsidRPr="00B54CEB">
        <w:t>, Owen</w:t>
      </w:r>
      <w:r w:rsidR="00B54CEB">
        <w:t xml:space="preserve"> L</w:t>
      </w:r>
      <w:r w:rsidRPr="00B54CEB">
        <w:t xml:space="preserve">, </w:t>
      </w:r>
      <w:proofErr w:type="spellStart"/>
      <w:r w:rsidRPr="00B54CEB">
        <w:t>Wisbeach</w:t>
      </w:r>
      <w:proofErr w:type="spellEnd"/>
      <w:r w:rsidR="00B54CEB">
        <w:t xml:space="preserve"> A</w:t>
      </w:r>
      <w:r w:rsidRPr="00B54CEB">
        <w:t xml:space="preserve">, </w:t>
      </w:r>
      <w:proofErr w:type="spellStart"/>
      <w:r w:rsidRPr="00B54CEB">
        <w:t>Weekes</w:t>
      </w:r>
      <w:proofErr w:type="spellEnd"/>
      <w:r w:rsidR="00B54CEB">
        <w:t xml:space="preserve"> L,</w:t>
      </w:r>
      <w:r w:rsidRPr="00B54CEB">
        <w:t xml:space="preserve"> </w:t>
      </w:r>
      <w:proofErr w:type="spellStart"/>
      <w:r w:rsidR="00B54CEB">
        <w:t>Slonims</w:t>
      </w:r>
      <w:proofErr w:type="spellEnd"/>
      <w:r w:rsidR="00B54CEB">
        <w:t xml:space="preserve"> V, </w:t>
      </w:r>
      <w:proofErr w:type="spellStart"/>
      <w:r w:rsidR="00B54CEB">
        <w:t>Wigram</w:t>
      </w:r>
      <w:proofErr w:type="spellEnd"/>
      <w:r w:rsidR="00B54CEB">
        <w:t xml:space="preserve"> T, </w:t>
      </w:r>
      <w:proofErr w:type="spellStart"/>
      <w:r w:rsidR="00B54CEB">
        <w:t>Charman</w:t>
      </w:r>
      <w:proofErr w:type="spellEnd"/>
      <w:r w:rsidR="002B0D2B" w:rsidRPr="00B54CEB">
        <w:t xml:space="preserve"> T.</w:t>
      </w:r>
      <w:r w:rsidRPr="00B54CEB">
        <w:t xml:space="preserve"> </w:t>
      </w:r>
      <w:r w:rsidR="00B54CEB">
        <w:t>2003</w:t>
      </w:r>
      <w:r w:rsidR="002B0D2B" w:rsidRPr="00B54CEB">
        <w:t>.</w:t>
      </w:r>
      <w:r w:rsidRPr="00B54CEB">
        <w:t xml:space="preserve"> </w:t>
      </w:r>
      <w:r w:rsidR="002B0D2B" w:rsidRPr="00B54CEB">
        <w:t>Findings from a multidisciplinary clinical case series of females w</w:t>
      </w:r>
      <w:r w:rsidR="008B68EF">
        <w:t xml:space="preserve">ith </w:t>
      </w:r>
      <w:proofErr w:type="spellStart"/>
      <w:r w:rsidR="008B68EF">
        <w:t>Rett</w:t>
      </w:r>
      <w:proofErr w:type="spellEnd"/>
      <w:r w:rsidR="008B68EF">
        <w:t xml:space="preserve"> syndrome. Dev Med Child </w:t>
      </w:r>
      <w:proofErr w:type="spellStart"/>
      <w:r w:rsidR="008B68EF">
        <w:t>Neurol</w:t>
      </w:r>
      <w:proofErr w:type="spellEnd"/>
      <w:r w:rsidR="002B0D2B" w:rsidRPr="00B54CEB">
        <w:t xml:space="preserve"> </w:t>
      </w:r>
      <w:r w:rsidR="00B54CEB">
        <w:t>45:</w:t>
      </w:r>
      <w:r w:rsidR="002B0D2B" w:rsidRPr="00B54CEB">
        <w:t xml:space="preserve"> 325–337.</w:t>
      </w:r>
    </w:p>
    <w:p w:rsidR="009A7677" w:rsidRPr="00B54CEB" w:rsidRDefault="00B54CEB" w:rsidP="009A7677">
      <w:pPr>
        <w:spacing w:after="0" w:line="480" w:lineRule="auto"/>
        <w:ind w:left="567" w:hanging="567"/>
      </w:pPr>
      <w:proofErr w:type="spellStart"/>
      <w:r>
        <w:t>Cheadle</w:t>
      </w:r>
      <w:proofErr w:type="spellEnd"/>
      <w:r>
        <w:t xml:space="preserve"> JP, Gill H</w:t>
      </w:r>
      <w:r w:rsidR="009A7677" w:rsidRPr="00B54CEB">
        <w:t>, Fleming N, Maynard J</w:t>
      </w:r>
      <w:r>
        <w:t xml:space="preserve">, Kerr A, Leonard H, </w:t>
      </w:r>
      <w:proofErr w:type="spellStart"/>
      <w:r>
        <w:t>Krawczak</w:t>
      </w:r>
      <w:proofErr w:type="spellEnd"/>
      <w:r>
        <w:t xml:space="preserve"> M, Cooper DN, Lynch S, Thomas N, Hughes H, </w:t>
      </w:r>
      <w:proofErr w:type="spellStart"/>
      <w:r>
        <w:t>Hulten</w:t>
      </w:r>
      <w:proofErr w:type="spellEnd"/>
      <w:r>
        <w:t xml:space="preserve"> M, Ravine D, Sampson JR,</w:t>
      </w:r>
      <w:r w:rsidR="009A7677" w:rsidRPr="00B54CEB">
        <w:t xml:space="preserve"> </w:t>
      </w:r>
      <w:r>
        <w:t>Clarke A. 2000</w:t>
      </w:r>
      <w:r w:rsidR="009A7677" w:rsidRPr="00B54CEB">
        <w:t xml:space="preserve">. Long-read sequence analysis of the MECP2 gene in </w:t>
      </w:r>
      <w:proofErr w:type="spellStart"/>
      <w:r w:rsidR="009A7677" w:rsidRPr="00B54CEB">
        <w:t>Rett</w:t>
      </w:r>
      <w:proofErr w:type="spellEnd"/>
      <w:r w:rsidR="009A7677" w:rsidRPr="00B54CEB">
        <w:t xml:space="preserve"> syndrome patients: correlation of disease severity with m</w:t>
      </w:r>
      <w:r w:rsidR="008B68EF">
        <w:t>utation type and location. Hum Mol Genet</w:t>
      </w:r>
      <w:r>
        <w:t xml:space="preserve"> 9:</w:t>
      </w:r>
      <w:r w:rsidR="009A7677" w:rsidRPr="00B54CEB">
        <w:t xml:space="preserve"> 1119-1129.</w:t>
      </w:r>
    </w:p>
    <w:p w:rsidR="00F16504" w:rsidRDefault="00F16504" w:rsidP="009A7677">
      <w:pPr>
        <w:spacing w:after="0" w:line="480" w:lineRule="auto"/>
        <w:ind w:left="567" w:hanging="567"/>
        <w:rPr>
          <w:szCs w:val="20"/>
        </w:rPr>
      </w:pPr>
      <w:proofErr w:type="spellStart"/>
      <w:r w:rsidRPr="00F16504">
        <w:rPr>
          <w:szCs w:val="20"/>
        </w:rPr>
        <w:t>Cuddapah</w:t>
      </w:r>
      <w:proofErr w:type="spellEnd"/>
      <w:r w:rsidRPr="00F16504">
        <w:rPr>
          <w:szCs w:val="20"/>
        </w:rPr>
        <w:t xml:space="preserve"> VA, </w:t>
      </w:r>
      <w:proofErr w:type="spellStart"/>
      <w:r w:rsidRPr="00F16504">
        <w:rPr>
          <w:szCs w:val="20"/>
        </w:rPr>
        <w:t>Pillai</w:t>
      </w:r>
      <w:proofErr w:type="spellEnd"/>
      <w:r w:rsidRPr="00F16504">
        <w:rPr>
          <w:szCs w:val="20"/>
        </w:rPr>
        <w:t xml:space="preserve"> RB, </w:t>
      </w:r>
      <w:proofErr w:type="spellStart"/>
      <w:r w:rsidRPr="00F16504">
        <w:rPr>
          <w:szCs w:val="20"/>
        </w:rPr>
        <w:t>Shekar</w:t>
      </w:r>
      <w:proofErr w:type="spellEnd"/>
      <w:r w:rsidRPr="00F16504">
        <w:rPr>
          <w:szCs w:val="20"/>
        </w:rPr>
        <w:t xml:space="preserve"> KV, Lane JB, </w:t>
      </w:r>
      <w:proofErr w:type="spellStart"/>
      <w:r w:rsidRPr="00F16504">
        <w:rPr>
          <w:szCs w:val="20"/>
        </w:rPr>
        <w:t>Motil</w:t>
      </w:r>
      <w:proofErr w:type="spellEnd"/>
      <w:r w:rsidRPr="00F16504">
        <w:rPr>
          <w:szCs w:val="20"/>
        </w:rPr>
        <w:t xml:space="preserve"> KJ, Skinner SA, </w:t>
      </w:r>
      <w:proofErr w:type="spellStart"/>
      <w:r w:rsidRPr="00F16504">
        <w:rPr>
          <w:szCs w:val="20"/>
        </w:rPr>
        <w:t>Tarquinio</w:t>
      </w:r>
      <w:proofErr w:type="spellEnd"/>
      <w:r w:rsidRPr="00F16504">
        <w:rPr>
          <w:szCs w:val="20"/>
        </w:rPr>
        <w:t xml:space="preserve"> DC, Glaze DG, </w:t>
      </w:r>
      <w:proofErr w:type="spellStart"/>
      <w:r w:rsidRPr="00F16504">
        <w:rPr>
          <w:szCs w:val="20"/>
        </w:rPr>
        <w:t>McGwin</w:t>
      </w:r>
      <w:proofErr w:type="spellEnd"/>
      <w:r w:rsidRPr="00F16504">
        <w:rPr>
          <w:szCs w:val="20"/>
        </w:rPr>
        <w:t xml:space="preserve"> G, Kaufmann WE, Percy AK, </w:t>
      </w:r>
      <w:proofErr w:type="spellStart"/>
      <w:r w:rsidRPr="00F16504">
        <w:rPr>
          <w:szCs w:val="20"/>
        </w:rPr>
        <w:t>Neul</w:t>
      </w:r>
      <w:proofErr w:type="spellEnd"/>
      <w:r w:rsidRPr="00F16504">
        <w:rPr>
          <w:szCs w:val="20"/>
        </w:rPr>
        <w:t xml:space="preserve"> JL, Olsen ML. 2014. </w:t>
      </w:r>
      <w:r w:rsidRPr="00F16504">
        <w:rPr>
          <w:i/>
          <w:szCs w:val="20"/>
        </w:rPr>
        <w:t>Methyl-</w:t>
      </w:r>
      <w:proofErr w:type="spellStart"/>
      <w:r w:rsidRPr="00F16504">
        <w:rPr>
          <w:i/>
          <w:szCs w:val="20"/>
        </w:rPr>
        <w:t>CpG</w:t>
      </w:r>
      <w:proofErr w:type="spellEnd"/>
      <w:r w:rsidRPr="00F16504">
        <w:rPr>
          <w:i/>
          <w:szCs w:val="20"/>
        </w:rPr>
        <w:t>-binding protein 2 (MECP2)</w:t>
      </w:r>
      <w:r w:rsidRPr="00F16504">
        <w:rPr>
          <w:szCs w:val="20"/>
        </w:rPr>
        <w:t xml:space="preserve"> mutation type is associated with disease severit</w:t>
      </w:r>
      <w:r>
        <w:rPr>
          <w:szCs w:val="20"/>
        </w:rPr>
        <w:t xml:space="preserve">y in </w:t>
      </w:r>
      <w:proofErr w:type="spellStart"/>
      <w:r>
        <w:rPr>
          <w:szCs w:val="20"/>
        </w:rPr>
        <w:t>Rett</w:t>
      </w:r>
      <w:proofErr w:type="spellEnd"/>
      <w:r>
        <w:rPr>
          <w:szCs w:val="20"/>
        </w:rPr>
        <w:t xml:space="preserve"> syndrome. J Med Genet</w:t>
      </w:r>
      <w:r w:rsidRPr="00F16504">
        <w:rPr>
          <w:szCs w:val="20"/>
        </w:rPr>
        <w:t xml:space="preserve"> 51:152–158. </w:t>
      </w:r>
    </w:p>
    <w:p w:rsidR="009A7677" w:rsidRPr="00B54CEB" w:rsidRDefault="009A7677" w:rsidP="009A7677">
      <w:pPr>
        <w:spacing w:after="0" w:line="480" w:lineRule="auto"/>
        <w:ind w:left="567" w:hanging="567"/>
        <w:rPr>
          <w:szCs w:val="20"/>
        </w:rPr>
      </w:pPr>
      <w:r w:rsidRPr="00B54CEB">
        <w:rPr>
          <w:szCs w:val="20"/>
        </w:rPr>
        <w:t xml:space="preserve">Downs J, </w:t>
      </w:r>
      <w:proofErr w:type="spellStart"/>
      <w:r w:rsidRPr="00B54CEB">
        <w:rPr>
          <w:szCs w:val="20"/>
        </w:rPr>
        <w:t>Géranton</w:t>
      </w:r>
      <w:proofErr w:type="spellEnd"/>
      <w:r w:rsidRPr="00B54CEB">
        <w:rPr>
          <w:szCs w:val="20"/>
        </w:rPr>
        <w:t xml:space="preserve"> SM, </w:t>
      </w:r>
      <w:proofErr w:type="spellStart"/>
      <w:r w:rsidRPr="00B54CEB">
        <w:rPr>
          <w:szCs w:val="20"/>
        </w:rPr>
        <w:t>Bebbington</w:t>
      </w:r>
      <w:proofErr w:type="spellEnd"/>
      <w:r w:rsidRPr="00B54CEB">
        <w:rPr>
          <w:szCs w:val="20"/>
        </w:rPr>
        <w:t xml:space="preserve"> A, Jacoby P, </w:t>
      </w:r>
      <w:proofErr w:type="spellStart"/>
      <w:r w:rsidRPr="00B54CEB">
        <w:rPr>
          <w:szCs w:val="20"/>
        </w:rPr>
        <w:t>Bahi</w:t>
      </w:r>
      <w:proofErr w:type="spellEnd"/>
      <w:r w:rsidRPr="00B54CEB">
        <w:rPr>
          <w:szCs w:val="20"/>
        </w:rPr>
        <w:t>-Buisson N</w:t>
      </w:r>
      <w:r w:rsidR="0024648C" w:rsidRPr="00B54CEB">
        <w:rPr>
          <w:szCs w:val="20"/>
        </w:rPr>
        <w:t>,</w:t>
      </w:r>
      <w:r w:rsidRPr="00B54CEB">
        <w:rPr>
          <w:szCs w:val="20"/>
        </w:rPr>
        <w:t xml:space="preserve"> Ravine</w:t>
      </w:r>
      <w:r w:rsidR="007C7066">
        <w:rPr>
          <w:szCs w:val="20"/>
        </w:rPr>
        <w:t xml:space="preserve"> D,</w:t>
      </w:r>
      <w:r w:rsidRPr="00B54CEB">
        <w:rPr>
          <w:szCs w:val="20"/>
        </w:rPr>
        <w:t xml:space="preserve"> Leonard H. 2010. Linking MECP2 and pain sensitivity: The ex</w:t>
      </w:r>
      <w:r w:rsidR="008B68EF">
        <w:rPr>
          <w:szCs w:val="20"/>
        </w:rPr>
        <w:t xml:space="preserve">ample of </w:t>
      </w:r>
      <w:proofErr w:type="spellStart"/>
      <w:r w:rsidR="008B68EF">
        <w:rPr>
          <w:szCs w:val="20"/>
        </w:rPr>
        <w:t>Rett</w:t>
      </w:r>
      <w:proofErr w:type="spellEnd"/>
      <w:r w:rsidR="008B68EF">
        <w:rPr>
          <w:szCs w:val="20"/>
        </w:rPr>
        <w:t xml:space="preserve"> syndrome. Am J Med Genet</w:t>
      </w:r>
      <w:r w:rsidR="007C7066">
        <w:rPr>
          <w:szCs w:val="20"/>
        </w:rPr>
        <w:t xml:space="preserve"> A 152A:</w:t>
      </w:r>
      <w:r w:rsidRPr="00B54CEB">
        <w:rPr>
          <w:szCs w:val="20"/>
        </w:rPr>
        <w:t xml:space="preserve"> 1197–1205.</w:t>
      </w:r>
    </w:p>
    <w:p w:rsidR="0024648C" w:rsidRPr="00B54CEB" w:rsidRDefault="007C7066" w:rsidP="009A7677">
      <w:pPr>
        <w:spacing w:after="0" w:line="480" w:lineRule="auto"/>
        <w:ind w:left="567" w:hanging="567"/>
      </w:pPr>
      <w:r>
        <w:t xml:space="preserve">Eden K, de </w:t>
      </w:r>
      <w:proofErr w:type="spellStart"/>
      <w:r>
        <w:t>Vries</w:t>
      </w:r>
      <w:proofErr w:type="spellEnd"/>
      <w:r>
        <w:t xml:space="preserve"> P J, Moss J, Richards C, Oliver C. 2014</w:t>
      </w:r>
      <w:r w:rsidR="0024648C" w:rsidRPr="00B54CEB">
        <w:t>. Self injury and aggression in Tuberous Sclerosis Complex; cross syndrome comparison and associated risk markers. J</w:t>
      </w:r>
      <w:r w:rsidR="008B68EF">
        <w:t xml:space="preserve"> </w:t>
      </w:r>
      <w:proofErr w:type="spellStart"/>
      <w:r w:rsidR="008B68EF">
        <w:t>Neurodevelop</w:t>
      </w:r>
      <w:proofErr w:type="spellEnd"/>
      <w:r w:rsidR="008B68EF">
        <w:t xml:space="preserve"> </w:t>
      </w:r>
      <w:proofErr w:type="spellStart"/>
      <w:r w:rsidR="008B68EF">
        <w:t>Disord</w:t>
      </w:r>
      <w:proofErr w:type="spellEnd"/>
      <w:r>
        <w:t xml:space="preserve"> 6:</w:t>
      </w:r>
      <w:r w:rsidR="0024648C" w:rsidRPr="00B54CEB">
        <w:t xml:space="preserve"> 1-11.</w:t>
      </w:r>
    </w:p>
    <w:p w:rsidR="009A7677" w:rsidRPr="00B54CEB" w:rsidRDefault="007C7066" w:rsidP="009A7677">
      <w:pPr>
        <w:spacing w:after="0" w:line="480" w:lineRule="auto"/>
        <w:ind w:left="567" w:hanging="567"/>
      </w:pPr>
      <w:proofErr w:type="spellStart"/>
      <w:r>
        <w:t>Einspieler</w:t>
      </w:r>
      <w:proofErr w:type="spellEnd"/>
      <w:r>
        <w:t xml:space="preserve"> C, Kerr</w:t>
      </w:r>
      <w:r w:rsidR="009A7677" w:rsidRPr="00B54CEB">
        <w:t xml:space="preserve"> </w:t>
      </w:r>
      <w:r>
        <w:t xml:space="preserve">AM, </w:t>
      </w:r>
      <w:proofErr w:type="spellStart"/>
      <w:r>
        <w:t>Prechtl</w:t>
      </w:r>
      <w:proofErr w:type="spellEnd"/>
      <w:r>
        <w:t xml:space="preserve"> HF</w:t>
      </w:r>
      <w:r w:rsidR="009A7677" w:rsidRPr="00B54CEB">
        <w:t>R</w:t>
      </w:r>
      <w:r>
        <w:t>. 2005</w:t>
      </w:r>
      <w:r w:rsidR="009A7677" w:rsidRPr="00B54CEB">
        <w:t xml:space="preserve">. Is the early development of girls with </w:t>
      </w:r>
      <w:proofErr w:type="spellStart"/>
      <w:r w:rsidR="009A7677" w:rsidRPr="00B54CEB">
        <w:t>Rett</w:t>
      </w:r>
      <w:proofErr w:type="spellEnd"/>
      <w:r w:rsidR="009A7677" w:rsidRPr="00B54CEB">
        <w:t xml:space="preserve"> di</w:t>
      </w:r>
      <w:r w:rsidR="008B68EF">
        <w:t xml:space="preserve">sorder really normal? </w:t>
      </w:r>
      <w:proofErr w:type="spellStart"/>
      <w:r w:rsidR="008B68EF">
        <w:t>Pediatr</w:t>
      </w:r>
      <w:proofErr w:type="spellEnd"/>
      <w:r w:rsidR="008B68EF">
        <w:t xml:space="preserve"> Res</w:t>
      </w:r>
      <w:r>
        <w:t xml:space="preserve"> 57:</w:t>
      </w:r>
      <w:r w:rsidR="009A7677" w:rsidRPr="00B54CEB">
        <w:t xml:space="preserve"> 696-700.</w:t>
      </w:r>
    </w:p>
    <w:p w:rsidR="009A7677" w:rsidRPr="00B54CEB" w:rsidRDefault="007C7066" w:rsidP="009A7677">
      <w:pPr>
        <w:spacing w:after="0" w:line="480" w:lineRule="auto"/>
        <w:ind w:left="567" w:hanging="567"/>
      </w:pPr>
      <w:r>
        <w:t xml:space="preserve">Glaze DG, Percy AK, Skinner S, </w:t>
      </w:r>
      <w:proofErr w:type="spellStart"/>
      <w:r>
        <w:t>Motil</w:t>
      </w:r>
      <w:proofErr w:type="spellEnd"/>
      <w:r>
        <w:t xml:space="preserve"> KJ, </w:t>
      </w:r>
      <w:proofErr w:type="spellStart"/>
      <w:r>
        <w:t>Neul</w:t>
      </w:r>
      <w:proofErr w:type="spellEnd"/>
      <w:r>
        <w:t xml:space="preserve"> JL, </w:t>
      </w:r>
      <w:proofErr w:type="spellStart"/>
      <w:r>
        <w:t>Barrish</w:t>
      </w:r>
      <w:proofErr w:type="spellEnd"/>
      <w:r>
        <w:t xml:space="preserve"> JO, Lane JB, </w:t>
      </w:r>
      <w:proofErr w:type="spellStart"/>
      <w:r>
        <w:t>Geerts</w:t>
      </w:r>
      <w:proofErr w:type="spellEnd"/>
      <w:r>
        <w:t xml:space="preserve"> SP, </w:t>
      </w:r>
      <w:proofErr w:type="spellStart"/>
      <w:r>
        <w:t>Annese</w:t>
      </w:r>
      <w:proofErr w:type="spellEnd"/>
      <w:r>
        <w:t xml:space="preserve"> F, Graham</w:t>
      </w:r>
      <w:r w:rsidR="009A7677" w:rsidRPr="00B54CEB">
        <w:t xml:space="preserve"> J</w:t>
      </w:r>
      <w:r>
        <w:t xml:space="preserve">, </w:t>
      </w:r>
      <w:proofErr w:type="spellStart"/>
      <w:r>
        <w:t>Mcnair</w:t>
      </w:r>
      <w:proofErr w:type="spellEnd"/>
      <w:r>
        <w:t xml:space="preserve"> L, Lee HS. 2010</w:t>
      </w:r>
      <w:r w:rsidR="009A7677" w:rsidRPr="00B54CEB">
        <w:t xml:space="preserve">. Epilepsy and the natural history of </w:t>
      </w:r>
      <w:proofErr w:type="spellStart"/>
      <w:r w:rsidR="009A7677" w:rsidRPr="00B54CEB">
        <w:t>Rett</w:t>
      </w:r>
      <w:proofErr w:type="spellEnd"/>
      <w:r w:rsidR="009A7677" w:rsidRPr="00B54CEB">
        <w:t xml:space="preserve"> syndrome. Neurology</w:t>
      </w:r>
      <w:r>
        <w:t xml:space="preserve"> 74:</w:t>
      </w:r>
      <w:r w:rsidR="009A7677" w:rsidRPr="00B54CEB">
        <w:t xml:space="preserve"> 909-12.</w:t>
      </w:r>
    </w:p>
    <w:p w:rsidR="009A7677" w:rsidRPr="00B54CEB" w:rsidRDefault="007C7066" w:rsidP="009A7677">
      <w:pPr>
        <w:spacing w:after="0" w:line="480" w:lineRule="auto"/>
        <w:ind w:left="567" w:hanging="567"/>
      </w:pPr>
      <w:proofErr w:type="spellStart"/>
      <w:r>
        <w:t>Hagberg</w:t>
      </w:r>
      <w:proofErr w:type="spellEnd"/>
      <w:r>
        <w:t xml:space="preserve"> B. 2002</w:t>
      </w:r>
      <w:r w:rsidR="009A7677" w:rsidRPr="00B54CEB">
        <w:t>. Clinical manifestations and</w:t>
      </w:r>
      <w:r w:rsidR="008B68EF">
        <w:t xml:space="preserve"> stages of </w:t>
      </w:r>
      <w:proofErr w:type="spellStart"/>
      <w:r w:rsidR="008B68EF">
        <w:t>Rett</w:t>
      </w:r>
      <w:proofErr w:type="spellEnd"/>
      <w:r w:rsidR="008B68EF">
        <w:t xml:space="preserve"> syndrome. </w:t>
      </w:r>
      <w:proofErr w:type="spellStart"/>
      <w:r w:rsidR="008B68EF">
        <w:t>Ment</w:t>
      </w:r>
      <w:proofErr w:type="spellEnd"/>
      <w:r w:rsidR="009A7677" w:rsidRPr="00B54CEB">
        <w:t xml:space="preserve"> Retard Dev D R</w:t>
      </w:r>
      <w:r>
        <w:t xml:space="preserve"> 8:</w:t>
      </w:r>
      <w:r w:rsidR="009A7677" w:rsidRPr="00B54CEB">
        <w:t xml:space="preserve"> 61-65.</w:t>
      </w:r>
    </w:p>
    <w:p w:rsidR="009A7677" w:rsidRPr="00B54CEB" w:rsidRDefault="007C7066" w:rsidP="009A7677">
      <w:pPr>
        <w:spacing w:after="0" w:line="480" w:lineRule="auto"/>
        <w:ind w:left="567" w:hanging="567"/>
      </w:pPr>
      <w:proofErr w:type="spellStart"/>
      <w:r>
        <w:t>Hagberg</w:t>
      </w:r>
      <w:proofErr w:type="spellEnd"/>
      <w:r>
        <w:t xml:space="preserve"> B, </w:t>
      </w:r>
      <w:proofErr w:type="spellStart"/>
      <w:r>
        <w:t>Hanefeld</w:t>
      </w:r>
      <w:proofErr w:type="spellEnd"/>
      <w:r>
        <w:t xml:space="preserve"> F, Percy A, </w:t>
      </w:r>
      <w:proofErr w:type="spellStart"/>
      <w:r>
        <w:t>Skjeldal</w:t>
      </w:r>
      <w:proofErr w:type="spellEnd"/>
      <w:r>
        <w:t xml:space="preserve"> O. 2002</w:t>
      </w:r>
      <w:r w:rsidR="009A7677" w:rsidRPr="00B54CEB">
        <w:t xml:space="preserve">. An update on clinically applicable diagnostic criteria in </w:t>
      </w:r>
      <w:proofErr w:type="spellStart"/>
      <w:r w:rsidR="009A7677" w:rsidRPr="00B54CEB">
        <w:t>Rett</w:t>
      </w:r>
      <w:proofErr w:type="spellEnd"/>
      <w:r w:rsidR="009A7677" w:rsidRPr="00B54CEB">
        <w:t xml:space="preserve"> syndrome. Comments to </w:t>
      </w:r>
      <w:proofErr w:type="spellStart"/>
      <w:r w:rsidR="009A7677" w:rsidRPr="00B54CEB">
        <w:t>Rett</w:t>
      </w:r>
      <w:proofErr w:type="spellEnd"/>
      <w:r w:rsidR="009A7677" w:rsidRPr="00B54CEB">
        <w:t xml:space="preserve"> syndrome clinical Criteria Consensus Panel Satellite to European </w:t>
      </w:r>
      <w:proofErr w:type="spellStart"/>
      <w:r w:rsidR="009A7677" w:rsidRPr="00B54CEB">
        <w:t>Paediatric</w:t>
      </w:r>
      <w:proofErr w:type="spellEnd"/>
      <w:r w:rsidR="009A7677" w:rsidRPr="00B54CEB">
        <w:t xml:space="preserve"> Neurology Society Meeting, Baden </w:t>
      </w:r>
      <w:proofErr w:type="spellStart"/>
      <w:r w:rsidR="009A7677" w:rsidRPr="00B54CEB">
        <w:t>Baden</w:t>
      </w:r>
      <w:proofErr w:type="spellEnd"/>
      <w:r w:rsidR="009A7677" w:rsidRPr="00B54CEB">
        <w:t>, Germany</w:t>
      </w:r>
      <w:r w:rsidR="008B68EF">
        <w:t xml:space="preserve">, 11 September 2001. </w:t>
      </w:r>
      <w:proofErr w:type="spellStart"/>
      <w:r w:rsidR="008B68EF">
        <w:t>Eur</w:t>
      </w:r>
      <w:proofErr w:type="spellEnd"/>
      <w:r w:rsidR="008B68EF">
        <w:t xml:space="preserve"> </w:t>
      </w:r>
      <w:proofErr w:type="spellStart"/>
      <w:r w:rsidR="008B68EF">
        <w:t>P</w:t>
      </w:r>
      <w:r w:rsidR="00256E26">
        <w:t>a</w:t>
      </w:r>
      <w:r w:rsidR="008B68EF">
        <w:t>ediatr</w:t>
      </w:r>
      <w:proofErr w:type="spellEnd"/>
      <w:r w:rsidR="008B68EF">
        <w:t xml:space="preserve"> </w:t>
      </w:r>
      <w:proofErr w:type="spellStart"/>
      <w:r w:rsidR="008B68EF">
        <w:t>Neurol</w:t>
      </w:r>
      <w:proofErr w:type="spellEnd"/>
      <w:r w:rsidR="009A7677" w:rsidRPr="00B54CEB">
        <w:t xml:space="preserve"> </w:t>
      </w:r>
      <w:r>
        <w:t>6:</w:t>
      </w:r>
      <w:r w:rsidR="009A7677" w:rsidRPr="00B54CEB">
        <w:t xml:space="preserve"> 293-297.</w:t>
      </w:r>
    </w:p>
    <w:p w:rsidR="00C823EF" w:rsidRPr="00B54CEB" w:rsidRDefault="00C823EF" w:rsidP="00C823EF">
      <w:pPr>
        <w:spacing w:after="0" w:line="480" w:lineRule="auto"/>
        <w:ind w:left="567" w:hanging="567"/>
      </w:pPr>
      <w:proofErr w:type="spellStart"/>
      <w:r w:rsidRPr="00B54CEB">
        <w:t>Halbach</w:t>
      </w:r>
      <w:proofErr w:type="spellEnd"/>
      <w:r w:rsidRPr="00B54CEB">
        <w:t xml:space="preserve"> NSJ, </w:t>
      </w:r>
      <w:proofErr w:type="spellStart"/>
      <w:r w:rsidRPr="00B54CEB">
        <w:t>Smeets</w:t>
      </w:r>
      <w:proofErr w:type="spellEnd"/>
      <w:r w:rsidRPr="00B54CEB">
        <w:t xml:space="preserve"> EEJ, </w:t>
      </w:r>
      <w:proofErr w:type="spellStart"/>
      <w:r w:rsidRPr="00B54CEB">
        <w:t>Steinbusch</w:t>
      </w:r>
      <w:proofErr w:type="spellEnd"/>
      <w:r w:rsidRPr="00B54CEB">
        <w:t xml:space="preserve"> C, </w:t>
      </w:r>
      <w:proofErr w:type="spellStart"/>
      <w:r w:rsidRPr="00B54CEB">
        <w:t>Maaskant</w:t>
      </w:r>
      <w:proofErr w:type="spellEnd"/>
      <w:r w:rsidRPr="00B54CEB">
        <w:t xml:space="preserve"> MA,</w:t>
      </w:r>
      <w:r w:rsidR="007C7066">
        <w:t xml:space="preserve"> van </w:t>
      </w:r>
      <w:proofErr w:type="spellStart"/>
      <w:r w:rsidR="007C7066">
        <w:t>Waardenburg</w:t>
      </w:r>
      <w:proofErr w:type="spellEnd"/>
      <w:r w:rsidR="007C7066">
        <w:t xml:space="preserve"> D, </w:t>
      </w:r>
      <w:proofErr w:type="spellStart"/>
      <w:r w:rsidR="007C7066">
        <w:t>Curfs</w:t>
      </w:r>
      <w:proofErr w:type="spellEnd"/>
      <w:r w:rsidR="007C7066">
        <w:t xml:space="preserve"> LMG. 2013.</w:t>
      </w:r>
      <w:r w:rsidRPr="00B54CEB">
        <w:t xml:space="preserve"> Aging in </w:t>
      </w:r>
      <w:proofErr w:type="spellStart"/>
      <w:r w:rsidRPr="00B54CEB">
        <w:t>Rett</w:t>
      </w:r>
      <w:proofErr w:type="spellEnd"/>
      <w:r w:rsidRPr="00B54CEB">
        <w:t xml:space="preserve"> syndrome: a longitudinal study. </w:t>
      </w:r>
      <w:proofErr w:type="spellStart"/>
      <w:r w:rsidRPr="00B54CEB">
        <w:t>Clin</w:t>
      </w:r>
      <w:proofErr w:type="spellEnd"/>
      <w:r w:rsidR="00256E26">
        <w:t xml:space="preserve"> Genet</w:t>
      </w:r>
      <w:r w:rsidR="007C7066">
        <w:t xml:space="preserve"> 84:</w:t>
      </w:r>
      <w:r w:rsidRPr="00B54CEB">
        <w:t xml:space="preserve"> 223–229.</w:t>
      </w:r>
    </w:p>
    <w:p w:rsidR="009A7677" w:rsidRPr="00B54CEB" w:rsidRDefault="007C7066" w:rsidP="009A7677">
      <w:pPr>
        <w:spacing w:after="0" w:line="480" w:lineRule="auto"/>
        <w:ind w:left="567" w:hanging="567"/>
      </w:pPr>
      <w:r>
        <w:t xml:space="preserve">Hall SS, </w:t>
      </w:r>
      <w:proofErr w:type="spellStart"/>
      <w:r>
        <w:t>Arron</w:t>
      </w:r>
      <w:proofErr w:type="spellEnd"/>
      <w:r>
        <w:t xml:space="preserve"> K, </w:t>
      </w:r>
      <w:proofErr w:type="spellStart"/>
      <w:r>
        <w:t>Sloneem</w:t>
      </w:r>
      <w:proofErr w:type="spellEnd"/>
      <w:r>
        <w:t xml:space="preserve"> J, Oliver C. 2008</w:t>
      </w:r>
      <w:r w:rsidR="009A7677" w:rsidRPr="00B54CEB">
        <w:t xml:space="preserve">. Health and sleep problems in Cornelia de Lange syndrome: a case control study. J </w:t>
      </w:r>
      <w:proofErr w:type="spellStart"/>
      <w:r w:rsidR="009A7677" w:rsidRPr="00B54CEB">
        <w:t>Intell</w:t>
      </w:r>
      <w:proofErr w:type="spellEnd"/>
      <w:r w:rsidR="009A7677" w:rsidRPr="00B54CEB">
        <w:t xml:space="preserve"> </w:t>
      </w:r>
      <w:proofErr w:type="spellStart"/>
      <w:r w:rsidR="009A7677" w:rsidRPr="00B54CEB">
        <w:t>Disabil</w:t>
      </w:r>
      <w:proofErr w:type="spellEnd"/>
      <w:r w:rsidR="009A7677" w:rsidRPr="00B54CEB">
        <w:t xml:space="preserve"> Res</w:t>
      </w:r>
      <w:r>
        <w:t xml:space="preserve"> 52:</w:t>
      </w:r>
      <w:r w:rsidR="009A7677" w:rsidRPr="00B54CEB">
        <w:t xml:space="preserve"> 458 – 468. </w:t>
      </w:r>
    </w:p>
    <w:p w:rsidR="009A7677" w:rsidRPr="00B54CEB" w:rsidRDefault="009A7677" w:rsidP="009A7677">
      <w:pPr>
        <w:spacing w:after="0" w:line="480" w:lineRule="auto"/>
        <w:ind w:left="567" w:hanging="567"/>
      </w:pPr>
      <w:proofErr w:type="spellStart"/>
      <w:r w:rsidRPr="00B54CEB">
        <w:t>Jian</w:t>
      </w:r>
      <w:proofErr w:type="spellEnd"/>
      <w:r w:rsidRPr="00B54CEB">
        <w:t xml:space="preserve"> </w:t>
      </w:r>
      <w:r w:rsidR="007C7066">
        <w:t xml:space="preserve">L, </w:t>
      </w:r>
      <w:proofErr w:type="spellStart"/>
      <w:r w:rsidR="007C7066">
        <w:t>Nagarajan</w:t>
      </w:r>
      <w:proofErr w:type="spellEnd"/>
      <w:r w:rsidR="007C7066">
        <w:t xml:space="preserve"> L</w:t>
      </w:r>
      <w:r w:rsidRPr="00B54CEB">
        <w:t xml:space="preserve">, </w:t>
      </w:r>
      <w:r w:rsidR="007C7066">
        <w:t>de Klerk N</w:t>
      </w:r>
      <w:r w:rsidRPr="00B54CEB">
        <w:t xml:space="preserve">, </w:t>
      </w:r>
      <w:r w:rsidR="007C7066">
        <w:t>Ravine D</w:t>
      </w:r>
      <w:r w:rsidRPr="00B54CEB">
        <w:t>, Christodoul</w:t>
      </w:r>
      <w:r w:rsidR="007C7066">
        <w:t>ou J, Leonard H. 2007</w:t>
      </w:r>
      <w:r w:rsidRPr="00B54CEB">
        <w:t xml:space="preserve">. Seizures in </w:t>
      </w:r>
      <w:proofErr w:type="spellStart"/>
      <w:r w:rsidRPr="00B54CEB">
        <w:t>Rett</w:t>
      </w:r>
      <w:proofErr w:type="spellEnd"/>
      <w:r w:rsidRPr="00B54CEB">
        <w:t xml:space="preserve"> syndrome: an overview from a one-year calendar study. European J </w:t>
      </w:r>
      <w:proofErr w:type="spellStart"/>
      <w:r w:rsidRPr="00B54CEB">
        <w:t>Paediatr</w:t>
      </w:r>
      <w:proofErr w:type="spellEnd"/>
      <w:r w:rsidR="00256E26">
        <w:t xml:space="preserve"> </w:t>
      </w:r>
      <w:proofErr w:type="spellStart"/>
      <w:r w:rsidR="00256E26">
        <w:t>Neurol</w:t>
      </w:r>
      <w:proofErr w:type="spellEnd"/>
      <w:r w:rsidRPr="00B54CEB">
        <w:t xml:space="preserve"> 11</w:t>
      </w:r>
      <w:r w:rsidR="007C7066">
        <w:t>:</w:t>
      </w:r>
      <w:r w:rsidRPr="00B54CEB">
        <w:t xml:space="preserve"> 310–317.</w:t>
      </w:r>
    </w:p>
    <w:p w:rsidR="00F32A88" w:rsidRDefault="007C7066" w:rsidP="009A7677">
      <w:pPr>
        <w:spacing w:after="0" w:line="480" w:lineRule="auto"/>
        <w:ind w:left="567" w:hanging="567"/>
      </w:pPr>
      <w:r>
        <w:t>Leonard H, Bower C. 1998</w:t>
      </w:r>
      <w:r w:rsidR="009A7677" w:rsidRPr="00B54CEB">
        <w:t xml:space="preserve">. Is the </w:t>
      </w:r>
      <w:proofErr w:type="spellStart"/>
      <w:r w:rsidR="009A7677" w:rsidRPr="00B54CEB">
        <w:t>Rett</w:t>
      </w:r>
      <w:proofErr w:type="spellEnd"/>
      <w:r w:rsidR="009A7677" w:rsidRPr="00B54CEB">
        <w:t xml:space="preserve"> syndrome normal at birth? Dev</w:t>
      </w:r>
      <w:r w:rsidR="00256E26">
        <w:t xml:space="preserve"> </w:t>
      </w:r>
      <w:r w:rsidR="009A7677" w:rsidRPr="00B54CEB">
        <w:t xml:space="preserve">Med </w:t>
      </w:r>
      <w:r w:rsidR="00256E26">
        <w:t xml:space="preserve">Child </w:t>
      </w:r>
      <w:proofErr w:type="spellStart"/>
      <w:r w:rsidR="00256E26">
        <w:t>Neurol</w:t>
      </w:r>
      <w:proofErr w:type="spellEnd"/>
      <w:r>
        <w:t xml:space="preserve"> 40:</w:t>
      </w:r>
      <w:r w:rsidR="009A7677" w:rsidRPr="00B54CEB">
        <w:t xml:space="preserve"> 115-121.</w:t>
      </w:r>
    </w:p>
    <w:p w:rsidR="00F32A88" w:rsidRDefault="00F32A88" w:rsidP="00F32A88">
      <w:pPr>
        <w:spacing w:after="0" w:line="480" w:lineRule="auto"/>
        <w:ind w:left="567" w:hanging="567"/>
      </w:pPr>
      <w:r>
        <w:t>Leonard</w:t>
      </w:r>
      <w:r w:rsidRPr="00F32A88">
        <w:t xml:space="preserve"> </w:t>
      </w:r>
      <w:r>
        <w:t xml:space="preserve">H, </w:t>
      </w:r>
      <w:proofErr w:type="spellStart"/>
      <w:r>
        <w:t>Ravikumara</w:t>
      </w:r>
      <w:proofErr w:type="spellEnd"/>
      <w:r w:rsidRPr="00F32A88">
        <w:t xml:space="preserve"> </w:t>
      </w:r>
      <w:r>
        <w:t xml:space="preserve">M, </w:t>
      </w:r>
      <w:proofErr w:type="spellStart"/>
      <w:r>
        <w:t>Baikie</w:t>
      </w:r>
      <w:proofErr w:type="spellEnd"/>
      <w:r w:rsidRPr="00F32A88">
        <w:t xml:space="preserve"> </w:t>
      </w:r>
      <w:r>
        <w:t xml:space="preserve">G, </w:t>
      </w:r>
      <w:proofErr w:type="spellStart"/>
      <w:r>
        <w:t>Naseem</w:t>
      </w:r>
      <w:proofErr w:type="spellEnd"/>
      <w:r w:rsidRPr="00F32A88">
        <w:t xml:space="preserve"> </w:t>
      </w:r>
      <w:r>
        <w:t xml:space="preserve">N, </w:t>
      </w:r>
      <w:proofErr w:type="spellStart"/>
      <w:r>
        <w:t>Ellaway</w:t>
      </w:r>
      <w:proofErr w:type="spellEnd"/>
      <w:r w:rsidRPr="00F32A88">
        <w:t xml:space="preserve"> </w:t>
      </w:r>
      <w:r>
        <w:t>C, Percy</w:t>
      </w:r>
      <w:r w:rsidRPr="00F32A88">
        <w:t xml:space="preserve"> </w:t>
      </w:r>
      <w:r>
        <w:t>A, Abraham</w:t>
      </w:r>
      <w:r w:rsidRPr="00F32A88">
        <w:t xml:space="preserve"> </w:t>
      </w:r>
      <w:r>
        <w:t xml:space="preserve">S, </w:t>
      </w:r>
      <w:proofErr w:type="spellStart"/>
      <w:r>
        <w:t>Geerts</w:t>
      </w:r>
      <w:proofErr w:type="spellEnd"/>
      <w:r w:rsidRPr="00F32A88">
        <w:t xml:space="preserve"> </w:t>
      </w:r>
      <w:r>
        <w:t>S, Lane</w:t>
      </w:r>
      <w:r w:rsidRPr="00F32A88">
        <w:t xml:space="preserve"> </w:t>
      </w:r>
      <w:r>
        <w:t>J</w:t>
      </w:r>
      <w:r w:rsidR="00F16504">
        <w:t>,</w:t>
      </w:r>
      <w:r w:rsidR="00F16504" w:rsidRPr="00F16504">
        <w:t xml:space="preserve"> </w:t>
      </w:r>
      <w:r w:rsidR="00F16504">
        <w:t>Jones</w:t>
      </w:r>
      <w:r w:rsidR="00F16504" w:rsidRPr="00F16504">
        <w:t xml:space="preserve"> </w:t>
      </w:r>
      <w:r w:rsidR="00F16504">
        <w:t>M,</w:t>
      </w:r>
      <w:r>
        <w:t xml:space="preserve"> </w:t>
      </w:r>
      <w:r w:rsidR="00F16504">
        <w:t>Bathgate K, Downs J.</w:t>
      </w:r>
      <w:r w:rsidR="00F16504" w:rsidRPr="00F32A88">
        <w:t xml:space="preserve"> </w:t>
      </w:r>
      <w:r w:rsidRPr="00F32A88">
        <w:t>2013</w:t>
      </w:r>
      <w:r>
        <w:t xml:space="preserve">. Assessment and management of nutrition and growth in </w:t>
      </w:r>
      <w:proofErr w:type="spellStart"/>
      <w:r>
        <w:t>Rett</w:t>
      </w:r>
      <w:proofErr w:type="spellEnd"/>
      <w:r>
        <w:t xml:space="preserve"> syndrome. </w:t>
      </w:r>
      <w:r w:rsidRPr="00F32A88">
        <w:t>J</w:t>
      </w:r>
      <w:r>
        <w:t xml:space="preserve"> </w:t>
      </w:r>
      <w:proofErr w:type="spellStart"/>
      <w:r w:rsidRPr="00F32A88">
        <w:t>P</w:t>
      </w:r>
      <w:r>
        <w:t>ediatr</w:t>
      </w:r>
      <w:proofErr w:type="spellEnd"/>
      <w:r>
        <w:t xml:space="preserve"> </w:t>
      </w:r>
      <w:proofErr w:type="spellStart"/>
      <w:r w:rsidRPr="00F32A88">
        <w:t>G</w:t>
      </w:r>
      <w:r w:rsidR="00FF6779">
        <w:t>astroenterol</w:t>
      </w:r>
      <w:proofErr w:type="spellEnd"/>
      <w:r w:rsidR="00FF6779">
        <w:t xml:space="preserve"> </w:t>
      </w:r>
      <w:proofErr w:type="spellStart"/>
      <w:r w:rsidRPr="00F32A88">
        <w:t>N</w:t>
      </w:r>
      <w:r w:rsidR="00FF6779">
        <w:t>utr</w:t>
      </w:r>
      <w:proofErr w:type="spellEnd"/>
      <w:r w:rsidRPr="00F32A88">
        <w:t xml:space="preserve"> </w:t>
      </w:r>
      <w:r>
        <w:t>57: 451-460.</w:t>
      </w:r>
    </w:p>
    <w:p w:rsidR="006F382C" w:rsidRDefault="006F382C" w:rsidP="006F382C">
      <w:pPr>
        <w:spacing w:after="0" w:line="480" w:lineRule="auto"/>
        <w:ind w:left="567" w:hanging="567"/>
      </w:pPr>
      <w:proofErr w:type="spellStart"/>
      <w:r>
        <w:t>Motil</w:t>
      </w:r>
      <w:proofErr w:type="spellEnd"/>
      <w:r w:rsidRPr="00F16504">
        <w:t xml:space="preserve"> </w:t>
      </w:r>
      <w:r>
        <w:t>KJ,</w:t>
      </w:r>
      <w:r w:rsidRPr="00F16504">
        <w:t xml:space="preserve"> </w:t>
      </w:r>
      <w:proofErr w:type="spellStart"/>
      <w:r>
        <w:t>Caeg</w:t>
      </w:r>
      <w:proofErr w:type="spellEnd"/>
      <w:r>
        <w:t xml:space="preserve"> E, </w:t>
      </w:r>
      <w:proofErr w:type="spellStart"/>
      <w:r>
        <w:t>Barrish</w:t>
      </w:r>
      <w:proofErr w:type="spellEnd"/>
      <w:r w:rsidRPr="00F16504">
        <w:t xml:space="preserve"> </w:t>
      </w:r>
      <w:r>
        <w:t>JO,</w:t>
      </w:r>
      <w:r w:rsidRPr="00F16504">
        <w:t xml:space="preserve"> </w:t>
      </w:r>
      <w:proofErr w:type="spellStart"/>
      <w:r>
        <w:t>Geerts</w:t>
      </w:r>
      <w:proofErr w:type="spellEnd"/>
      <w:r w:rsidRPr="00F16504">
        <w:t xml:space="preserve"> </w:t>
      </w:r>
      <w:r>
        <w:t>SP,</w:t>
      </w:r>
      <w:r w:rsidRPr="00F16504">
        <w:t xml:space="preserve"> </w:t>
      </w:r>
      <w:r>
        <w:t>Lane</w:t>
      </w:r>
      <w:r w:rsidRPr="00F16504">
        <w:t xml:space="preserve"> </w:t>
      </w:r>
      <w:r>
        <w:t>JB,</w:t>
      </w:r>
      <w:r w:rsidRPr="00F16504">
        <w:t xml:space="preserve"> </w:t>
      </w:r>
      <w:r>
        <w:t>Percy</w:t>
      </w:r>
      <w:r w:rsidRPr="00F16504">
        <w:t xml:space="preserve"> </w:t>
      </w:r>
      <w:r>
        <w:t xml:space="preserve">AK, </w:t>
      </w:r>
      <w:proofErr w:type="spellStart"/>
      <w:r>
        <w:t>Annese</w:t>
      </w:r>
      <w:proofErr w:type="spellEnd"/>
      <w:r w:rsidRPr="00F16504">
        <w:t xml:space="preserve"> </w:t>
      </w:r>
      <w:r>
        <w:t>F,</w:t>
      </w:r>
      <w:r w:rsidRPr="00F16504">
        <w:t xml:space="preserve"> </w:t>
      </w:r>
      <w:r>
        <w:t>McNair</w:t>
      </w:r>
      <w:r w:rsidRPr="00F16504">
        <w:t xml:space="preserve"> </w:t>
      </w:r>
      <w:r>
        <w:t>L,</w:t>
      </w:r>
      <w:r w:rsidRPr="006F382C">
        <w:t xml:space="preserve"> </w:t>
      </w:r>
      <w:r>
        <w:t>Skinner</w:t>
      </w:r>
      <w:r w:rsidRPr="00F16504">
        <w:t xml:space="preserve"> </w:t>
      </w:r>
      <w:r>
        <w:t>SA,</w:t>
      </w:r>
      <w:r w:rsidRPr="00F16504">
        <w:t xml:space="preserve"> </w:t>
      </w:r>
      <w:r>
        <w:t>Lee</w:t>
      </w:r>
      <w:r w:rsidRPr="00F16504">
        <w:t xml:space="preserve"> </w:t>
      </w:r>
      <w:r>
        <w:t>H-S,</w:t>
      </w:r>
      <w:r w:rsidRPr="00F16504">
        <w:t xml:space="preserve"> </w:t>
      </w:r>
      <w:proofErr w:type="spellStart"/>
      <w:r>
        <w:t>Neul</w:t>
      </w:r>
      <w:proofErr w:type="spellEnd"/>
      <w:r w:rsidRPr="00F16504">
        <w:t xml:space="preserve"> </w:t>
      </w:r>
      <w:r>
        <w:t>JL, Glaze</w:t>
      </w:r>
      <w:r w:rsidRPr="00F16504">
        <w:t xml:space="preserve"> </w:t>
      </w:r>
      <w:r>
        <w:t xml:space="preserve">DG. 2012. Gastrointestinal and nutritional problems occur frequently throughout life in girls and women with </w:t>
      </w:r>
      <w:proofErr w:type="spellStart"/>
      <w:r>
        <w:t>Rett</w:t>
      </w:r>
      <w:proofErr w:type="spellEnd"/>
      <w:r>
        <w:t xml:space="preserve"> syndrome. J </w:t>
      </w:r>
      <w:proofErr w:type="spellStart"/>
      <w:r>
        <w:t>Pediatr</w:t>
      </w:r>
      <w:proofErr w:type="spellEnd"/>
      <w:r>
        <w:t xml:space="preserve"> </w:t>
      </w:r>
      <w:proofErr w:type="spellStart"/>
      <w:r>
        <w:t>Gastroenterol</w:t>
      </w:r>
      <w:proofErr w:type="spellEnd"/>
      <w:r>
        <w:t xml:space="preserve"> </w:t>
      </w:r>
      <w:proofErr w:type="spellStart"/>
      <w:r>
        <w:t>Nutr</w:t>
      </w:r>
      <w:proofErr w:type="spellEnd"/>
      <w:r>
        <w:t xml:space="preserve"> 55</w:t>
      </w:r>
      <w:r w:rsidRPr="006F382C">
        <w:t>: 292–298</w:t>
      </w:r>
      <w:r>
        <w:t>.</w:t>
      </w:r>
    </w:p>
    <w:p w:rsidR="009A7677" w:rsidRPr="00B54CEB" w:rsidRDefault="007C7066" w:rsidP="009A7677">
      <w:pPr>
        <w:spacing w:after="0" w:line="480" w:lineRule="auto"/>
        <w:ind w:left="567" w:hanging="567"/>
      </w:pPr>
      <w:proofErr w:type="spellStart"/>
      <w:r>
        <w:t>Neul</w:t>
      </w:r>
      <w:proofErr w:type="spellEnd"/>
      <w:r>
        <w:t xml:space="preserve"> JL, Fang P, </w:t>
      </w:r>
      <w:proofErr w:type="spellStart"/>
      <w:r>
        <w:t>Barrish</w:t>
      </w:r>
      <w:proofErr w:type="spellEnd"/>
      <w:r>
        <w:t xml:space="preserve"> J, Lane J, </w:t>
      </w:r>
      <w:proofErr w:type="spellStart"/>
      <w:r>
        <w:t>Caeg</w:t>
      </w:r>
      <w:proofErr w:type="spellEnd"/>
      <w:r>
        <w:t xml:space="preserve"> EB, Smith EO, </w:t>
      </w:r>
      <w:proofErr w:type="spellStart"/>
      <w:r>
        <w:t>Zoghbi</w:t>
      </w:r>
      <w:proofErr w:type="spellEnd"/>
      <w:r>
        <w:t xml:space="preserve"> H, Percy</w:t>
      </w:r>
      <w:r w:rsidR="009A7677" w:rsidRPr="00B54CEB">
        <w:t xml:space="preserve"> A</w:t>
      </w:r>
      <w:r>
        <w:t>, Glaze DG. 2008</w:t>
      </w:r>
      <w:r w:rsidR="009A7677" w:rsidRPr="00B54CEB">
        <w:t>. Specific mutations in methyl-</w:t>
      </w:r>
      <w:proofErr w:type="spellStart"/>
      <w:r w:rsidR="009A7677" w:rsidRPr="00B54CEB">
        <w:t>CpG</w:t>
      </w:r>
      <w:proofErr w:type="spellEnd"/>
      <w:r w:rsidR="009A7677" w:rsidRPr="00B54CEB">
        <w:t xml:space="preserve">-binding protein 2 confer different severity in </w:t>
      </w:r>
      <w:proofErr w:type="spellStart"/>
      <w:r w:rsidR="009A7677" w:rsidRPr="00B54CEB">
        <w:t>Rett</w:t>
      </w:r>
      <w:proofErr w:type="spellEnd"/>
      <w:r w:rsidR="009A7677" w:rsidRPr="00B54CEB">
        <w:t xml:space="preserve"> syndrome. Neurology</w:t>
      </w:r>
      <w:r>
        <w:t xml:space="preserve"> 70:</w:t>
      </w:r>
      <w:r w:rsidR="009A7677" w:rsidRPr="00B54CEB">
        <w:t xml:space="preserve"> 1313-21.</w:t>
      </w:r>
    </w:p>
    <w:p w:rsidR="00E0054F" w:rsidRDefault="008E70DB" w:rsidP="009A7677">
      <w:pPr>
        <w:spacing w:after="0" w:line="480" w:lineRule="auto"/>
        <w:ind w:left="567" w:hanging="567"/>
      </w:pPr>
      <w:proofErr w:type="spellStart"/>
      <w:r>
        <w:t>Neul</w:t>
      </w:r>
      <w:proofErr w:type="spellEnd"/>
      <w:r>
        <w:t xml:space="preserve"> J</w:t>
      </w:r>
      <w:r w:rsidR="009A7677" w:rsidRPr="00B54CEB">
        <w:t>L</w:t>
      </w:r>
      <w:r>
        <w:t xml:space="preserve">, Kaufmann W, Glaze DG, Christodoulou J, Clarke AJ, </w:t>
      </w:r>
      <w:proofErr w:type="spellStart"/>
      <w:r>
        <w:t>Bahi</w:t>
      </w:r>
      <w:proofErr w:type="spellEnd"/>
      <w:r>
        <w:t xml:space="preserve">-Buisson N, Leonard H, Bailey MES, </w:t>
      </w:r>
      <w:proofErr w:type="spellStart"/>
      <w:r>
        <w:t>Schanen</w:t>
      </w:r>
      <w:proofErr w:type="spellEnd"/>
      <w:r>
        <w:t xml:space="preserve"> CN, </w:t>
      </w:r>
      <w:proofErr w:type="spellStart"/>
      <w:r>
        <w:t>Zappella</w:t>
      </w:r>
      <w:proofErr w:type="spellEnd"/>
      <w:r>
        <w:t xml:space="preserve"> M, </w:t>
      </w:r>
      <w:proofErr w:type="spellStart"/>
      <w:r>
        <w:t>Ranieri</w:t>
      </w:r>
      <w:proofErr w:type="spellEnd"/>
      <w:r>
        <w:t xml:space="preserve"> A, </w:t>
      </w:r>
      <w:proofErr w:type="spellStart"/>
      <w:r>
        <w:t>Huppke</w:t>
      </w:r>
      <w:proofErr w:type="spellEnd"/>
      <w:r w:rsidR="009A7677" w:rsidRPr="00B54CEB">
        <w:t xml:space="preserve"> P</w:t>
      </w:r>
      <w:r>
        <w:t>, Percy AK. 2010</w:t>
      </w:r>
      <w:r w:rsidR="009A7677" w:rsidRPr="00B54CEB">
        <w:t xml:space="preserve">. </w:t>
      </w:r>
      <w:proofErr w:type="spellStart"/>
      <w:r w:rsidR="009A7677" w:rsidRPr="00B54CEB">
        <w:t>Rett</w:t>
      </w:r>
      <w:proofErr w:type="spellEnd"/>
      <w:r w:rsidR="009A7677" w:rsidRPr="00B54CEB">
        <w:t xml:space="preserve"> syndrome: revised diagnostic crit</w:t>
      </w:r>
      <w:r w:rsidR="00256E26">
        <w:t xml:space="preserve">eria and nomenclature. Ann </w:t>
      </w:r>
      <w:proofErr w:type="spellStart"/>
      <w:r w:rsidR="00256E26">
        <w:t>Neurol</w:t>
      </w:r>
      <w:proofErr w:type="spellEnd"/>
      <w:r>
        <w:t xml:space="preserve"> 68:</w:t>
      </w:r>
      <w:r w:rsidR="009A7677" w:rsidRPr="00B54CEB">
        <w:t xml:space="preserve"> 944-950.</w:t>
      </w:r>
    </w:p>
    <w:p w:rsidR="00E0054F" w:rsidRDefault="00E0054F" w:rsidP="00E0054F">
      <w:pPr>
        <w:spacing w:after="0" w:line="480" w:lineRule="auto"/>
        <w:ind w:left="567" w:hanging="567"/>
      </w:pPr>
      <w:proofErr w:type="spellStart"/>
      <w:r>
        <w:t>Neul</w:t>
      </w:r>
      <w:proofErr w:type="spellEnd"/>
      <w:r w:rsidRPr="00E0054F">
        <w:t xml:space="preserve"> </w:t>
      </w:r>
      <w:r>
        <w:t>JL, Lane</w:t>
      </w:r>
      <w:r w:rsidRPr="00E0054F">
        <w:t xml:space="preserve"> </w:t>
      </w:r>
      <w:r>
        <w:t>JB, Lee</w:t>
      </w:r>
      <w:r w:rsidRPr="00E0054F">
        <w:t xml:space="preserve"> </w:t>
      </w:r>
      <w:r>
        <w:t xml:space="preserve">H-S, </w:t>
      </w:r>
      <w:proofErr w:type="spellStart"/>
      <w:r>
        <w:t>Geerts</w:t>
      </w:r>
      <w:proofErr w:type="spellEnd"/>
      <w:r w:rsidRPr="00E0054F">
        <w:t xml:space="preserve"> </w:t>
      </w:r>
      <w:r>
        <w:t xml:space="preserve">S, </w:t>
      </w:r>
      <w:proofErr w:type="spellStart"/>
      <w:r>
        <w:t>Barrish</w:t>
      </w:r>
      <w:proofErr w:type="spellEnd"/>
      <w:r w:rsidRPr="00E0054F">
        <w:t xml:space="preserve"> </w:t>
      </w:r>
      <w:r>
        <w:t xml:space="preserve">JO, </w:t>
      </w:r>
      <w:proofErr w:type="spellStart"/>
      <w:r>
        <w:t>Annese</w:t>
      </w:r>
      <w:proofErr w:type="spellEnd"/>
      <w:r w:rsidRPr="00E0054F">
        <w:t xml:space="preserve"> </w:t>
      </w:r>
      <w:r>
        <w:t>F, McNair Baggett</w:t>
      </w:r>
      <w:r w:rsidRPr="00E0054F">
        <w:t xml:space="preserve"> </w:t>
      </w:r>
      <w:r>
        <w:t>L, Barnes</w:t>
      </w:r>
      <w:r w:rsidRPr="00E0054F">
        <w:t xml:space="preserve"> </w:t>
      </w:r>
      <w:r>
        <w:t>K, Skinner</w:t>
      </w:r>
      <w:r w:rsidRPr="00E0054F">
        <w:t xml:space="preserve"> </w:t>
      </w:r>
      <w:r>
        <w:t xml:space="preserve">SA, </w:t>
      </w:r>
      <w:proofErr w:type="spellStart"/>
      <w:r>
        <w:t>Motil</w:t>
      </w:r>
      <w:proofErr w:type="spellEnd"/>
      <w:r w:rsidRPr="00E0054F">
        <w:t xml:space="preserve"> </w:t>
      </w:r>
      <w:r>
        <w:t>KJ, Glaze</w:t>
      </w:r>
      <w:r w:rsidRPr="00E0054F">
        <w:t xml:space="preserve"> </w:t>
      </w:r>
      <w:r>
        <w:t>DG,</w:t>
      </w:r>
      <w:r w:rsidRPr="00E0054F">
        <w:t xml:space="preserve"> </w:t>
      </w:r>
      <w:r>
        <w:t>Kaufmann WE, Percy</w:t>
      </w:r>
      <w:r w:rsidRPr="00E0054F">
        <w:t xml:space="preserve"> </w:t>
      </w:r>
      <w:r>
        <w:t xml:space="preserve">AK. 2014. Developmental delay in </w:t>
      </w:r>
      <w:proofErr w:type="spellStart"/>
      <w:r>
        <w:t>Rett</w:t>
      </w:r>
      <w:proofErr w:type="spellEnd"/>
      <w:r>
        <w:t xml:space="preserve"> syndrome: data from the natural history study. </w:t>
      </w:r>
      <w:r w:rsidRPr="00B54CEB">
        <w:t>J</w:t>
      </w:r>
      <w:r>
        <w:t xml:space="preserve"> </w:t>
      </w:r>
      <w:proofErr w:type="spellStart"/>
      <w:r>
        <w:t>Neurodevelop</w:t>
      </w:r>
      <w:proofErr w:type="spellEnd"/>
      <w:r>
        <w:t xml:space="preserve"> </w:t>
      </w:r>
      <w:proofErr w:type="spellStart"/>
      <w:r>
        <w:t>Disord</w:t>
      </w:r>
      <w:proofErr w:type="spellEnd"/>
      <w:r>
        <w:t xml:space="preserve"> 6:20</w:t>
      </w:r>
      <w:r w:rsidR="004137DA">
        <w:t>.</w:t>
      </w:r>
    </w:p>
    <w:p w:rsidR="009A7677" w:rsidRPr="00B54CEB" w:rsidRDefault="009A7677" w:rsidP="00E0054F">
      <w:pPr>
        <w:spacing w:after="0" w:line="480" w:lineRule="auto"/>
        <w:ind w:left="567" w:hanging="567"/>
      </w:pPr>
    </w:p>
    <w:p w:rsidR="009A7677" w:rsidRPr="00B54CEB" w:rsidRDefault="009A7677" w:rsidP="000E4B95">
      <w:pPr>
        <w:spacing w:after="0" w:line="480" w:lineRule="auto"/>
        <w:ind w:left="567" w:hanging="567"/>
      </w:pPr>
      <w:proofErr w:type="spellStart"/>
      <w:r w:rsidRPr="00B54CEB">
        <w:t>Oddy</w:t>
      </w:r>
      <w:proofErr w:type="spellEnd"/>
      <w:r w:rsidR="008E70DB">
        <w:t xml:space="preserve"> WH</w:t>
      </w:r>
      <w:r w:rsidRPr="00B54CEB">
        <w:t>, Webb</w:t>
      </w:r>
      <w:r w:rsidR="008E70DB">
        <w:t xml:space="preserve"> KG</w:t>
      </w:r>
      <w:r w:rsidRPr="00B54CEB">
        <w:t xml:space="preserve">, </w:t>
      </w:r>
      <w:proofErr w:type="spellStart"/>
      <w:r w:rsidRPr="00B54CEB">
        <w:t>Baikie</w:t>
      </w:r>
      <w:proofErr w:type="spellEnd"/>
      <w:r w:rsidR="008E70DB">
        <w:t xml:space="preserve"> G</w:t>
      </w:r>
      <w:r w:rsidRPr="00B54CEB">
        <w:t>, Thompson</w:t>
      </w:r>
      <w:r w:rsidR="008E70DB">
        <w:t xml:space="preserve"> SM</w:t>
      </w:r>
      <w:r w:rsidRPr="00B54CEB">
        <w:t xml:space="preserve">, Reilly </w:t>
      </w:r>
      <w:r w:rsidR="008E70DB">
        <w:t>S</w:t>
      </w:r>
      <w:r w:rsidR="000E4B95" w:rsidRPr="00B54CEB">
        <w:t xml:space="preserve">, Fyfe </w:t>
      </w:r>
      <w:r w:rsidR="008E70DB">
        <w:t>SD</w:t>
      </w:r>
      <w:r w:rsidR="000E4B95" w:rsidRPr="00B54CEB">
        <w:t>, Young</w:t>
      </w:r>
      <w:r w:rsidR="008E70DB">
        <w:t xml:space="preserve"> D,</w:t>
      </w:r>
      <w:r w:rsidR="000E4B95" w:rsidRPr="00B54CEB">
        <w:t xml:space="preserve"> Anderson </w:t>
      </w:r>
      <w:r w:rsidR="008E70DB">
        <w:t>AM</w:t>
      </w:r>
      <w:r w:rsidR="000E4B95" w:rsidRPr="00B54CEB">
        <w:t xml:space="preserve">, Leonard H. </w:t>
      </w:r>
      <w:r w:rsidR="008E70DB">
        <w:t>2007</w:t>
      </w:r>
      <w:r w:rsidRPr="00B54CEB">
        <w:t xml:space="preserve">. </w:t>
      </w:r>
      <w:r w:rsidR="000E4B95" w:rsidRPr="00B54CEB">
        <w:t xml:space="preserve">Feeding Experiences and Growth Status in a </w:t>
      </w:r>
      <w:proofErr w:type="spellStart"/>
      <w:r w:rsidR="000E4B95" w:rsidRPr="00B54CEB">
        <w:t>Rett</w:t>
      </w:r>
      <w:proofErr w:type="spellEnd"/>
      <w:r w:rsidR="000E4B95" w:rsidRPr="00B54CEB">
        <w:t xml:space="preserve"> Syndrome Pop</w:t>
      </w:r>
      <w:r w:rsidR="00256E26">
        <w:t xml:space="preserve">ulation. J </w:t>
      </w:r>
      <w:proofErr w:type="spellStart"/>
      <w:r w:rsidR="00256E26">
        <w:t>Pediatr</w:t>
      </w:r>
      <w:proofErr w:type="spellEnd"/>
      <w:r w:rsidR="00256E26">
        <w:t xml:space="preserve"> </w:t>
      </w:r>
      <w:proofErr w:type="spellStart"/>
      <w:r w:rsidR="00256E26">
        <w:t>Gastr</w:t>
      </w:r>
      <w:proofErr w:type="spellEnd"/>
      <w:r w:rsidR="00256E26">
        <w:t xml:space="preserve"> </w:t>
      </w:r>
      <w:proofErr w:type="spellStart"/>
      <w:r w:rsidR="00256E26">
        <w:t>Nutr</w:t>
      </w:r>
      <w:proofErr w:type="spellEnd"/>
      <w:r w:rsidR="008E70DB">
        <w:t xml:space="preserve"> 45:</w:t>
      </w:r>
      <w:r w:rsidR="000E4B95" w:rsidRPr="00B54CEB">
        <w:t xml:space="preserve"> 582–590.</w:t>
      </w:r>
    </w:p>
    <w:p w:rsidR="009A7677" w:rsidRPr="00B54CEB" w:rsidRDefault="009A7677" w:rsidP="002B0D2B">
      <w:pPr>
        <w:spacing w:after="0" w:line="480" w:lineRule="auto"/>
        <w:ind w:left="567" w:hanging="567"/>
      </w:pPr>
      <w:r w:rsidRPr="00B54CEB">
        <w:t xml:space="preserve">Oliver </w:t>
      </w:r>
      <w:r w:rsidR="008E70DB">
        <w:t>C,</w:t>
      </w:r>
      <w:r w:rsidR="00016809">
        <w:t xml:space="preserve"> </w:t>
      </w:r>
      <w:proofErr w:type="spellStart"/>
      <w:r w:rsidR="00016809">
        <w:t>Wilkie</w:t>
      </w:r>
      <w:proofErr w:type="spellEnd"/>
      <w:r w:rsidR="00016809">
        <w:t xml:space="preserve"> L. 2005.</w:t>
      </w:r>
      <w:r w:rsidRPr="00B54CEB">
        <w:t xml:space="preserve"> Gastro-</w:t>
      </w:r>
      <w:proofErr w:type="spellStart"/>
      <w:r w:rsidRPr="00B54CEB">
        <w:t>oesophageal</w:t>
      </w:r>
      <w:proofErr w:type="spellEnd"/>
      <w:r w:rsidRPr="00B54CEB">
        <w:t xml:space="preserve"> Distress Questionnaire.</w:t>
      </w:r>
      <w:r w:rsidR="002B0D2B" w:rsidRPr="00B54CEB">
        <w:t xml:space="preserve"> </w:t>
      </w:r>
      <w:r w:rsidRPr="00B54CEB">
        <w:t>http://www.birmingham.ac.uk/schools/psychology/centres/cerebra/about/assessments/index.aspx accessed 12 June 2014</w:t>
      </w:r>
      <w:r w:rsidR="00DC4BAC">
        <w:t>.</w:t>
      </w:r>
    </w:p>
    <w:p w:rsidR="00DC4BAC" w:rsidRDefault="00DC4BAC" w:rsidP="009A7677">
      <w:pPr>
        <w:spacing w:after="0" w:line="480" w:lineRule="auto"/>
        <w:ind w:left="567" w:hanging="567"/>
      </w:pPr>
      <w:r>
        <w:t xml:space="preserve">Public Health England 2014. Patterns and trends in </w:t>
      </w:r>
      <w:r w:rsidRPr="00DC4BAC">
        <w:t>child obesity</w:t>
      </w:r>
      <w:r>
        <w:t>.</w:t>
      </w:r>
      <w:r w:rsidRPr="00DC4BAC">
        <w:t xml:space="preserve"> http://www.noo.org.uk/slide_sets</w:t>
      </w:r>
      <w:r>
        <w:t xml:space="preserve"> accessed 4 December 2014.</w:t>
      </w:r>
    </w:p>
    <w:p w:rsidR="009A7677" w:rsidRPr="00B54CEB" w:rsidRDefault="009A7677" w:rsidP="009A7677">
      <w:pPr>
        <w:spacing w:after="0" w:line="480" w:lineRule="auto"/>
        <w:ind w:left="567" w:hanging="567"/>
      </w:pPr>
      <w:r w:rsidRPr="00B54CEB">
        <w:t xml:space="preserve">Reilly </w:t>
      </w:r>
      <w:r w:rsidR="00016809">
        <w:t>S,</w:t>
      </w:r>
      <w:r w:rsidRPr="00B54CEB">
        <w:t xml:space="preserve"> Cass</w:t>
      </w:r>
      <w:r w:rsidR="002B0D2B" w:rsidRPr="00B54CEB">
        <w:t xml:space="preserve"> H.</w:t>
      </w:r>
      <w:r w:rsidRPr="00B54CEB">
        <w:t xml:space="preserve"> </w:t>
      </w:r>
      <w:r w:rsidR="00016809">
        <w:t>2001</w:t>
      </w:r>
      <w:r w:rsidR="002B0D2B" w:rsidRPr="00B54CEB">
        <w:t xml:space="preserve">. Growth and nutrition in </w:t>
      </w:r>
      <w:proofErr w:type="spellStart"/>
      <w:r w:rsidR="002B0D2B" w:rsidRPr="00B54CEB">
        <w:t>Rett</w:t>
      </w:r>
      <w:proofErr w:type="spellEnd"/>
      <w:r w:rsidR="002B0D2B" w:rsidRPr="00B54CEB">
        <w:t xml:space="preserve"> syndrome. </w:t>
      </w:r>
      <w:proofErr w:type="spellStart"/>
      <w:r w:rsidR="002B0D2B" w:rsidRPr="00B54CEB">
        <w:t>D</w:t>
      </w:r>
      <w:r w:rsidR="00016809">
        <w:t>isabil</w:t>
      </w:r>
      <w:proofErr w:type="spellEnd"/>
      <w:r w:rsidR="00016809">
        <w:t xml:space="preserve"> </w:t>
      </w:r>
      <w:proofErr w:type="spellStart"/>
      <w:r w:rsidR="00016809">
        <w:t>Rehabil</w:t>
      </w:r>
      <w:proofErr w:type="spellEnd"/>
      <w:r w:rsidR="00016809">
        <w:t xml:space="preserve"> 23:</w:t>
      </w:r>
      <w:r w:rsidR="002B0D2B" w:rsidRPr="00B54CEB">
        <w:t xml:space="preserve"> 118-128.</w:t>
      </w:r>
    </w:p>
    <w:p w:rsidR="009A7677" w:rsidRPr="00B54CEB" w:rsidRDefault="00016809" w:rsidP="009A7677">
      <w:pPr>
        <w:spacing w:after="0" w:line="480" w:lineRule="auto"/>
        <w:ind w:left="567" w:hanging="567"/>
      </w:pPr>
      <w:proofErr w:type="spellStart"/>
      <w:r>
        <w:t>Smeets</w:t>
      </w:r>
      <w:proofErr w:type="spellEnd"/>
      <w:r>
        <w:t xml:space="preserve"> EEJ, </w:t>
      </w:r>
      <w:proofErr w:type="spellStart"/>
      <w:r>
        <w:t>Chenault</w:t>
      </w:r>
      <w:proofErr w:type="spellEnd"/>
      <w:r>
        <w:t xml:space="preserve"> M, </w:t>
      </w:r>
      <w:proofErr w:type="spellStart"/>
      <w:r>
        <w:t>Curfs</w:t>
      </w:r>
      <w:proofErr w:type="spellEnd"/>
      <w:r>
        <w:t xml:space="preserve"> LMG, </w:t>
      </w:r>
      <w:proofErr w:type="spellStart"/>
      <w:r>
        <w:t>Schrander-Stumpel</w:t>
      </w:r>
      <w:proofErr w:type="spellEnd"/>
      <w:r>
        <w:t xml:space="preserve"> CTRM</w:t>
      </w:r>
      <w:r w:rsidR="009A7677" w:rsidRPr="00B54CEB">
        <w:t xml:space="preserve">, </w:t>
      </w:r>
      <w:proofErr w:type="spellStart"/>
      <w:r w:rsidR="009A7677" w:rsidRPr="00B54CEB">
        <w:t>Frijns</w:t>
      </w:r>
      <w:proofErr w:type="spellEnd"/>
      <w:r w:rsidR="009A7677" w:rsidRPr="00B54CEB">
        <w:t xml:space="preserve"> J</w:t>
      </w:r>
      <w:r>
        <w:t>P. 2009</w:t>
      </w:r>
      <w:r w:rsidR="009A7677" w:rsidRPr="00B54CEB">
        <w:t xml:space="preserve">. </w:t>
      </w:r>
      <w:proofErr w:type="spellStart"/>
      <w:r w:rsidR="009A7677" w:rsidRPr="00B54CEB">
        <w:t>Rett</w:t>
      </w:r>
      <w:proofErr w:type="spellEnd"/>
      <w:r w:rsidR="009A7677" w:rsidRPr="00B54CEB">
        <w:t xml:space="preserve"> syndrome and long-term disorder profile. Am J</w:t>
      </w:r>
      <w:r>
        <w:t xml:space="preserve"> Med Genet A 149A:</w:t>
      </w:r>
      <w:r w:rsidR="009A7677" w:rsidRPr="00B54CEB">
        <w:t xml:space="preserve"> 199-205.</w:t>
      </w:r>
    </w:p>
    <w:p w:rsidR="009A7677" w:rsidRPr="00B54CEB" w:rsidRDefault="00016809" w:rsidP="009A7677">
      <w:pPr>
        <w:spacing w:after="0" w:line="480" w:lineRule="auto"/>
        <w:ind w:left="567" w:hanging="567"/>
      </w:pPr>
      <w:r>
        <w:t xml:space="preserve">Sparrow SS, </w:t>
      </w:r>
      <w:proofErr w:type="spellStart"/>
      <w:r>
        <w:t>Balla</w:t>
      </w:r>
      <w:proofErr w:type="spellEnd"/>
      <w:r>
        <w:t xml:space="preserve"> D, </w:t>
      </w:r>
      <w:proofErr w:type="spellStart"/>
      <w:r>
        <w:t>Cicchetti</w:t>
      </w:r>
      <w:proofErr w:type="spellEnd"/>
      <w:r>
        <w:t xml:space="preserve"> DV. 1984</w:t>
      </w:r>
      <w:r w:rsidR="009A7677" w:rsidRPr="00B54CEB">
        <w:t>. Vineland Adaptive Behavior Scales (Survey Ed.). Circle Pines, MN: American Guidance Service.</w:t>
      </w:r>
    </w:p>
    <w:p w:rsidR="009A7677" w:rsidRPr="00B54CEB" w:rsidRDefault="009A7677" w:rsidP="009A7677">
      <w:pPr>
        <w:spacing w:after="0" w:line="480" w:lineRule="auto"/>
        <w:ind w:left="567" w:hanging="567"/>
      </w:pPr>
      <w:r w:rsidRPr="00B54CEB">
        <w:t>Symons</w:t>
      </w:r>
      <w:r w:rsidR="0082297A">
        <w:t xml:space="preserve"> FJ, </w:t>
      </w:r>
      <w:proofErr w:type="spellStart"/>
      <w:r w:rsidR="0082297A">
        <w:t>Byiers</w:t>
      </w:r>
      <w:proofErr w:type="spellEnd"/>
      <w:r w:rsidR="0082297A">
        <w:t xml:space="preserve"> B, </w:t>
      </w:r>
      <w:proofErr w:type="spellStart"/>
      <w:r w:rsidR="0082297A">
        <w:t>Tervo</w:t>
      </w:r>
      <w:proofErr w:type="spellEnd"/>
      <w:r w:rsidR="0082297A">
        <w:t xml:space="preserve"> R, </w:t>
      </w:r>
      <w:proofErr w:type="spellStart"/>
      <w:r w:rsidR="0082297A">
        <w:t>Beisang</w:t>
      </w:r>
      <w:proofErr w:type="spellEnd"/>
      <w:r w:rsidR="0082297A">
        <w:t xml:space="preserve"> A. 2013</w:t>
      </w:r>
      <w:r w:rsidRPr="00B54CEB">
        <w:t xml:space="preserve">. Parent-reported Pain in </w:t>
      </w:r>
      <w:proofErr w:type="spellStart"/>
      <w:r w:rsidRPr="00B54CEB">
        <w:t>Rett</w:t>
      </w:r>
      <w:proofErr w:type="spellEnd"/>
      <w:r w:rsidRPr="00B54CEB">
        <w:t xml:space="preserve"> Syndrome. </w:t>
      </w:r>
      <w:proofErr w:type="spellStart"/>
      <w:r w:rsidR="0082297A">
        <w:t>Clin</w:t>
      </w:r>
      <w:proofErr w:type="spellEnd"/>
      <w:r w:rsidR="0082297A">
        <w:t xml:space="preserve"> J Pain 29:</w:t>
      </w:r>
      <w:r w:rsidRPr="00B54CEB">
        <w:t xml:space="preserve"> 744–746.</w:t>
      </w:r>
    </w:p>
    <w:p w:rsidR="0024648C" w:rsidRPr="00B54CEB" w:rsidRDefault="0082297A" w:rsidP="00F16504">
      <w:pPr>
        <w:spacing w:after="0" w:line="480" w:lineRule="auto"/>
        <w:ind w:left="567" w:hanging="567"/>
      </w:pPr>
      <w:r>
        <w:t xml:space="preserve">Symons FJ, Harper VN, McGrath PJ, </w:t>
      </w:r>
      <w:proofErr w:type="spellStart"/>
      <w:r>
        <w:t>Breau</w:t>
      </w:r>
      <w:proofErr w:type="spellEnd"/>
      <w:r>
        <w:t xml:space="preserve"> LM, </w:t>
      </w:r>
      <w:proofErr w:type="spellStart"/>
      <w:r>
        <w:t>Bodfish</w:t>
      </w:r>
      <w:proofErr w:type="spellEnd"/>
      <w:r>
        <w:t xml:space="preserve"> JW. 2009</w:t>
      </w:r>
      <w:r w:rsidR="0024648C" w:rsidRPr="00B54CEB">
        <w:t>. Evidence of increased non-verbal behavioral signs of pain in adults with</w:t>
      </w:r>
      <w:r w:rsidR="00F16504">
        <w:t xml:space="preserve"> </w:t>
      </w:r>
      <w:proofErr w:type="spellStart"/>
      <w:r w:rsidR="0024648C" w:rsidRPr="00B54CEB">
        <w:t>neurodevelopmental</w:t>
      </w:r>
      <w:proofErr w:type="spellEnd"/>
      <w:r w:rsidR="0024648C" w:rsidRPr="00B54CEB">
        <w:t xml:space="preserve"> disorders and chronic self-injury. Res</w:t>
      </w:r>
      <w:r>
        <w:t xml:space="preserve"> Dev </w:t>
      </w:r>
      <w:proofErr w:type="spellStart"/>
      <w:r>
        <w:t>Disabil</w:t>
      </w:r>
      <w:proofErr w:type="spellEnd"/>
      <w:r>
        <w:t xml:space="preserve"> 30:</w:t>
      </w:r>
      <w:r w:rsidR="00256E26">
        <w:t xml:space="preserve"> 521-</w:t>
      </w:r>
      <w:r w:rsidR="0024648C" w:rsidRPr="00B54CEB">
        <w:t xml:space="preserve">528. </w:t>
      </w:r>
    </w:p>
    <w:p w:rsidR="00F16504" w:rsidRDefault="00F16504" w:rsidP="00F16504">
      <w:pPr>
        <w:spacing w:after="0" w:line="480" w:lineRule="auto"/>
        <w:ind w:left="567" w:hanging="567"/>
      </w:pPr>
      <w:proofErr w:type="spellStart"/>
      <w:r>
        <w:t>Tarquinio</w:t>
      </w:r>
      <w:proofErr w:type="spellEnd"/>
      <w:r w:rsidRPr="00F16504">
        <w:t xml:space="preserve"> </w:t>
      </w:r>
      <w:r>
        <w:t>DC,</w:t>
      </w:r>
      <w:r w:rsidRPr="00F16504">
        <w:t xml:space="preserve"> </w:t>
      </w:r>
      <w:proofErr w:type="spellStart"/>
      <w:r>
        <w:t>Motil</w:t>
      </w:r>
      <w:proofErr w:type="spellEnd"/>
      <w:r w:rsidRPr="00F16504">
        <w:t xml:space="preserve"> </w:t>
      </w:r>
      <w:r>
        <w:t>KJ,</w:t>
      </w:r>
      <w:r w:rsidRPr="00F16504">
        <w:t xml:space="preserve"> </w:t>
      </w:r>
      <w:proofErr w:type="spellStart"/>
      <w:r>
        <w:t>Hou</w:t>
      </w:r>
      <w:proofErr w:type="spellEnd"/>
      <w:r>
        <w:t xml:space="preserve"> W, Lee</w:t>
      </w:r>
      <w:r w:rsidRPr="00F16504">
        <w:t xml:space="preserve"> </w:t>
      </w:r>
      <w:r>
        <w:t>H-S,</w:t>
      </w:r>
      <w:r w:rsidRPr="00F16504">
        <w:t xml:space="preserve"> </w:t>
      </w:r>
      <w:r>
        <w:t>Glaze</w:t>
      </w:r>
      <w:r w:rsidRPr="00F16504">
        <w:t xml:space="preserve"> </w:t>
      </w:r>
      <w:r>
        <w:t>DG,</w:t>
      </w:r>
      <w:r w:rsidRPr="00F16504">
        <w:t xml:space="preserve"> </w:t>
      </w:r>
      <w:r>
        <w:t>Skinner</w:t>
      </w:r>
      <w:r w:rsidRPr="00F16504">
        <w:t xml:space="preserve"> </w:t>
      </w:r>
      <w:r>
        <w:t>SA,</w:t>
      </w:r>
      <w:r w:rsidRPr="00F16504">
        <w:t xml:space="preserve"> </w:t>
      </w:r>
      <w:proofErr w:type="spellStart"/>
      <w:r>
        <w:t>Neul</w:t>
      </w:r>
      <w:proofErr w:type="spellEnd"/>
      <w:r w:rsidRPr="00F16504">
        <w:t xml:space="preserve"> </w:t>
      </w:r>
      <w:r>
        <w:t>JL,</w:t>
      </w:r>
      <w:r w:rsidRPr="00F16504">
        <w:t xml:space="preserve"> </w:t>
      </w:r>
      <w:proofErr w:type="spellStart"/>
      <w:r>
        <w:t>Annese</w:t>
      </w:r>
      <w:proofErr w:type="spellEnd"/>
      <w:r w:rsidRPr="00F16504">
        <w:t xml:space="preserve"> </w:t>
      </w:r>
      <w:r>
        <w:t>F,</w:t>
      </w:r>
      <w:r w:rsidRPr="00F16504">
        <w:t xml:space="preserve"> </w:t>
      </w:r>
      <w:r>
        <w:t>McNair</w:t>
      </w:r>
      <w:r w:rsidRPr="00F16504">
        <w:t xml:space="preserve"> </w:t>
      </w:r>
      <w:r>
        <w:t>L,</w:t>
      </w:r>
      <w:r w:rsidRPr="00F16504">
        <w:t xml:space="preserve"> </w:t>
      </w:r>
      <w:proofErr w:type="spellStart"/>
      <w:r>
        <w:t>Barrish</w:t>
      </w:r>
      <w:proofErr w:type="spellEnd"/>
      <w:r w:rsidRPr="00F16504">
        <w:t xml:space="preserve"> </w:t>
      </w:r>
      <w:r>
        <w:t>JO,</w:t>
      </w:r>
      <w:r w:rsidRPr="00F16504">
        <w:t xml:space="preserve"> </w:t>
      </w:r>
      <w:proofErr w:type="spellStart"/>
      <w:r>
        <w:t>Geerts</w:t>
      </w:r>
      <w:proofErr w:type="spellEnd"/>
      <w:r w:rsidRPr="00F16504">
        <w:t xml:space="preserve"> </w:t>
      </w:r>
      <w:r>
        <w:t>SP,</w:t>
      </w:r>
      <w:r w:rsidRPr="00F16504">
        <w:t xml:space="preserve"> </w:t>
      </w:r>
      <w:r>
        <w:t>Lane</w:t>
      </w:r>
      <w:r w:rsidRPr="00F16504">
        <w:t xml:space="preserve"> </w:t>
      </w:r>
      <w:r>
        <w:t>JB,</w:t>
      </w:r>
      <w:r w:rsidRPr="00F16504">
        <w:t xml:space="preserve"> </w:t>
      </w:r>
      <w:r>
        <w:t>Percy</w:t>
      </w:r>
      <w:r w:rsidRPr="00F16504">
        <w:t xml:space="preserve"> </w:t>
      </w:r>
      <w:r>
        <w:t xml:space="preserve">AK. 2012. Growth failure and outcome in </w:t>
      </w:r>
      <w:proofErr w:type="spellStart"/>
      <w:r>
        <w:t>Rett</w:t>
      </w:r>
      <w:proofErr w:type="spellEnd"/>
      <w:r>
        <w:t xml:space="preserve"> syndrome: Specific growth references. </w:t>
      </w:r>
      <w:proofErr w:type="spellStart"/>
      <w:r>
        <w:t>Neurol</w:t>
      </w:r>
      <w:proofErr w:type="spellEnd"/>
      <w:r w:rsidRPr="00F16504">
        <w:t xml:space="preserve"> 79:</w:t>
      </w:r>
      <w:r>
        <w:t xml:space="preserve"> </w:t>
      </w:r>
      <w:r w:rsidRPr="00F16504">
        <w:t>1653-1661.</w:t>
      </w:r>
    </w:p>
    <w:p w:rsidR="009A7677" w:rsidRPr="00B54CEB" w:rsidRDefault="009A7677" w:rsidP="0024648C">
      <w:pPr>
        <w:spacing w:after="0" w:line="480" w:lineRule="auto"/>
        <w:ind w:left="567" w:hanging="567"/>
      </w:pPr>
      <w:r w:rsidRPr="00B54CEB">
        <w:t>Witt-</w:t>
      </w:r>
      <w:proofErr w:type="spellStart"/>
      <w:r w:rsidRPr="00B54CEB">
        <w:t>Engerstrom</w:t>
      </w:r>
      <w:proofErr w:type="spellEnd"/>
      <w:r w:rsidRPr="00B54CEB">
        <w:t xml:space="preserve"> </w:t>
      </w:r>
      <w:r w:rsidR="0082297A">
        <w:t>I. 1987</w:t>
      </w:r>
      <w:r w:rsidRPr="00B54CEB">
        <w:t xml:space="preserve">. </w:t>
      </w:r>
      <w:proofErr w:type="spellStart"/>
      <w:r w:rsidRPr="00B54CEB">
        <w:t>Rett</w:t>
      </w:r>
      <w:proofErr w:type="spellEnd"/>
      <w:r w:rsidRPr="00B54CEB">
        <w:t xml:space="preserve"> syndrome: A retrospective pilot study on potential early predictive </w:t>
      </w:r>
      <w:proofErr w:type="spellStart"/>
      <w:r w:rsidRPr="00B54CEB">
        <w:t>sympto</w:t>
      </w:r>
      <w:r w:rsidR="00256E26">
        <w:t>matology</w:t>
      </w:r>
      <w:proofErr w:type="spellEnd"/>
      <w:r w:rsidR="00256E26">
        <w:t>. Brain Dev</w:t>
      </w:r>
      <w:r w:rsidR="0082297A">
        <w:t xml:space="preserve"> 9:</w:t>
      </w:r>
      <w:r w:rsidR="00256E26">
        <w:t xml:space="preserve"> 481-</w:t>
      </w:r>
      <w:r w:rsidRPr="00B54CEB">
        <w:t>486.</w:t>
      </w:r>
    </w:p>
    <w:p w:rsidR="009A7677" w:rsidRPr="00B54CEB" w:rsidRDefault="0082297A" w:rsidP="009A7677">
      <w:pPr>
        <w:spacing w:after="0" w:line="480" w:lineRule="auto"/>
        <w:ind w:left="567" w:hanging="567"/>
      </w:pPr>
      <w:r>
        <w:t xml:space="preserve">Young D, </w:t>
      </w:r>
      <w:proofErr w:type="spellStart"/>
      <w:r>
        <w:t>Nagarajan</w:t>
      </w:r>
      <w:proofErr w:type="spellEnd"/>
      <w:r>
        <w:t xml:space="preserve"> L, De Klerk N</w:t>
      </w:r>
      <w:r w:rsidR="009A7677" w:rsidRPr="00B54CEB">
        <w:t>, J</w:t>
      </w:r>
      <w:r>
        <w:t xml:space="preserve">acoby P, </w:t>
      </w:r>
      <w:proofErr w:type="spellStart"/>
      <w:r>
        <w:t>Ellaway</w:t>
      </w:r>
      <w:proofErr w:type="spellEnd"/>
      <w:r w:rsidR="009A7677" w:rsidRPr="00B54CEB">
        <w:t xml:space="preserve"> C</w:t>
      </w:r>
      <w:r>
        <w:t>, Leonard H. 2007</w:t>
      </w:r>
      <w:r w:rsidR="009A7677" w:rsidRPr="00B54CEB">
        <w:t xml:space="preserve">. Sleep problems in </w:t>
      </w:r>
      <w:proofErr w:type="spellStart"/>
      <w:r w:rsidR="009A7677" w:rsidRPr="00B54CEB">
        <w:t>Rett</w:t>
      </w:r>
      <w:proofErr w:type="spellEnd"/>
      <w:r w:rsidR="009A7677" w:rsidRPr="00B54CEB">
        <w:t xml:space="preserve"> s</w:t>
      </w:r>
      <w:r w:rsidR="00256E26">
        <w:t>yndrome. Brain Dev</w:t>
      </w:r>
      <w:r>
        <w:t xml:space="preserve"> 29:</w:t>
      </w:r>
      <w:r w:rsidR="009A7677" w:rsidRPr="00B54CEB">
        <w:t xml:space="preserve"> 609-16.</w:t>
      </w:r>
    </w:p>
    <w:p w:rsidR="00111B4E" w:rsidRPr="008215FE" w:rsidRDefault="00D00DE2" w:rsidP="009A7677">
      <w:pPr>
        <w:rPr>
          <w:sz w:val="20"/>
        </w:rPr>
      </w:pPr>
      <w:r>
        <w:br w:type="page"/>
      </w:r>
      <w:r w:rsidR="00111B4E" w:rsidRPr="008215FE">
        <w:rPr>
          <w:sz w:val="20"/>
        </w:rPr>
        <w:t xml:space="preserve">Table </w:t>
      </w:r>
      <w:r w:rsidR="00455616">
        <w:rPr>
          <w:sz w:val="20"/>
        </w:rPr>
        <w:t>I</w:t>
      </w:r>
      <w:r w:rsidR="00111B4E" w:rsidRPr="008215FE">
        <w:rPr>
          <w:sz w:val="20"/>
        </w:rPr>
        <w:t xml:space="preserve"> Mean Total Severity Score (SD, range) in relation to mutation groups</w:t>
      </w:r>
    </w:p>
    <w:tbl>
      <w:tblPr>
        <w:tblW w:w="5000" w:type="pct"/>
        <w:tblBorders>
          <w:top w:val="single" w:sz="12" w:space="0" w:color="000000"/>
          <w:left w:val="nil"/>
          <w:bottom w:val="single" w:sz="12" w:space="0" w:color="000000"/>
          <w:right w:val="nil"/>
          <w:insideH w:val="nil"/>
          <w:insideV w:val="nil"/>
        </w:tblBorders>
        <w:tblLook w:val="01A3"/>
      </w:tblPr>
      <w:tblGrid>
        <w:gridCol w:w="1526"/>
        <w:gridCol w:w="1165"/>
        <w:gridCol w:w="1165"/>
        <w:gridCol w:w="1165"/>
        <w:gridCol w:w="1165"/>
        <w:gridCol w:w="1165"/>
        <w:gridCol w:w="1165"/>
      </w:tblGrid>
      <w:tr w:rsidR="00111B4E" w:rsidRPr="008215FE">
        <w:tc>
          <w:tcPr>
            <w:tcW w:w="896" w:type="pct"/>
            <w:tcBorders>
              <w:bottom w:val="single" w:sz="12" w:space="0" w:color="000000"/>
            </w:tcBorders>
            <w:shd w:val="clear" w:color="auto" w:fill="auto"/>
          </w:tcPr>
          <w:p w:rsidR="00111B4E" w:rsidRPr="008215FE" w:rsidRDefault="00111B4E" w:rsidP="008215FE">
            <w:pPr>
              <w:spacing w:after="120"/>
              <w:rPr>
                <w:sz w:val="20"/>
              </w:rPr>
            </w:pP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No mutation (n=20)</w:t>
            </w: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proofErr w:type="spellStart"/>
            <w:r w:rsidRPr="008215FE">
              <w:rPr>
                <w:sz w:val="20"/>
              </w:rPr>
              <w:t>Missense</w:t>
            </w:r>
            <w:proofErr w:type="spellEnd"/>
            <w:r w:rsidRPr="008215FE">
              <w:rPr>
                <w:sz w:val="20"/>
              </w:rPr>
              <w:t xml:space="preserve"> (n=23)</w:t>
            </w: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Large Deletion (n=2)</w:t>
            </w: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C-Terminal (n=13)</w:t>
            </w: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Late Truncating (n=7)</w:t>
            </w:r>
          </w:p>
        </w:tc>
        <w:tc>
          <w:tcPr>
            <w:tcW w:w="684" w:type="pct"/>
            <w:tcBorders>
              <w:bottom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Early Truncating (n=26)</w:t>
            </w:r>
          </w:p>
        </w:tc>
      </w:tr>
      <w:tr w:rsidR="00111B4E" w:rsidRPr="008215FE">
        <w:tc>
          <w:tcPr>
            <w:tcW w:w="896" w:type="pct"/>
            <w:tcBorders>
              <w:top w:val="single" w:sz="12" w:space="0" w:color="000000"/>
            </w:tcBorders>
            <w:shd w:val="clear" w:color="auto" w:fill="auto"/>
          </w:tcPr>
          <w:p w:rsidR="00111B4E" w:rsidRPr="008215FE" w:rsidRDefault="00111B4E" w:rsidP="008215FE">
            <w:pPr>
              <w:spacing w:after="120"/>
              <w:rPr>
                <w:sz w:val="20"/>
              </w:rPr>
            </w:pPr>
            <w:r w:rsidRPr="008215FE">
              <w:rPr>
                <w:sz w:val="20"/>
              </w:rPr>
              <w:t>Severity Score</w:t>
            </w:r>
          </w:p>
          <w:p w:rsidR="00111B4E" w:rsidRPr="008215FE" w:rsidRDefault="00111B4E" w:rsidP="008215FE">
            <w:pPr>
              <w:spacing w:after="120"/>
              <w:rPr>
                <w:sz w:val="20"/>
              </w:rPr>
            </w:pPr>
            <w:r w:rsidRPr="008215FE">
              <w:rPr>
                <w:sz w:val="20"/>
              </w:rPr>
              <w:t xml:space="preserve">(SD, range) </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Pr>
                <w:sz w:val="20"/>
              </w:rPr>
              <w:t>9.1</w:t>
            </w:r>
          </w:p>
          <w:p w:rsidR="00111B4E" w:rsidRPr="008215FE" w:rsidRDefault="00111B4E" w:rsidP="008215FE">
            <w:pPr>
              <w:spacing w:after="120"/>
              <w:ind w:left="-108" w:right="-77"/>
              <w:jc w:val="center"/>
              <w:rPr>
                <w:sz w:val="20"/>
              </w:rPr>
            </w:pPr>
            <w:r w:rsidRPr="008215FE">
              <w:rPr>
                <w:sz w:val="20"/>
              </w:rPr>
              <w:t>(3.34, 4-15)</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Pr>
                <w:sz w:val="20"/>
              </w:rPr>
              <w:t>8.1</w:t>
            </w:r>
          </w:p>
          <w:p w:rsidR="00111B4E" w:rsidRPr="008215FE" w:rsidRDefault="00111B4E" w:rsidP="008215FE">
            <w:pPr>
              <w:spacing w:after="120"/>
              <w:ind w:left="-108" w:right="-77"/>
              <w:jc w:val="center"/>
              <w:rPr>
                <w:sz w:val="20"/>
              </w:rPr>
            </w:pPr>
            <w:r w:rsidRPr="008215FE">
              <w:rPr>
                <w:sz w:val="20"/>
              </w:rPr>
              <w:t>(3.09, 4-15)</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sidRPr="008215FE">
              <w:rPr>
                <w:sz w:val="20"/>
              </w:rPr>
              <w:t>9.5</w:t>
            </w:r>
          </w:p>
          <w:p w:rsidR="00111B4E" w:rsidRPr="008215FE" w:rsidRDefault="00111B4E" w:rsidP="008215FE">
            <w:pPr>
              <w:spacing w:after="120"/>
              <w:ind w:left="-108" w:right="-77"/>
              <w:jc w:val="center"/>
              <w:rPr>
                <w:sz w:val="20"/>
              </w:rPr>
            </w:pPr>
            <w:r w:rsidRPr="008215FE">
              <w:rPr>
                <w:sz w:val="20"/>
              </w:rPr>
              <w:t>(2.12, 8-11)</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Pr>
                <w:sz w:val="20"/>
              </w:rPr>
              <w:t>8.1</w:t>
            </w:r>
          </w:p>
          <w:p w:rsidR="00111B4E" w:rsidRPr="008215FE" w:rsidRDefault="00111B4E" w:rsidP="008215FE">
            <w:pPr>
              <w:spacing w:after="120"/>
              <w:ind w:left="-108" w:right="-77"/>
              <w:jc w:val="center"/>
              <w:rPr>
                <w:sz w:val="20"/>
              </w:rPr>
            </w:pPr>
            <w:r w:rsidRPr="008215FE">
              <w:rPr>
                <w:sz w:val="20"/>
              </w:rPr>
              <w:t>(3.20, 3-14)</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Pr>
                <w:sz w:val="20"/>
              </w:rPr>
              <w:t>5.4</w:t>
            </w:r>
          </w:p>
          <w:p w:rsidR="00111B4E" w:rsidRPr="008215FE" w:rsidRDefault="00111B4E" w:rsidP="008215FE">
            <w:pPr>
              <w:spacing w:after="120"/>
              <w:ind w:left="-108" w:right="-77"/>
              <w:jc w:val="center"/>
              <w:rPr>
                <w:sz w:val="20"/>
              </w:rPr>
            </w:pPr>
            <w:r w:rsidRPr="008215FE">
              <w:rPr>
                <w:sz w:val="20"/>
              </w:rPr>
              <w:t>(2.37, 3-10)</w:t>
            </w:r>
          </w:p>
        </w:tc>
        <w:tc>
          <w:tcPr>
            <w:tcW w:w="684" w:type="pct"/>
            <w:tcBorders>
              <w:top w:val="single" w:sz="12" w:space="0" w:color="000000"/>
            </w:tcBorders>
            <w:shd w:val="clear" w:color="auto" w:fill="auto"/>
          </w:tcPr>
          <w:p w:rsidR="00111B4E" w:rsidRPr="008215FE" w:rsidRDefault="00111B4E" w:rsidP="008215FE">
            <w:pPr>
              <w:spacing w:after="120"/>
              <w:ind w:left="-108" w:right="-77"/>
              <w:jc w:val="center"/>
              <w:rPr>
                <w:sz w:val="20"/>
              </w:rPr>
            </w:pPr>
            <w:r>
              <w:rPr>
                <w:sz w:val="20"/>
              </w:rPr>
              <w:t>9.7</w:t>
            </w:r>
          </w:p>
          <w:p w:rsidR="00111B4E" w:rsidRPr="008215FE" w:rsidRDefault="00111B4E" w:rsidP="008215FE">
            <w:pPr>
              <w:spacing w:after="120"/>
              <w:ind w:left="-108" w:right="-77"/>
              <w:jc w:val="center"/>
              <w:rPr>
                <w:sz w:val="20"/>
              </w:rPr>
            </w:pPr>
            <w:r w:rsidRPr="008215FE">
              <w:rPr>
                <w:sz w:val="20"/>
              </w:rPr>
              <w:t>(2.89, 4-14)</w:t>
            </w:r>
          </w:p>
        </w:tc>
      </w:tr>
    </w:tbl>
    <w:p w:rsidR="008215FE" w:rsidRPr="00CF1AC7" w:rsidRDefault="008215FE" w:rsidP="00CF1AC7"/>
    <w:p w:rsidR="008215FE" w:rsidRPr="008215FE" w:rsidRDefault="008215FE" w:rsidP="000B1F16">
      <w:pPr>
        <w:spacing w:after="120"/>
        <w:rPr>
          <w:sz w:val="20"/>
        </w:rPr>
      </w:pPr>
      <w:r w:rsidRPr="008215FE">
        <w:rPr>
          <w:sz w:val="20"/>
        </w:rPr>
        <w:t xml:space="preserve"> </w:t>
      </w:r>
    </w:p>
    <w:p w:rsidR="00BD2CE0" w:rsidRPr="00DD0CD1" w:rsidRDefault="00BD2CE0" w:rsidP="00DD0CD1">
      <w:pPr>
        <w:spacing w:after="120"/>
        <w:rPr>
          <w:sz w:val="20"/>
        </w:rPr>
      </w:pPr>
      <w:r>
        <w:br w:type="page"/>
      </w:r>
      <w:r w:rsidR="00455616">
        <w:rPr>
          <w:sz w:val="20"/>
        </w:rPr>
        <w:t>Table II</w:t>
      </w:r>
      <w:r w:rsidRPr="00DD0CD1">
        <w:rPr>
          <w:sz w:val="20"/>
        </w:rPr>
        <w:t xml:space="preserve"> </w:t>
      </w:r>
      <w:r w:rsidR="00DD0CD1">
        <w:rPr>
          <w:sz w:val="20"/>
        </w:rPr>
        <w:t>H</w:t>
      </w:r>
      <w:r w:rsidRPr="00DD0CD1">
        <w:rPr>
          <w:sz w:val="20"/>
        </w:rPr>
        <w:t>ealth problems during the person’s life and in the last month</w:t>
      </w:r>
    </w:p>
    <w:tbl>
      <w:tblPr>
        <w:tblW w:w="5000" w:type="pct"/>
        <w:tblBorders>
          <w:top w:val="single" w:sz="12" w:space="0" w:color="000000"/>
          <w:left w:val="nil"/>
          <w:bottom w:val="single" w:sz="12" w:space="0" w:color="000000"/>
          <w:right w:val="nil"/>
          <w:insideH w:val="nil"/>
          <w:insideV w:val="nil"/>
        </w:tblBorders>
        <w:tblLook w:val="01A3"/>
      </w:tblPr>
      <w:tblGrid>
        <w:gridCol w:w="2838"/>
        <w:gridCol w:w="2839"/>
        <w:gridCol w:w="2839"/>
      </w:tblGrid>
      <w:tr w:rsidR="00BD2CE0" w:rsidRPr="00DD0CD1">
        <w:trPr>
          <w:trHeight w:val="316"/>
        </w:trPr>
        <w:tc>
          <w:tcPr>
            <w:tcW w:w="1666" w:type="pct"/>
            <w:tcBorders>
              <w:bottom w:val="single" w:sz="12" w:space="0" w:color="000000"/>
            </w:tcBorders>
            <w:shd w:val="clear" w:color="auto" w:fill="auto"/>
          </w:tcPr>
          <w:p w:rsidR="00BD2CE0" w:rsidRPr="00DD0CD1" w:rsidRDefault="00BD2CE0" w:rsidP="00DD0CD1">
            <w:pPr>
              <w:spacing w:after="120"/>
              <w:rPr>
                <w:sz w:val="20"/>
              </w:rPr>
            </w:pPr>
          </w:p>
        </w:tc>
        <w:tc>
          <w:tcPr>
            <w:tcW w:w="1667" w:type="pct"/>
            <w:tcBorders>
              <w:bottom w:val="single" w:sz="12" w:space="0" w:color="000000"/>
            </w:tcBorders>
            <w:shd w:val="clear" w:color="auto" w:fill="auto"/>
          </w:tcPr>
          <w:p w:rsidR="00BD2CE0" w:rsidRPr="00DD0CD1" w:rsidRDefault="00BD2CE0" w:rsidP="00DD0CD1">
            <w:pPr>
              <w:spacing w:after="120"/>
              <w:rPr>
                <w:sz w:val="20"/>
              </w:rPr>
            </w:pPr>
            <w:r w:rsidRPr="00DD0CD1">
              <w:rPr>
                <w:sz w:val="20"/>
              </w:rPr>
              <w:t>Ever</w:t>
            </w:r>
          </w:p>
        </w:tc>
        <w:tc>
          <w:tcPr>
            <w:tcW w:w="1667" w:type="pct"/>
            <w:tcBorders>
              <w:bottom w:val="single" w:sz="12" w:space="0" w:color="000000"/>
            </w:tcBorders>
            <w:shd w:val="clear" w:color="auto" w:fill="auto"/>
          </w:tcPr>
          <w:p w:rsidR="00BD2CE0" w:rsidRPr="00DD0CD1" w:rsidRDefault="00BD2CE0" w:rsidP="00DD0CD1">
            <w:pPr>
              <w:spacing w:after="120"/>
              <w:rPr>
                <w:sz w:val="20"/>
              </w:rPr>
            </w:pPr>
            <w:r w:rsidRPr="00DD0CD1">
              <w:rPr>
                <w:sz w:val="20"/>
              </w:rPr>
              <w:t>In the last month</w:t>
            </w:r>
          </w:p>
        </w:tc>
      </w:tr>
      <w:tr w:rsidR="00BD2CE0" w:rsidRPr="00DD0CD1">
        <w:trPr>
          <w:trHeight w:val="236"/>
        </w:trPr>
        <w:tc>
          <w:tcPr>
            <w:tcW w:w="1666" w:type="pct"/>
            <w:tcBorders>
              <w:top w:val="single" w:sz="12"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Ear problem</w:t>
            </w:r>
          </w:p>
        </w:tc>
        <w:tc>
          <w:tcPr>
            <w:tcW w:w="1667" w:type="pct"/>
            <w:tcBorders>
              <w:top w:val="single" w:sz="12"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33 (36.3%)</w:t>
            </w:r>
          </w:p>
        </w:tc>
        <w:tc>
          <w:tcPr>
            <w:tcW w:w="1667" w:type="pct"/>
            <w:tcBorders>
              <w:top w:val="single" w:sz="12"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5 (5.5%)</w:t>
            </w:r>
          </w:p>
        </w:tc>
      </w:tr>
      <w:tr w:rsidR="00BD2CE0" w:rsidRPr="00DD0CD1">
        <w:trPr>
          <w:trHeight w:val="143"/>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 xml:space="preserve">Eye problem </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20 (22.0%)</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8 (8.8%)</w:t>
            </w:r>
          </w:p>
        </w:tc>
      </w:tr>
      <w:tr w:rsidR="00BD2CE0" w:rsidRPr="00DD0CD1">
        <w:trPr>
          <w:trHeight w:val="190"/>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Dental problem</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39 (42.8%)</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11 (12.1%)</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Cleft palate</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 (2.2%)</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1 (1.1%)</w:t>
            </w:r>
            <w:r w:rsidR="00FF24C6" w:rsidRPr="00FF24C6">
              <w:rPr>
                <w:sz w:val="20"/>
                <w:vertAlign w:val="superscript"/>
              </w:rPr>
              <w:t>†</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Gastrointestinal problem</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55 (60.4%)</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33 (36.3%)</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Bowel problem</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51 (56.0%)</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38 (41.7%)</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Heart problem</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9 (9.9%)</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5 (5.5%)</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Hernia</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4 (4.4%)</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 (2.2%)</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Limb abnormalities</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9 (9.9%)</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6 (6.3%)</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Epilepsy/seizure</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72 (79.1%)</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47 (51.6%)</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Lung/respiratory</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26 (28.6%)</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10 (11.0%)</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Liver/kidney</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3 (3.3%)</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 (2.2%)</w:t>
            </w:r>
          </w:p>
        </w:tc>
      </w:tr>
      <w:tr w:rsidR="00BD2CE0" w:rsidRPr="00DD0CD1">
        <w:trPr>
          <w:trHeight w:val="151"/>
        </w:trPr>
        <w:tc>
          <w:tcPr>
            <w:tcW w:w="1666" w:type="pct"/>
            <w:tcBorders>
              <w:top w:val="single" w:sz="6" w:space="0" w:color="000000"/>
              <w:bottom w:val="single" w:sz="6" w:space="0" w:color="000000"/>
            </w:tcBorders>
            <w:shd w:val="clear" w:color="auto" w:fill="auto"/>
          </w:tcPr>
          <w:p w:rsidR="00BD2CE0" w:rsidRPr="00DD0CD1" w:rsidRDefault="00072C76" w:rsidP="00DD0CD1">
            <w:pPr>
              <w:spacing w:after="120"/>
              <w:rPr>
                <w:sz w:val="20"/>
              </w:rPr>
            </w:pPr>
            <w:r>
              <w:rPr>
                <w:sz w:val="20"/>
              </w:rPr>
              <w:t>Diabet</w:t>
            </w:r>
            <w:r w:rsidR="00BD2CE0" w:rsidRPr="00DD0CD1">
              <w:rPr>
                <w:sz w:val="20"/>
              </w:rPr>
              <w:t>es/ thyroid</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1 (1.1%)</w:t>
            </w:r>
          </w:p>
        </w:tc>
        <w:tc>
          <w:tcPr>
            <w:tcW w:w="1667" w:type="pct"/>
            <w:tcBorders>
              <w:top w:val="single" w:sz="6" w:space="0" w:color="000000"/>
              <w:bottom w:val="single" w:sz="6" w:space="0" w:color="000000"/>
            </w:tcBorders>
            <w:shd w:val="clear" w:color="auto" w:fill="auto"/>
          </w:tcPr>
          <w:p w:rsidR="00BD2CE0" w:rsidRPr="00DD0CD1" w:rsidRDefault="00BD2CE0" w:rsidP="00DD0CD1">
            <w:pPr>
              <w:spacing w:after="120"/>
              <w:rPr>
                <w:sz w:val="20"/>
              </w:rPr>
            </w:pPr>
            <w:r w:rsidRPr="00DD0CD1">
              <w:rPr>
                <w:sz w:val="20"/>
              </w:rPr>
              <w:t>2 (2.2%)</w:t>
            </w:r>
          </w:p>
        </w:tc>
      </w:tr>
      <w:tr w:rsidR="00BD2CE0" w:rsidRPr="00DD0CD1">
        <w:trPr>
          <w:trHeight w:val="151"/>
        </w:trPr>
        <w:tc>
          <w:tcPr>
            <w:tcW w:w="1666" w:type="pct"/>
            <w:tcBorders>
              <w:top w:val="single" w:sz="6" w:space="0" w:color="000000"/>
            </w:tcBorders>
            <w:shd w:val="clear" w:color="auto" w:fill="auto"/>
          </w:tcPr>
          <w:p w:rsidR="00BD2CE0" w:rsidRPr="00DD0CD1" w:rsidRDefault="00BD2CE0" w:rsidP="00DD0CD1">
            <w:pPr>
              <w:spacing w:after="120"/>
              <w:rPr>
                <w:sz w:val="20"/>
              </w:rPr>
            </w:pPr>
            <w:r w:rsidRPr="00DD0CD1">
              <w:rPr>
                <w:sz w:val="20"/>
              </w:rPr>
              <w:t>Skin problem</w:t>
            </w:r>
          </w:p>
        </w:tc>
        <w:tc>
          <w:tcPr>
            <w:tcW w:w="1667" w:type="pct"/>
            <w:tcBorders>
              <w:top w:val="single" w:sz="6" w:space="0" w:color="000000"/>
            </w:tcBorders>
            <w:shd w:val="clear" w:color="auto" w:fill="auto"/>
          </w:tcPr>
          <w:p w:rsidR="00BD2CE0" w:rsidRPr="00DD0CD1" w:rsidRDefault="00BD2CE0" w:rsidP="00DD0CD1">
            <w:pPr>
              <w:spacing w:after="120"/>
              <w:rPr>
                <w:sz w:val="20"/>
              </w:rPr>
            </w:pPr>
            <w:r w:rsidRPr="00DD0CD1">
              <w:rPr>
                <w:sz w:val="20"/>
              </w:rPr>
              <w:t>37 (40.6%)</w:t>
            </w:r>
          </w:p>
        </w:tc>
        <w:tc>
          <w:tcPr>
            <w:tcW w:w="1667" w:type="pct"/>
            <w:tcBorders>
              <w:top w:val="single" w:sz="6" w:space="0" w:color="000000"/>
            </w:tcBorders>
            <w:shd w:val="clear" w:color="auto" w:fill="auto"/>
          </w:tcPr>
          <w:p w:rsidR="00BD2CE0" w:rsidRPr="00DD0CD1" w:rsidRDefault="00BD2CE0" w:rsidP="00DD0CD1">
            <w:pPr>
              <w:spacing w:after="120"/>
              <w:rPr>
                <w:sz w:val="20"/>
              </w:rPr>
            </w:pPr>
            <w:r w:rsidRPr="00DD0CD1">
              <w:rPr>
                <w:sz w:val="20"/>
              </w:rPr>
              <w:t>27 (29.7%)</w:t>
            </w:r>
          </w:p>
        </w:tc>
      </w:tr>
    </w:tbl>
    <w:p w:rsidR="00BD2CE0" w:rsidRPr="00DD0CD1" w:rsidRDefault="00FF24C6" w:rsidP="00DD0CD1">
      <w:pPr>
        <w:rPr>
          <w:sz w:val="20"/>
        </w:rPr>
      </w:pPr>
      <w:r w:rsidRPr="00FF24C6">
        <w:rPr>
          <w:sz w:val="20"/>
          <w:vertAlign w:val="superscript"/>
        </w:rPr>
        <w:t>†</w:t>
      </w:r>
      <w:r>
        <w:rPr>
          <w:sz w:val="20"/>
        </w:rPr>
        <w:t xml:space="preserve"> Ongoing: cleft palate not repaired</w:t>
      </w:r>
    </w:p>
    <w:p w:rsidR="004A4E07" w:rsidRPr="00DD0CD1" w:rsidRDefault="004A4E07" w:rsidP="004A4E07">
      <w:pPr>
        <w:spacing w:after="120"/>
        <w:rPr>
          <w:sz w:val="20"/>
        </w:rPr>
      </w:pPr>
      <w:r>
        <w:br w:type="page"/>
      </w:r>
      <w:r>
        <w:rPr>
          <w:sz w:val="20"/>
        </w:rPr>
        <w:t xml:space="preserve">Table </w:t>
      </w:r>
      <w:r w:rsidR="00FF24C6">
        <w:rPr>
          <w:sz w:val="20"/>
        </w:rPr>
        <w:t>III</w:t>
      </w:r>
      <w:r w:rsidRPr="00DD0CD1">
        <w:rPr>
          <w:sz w:val="20"/>
        </w:rPr>
        <w:t xml:space="preserve"> </w:t>
      </w:r>
      <w:r>
        <w:rPr>
          <w:sz w:val="20"/>
        </w:rPr>
        <w:t>Indications of Pain in last week</w:t>
      </w:r>
    </w:p>
    <w:tbl>
      <w:tblPr>
        <w:tblW w:w="5000" w:type="pct"/>
        <w:tblBorders>
          <w:top w:val="single" w:sz="12" w:space="0" w:color="000000"/>
          <w:left w:val="nil"/>
          <w:bottom w:val="single" w:sz="12" w:space="0" w:color="000000"/>
          <w:right w:val="nil"/>
          <w:insideH w:val="nil"/>
          <w:insideV w:val="nil"/>
        </w:tblBorders>
        <w:tblLook w:val="01A3"/>
      </w:tblPr>
      <w:tblGrid>
        <w:gridCol w:w="2804"/>
        <w:gridCol w:w="1276"/>
        <w:gridCol w:w="848"/>
        <w:gridCol w:w="1277"/>
        <w:gridCol w:w="2311"/>
      </w:tblGrid>
      <w:tr w:rsidR="00AE7DAD" w:rsidRPr="00DD0CD1">
        <w:trPr>
          <w:trHeight w:val="316"/>
        </w:trPr>
        <w:tc>
          <w:tcPr>
            <w:tcW w:w="1646" w:type="pct"/>
            <w:tcBorders>
              <w:bottom w:val="single" w:sz="12" w:space="0" w:color="000000"/>
            </w:tcBorders>
            <w:shd w:val="clear" w:color="auto" w:fill="auto"/>
          </w:tcPr>
          <w:p w:rsidR="00AE7DAD" w:rsidRPr="00DD0CD1" w:rsidRDefault="00AE7DAD" w:rsidP="00DD0CD1">
            <w:pPr>
              <w:spacing w:after="120"/>
              <w:rPr>
                <w:sz w:val="20"/>
              </w:rPr>
            </w:pPr>
          </w:p>
        </w:tc>
        <w:tc>
          <w:tcPr>
            <w:tcW w:w="749" w:type="pct"/>
            <w:tcBorders>
              <w:bottom w:val="single" w:sz="12" w:space="0" w:color="000000"/>
            </w:tcBorders>
            <w:shd w:val="clear" w:color="auto" w:fill="auto"/>
          </w:tcPr>
          <w:p w:rsidR="00AE7DAD" w:rsidRPr="00DD0CD1" w:rsidRDefault="00AE7DAD" w:rsidP="00AE7DAD">
            <w:pPr>
              <w:spacing w:after="120"/>
              <w:jc w:val="center"/>
              <w:rPr>
                <w:sz w:val="20"/>
              </w:rPr>
            </w:pPr>
            <w:r>
              <w:rPr>
                <w:sz w:val="20"/>
              </w:rPr>
              <w:t>Mean (SD)</w:t>
            </w:r>
          </w:p>
        </w:tc>
        <w:tc>
          <w:tcPr>
            <w:tcW w:w="498" w:type="pct"/>
            <w:tcBorders>
              <w:bottom w:val="single" w:sz="12" w:space="0" w:color="000000"/>
            </w:tcBorders>
            <w:shd w:val="clear" w:color="auto" w:fill="auto"/>
          </w:tcPr>
          <w:p w:rsidR="00AE7DAD" w:rsidRPr="00DD0CD1" w:rsidRDefault="00AE7DAD" w:rsidP="00AE7DAD">
            <w:pPr>
              <w:spacing w:after="120"/>
              <w:jc w:val="center"/>
              <w:rPr>
                <w:sz w:val="20"/>
              </w:rPr>
            </w:pPr>
            <w:r>
              <w:rPr>
                <w:sz w:val="20"/>
              </w:rPr>
              <w:t>Range</w:t>
            </w:r>
          </w:p>
        </w:tc>
        <w:tc>
          <w:tcPr>
            <w:tcW w:w="750" w:type="pct"/>
            <w:tcBorders>
              <w:bottom w:val="single" w:sz="12" w:space="0" w:color="000000"/>
            </w:tcBorders>
          </w:tcPr>
          <w:p w:rsidR="00AE7DAD" w:rsidRPr="00DD0CD1" w:rsidRDefault="00AE7DAD" w:rsidP="0038128A">
            <w:pPr>
              <w:spacing w:after="120"/>
              <w:jc w:val="center"/>
              <w:rPr>
                <w:sz w:val="20"/>
              </w:rPr>
            </w:pPr>
            <w:r>
              <w:rPr>
                <w:sz w:val="20"/>
              </w:rPr>
              <w:t xml:space="preserve">% </w:t>
            </w:r>
            <w:r w:rsidR="0038128A">
              <w:rPr>
                <w:sz w:val="20"/>
              </w:rPr>
              <w:t>‘Not at all’</w:t>
            </w:r>
          </w:p>
        </w:tc>
        <w:tc>
          <w:tcPr>
            <w:tcW w:w="1357" w:type="pct"/>
            <w:tcBorders>
              <w:bottom w:val="single" w:sz="12" w:space="0" w:color="000000"/>
            </w:tcBorders>
          </w:tcPr>
          <w:p w:rsidR="00AE7DAD" w:rsidRPr="00DD0CD1" w:rsidRDefault="0038128A" w:rsidP="00AE7DAD">
            <w:pPr>
              <w:spacing w:after="120"/>
              <w:jc w:val="center"/>
              <w:rPr>
                <w:sz w:val="20"/>
              </w:rPr>
            </w:pPr>
            <w:r>
              <w:rPr>
                <w:sz w:val="20"/>
              </w:rPr>
              <w:t>% with at least one item ‘Very often’</w:t>
            </w:r>
          </w:p>
        </w:tc>
      </w:tr>
      <w:tr w:rsidR="00AE7DAD" w:rsidRPr="00DD0CD1">
        <w:trPr>
          <w:trHeight w:val="236"/>
        </w:trPr>
        <w:tc>
          <w:tcPr>
            <w:tcW w:w="1646" w:type="pct"/>
            <w:tcBorders>
              <w:top w:val="single" w:sz="12" w:space="0" w:color="000000"/>
              <w:bottom w:val="single" w:sz="6" w:space="0" w:color="000000"/>
            </w:tcBorders>
            <w:shd w:val="clear" w:color="auto" w:fill="auto"/>
          </w:tcPr>
          <w:p w:rsidR="00AE7DAD" w:rsidRPr="00DD0CD1" w:rsidRDefault="00AE7DAD" w:rsidP="00DD0CD1">
            <w:pPr>
              <w:spacing w:after="120"/>
              <w:rPr>
                <w:sz w:val="20"/>
              </w:rPr>
            </w:pPr>
            <w:r>
              <w:rPr>
                <w:sz w:val="20"/>
              </w:rPr>
              <w:t>Vocal (Max=12)</w:t>
            </w:r>
            <w:r w:rsidR="00EE5AAF">
              <w:rPr>
                <w:sz w:val="20"/>
              </w:rPr>
              <w:br/>
            </w:r>
            <w:r>
              <w:rPr>
                <w:sz w:val="20"/>
              </w:rPr>
              <w:t>(n=88)</w:t>
            </w:r>
          </w:p>
        </w:tc>
        <w:tc>
          <w:tcPr>
            <w:tcW w:w="749" w:type="pct"/>
            <w:tcBorders>
              <w:top w:val="single" w:sz="12"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2.6 (2.47)</w:t>
            </w:r>
          </w:p>
        </w:tc>
        <w:tc>
          <w:tcPr>
            <w:tcW w:w="498" w:type="pct"/>
            <w:tcBorders>
              <w:top w:val="single" w:sz="12"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0-12</w:t>
            </w:r>
          </w:p>
        </w:tc>
        <w:tc>
          <w:tcPr>
            <w:tcW w:w="750" w:type="pct"/>
            <w:tcBorders>
              <w:top w:val="single" w:sz="12" w:space="0" w:color="000000"/>
              <w:bottom w:val="single" w:sz="6" w:space="0" w:color="000000"/>
            </w:tcBorders>
          </w:tcPr>
          <w:p w:rsidR="00AE7DAD" w:rsidRPr="00DD0CD1" w:rsidRDefault="00AE7DAD" w:rsidP="00AE7DAD">
            <w:pPr>
              <w:spacing w:after="120"/>
              <w:jc w:val="center"/>
              <w:rPr>
                <w:sz w:val="20"/>
              </w:rPr>
            </w:pPr>
            <w:r>
              <w:rPr>
                <w:sz w:val="20"/>
              </w:rPr>
              <w:t>23.9</w:t>
            </w:r>
          </w:p>
        </w:tc>
        <w:tc>
          <w:tcPr>
            <w:tcW w:w="1357" w:type="pct"/>
            <w:tcBorders>
              <w:top w:val="single" w:sz="12" w:space="0" w:color="000000"/>
              <w:bottom w:val="single" w:sz="6" w:space="0" w:color="000000"/>
            </w:tcBorders>
          </w:tcPr>
          <w:p w:rsidR="00AE7DAD" w:rsidRPr="00DD0CD1" w:rsidRDefault="0038128A" w:rsidP="00AE7DAD">
            <w:pPr>
              <w:spacing w:after="120"/>
              <w:jc w:val="center"/>
              <w:rPr>
                <w:sz w:val="20"/>
              </w:rPr>
            </w:pPr>
            <w:r>
              <w:rPr>
                <w:sz w:val="20"/>
              </w:rPr>
              <w:t>12.5</w:t>
            </w:r>
          </w:p>
        </w:tc>
      </w:tr>
      <w:tr w:rsidR="00AE7DAD" w:rsidRPr="00DD0CD1">
        <w:trPr>
          <w:trHeight w:val="143"/>
        </w:trPr>
        <w:tc>
          <w:tcPr>
            <w:tcW w:w="1646" w:type="pct"/>
            <w:tcBorders>
              <w:top w:val="single" w:sz="6" w:space="0" w:color="000000"/>
              <w:bottom w:val="single" w:sz="6" w:space="0" w:color="000000"/>
            </w:tcBorders>
            <w:shd w:val="clear" w:color="auto" w:fill="auto"/>
          </w:tcPr>
          <w:p w:rsidR="00AE7DAD" w:rsidRPr="00DD0CD1" w:rsidRDefault="00AE7DAD" w:rsidP="00DD0CD1">
            <w:pPr>
              <w:spacing w:after="120"/>
              <w:rPr>
                <w:sz w:val="20"/>
              </w:rPr>
            </w:pPr>
            <w:r>
              <w:rPr>
                <w:sz w:val="20"/>
              </w:rPr>
              <w:t>Social</w:t>
            </w:r>
            <w:r w:rsidRPr="00DD0CD1">
              <w:rPr>
                <w:sz w:val="20"/>
              </w:rPr>
              <w:t xml:space="preserve"> </w:t>
            </w:r>
            <w:r>
              <w:rPr>
                <w:sz w:val="20"/>
              </w:rPr>
              <w:t>(Max=12)</w:t>
            </w:r>
            <w:r w:rsidR="00EE5AAF">
              <w:rPr>
                <w:sz w:val="20"/>
              </w:rPr>
              <w:br/>
              <w:t>(n=91)</w:t>
            </w:r>
          </w:p>
        </w:tc>
        <w:tc>
          <w:tcPr>
            <w:tcW w:w="749"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2.9 (2.41)</w:t>
            </w:r>
          </w:p>
        </w:tc>
        <w:tc>
          <w:tcPr>
            <w:tcW w:w="498"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0-11</w:t>
            </w:r>
          </w:p>
        </w:tc>
        <w:tc>
          <w:tcPr>
            <w:tcW w:w="750" w:type="pct"/>
            <w:tcBorders>
              <w:top w:val="single" w:sz="6" w:space="0" w:color="000000"/>
              <w:bottom w:val="single" w:sz="6" w:space="0" w:color="000000"/>
            </w:tcBorders>
          </w:tcPr>
          <w:p w:rsidR="00AE7DAD" w:rsidRPr="00DD0CD1" w:rsidRDefault="00AE7DAD" w:rsidP="00AE7DAD">
            <w:pPr>
              <w:spacing w:after="120"/>
              <w:jc w:val="center"/>
              <w:rPr>
                <w:sz w:val="20"/>
              </w:rPr>
            </w:pPr>
            <w:r>
              <w:rPr>
                <w:sz w:val="20"/>
              </w:rPr>
              <w:t>19.8</w:t>
            </w:r>
          </w:p>
        </w:tc>
        <w:tc>
          <w:tcPr>
            <w:tcW w:w="1357" w:type="pct"/>
            <w:tcBorders>
              <w:top w:val="single" w:sz="6" w:space="0" w:color="000000"/>
              <w:bottom w:val="single" w:sz="6" w:space="0" w:color="000000"/>
            </w:tcBorders>
          </w:tcPr>
          <w:p w:rsidR="00AE7DAD" w:rsidRPr="00DD0CD1" w:rsidRDefault="0038128A" w:rsidP="00AE7DAD">
            <w:pPr>
              <w:spacing w:after="120"/>
              <w:jc w:val="center"/>
              <w:rPr>
                <w:sz w:val="20"/>
              </w:rPr>
            </w:pPr>
            <w:r>
              <w:rPr>
                <w:sz w:val="20"/>
              </w:rPr>
              <w:t>16.5</w:t>
            </w:r>
          </w:p>
        </w:tc>
      </w:tr>
      <w:tr w:rsidR="00AE7DAD" w:rsidRPr="00DD0CD1">
        <w:trPr>
          <w:trHeight w:val="190"/>
        </w:trPr>
        <w:tc>
          <w:tcPr>
            <w:tcW w:w="1646" w:type="pct"/>
            <w:tcBorders>
              <w:top w:val="single" w:sz="6" w:space="0" w:color="000000"/>
              <w:bottom w:val="single" w:sz="6" w:space="0" w:color="000000"/>
            </w:tcBorders>
            <w:shd w:val="clear" w:color="auto" w:fill="auto"/>
          </w:tcPr>
          <w:p w:rsidR="00AE7DAD" w:rsidRPr="00DD0CD1" w:rsidRDefault="00AE7DAD" w:rsidP="00DD0CD1">
            <w:pPr>
              <w:spacing w:after="120"/>
              <w:rPr>
                <w:sz w:val="20"/>
              </w:rPr>
            </w:pPr>
            <w:r>
              <w:rPr>
                <w:sz w:val="20"/>
              </w:rPr>
              <w:t>Facial (Max=15)</w:t>
            </w:r>
            <w:r w:rsidR="00EE5AAF">
              <w:rPr>
                <w:sz w:val="20"/>
              </w:rPr>
              <w:br/>
              <w:t>(n=88)</w:t>
            </w:r>
          </w:p>
        </w:tc>
        <w:tc>
          <w:tcPr>
            <w:tcW w:w="749"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3.7 (2.67)</w:t>
            </w:r>
          </w:p>
        </w:tc>
        <w:tc>
          <w:tcPr>
            <w:tcW w:w="498"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0-10</w:t>
            </w:r>
          </w:p>
        </w:tc>
        <w:tc>
          <w:tcPr>
            <w:tcW w:w="750" w:type="pct"/>
            <w:tcBorders>
              <w:top w:val="single" w:sz="6" w:space="0" w:color="000000"/>
              <w:bottom w:val="single" w:sz="6" w:space="0" w:color="000000"/>
            </w:tcBorders>
          </w:tcPr>
          <w:p w:rsidR="00AE7DAD" w:rsidRPr="00DD0CD1" w:rsidRDefault="00AE7DAD" w:rsidP="00AE7DAD">
            <w:pPr>
              <w:spacing w:after="120"/>
              <w:jc w:val="center"/>
              <w:rPr>
                <w:sz w:val="20"/>
              </w:rPr>
            </w:pPr>
            <w:r>
              <w:rPr>
                <w:sz w:val="20"/>
              </w:rPr>
              <w:t>12.5</w:t>
            </w:r>
          </w:p>
        </w:tc>
        <w:tc>
          <w:tcPr>
            <w:tcW w:w="1357" w:type="pct"/>
            <w:tcBorders>
              <w:top w:val="single" w:sz="6" w:space="0" w:color="000000"/>
              <w:bottom w:val="single" w:sz="6" w:space="0" w:color="000000"/>
            </w:tcBorders>
          </w:tcPr>
          <w:p w:rsidR="00AE7DAD" w:rsidRPr="00DD0CD1" w:rsidRDefault="0038128A" w:rsidP="00AE7DAD">
            <w:pPr>
              <w:spacing w:after="120"/>
              <w:jc w:val="center"/>
              <w:rPr>
                <w:sz w:val="20"/>
              </w:rPr>
            </w:pPr>
            <w:r>
              <w:rPr>
                <w:sz w:val="20"/>
              </w:rPr>
              <w:t>19.3</w:t>
            </w:r>
          </w:p>
        </w:tc>
      </w:tr>
      <w:tr w:rsidR="00AE7DAD" w:rsidRPr="00DD0CD1">
        <w:trPr>
          <w:trHeight w:val="151"/>
        </w:trPr>
        <w:tc>
          <w:tcPr>
            <w:tcW w:w="1646" w:type="pct"/>
            <w:tcBorders>
              <w:top w:val="single" w:sz="6" w:space="0" w:color="000000"/>
              <w:bottom w:val="single" w:sz="6" w:space="0" w:color="000000"/>
            </w:tcBorders>
            <w:shd w:val="clear" w:color="auto" w:fill="auto"/>
          </w:tcPr>
          <w:p w:rsidR="00AE7DAD" w:rsidRPr="00DD0CD1" w:rsidRDefault="00AE7DAD" w:rsidP="00DD0CD1">
            <w:pPr>
              <w:spacing w:after="120"/>
              <w:rPr>
                <w:sz w:val="20"/>
              </w:rPr>
            </w:pPr>
            <w:r>
              <w:rPr>
                <w:sz w:val="20"/>
              </w:rPr>
              <w:t>Body and Limbs (Max=</w:t>
            </w:r>
            <w:r w:rsidR="00EE5AAF">
              <w:rPr>
                <w:sz w:val="20"/>
              </w:rPr>
              <w:t>18)</w:t>
            </w:r>
            <w:r w:rsidR="00EE5AAF">
              <w:rPr>
                <w:sz w:val="20"/>
              </w:rPr>
              <w:br/>
              <w:t>(n=88)</w:t>
            </w:r>
          </w:p>
        </w:tc>
        <w:tc>
          <w:tcPr>
            <w:tcW w:w="749"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3.2 (2.68</w:t>
            </w:r>
            <w:r w:rsidRPr="00DD0CD1">
              <w:rPr>
                <w:sz w:val="20"/>
              </w:rPr>
              <w:t>)</w:t>
            </w:r>
          </w:p>
        </w:tc>
        <w:tc>
          <w:tcPr>
            <w:tcW w:w="498" w:type="pct"/>
            <w:tcBorders>
              <w:top w:val="single" w:sz="6" w:space="0" w:color="000000"/>
              <w:bottom w:val="single" w:sz="6" w:space="0" w:color="000000"/>
            </w:tcBorders>
            <w:shd w:val="clear" w:color="auto" w:fill="auto"/>
          </w:tcPr>
          <w:p w:rsidR="00AE7DAD" w:rsidRPr="00DD0CD1" w:rsidRDefault="00AE7DAD" w:rsidP="00AE7DAD">
            <w:pPr>
              <w:spacing w:after="120"/>
              <w:jc w:val="center"/>
              <w:rPr>
                <w:sz w:val="20"/>
              </w:rPr>
            </w:pPr>
            <w:r>
              <w:rPr>
                <w:sz w:val="20"/>
              </w:rPr>
              <w:t>0-16</w:t>
            </w:r>
          </w:p>
        </w:tc>
        <w:tc>
          <w:tcPr>
            <w:tcW w:w="750" w:type="pct"/>
            <w:tcBorders>
              <w:top w:val="single" w:sz="6" w:space="0" w:color="000000"/>
              <w:bottom w:val="single" w:sz="6" w:space="0" w:color="000000"/>
            </w:tcBorders>
          </w:tcPr>
          <w:p w:rsidR="00AE7DAD" w:rsidRPr="00DD0CD1" w:rsidRDefault="00AE7DAD" w:rsidP="00AE7DAD">
            <w:pPr>
              <w:spacing w:after="120"/>
              <w:jc w:val="center"/>
              <w:rPr>
                <w:sz w:val="20"/>
              </w:rPr>
            </w:pPr>
            <w:r>
              <w:rPr>
                <w:sz w:val="20"/>
              </w:rPr>
              <w:t>17.0</w:t>
            </w:r>
          </w:p>
        </w:tc>
        <w:tc>
          <w:tcPr>
            <w:tcW w:w="1357" w:type="pct"/>
            <w:tcBorders>
              <w:top w:val="single" w:sz="6" w:space="0" w:color="000000"/>
              <w:bottom w:val="single" w:sz="6" w:space="0" w:color="000000"/>
            </w:tcBorders>
          </w:tcPr>
          <w:p w:rsidR="00AE7DAD" w:rsidRPr="00DD0CD1" w:rsidRDefault="0038128A" w:rsidP="00AE7DAD">
            <w:pPr>
              <w:spacing w:after="120"/>
              <w:jc w:val="center"/>
              <w:rPr>
                <w:sz w:val="20"/>
              </w:rPr>
            </w:pPr>
            <w:r>
              <w:rPr>
                <w:sz w:val="20"/>
              </w:rPr>
              <w:t>27.3</w:t>
            </w:r>
          </w:p>
        </w:tc>
      </w:tr>
      <w:tr w:rsidR="00AE7DAD" w:rsidRPr="00DD0CD1">
        <w:trPr>
          <w:trHeight w:val="151"/>
        </w:trPr>
        <w:tc>
          <w:tcPr>
            <w:tcW w:w="1646" w:type="pct"/>
            <w:tcBorders>
              <w:top w:val="single" w:sz="6" w:space="0" w:color="000000"/>
            </w:tcBorders>
            <w:shd w:val="clear" w:color="auto" w:fill="auto"/>
          </w:tcPr>
          <w:p w:rsidR="00AE7DAD" w:rsidRPr="00DD0CD1" w:rsidRDefault="00AE7DAD" w:rsidP="00DD0CD1">
            <w:pPr>
              <w:spacing w:after="120"/>
              <w:rPr>
                <w:sz w:val="20"/>
              </w:rPr>
            </w:pPr>
            <w:r>
              <w:rPr>
                <w:sz w:val="20"/>
              </w:rPr>
              <w:t>Eating and Sleeping</w:t>
            </w:r>
            <w:r w:rsidR="00EE5AAF">
              <w:rPr>
                <w:sz w:val="20"/>
              </w:rPr>
              <w:t xml:space="preserve"> (Max=9)</w:t>
            </w:r>
            <w:r w:rsidR="00EE5AAF">
              <w:rPr>
                <w:sz w:val="20"/>
              </w:rPr>
              <w:br/>
              <w:t>(n=89)</w:t>
            </w:r>
          </w:p>
        </w:tc>
        <w:tc>
          <w:tcPr>
            <w:tcW w:w="749" w:type="pct"/>
            <w:tcBorders>
              <w:top w:val="single" w:sz="6" w:space="0" w:color="000000"/>
            </w:tcBorders>
            <w:shd w:val="clear" w:color="auto" w:fill="auto"/>
          </w:tcPr>
          <w:p w:rsidR="00AE7DAD" w:rsidRPr="00DD0CD1" w:rsidRDefault="00AE7DAD" w:rsidP="00AE7DAD">
            <w:pPr>
              <w:spacing w:after="120"/>
              <w:jc w:val="center"/>
              <w:rPr>
                <w:sz w:val="20"/>
              </w:rPr>
            </w:pPr>
            <w:r>
              <w:rPr>
                <w:sz w:val="20"/>
              </w:rPr>
              <w:t>1.8</w:t>
            </w:r>
            <w:r w:rsidRPr="00DD0CD1">
              <w:rPr>
                <w:sz w:val="20"/>
              </w:rPr>
              <w:t xml:space="preserve"> (</w:t>
            </w:r>
            <w:r>
              <w:rPr>
                <w:sz w:val="20"/>
              </w:rPr>
              <w:t>1.88</w:t>
            </w:r>
            <w:r w:rsidRPr="00DD0CD1">
              <w:rPr>
                <w:sz w:val="20"/>
              </w:rPr>
              <w:t>)</w:t>
            </w:r>
          </w:p>
        </w:tc>
        <w:tc>
          <w:tcPr>
            <w:tcW w:w="498" w:type="pct"/>
            <w:tcBorders>
              <w:top w:val="single" w:sz="6" w:space="0" w:color="000000"/>
            </w:tcBorders>
            <w:shd w:val="clear" w:color="auto" w:fill="auto"/>
          </w:tcPr>
          <w:p w:rsidR="00AE7DAD" w:rsidRPr="00DD0CD1" w:rsidRDefault="00AE7DAD" w:rsidP="00AE7DAD">
            <w:pPr>
              <w:spacing w:after="120"/>
              <w:jc w:val="center"/>
              <w:rPr>
                <w:sz w:val="20"/>
              </w:rPr>
            </w:pPr>
            <w:r>
              <w:rPr>
                <w:sz w:val="20"/>
              </w:rPr>
              <w:t>0-8</w:t>
            </w:r>
          </w:p>
        </w:tc>
        <w:tc>
          <w:tcPr>
            <w:tcW w:w="750" w:type="pct"/>
            <w:tcBorders>
              <w:top w:val="single" w:sz="6" w:space="0" w:color="000000"/>
            </w:tcBorders>
          </w:tcPr>
          <w:p w:rsidR="00AE7DAD" w:rsidRPr="00DD0CD1" w:rsidRDefault="00AE7DAD" w:rsidP="00AE7DAD">
            <w:pPr>
              <w:spacing w:after="120"/>
              <w:jc w:val="center"/>
              <w:rPr>
                <w:sz w:val="20"/>
              </w:rPr>
            </w:pPr>
            <w:r>
              <w:rPr>
                <w:sz w:val="20"/>
              </w:rPr>
              <w:t>34.8</w:t>
            </w:r>
          </w:p>
        </w:tc>
        <w:tc>
          <w:tcPr>
            <w:tcW w:w="1357" w:type="pct"/>
            <w:tcBorders>
              <w:top w:val="single" w:sz="6" w:space="0" w:color="000000"/>
            </w:tcBorders>
          </w:tcPr>
          <w:p w:rsidR="00AE7DAD" w:rsidRPr="00DD0CD1" w:rsidRDefault="0038128A" w:rsidP="00AE7DAD">
            <w:pPr>
              <w:spacing w:after="120"/>
              <w:jc w:val="center"/>
              <w:rPr>
                <w:sz w:val="20"/>
              </w:rPr>
            </w:pPr>
            <w:r>
              <w:rPr>
                <w:sz w:val="20"/>
              </w:rPr>
              <w:t>14.6</w:t>
            </w:r>
          </w:p>
        </w:tc>
      </w:tr>
    </w:tbl>
    <w:p w:rsidR="004A4E07" w:rsidRPr="00DD0CD1" w:rsidRDefault="004A4E07" w:rsidP="004A4E07">
      <w:pPr>
        <w:rPr>
          <w:sz w:val="20"/>
        </w:rPr>
      </w:pPr>
    </w:p>
    <w:p w:rsidR="008D2009" w:rsidRDefault="008D2009" w:rsidP="008D2009"/>
    <w:sectPr w:rsidR="008D2009" w:rsidSect="00ED1DEC">
      <w:headerReference w:type="even" r:id="rId6"/>
      <w:headerReference w:type="default" r:id="rId7"/>
      <w:pgSz w:w="11900" w:h="16840"/>
      <w:pgMar w:top="1440" w:right="1800" w:bottom="1440" w:left="180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OpenSymbol">
    <w:altName w:val="Cambria"/>
    <w:panose1 w:val="00000000000000000000"/>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ahoma">
    <w:panose1 w:val="020B0604030504040204"/>
    <w:charset w:val="00"/>
    <w:family w:val="swiss"/>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93B" w:rsidRDefault="008D293B" w:rsidP="007F72B1">
    <w:pPr>
      <w:pStyle w:val="Header"/>
      <w:framePr w:wrap="around" w:vAnchor="text" w:hAnchor="margin" w:xAlign="right" w:y="1"/>
      <w:rPr>
        <w:rStyle w:val="PageNumber"/>
        <w:rFonts w:asciiTheme="minorHAnsi" w:eastAsiaTheme="minorHAnsi" w:hAnsiTheme="minorHAnsi"/>
        <w:lang w:val="en-US" w:eastAsia="en-US"/>
      </w:rPr>
    </w:pPr>
    <w:r>
      <w:rPr>
        <w:rStyle w:val="PageNumber"/>
      </w:rPr>
      <w:fldChar w:fldCharType="begin"/>
    </w:r>
    <w:r>
      <w:rPr>
        <w:rStyle w:val="PageNumber"/>
      </w:rPr>
      <w:instrText xml:space="preserve">PAGE  </w:instrText>
    </w:r>
    <w:r>
      <w:rPr>
        <w:rStyle w:val="PageNumber"/>
      </w:rPr>
      <w:fldChar w:fldCharType="end"/>
    </w:r>
  </w:p>
  <w:p w:rsidR="008D293B" w:rsidRDefault="008D293B" w:rsidP="0029594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93B" w:rsidRPr="0029594C" w:rsidRDefault="008D293B" w:rsidP="007F72B1">
    <w:pPr>
      <w:pStyle w:val="Header"/>
      <w:framePr w:wrap="around" w:vAnchor="text" w:hAnchor="margin" w:xAlign="right" w:y="1"/>
      <w:rPr>
        <w:rStyle w:val="PageNumber"/>
        <w:rFonts w:asciiTheme="minorHAnsi" w:eastAsiaTheme="minorHAnsi" w:hAnsiTheme="minorHAnsi"/>
        <w:lang w:val="en-US" w:eastAsia="en-US"/>
      </w:rPr>
    </w:pPr>
    <w:r w:rsidRPr="0029594C">
      <w:rPr>
        <w:rStyle w:val="PageNumber"/>
        <w:rFonts w:asciiTheme="minorHAnsi" w:hAnsiTheme="minorHAnsi"/>
      </w:rPr>
      <w:fldChar w:fldCharType="begin"/>
    </w:r>
    <w:r w:rsidRPr="0029594C">
      <w:rPr>
        <w:rStyle w:val="PageNumber"/>
        <w:rFonts w:asciiTheme="minorHAnsi" w:hAnsiTheme="minorHAnsi"/>
      </w:rPr>
      <w:instrText xml:space="preserve">PAGE  </w:instrText>
    </w:r>
    <w:r w:rsidRPr="0029594C">
      <w:rPr>
        <w:rStyle w:val="PageNumber"/>
        <w:rFonts w:asciiTheme="minorHAnsi" w:hAnsiTheme="minorHAnsi"/>
      </w:rPr>
      <w:fldChar w:fldCharType="separate"/>
    </w:r>
    <w:r w:rsidR="004446B4">
      <w:rPr>
        <w:rStyle w:val="PageNumber"/>
        <w:rFonts w:asciiTheme="minorHAnsi" w:hAnsiTheme="minorHAnsi"/>
        <w:noProof/>
      </w:rPr>
      <w:t>1</w:t>
    </w:r>
    <w:r w:rsidRPr="0029594C">
      <w:rPr>
        <w:rStyle w:val="PageNumber"/>
        <w:rFonts w:asciiTheme="minorHAnsi" w:hAnsiTheme="minorHAnsi"/>
      </w:rPr>
      <w:fldChar w:fldCharType="end"/>
    </w:r>
  </w:p>
  <w:p w:rsidR="008D293B" w:rsidRDefault="008D293B" w:rsidP="0029594C">
    <w:pPr>
      <w:pStyle w:val="Header"/>
      <w:ind w:right="360"/>
      <w:jc w:val="right"/>
    </w:pPr>
    <w:proofErr w:type="spellStart"/>
    <w:r>
      <w:t>Cianfaglione</w:t>
    </w:r>
    <w:proofErr w:type="spellEnd"/>
    <w:r>
      <w:t xml:space="preserve"> et al.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singleLevel"/>
    <w:tmpl w:val="00000002"/>
    <w:name w:val="WW8Num2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2"/>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23"/>
    <w:lvl w:ilvl="0">
      <w:start w:val="1"/>
      <w:numFmt w:val="decimal"/>
      <w:lvlText w:val="%1."/>
      <w:lvlJc w:val="left"/>
      <w:pPr>
        <w:tabs>
          <w:tab w:val="num" w:pos="0"/>
        </w:tabs>
        <w:ind w:left="720" w:hanging="360"/>
      </w:pPr>
    </w:lvl>
  </w:abstractNum>
  <w:abstractNum w:abstractNumId="3">
    <w:nsid w:val="00000005"/>
    <w:multiLevelType w:val="singleLevel"/>
    <w:tmpl w:val="00000005"/>
    <w:name w:val="WW8Num27"/>
    <w:lvl w:ilvl="0">
      <w:start w:val="1"/>
      <w:numFmt w:val="decimal"/>
      <w:lvlText w:val="%1."/>
      <w:lvlJc w:val="left"/>
      <w:pPr>
        <w:tabs>
          <w:tab w:val="num" w:pos="0"/>
        </w:tabs>
        <w:ind w:left="720" w:hanging="360"/>
      </w:pPr>
    </w:lvl>
  </w:abstractNum>
  <w:abstractNum w:abstractNumId="4">
    <w:nsid w:val="00000006"/>
    <w:multiLevelType w:val="singleLevel"/>
    <w:tmpl w:val="00000006"/>
    <w:name w:val="WW8Num32"/>
    <w:lvl w:ilvl="0">
      <w:start w:val="1"/>
      <w:numFmt w:val="decimal"/>
      <w:lvlText w:val="%1."/>
      <w:lvlJc w:val="left"/>
      <w:pPr>
        <w:tabs>
          <w:tab w:val="num" w:pos="0"/>
        </w:tabs>
        <w:ind w:left="787"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6440BA5"/>
    <w:multiLevelType w:val="hybridMultilevel"/>
    <w:tmpl w:val="56F8C65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637"/>
        </w:tabs>
        <w:ind w:left="1637"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3D804BF"/>
    <w:multiLevelType w:val="hybridMultilevel"/>
    <w:tmpl w:val="A0E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F6871"/>
    <w:multiLevelType w:val="multilevel"/>
    <w:tmpl w:val="105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1A0B5C"/>
    <w:multiLevelType w:val="hybridMultilevel"/>
    <w:tmpl w:val="C1BCC832"/>
    <w:lvl w:ilvl="0" w:tplc="80104D0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64DB9"/>
    <w:multiLevelType w:val="multilevel"/>
    <w:tmpl w:val="16D8D5F6"/>
    <w:styleLink w:val="CurrentList1"/>
    <w:lvl w:ilvl="0">
      <w:start w:val="1"/>
      <w:numFmt w:val="bullet"/>
      <w:lvlText w:val=""/>
      <w:lvlJc w:val="left"/>
      <w:pPr>
        <w:tabs>
          <w:tab w:val="num" w:pos="1440"/>
        </w:tabs>
        <w:ind w:left="1440" w:hanging="363"/>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9254FA"/>
    <w:multiLevelType w:val="hybridMultilevel"/>
    <w:tmpl w:val="5138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8"/>
  </w:num>
  <w:num w:numId="4">
    <w:abstractNumId w:val="21"/>
  </w:num>
  <w:num w:numId="5">
    <w:abstractNumId w:val="20"/>
  </w:num>
  <w:num w:numId="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364A"/>
    <w:rsid w:val="0001188E"/>
    <w:rsid w:val="000132FE"/>
    <w:rsid w:val="00016809"/>
    <w:rsid w:val="0001717E"/>
    <w:rsid w:val="000219A1"/>
    <w:rsid w:val="00030E08"/>
    <w:rsid w:val="00031681"/>
    <w:rsid w:val="00042C51"/>
    <w:rsid w:val="00047518"/>
    <w:rsid w:val="0005215C"/>
    <w:rsid w:val="00072C76"/>
    <w:rsid w:val="000774F3"/>
    <w:rsid w:val="000803EE"/>
    <w:rsid w:val="00082A7C"/>
    <w:rsid w:val="000834DC"/>
    <w:rsid w:val="0008764E"/>
    <w:rsid w:val="000A5E35"/>
    <w:rsid w:val="000B1F16"/>
    <w:rsid w:val="000C55DE"/>
    <w:rsid w:val="000C76C8"/>
    <w:rsid w:val="000D0806"/>
    <w:rsid w:val="000E2A43"/>
    <w:rsid w:val="000E4B95"/>
    <w:rsid w:val="000F711C"/>
    <w:rsid w:val="00111B4E"/>
    <w:rsid w:val="00112128"/>
    <w:rsid w:val="00125575"/>
    <w:rsid w:val="00134996"/>
    <w:rsid w:val="001475F6"/>
    <w:rsid w:val="00147EA4"/>
    <w:rsid w:val="001565BA"/>
    <w:rsid w:val="00160072"/>
    <w:rsid w:val="001667EC"/>
    <w:rsid w:val="00166D3D"/>
    <w:rsid w:val="00166F7E"/>
    <w:rsid w:val="00177BFC"/>
    <w:rsid w:val="00182DDF"/>
    <w:rsid w:val="001837EC"/>
    <w:rsid w:val="0019120F"/>
    <w:rsid w:val="001B2A28"/>
    <w:rsid w:val="001C4A6C"/>
    <w:rsid w:val="001C5508"/>
    <w:rsid w:val="001D1AC4"/>
    <w:rsid w:val="001D29A8"/>
    <w:rsid w:val="001D6985"/>
    <w:rsid w:val="001E07BD"/>
    <w:rsid w:val="001E6EBA"/>
    <w:rsid w:val="00206788"/>
    <w:rsid w:val="00231638"/>
    <w:rsid w:val="00236B95"/>
    <w:rsid w:val="0024648C"/>
    <w:rsid w:val="00256E26"/>
    <w:rsid w:val="002722FB"/>
    <w:rsid w:val="00274898"/>
    <w:rsid w:val="00282495"/>
    <w:rsid w:val="002869C7"/>
    <w:rsid w:val="00286A34"/>
    <w:rsid w:val="00293519"/>
    <w:rsid w:val="002953BA"/>
    <w:rsid w:val="0029594C"/>
    <w:rsid w:val="002B0D2B"/>
    <w:rsid w:val="002B4C13"/>
    <w:rsid w:val="002C785D"/>
    <w:rsid w:val="002D0A76"/>
    <w:rsid w:val="002E753E"/>
    <w:rsid w:val="0031323B"/>
    <w:rsid w:val="00321315"/>
    <w:rsid w:val="00333550"/>
    <w:rsid w:val="00344AF5"/>
    <w:rsid w:val="00360FA7"/>
    <w:rsid w:val="00367790"/>
    <w:rsid w:val="0037674F"/>
    <w:rsid w:val="00377533"/>
    <w:rsid w:val="0038128A"/>
    <w:rsid w:val="00396588"/>
    <w:rsid w:val="003C1163"/>
    <w:rsid w:val="003C1EB8"/>
    <w:rsid w:val="003C55D0"/>
    <w:rsid w:val="003F2935"/>
    <w:rsid w:val="003F40E2"/>
    <w:rsid w:val="003F7DCC"/>
    <w:rsid w:val="004137DA"/>
    <w:rsid w:val="0042272C"/>
    <w:rsid w:val="004446B4"/>
    <w:rsid w:val="00447BDA"/>
    <w:rsid w:val="00455616"/>
    <w:rsid w:val="004615E2"/>
    <w:rsid w:val="00471A69"/>
    <w:rsid w:val="00492264"/>
    <w:rsid w:val="004A413E"/>
    <w:rsid w:val="004A4E07"/>
    <w:rsid w:val="004A6763"/>
    <w:rsid w:val="004A677E"/>
    <w:rsid w:val="004C0A27"/>
    <w:rsid w:val="004C1EF0"/>
    <w:rsid w:val="004C225F"/>
    <w:rsid w:val="004D7946"/>
    <w:rsid w:val="004E3C80"/>
    <w:rsid w:val="00500133"/>
    <w:rsid w:val="005103AA"/>
    <w:rsid w:val="00533EB7"/>
    <w:rsid w:val="00544751"/>
    <w:rsid w:val="00560650"/>
    <w:rsid w:val="00564693"/>
    <w:rsid w:val="00571532"/>
    <w:rsid w:val="00581F3F"/>
    <w:rsid w:val="005B45EA"/>
    <w:rsid w:val="005F1543"/>
    <w:rsid w:val="00603EEE"/>
    <w:rsid w:val="006415CB"/>
    <w:rsid w:val="006424AB"/>
    <w:rsid w:val="00651CA7"/>
    <w:rsid w:val="00663E27"/>
    <w:rsid w:val="00672EBC"/>
    <w:rsid w:val="006914D8"/>
    <w:rsid w:val="006A1CAC"/>
    <w:rsid w:val="006A6C56"/>
    <w:rsid w:val="006B66FF"/>
    <w:rsid w:val="006C75F9"/>
    <w:rsid w:val="006C7844"/>
    <w:rsid w:val="006D05AD"/>
    <w:rsid w:val="006D696E"/>
    <w:rsid w:val="006F382C"/>
    <w:rsid w:val="007024AA"/>
    <w:rsid w:val="007049FB"/>
    <w:rsid w:val="00705867"/>
    <w:rsid w:val="00707425"/>
    <w:rsid w:val="00712DCB"/>
    <w:rsid w:val="00726AFB"/>
    <w:rsid w:val="007621F1"/>
    <w:rsid w:val="00782F9E"/>
    <w:rsid w:val="00795B05"/>
    <w:rsid w:val="007A03F8"/>
    <w:rsid w:val="007B1D16"/>
    <w:rsid w:val="007C27C2"/>
    <w:rsid w:val="007C7066"/>
    <w:rsid w:val="007C77B0"/>
    <w:rsid w:val="007E5312"/>
    <w:rsid w:val="007F0A00"/>
    <w:rsid w:val="007F72B1"/>
    <w:rsid w:val="00802E2A"/>
    <w:rsid w:val="00805E85"/>
    <w:rsid w:val="00817D93"/>
    <w:rsid w:val="008215FE"/>
    <w:rsid w:val="0082297A"/>
    <w:rsid w:val="00824482"/>
    <w:rsid w:val="0084269C"/>
    <w:rsid w:val="0084625D"/>
    <w:rsid w:val="00846A19"/>
    <w:rsid w:val="008524DE"/>
    <w:rsid w:val="008657CC"/>
    <w:rsid w:val="00866A3D"/>
    <w:rsid w:val="008B68EF"/>
    <w:rsid w:val="008B710F"/>
    <w:rsid w:val="008D15E3"/>
    <w:rsid w:val="008D2009"/>
    <w:rsid w:val="008D293B"/>
    <w:rsid w:val="008E378D"/>
    <w:rsid w:val="008E70DB"/>
    <w:rsid w:val="008F5A09"/>
    <w:rsid w:val="00903486"/>
    <w:rsid w:val="009155EF"/>
    <w:rsid w:val="00927186"/>
    <w:rsid w:val="009365EF"/>
    <w:rsid w:val="00946FE8"/>
    <w:rsid w:val="0097725D"/>
    <w:rsid w:val="009831DF"/>
    <w:rsid w:val="00991486"/>
    <w:rsid w:val="00996B92"/>
    <w:rsid w:val="00996CC3"/>
    <w:rsid w:val="009A7677"/>
    <w:rsid w:val="009D2A30"/>
    <w:rsid w:val="009D48B7"/>
    <w:rsid w:val="009E4E57"/>
    <w:rsid w:val="00A0372F"/>
    <w:rsid w:val="00A2213D"/>
    <w:rsid w:val="00A40958"/>
    <w:rsid w:val="00A51614"/>
    <w:rsid w:val="00A811F3"/>
    <w:rsid w:val="00A819D9"/>
    <w:rsid w:val="00A96C43"/>
    <w:rsid w:val="00A97D16"/>
    <w:rsid w:val="00AB72D1"/>
    <w:rsid w:val="00AD5E3C"/>
    <w:rsid w:val="00AE7DAD"/>
    <w:rsid w:val="00AF3335"/>
    <w:rsid w:val="00AF3CDC"/>
    <w:rsid w:val="00B103A3"/>
    <w:rsid w:val="00B103CF"/>
    <w:rsid w:val="00B146A6"/>
    <w:rsid w:val="00B25C2B"/>
    <w:rsid w:val="00B4655F"/>
    <w:rsid w:val="00B512A9"/>
    <w:rsid w:val="00B528DA"/>
    <w:rsid w:val="00B54CEB"/>
    <w:rsid w:val="00B6216D"/>
    <w:rsid w:val="00B74703"/>
    <w:rsid w:val="00B76FE3"/>
    <w:rsid w:val="00B77ED0"/>
    <w:rsid w:val="00B80D86"/>
    <w:rsid w:val="00B84C3B"/>
    <w:rsid w:val="00B929F7"/>
    <w:rsid w:val="00BC3073"/>
    <w:rsid w:val="00BC777F"/>
    <w:rsid w:val="00BD2CE0"/>
    <w:rsid w:val="00BF3D95"/>
    <w:rsid w:val="00C04228"/>
    <w:rsid w:val="00C123B1"/>
    <w:rsid w:val="00C258FC"/>
    <w:rsid w:val="00C32A58"/>
    <w:rsid w:val="00C330EC"/>
    <w:rsid w:val="00C34CBF"/>
    <w:rsid w:val="00C4675E"/>
    <w:rsid w:val="00C617C1"/>
    <w:rsid w:val="00C6266E"/>
    <w:rsid w:val="00C6364A"/>
    <w:rsid w:val="00C63AF8"/>
    <w:rsid w:val="00C707D2"/>
    <w:rsid w:val="00C72F99"/>
    <w:rsid w:val="00C76EB9"/>
    <w:rsid w:val="00C823EF"/>
    <w:rsid w:val="00CA3FD1"/>
    <w:rsid w:val="00CC41EE"/>
    <w:rsid w:val="00CF1AC7"/>
    <w:rsid w:val="00D00DE2"/>
    <w:rsid w:val="00D07BB8"/>
    <w:rsid w:val="00D12391"/>
    <w:rsid w:val="00D154A3"/>
    <w:rsid w:val="00D25A90"/>
    <w:rsid w:val="00D33985"/>
    <w:rsid w:val="00D443D6"/>
    <w:rsid w:val="00D50D55"/>
    <w:rsid w:val="00D50D84"/>
    <w:rsid w:val="00D57C5F"/>
    <w:rsid w:val="00D6706E"/>
    <w:rsid w:val="00D72F06"/>
    <w:rsid w:val="00D9124E"/>
    <w:rsid w:val="00DC1699"/>
    <w:rsid w:val="00DC4BAC"/>
    <w:rsid w:val="00DC77CF"/>
    <w:rsid w:val="00DD0CD1"/>
    <w:rsid w:val="00DE04C3"/>
    <w:rsid w:val="00DE6CD6"/>
    <w:rsid w:val="00DF23BF"/>
    <w:rsid w:val="00E0054F"/>
    <w:rsid w:val="00E102E9"/>
    <w:rsid w:val="00E23557"/>
    <w:rsid w:val="00E322E5"/>
    <w:rsid w:val="00E329A1"/>
    <w:rsid w:val="00E90B95"/>
    <w:rsid w:val="00E9494D"/>
    <w:rsid w:val="00E953B4"/>
    <w:rsid w:val="00EB7A85"/>
    <w:rsid w:val="00ED1DEC"/>
    <w:rsid w:val="00EE5AAF"/>
    <w:rsid w:val="00EF039E"/>
    <w:rsid w:val="00EF426D"/>
    <w:rsid w:val="00F16504"/>
    <w:rsid w:val="00F27533"/>
    <w:rsid w:val="00F31AB6"/>
    <w:rsid w:val="00F32A88"/>
    <w:rsid w:val="00F458EE"/>
    <w:rsid w:val="00F80146"/>
    <w:rsid w:val="00F8341A"/>
    <w:rsid w:val="00FB5F1D"/>
    <w:rsid w:val="00FC5082"/>
    <w:rsid w:val="00FF24C6"/>
    <w:rsid w:val="00FF6779"/>
  </w:rsids>
  <m:mathPr>
    <m:mathFont m:val="OpenSymbo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71D1E"/>
  </w:style>
  <w:style w:type="paragraph" w:styleId="Heading1">
    <w:name w:val="heading 1"/>
    <w:basedOn w:val="Normal"/>
    <w:next w:val="Normal"/>
    <w:link w:val="Heading1Char"/>
    <w:uiPriority w:val="9"/>
    <w:qFormat/>
    <w:rsid w:val="008D2009"/>
    <w:pPr>
      <w:keepNext/>
      <w:numPr>
        <w:numId w:val="1"/>
      </w:numPr>
      <w:suppressAutoHyphens/>
      <w:spacing w:after="0"/>
      <w:outlineLvl w:val="0"/>
    </w:pPr>
    <w:rPr>
      <w:rFonts w:ascii="Times New Roman" w:eastAsia="Cambria" w:hAnsi="Times New Roman" w:cs="Times New Roman"/>
      <w:b/>
      <w:bCs/>
      <w:lang w:val="en-GB" w:eastAsia="ar-SA"/>
    </w:rPr>
  </w:style>
  <w:style w:type="paragraph" w:styleId="Heading2">
    <w:name w:val="heading 2"/>
    <w:basedOn w:val="Normal"/>
    <w:next w:val="Normal"/>
    <w:link w:val="Heading2Char"/>
    <w:qFormat/>
    <w:rsid w:val="008D2009"/>
    <w:pPr>
      <w:keepNext/>
      <w:numPr>
        <w:ilvl w:val="1"/>
        <w:numId w:val="1"/>
      </w:numPr>
      <w:tabs>
        <w:tab w:val="clear" w:pos="1637"/>
        <w:tab w:val="num" w:pos="1440"/>
      </w:tabs>
      <w:suppressAutoHyphens/>
      <w:spacing w:after="0"/>
      <w:ind w:left="1440"/>
      <w:outlineLvl w:val="1"/>
    </w:pPr>
    <w:rPr>
      <w:rFonts w:ascii="Times New Roman" w:eastAsia="Cambria" w:hAnsi="Times New Roman" w:cs="Times New Roman"/>
      <w:b/>
      <w:bCs/>
      <w:u w:val="single"/>
      <w:lang w:val="en-GB" w:eastAsia="ar-SA"/>
    </w:rPr>
  </w:style>
  <w:style w:type="paragraph" w:styleId="Heading3">
    <w:name w:val="heading 3"/>
    <w:basedOn w:val="Normal"/>
    <w:next w:val="Normal"/>
    <w:link w:val="Heading3Char"/>
    <w:qFormat/>
    <w:rsid w:val="008D2009"/>
    <w:pPr>
      <w:keepNext/>
      <w:spacing w:after="0"/>
      <w:jc w:val="center"/>
      <w:outlineLvl w:val="2"/>
    </w:pPr>
    <w:rPr>
      <w:rFonts w:ascii="Arial" w:eastAsia="Times New Roman" w:hAnsi="Arial" w:cs="Times New Roman"/>
      <w:b/>
      <w:sz w:val="28"/>
      <w:szCs w:val="20"/>
      <w:lang w:val="en-GB" w:eastAsia="en-GB"/>
    </w:rPr>
  </w:style>
  <w:style w:type="paragraph" w:styleId="Heading4">
    <w:name w:val="heading 4"/>
    <w:basedOn w:val="Normal"/>
    <w:next w:val="Normal"/>
    <w:link w:val="Heading4Char"/>
    <w:qFormat/>
    <w:rsid w:val="008D2009"/>
    <w:pPr>
      <w:keepNext/>
      <w:spacing w:after="60"/>
      <w:outlineLvl w:val="3"/>
    </w:pPr>
    <w:rPr>
      <w:rFonts w:ascii="Arial" w:eastAsia="Times New Roman" w:hAnsi="Arial" w:cs="Times New Roman"/>
      <w:b/>
      <w:sz w:val="18"/>
      <w:szCs w:val="20"/>
      <w:lang w:eastAsia="en-GB"/>
    </w:rPr>
  </w:style>
  <w:style w:type="paragraph" w:styleId="Heading7">
    <w:name w:val="heading 7"/>
    <w:basedOn w:val="Normal"/>
    <w:next w:val="Normal"/>
    <w:link w:val="Heading7Char"/>
    <w:qFormat/>
    <w:rsid w:val="008D2009"/>
    <w:pPr>
      <w:keepNext/>
      <w:spacing w:after="0" w:line="440" w:lineRule="exact"/>
      <w:ind w:left="-851" w:right="-765" w:firstLine="851"/>
      <w:outlineLvl w:val="6"/>
    </w:pPr>
    <w:rPr>
      <w:rFonts w:ascii="Times New Roman" w:eastAsia="Times New Roman" w:hAnsi="Times New Roman" w:cs="Times New Roman"/>
      <w:szCs w:val="20"/>
      <w:lang w:val="en-GB"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6"/>
    <w:uiPriority w:val="99"/>
    <w:rsid w:val="008D2009"/>
    <w:pPr>
      <w:suppressAutoHyphens/>
      <w:spacing w:after="0"/>
    </w:pPr>
    <w:rPr>
      <w:rFonts w:ascii="Lucida Grande" w:eastAsia="Cambria" w:hAnsi="Lucida Grande" w:cs="Times New Roman"/>
      <w:sz w:val="18"/>
      <w:szCs w:val="18"/>
      <w:lang w:val="en-GB" w:eastAsia="ar-SA"/>
    </w:rPr>
  </w:style>
  <w:style w:type="character" w:customStyle="1" w:styleId="BalloonTextChar">
    <w:name w:val="Balloon Text Char"/>
    <w:basedOn w:val="DefaultParagraphFont"/>
    <w:link w:val="BalloonText"/>
    <w:uiPriority w:val="99"/>
    <w:semiHidden/>
    <w:rsid w:val="00355325"/>
    <w:rPr>
      <w:rFonts w:ascii="Lucida Grande" w:hAnsi="Lucida Grande"/>
      <w:sz w:val="18"/>
      <w:szCs w:val="18"/>
    </w:rPr>
  </w:style>
  <w:style w:type="paragraph" w:styleId="BodyText">
    <w:name w:val="Body Text"/>
    <w:basedOn w:val="Normal"/>
    <w:link w:val="BodyTextChar"/>
    <w:rsid w:val="00C6364A"/>
    <w:pPr>
      <w:suppressAutoHyphens/>
      <w:spacing w:after="120"/>
    </w:pPr>
    <w:rPr>
      <w:rFonts w:ascii="Times New Roman" w:eastAsia="Cambria" w:hAnsi="Times New Roman" w:cs="Times New Roman"/>
      <w:lang w:val="en-GB" w:eastAsia="ar-SA"/>
    </w:rPr>
  </w:style>
  <w:style w:type="character" w:customStyle="1" w:styleId="BodyTextChar">
    <w:name w:val="Body Text Char"/>
    <w:basedOn w:val="DefaultParagraphFont"/>
    <w:link w:val="BodyText"/>
    <w:rsid w:val="00C6364A"/>
    <w:rPr>
      <w:rFonts w:ascii="Times New Roman" w:eastAsia="Cambria" w:hAnsi="Times New Roman" w:cs="Times New Roman"/>
      <w:lang w:val="en-GB" w:eastAsia="ar-SA"/>
    </w:rPr>
  </w:style>
  <w:style w:type="paragraph" w:styleId="Caption">
    <w:name w:val="caption"/>
    <w:basedOn w:val="Normal"/>
    <w:uiPriority w:val="35"/>
    <w:qFormat/>
    <w:rsid w:val="008D2009"/>
    <w:pPr>
      <w:suppressLineNumbers/>
      <w:suppressAutoHyphens/>
      <w:spacing w:before="120" w:after="120"/>
    </w:pPr>
    <w:rPr>
      <w:rFonts w:ascii="Times New Roman" w:eastAsia="Cambria" w:hAnsi="Times New Roman" w:cs="Tahoma"/>
      <w:i/>
      <w:iCs/>
      <w:lang w:val="en-GB" w:eastAsia="ar-SA"/>
    </w:rPr>
  </w:style>
  <w:style w:type="paragraph" w:styleId="ListParagraph">
    <w:name w:val="List Paragraph"/>
    <w:basedOn w:val="Normal"/>
    <w:qFormat/>
    <w:rsid w:val="008D2009"/>
    <w:pPr>
      <w:spacing w:after="0"/>
      <w:ind w:left="720"/>
    </w:pPr>
    <w:rPr>
      <w:rFonts w:ascii="Cambria" w:eastAsia="Times New Roman" w:hAnsi="Cambria" w:cs="Times New Roman"/>
      <w:lang w:eastAsia="ar-SA"/>
    </w:rPr>
  </w:style>
  <w:style w:type="character" w:styleId="FootnoteReference">
    <w:name w:val="footnote reference"/>
    <w:basedOn w:val="DefaultParagraphFont"/>
    <w:rsid w:val="008D2009"/>
    <w:rPr>
      <w:rFonts w:cs="Times New Roman"/>
      <w:vertAlign w:val="superscript"/>
    </w:rPr>
  </w:style>
  <w:style w:type="paragraph" w:styleId="FootnoteText">
    <w:name w:val="footnote text"/>
    <w:basedOn w:val="Normal"/>
    <w:link w:val="FootnoteTextChar"/>
    <w:rsid w:val="008D2009"/>
    <w:pPr>
      <w:suppressAutoHyphens/>
      <w:spacing w:after="0"/>
    </w:pPr>
    <w:rPr>
      <w:rFonts w:ascii="Times New Roman" w:eastAsia="Cambria" w:hAnsi="Times New Roman" w:cs="Times New Roman"/>
      <w:lang w:val="en-GB" w:eastAsia="ar-SA"/>
    </w:rPr>
  </w:style>
  <w:style w:type="character" w:customStyle="1" w:styleId="FootnoteTextChar">
    <w:name w:val="Footnote Text Char"/>
    <w:basedOn w:val="DefaultParagraphFont"/>
    <w:link w:val="FootnoteText"/>
    <w:rsid w:val="008D2009"/>
    <w:rPr>
      <w:rFonts w:ascii="Times New Roman" w:eastAsia="Cambria" w:hAnsi="Times New Roman" w:cs="Times New Roman"/>
      <w:lang w:val="en-GB" w:eastAsia="ar-SA"/>
    </w:rPr>
  </w:style>
  <w:style w:type="paragraph" w:customStyle="1" w:styleId="FreeForm">
    <w:name w:val="Free Form"/>
    <w:rsid w:val="008D2009"/>
    <w:pPr>
      <w:spacing w:after="0"/>
    </w:pPr>
    <w:rPr>
      <w:rFonts w:ascii="Times New Roman" w:eastAsia="ヒラギノ角ゴ Pro W3" w:hAnsi="Times New Roman" w:cs="Times New Roman"/>
      <w:color w:val="000000"/>
      <w:sz w:val="20"/>
      <w:szCs w:val="20"/>
      <w:lang w:val="en-GB"/>
    </w:rPr>
  </w:style>
  <w:style w:type="character" w:customStyle="1" w:styleId="Heading1Char">
    <w:name w:val="Heading 1 Char"/>
    <w:basedOn w:val="DefaultParagraphFont"/>
    <w:link w:val="Heading1"/>
    <w:uiPriority w:val="9"/>
    <w:rsid w:val="008D2009"/>
    <w:rPr>
      <w:rFonts w:ascii="Times New Roman" w:eastAsia="Cambria" w:hAnsi="Times New Roman" w:cs="Times New Roman"/>
      <w:b/>
      <w:bCs/>
      <w:lang w:val="en-GB" w:eastAsia="ar-SA"/>
    </w:rPr>
  </w:style>
  <w:style w:type="character" w:customStyle="1" w:styleId="Heading2Char">
    <w:name w:val="Heading 2 Char"/>
    <w:basedOn w:val="DefaultParagraphFont"/>
    <w:link w:val="Heading2"/>
    <w:rsid w:val="008D2009"/>
    <w:rPr>
      <w:rFonts w:ascii="Times New Roman" w:eastAsia="Cambria" w:hAnsi="Times New Roman" w:cs="Times New Roman"/>
      <w:b/>
      <w:bCs/>
      <w:u w:val="single"/>
      <w:lang w:val="en-GB" w:eastAsia="ar-SA"/>
    </w:rPr>
  </w:style>
  <w:style w:type="character" w:customStyle="1" w:styleId="Heading3Char">
    <w:name w:val="Heading 3 Char"/>
    <w:basedOn w:val="DefaultParagraphFont"/>
    <w:link w:val="Heading3"/>
    <w:rsid w:val="008D2009"/>
    <w:rPr>
      <w:rFonts w:ascii="Arial" w:eastAsia="Times New Roman" w:hAnsi="Arial" w:cs="Times New Roman"/>
      <w:b/>
      <w:sz w:val="28"/>
      <w:szCs w:val="20"/>
      <w:lang w:val="en-GB" w:eastAsia="en-GB"/>
    </w:rPr>
  </w:style>
  <w:style w:type="character" w:customStyle="1" w:styleId="Heading4Char">
    <w:name w:val="Heading 4 Char"/>
    <w:basedOn w:val="DefaultParagraphFont"/>
    <w:link w:val="Heading4"/>
    <w:rsid w:val="008D2009"/>
    <w:rPr>
      <w:rFonts w:ascii="Arial" w:eastAsia="Times New Roman" w:hAnsi="Arial" w:cs="Times New Roman"/>
      <w:b/>
      <w:sz w:val="18"/>
      <w:szCs w:val="20"/>
      <w:lang w:eastAsia="en-GB"/>
    </w:rPr>
  </w:style>
  <w:style w:type="character" w:customStyle="1" w:styleId="Heading7Char">
    <w:name w:val="Heading 7 Char"/>
    <w:basedOn w:val="DefaultParagraphFont"/>
    <w:link w:val="Heading7"/>
    <w:rsid w:val="008D2009"/>
    <w:rPr>
      <w:rFonts w:ascii="Times New Roman" w:eastAsia="Times New Roman" w:hAnsi="Times New Roman" w:cs="Times New Roman"/>
      <w:szCs w:val="20"/>
      <w:lang w:val="en-GB" w:eastAsia="ar-SA"/>
    </w:rPr>
  </w:style>
  <w:style w:type="character" w:customStyle="1" w:styleId="BalloonTextChar16">
    <w:name w:val="Balloon Text Char16"/>
    <w:basedOn w:val="DefaultParagraphFont"/>
    <w:link w:val="BalloonText"/>
    <w:uiPriority w:val="99"/>
    <w:rsid w:val="008D2009"/>
    <w:rPr>
      <w:rFonts w:ascii="Lucida Grande" w:eastAsia="Cambria" w:hAnsi="Lucida Grande" w:cs="Times New Roman"/>
      <w:sz w:val="18"/>
      <w:szCs w:val="18"/>
      <w:lang w:val="en-GB" w:eastAsia="ar-SA"/>
    </w:rPr>
  </w:style>
  <w:style w:type="character" w:customStyle="1" w:styleId="BalloonTextChar15">
    <w:name w:val="Balloon Text Char15"/>
    <w:basedOn w:val="DefaultParagraphFont"/>
    <w:semiHidden/>
    <w:rsid w:val="008D2009"/>
    <w:rPr>
      <w:rFonts w:ascii="Lucida Grande" w:hAnsi="Lucida Grande" w:cs="Times New Roman"/>
      <w:sz w:val="18"/>
    </w:rPr>
  </w:style>
  <w:style w:type="character" w:customStyle="1" w:styleId="BalloonTextChar14">
    <w:name w:val="Balloon Text Char14"/>
    <w:basedOn w:val="DefaultParagraphFont"/>
    <w:semiHidden/>
    <w:rsid w:val="008D2009"/>
    <w:rPr>
      <w:rFonts w:ascii="Lucida Grande" w:hAnsi="Lucida Grande" w:cs="Times New Roman"/>
      <w:sz w:val="18"/>
    </w:rPr>
  </w:style>
  <w:style w:type="character" w:customStyle="1" w:styleId="BalloonTextChar13">
    <w:name w:val="Balloon Text Char13"/>
    <w:basedOn w:val="DefaultParagraphFont"/>
    <w:semiHidden/>
    <w:rsid w:val="008D2009"/>
    <w:rPr>
      <w:rFonts w:ascii="Lucida Grande" w:hAnsi="Lucida Grande" w:cs="Times New Roman"/>
      <w:sz w:val="18"/>
    </w:rPr>
  </w:style>
  <w:style w:type="character" w:customStyle="1" w:styleId="BalloonTextChar12">
    <w:name w:val="Balloon Text Char12"/>
    <w:basedOn w:val="DefaultParagraphFont"/>
    <w:semiHidden/>
    <w:rsid w:val="008D2009"/>
    <w:rPr>
      <w:rFonts w:ascii="Lucida Grande" w:hAnsi="Lucida Grande" w:cs="Times New Roman"/>
      <w:sz w:val="18"/>
    </w:rPr>
  </w:style>
  <w:style w:type="character" w:customStyle="1" w:styleId="BalloonTextChar11">
    <w:name w:val="Balloon Text Char11"/>
    <w:basedOn w:val="DefaultParagraphFont"/>
    <w:semiHidden/>
    <w:rsid w:val="008D2009"/>
    <w:rPr>
      <w:rFonts w:ascii="Lucida Grande" w:hAnsi="Lucida Grande" w:cs="Times New Roman"/>
      <w:sz w:val="18"/>
    </w:rPr>
  </w:style>
  <w:style w:type="character" w:customStyle="1" w:styleId="BalloonTextChar10">
    <w:name w:val="Balloon Text Char10"/>
    <w:basedOn w:val="DefaultParagraphFont"/>
    <w:semiHidden/>
    <w:rsid w:val="008D2009"/>
    <w:rPr>
      <w:rFonts w:ascii="Lucida Grande" w:hAnsi="Lucida Grande" w:cs="Times New Roman"/>
      <w:sz w:val="18"/>
    </w:rPr>
  </w:style>
  <w:style w:type="character" w:customStyle="1" w:styleId="BalloonTextChar9">
    <w:name w:val="Balloon Text Char9"/>
    <w:basedOn w:val="DefaultParagraphFont"/>
    <w:semiHidden/>
    <w:rsid w:val="008D2009"/>
    <w:rPr>
      <w:rFonts w:ascii="Lucida Grande" w:hAnsi="Lucida Grande" w:cs="Times New Roman"/>
      <w:sz w:val="18"/>
    </w:rPr>
  </w:style>
  <w:style w:type="character" w:customStyle="1" w:styleId="BalloonTextChar8">
    <w:name w:val="Balloon Text Char8"/>
    <w:basedOn w:val="DefaultParagraphFont"/>
    <w:semiHidden/>
    <w:rsid w:val="008D2009"/>
    <w:rPr>
      <w:rFonts w:ascii="Lucida Grande" w:hAnsi="Lucida Grande" w:cs="Times New Roman"/>
      <w:sz w:val="18"/>
    </w:rPr>
  </w:style>
  <w:style w:type="character" w:customStyle="1" w:styleId="BalloonTextChar7">
    <w:name w:val="Balloon Text Char7"/>
    <w:basedOn w:val="DefaultParagraphFont"/>
    <w:semiHidden/>
    <w:rsid w:val="008D2009"/>
    <w:rPr>
      <w:rFonts w:ascii="Lucida Grande" w:hAnsi="Lucida Grande" w:cs="Times New Roman"/>
      <w:sz w:val="18"/>
    </w:rPr>
  </w:style>
  <w:style w:type="character" w:customStyle="1" w:styleId="BalloonTextChar6">
    <w:name w:val="Balloon Text Char6"/>
    <w:basedOn w:val="DefaultParagraphFont"/>
    <w:semiHidden/>
    <w:rsid w:val="008D2009"/>
    <w:rPr>
      <w:rFonts w:ascii="Lucida Grande" w:hAnsi="Lucida Grande" w:cs="Times New Roman"/>
      <w:sz w:val="18"/>
    </w:rPr>
  </w:style>
  <w:style w:type="character" w:customStyle="1" w:styleId="BalloonTextChar5">
    <w:name w:val="Balloon Text Char5"/>
    <w:basedOn w:val="DefaultParagraphFont"/>
    <w:semiHidden/>
    <w:rsid w:val="008D2009"/>
    <w:rPr>
      <w:rFonts w:ascii="Lucida Grande" w:hAnsi="Lucida Grande" w:cs="Times New Roman"/>
      <w:sz w:val="18"/>
    </w:rPr>
  </w:style>
  <w:style w:type="character" w:customStyle="1" w:styleId="BalloonTextChar4">
    <w:name w:val="Balloon Text Char4"/>
    <w:basedOn w:val="DefaultParagraphFont"/>
    <w:semiHidden/>
    <w:rsid w:val="008D2009"/>
    <w:rPr>
      <w:rFonts w:ascii="Lucida Grande" w:hAnsi="Lucida Grande" w:cs="Times New Roman"/>
      <w:sz w:val="18"/>
    </w:rPr>
  </w:style>
  <w:style w:type="character" w:customStyle="1" w:styleId="BalloonTextChar3">
    <w:name w:val="Balloon Text Char3"/>
    <w:basedOn w:val="DefaultParagraphFont"/>
    <w:semiHidden/>
    <w:rsid w:val="008D2009"/>
    <w:rPr>
      <w:rFonts w:ascii="Lucida Grande" w:hAnsi="Lucida Grande" w:cs="Times New Roman"/>
      <w:sz w:val="18"/>
    </w:rPr>
  </w:style>
  <w:style w:type="character" w:customStyle="1" w:styleId="BalloonTextChar2">
    <w:name w:val="Balloon Text Char2"/>
    <w:basedOn w:val="DefaultParagraphFont"/>
    <w:semiHidden/>
    <w:rsid w:val="008D2009"/>
    <w:rPr>
      <w:rFonts w:ascii="Lucida Grande" w:hAnsi="Lucida Grande" w:cs="Times New Roman"/>
      <w:sz w:val="18"/>
    </w:rPr>
  </w:style>
  <w:style w:type="character" w:customStyle="1" w:styleId="WW8Num2z0">
    <w:name w:val="WW8Num2z0"/>
    <w:rsid w:val="008D2009"/>
    <w:rPr>
      <w:rFonts w:ascii="Symbol" w:hAnsi="Symbol"/>
      <w:position w:val="0"/>
      <w:sz w:val="24"/>
      <w:vertAlign w:val="baseline"/>
    </w:rPr>
  </w:style>
  <w:style w:type="character" w:customStyle="1" w:styleId="WW8Num2z1">
    <w:name w:val="WW8Num2z1"/>
    <w:rsid w:val="008D2009"/>
    <w:rPr>
      <w:rFonts w:ascii="Courier New" w:hAnsi="Courier New"/>
    </w:rPr>
  </w:style>
  <w:style w:type="character" w:customStyle="1" w:styleId="WW8Num2z2">
    <w:name w:val="WW8Num2z2"/>
    <w:rsid w:val="008D2009"/>
    <w:rPr>
      <w:rFonts w:ascii="Wingdings" w:hAnsi="Wingdings"/>
    </w:rPr>
  </w:style>
  <w:style w:type="character" w:customStyle="1" w:styleId="WW8Num2z3">
    <w:name w:val="WW8Num2z3"/>
    <w:rsid w:val="008D2009"/>
    <w:rPr>
      <w:rFonts w:ascii="Symbol" w:hAnsi="Symbol"/>
    </w:rPr>
  </w:style>
  <w:style w:type="character" w:customStyle="1" w:styleId="WW8Num3z0">
    <w:name w:val="WW8Num3z0"/>
    <w:rsid w:val="008D2009"/>
    <w:rPr>
      <w:rFonts w:ascii="Symbol" w:hAnsi="Symbol"/>
      <w:position w:val="0"/>
      <w:sz w:val="24"/>
      <w:vertAlign w:val="baseline"/>
    </w:rPr>
  </w:style>
  <w:style w:type="character" w:customStyle="1" w:styleId="WW8Num4z0">
    <w:name w:val="WW8Num4z0"/>
    <w:rsid w:val="008D2009"/>
    <w:rPr>
      <w:rFonts w:ascii="Symbol" w:hAnsi="Symbol"/>
      <w:position w:val="0"/>
      <w:sz w:val="24"/>
      <w:vertAlign w:val="baseline"/>
    </w:rPr>
  </w:style>
  <w:style w:type="character" w:customStyle="1" w:styleId="WW8Num5z0">
    <w:name w:val="WW8Num5z0"/>
    <w:rsid w:val="008D2009"/>
    <w:rPr>
      <w:rFonts w:ascii="Symbol" w:hAnsi="Symbol"/>
    </w:rPr>
  </w:style>
  <w:style w:type="character" w:customStyle="1" w:styleId="WW8Num5z1">
    <w:name w:val="WW8Num5z1"/>
    <w:rsid w:val="008D2009"/>
    <w:rPr>
      <w:rFonts w:ascii="OpenSymbol" w:hAnsi="OpenSymbol"/>
    </w:rPr>
  </w:style>
  <w:style w:type="character" w:customStyle="1" w:styleId="WW8Num6z0">
    <w:name w:val="WW8Num6z0"/>
    <w:rsid w:val="008D2009"/>
    <w:rPr>
      <w:rFonts w:ascii="Symbol" w:hAnsi="Symbol"/>
    </w:rPr>
  </w:style>
  <w:style w:type="character" w:customStyle="1" w:styleId="WW8Num6z1">
    <w:name w:val="WW8Num6z1"/>
    <w:rsid w:val="008D2009"/>
    <w:rPr>
      <w:rFonts w:ascii="OpenSymbol" w:hAnsi="OpenSymbol"/>
    </w:rPr>
  </w:style>
  <w:style w:type="character" w:customStyle="1" w:styleId="WW8Num7z0">
    <w:name w:val="WW8Num7z0"/>
    <w:rsid w:val="008D2009"/>
    <w:rPr>
      <w:rFonts w:ascii="Symbol" w:hAnsi="Symbol"/>
    </w:rPr>
  </w:style>
  <w:style w:type="character" w:customStyle="1" w:styleId="WW8Num7z1">
    <w:name w:val="WW8Num7z1"/>
    <w:rsid w:val="008D2009"/>
    <w:rPr>
      <w:rFonts w:ascii="OpenSymbol" w:hAnsi="OpenSymbol"/>
    </w:rPr>
  </w:style>
  <w:style w:type="character" w:customStyle="1" w:styleId="WW8Num8z0">
    <w:name w:val="WW8Num8z0"/>
    <w:rsid w:val="008D2009"/>
    <w:rPr>
      <w:rFonts w:ascii="Symbol" w:hAnsi="Symbol"/>
    </w:rPr>
  </w:style>
  <w:style w:type="character" w:customStyle="1" w:styleId="WW8Num8z1">
    <w:name w:val="WW8Num8z1"/>
    <w:rsid w:val="008D2009"/>
    <w:rPr>
      <w:rFonts w:ascii="OpenSymbol" w:hAnsi="OpenSymbol"/>
    </w:rPr>
  </w:style>
  <w:style w:type="character" w:customStyle="1" w:styleId="WW8Num9z0">
    <w:name w:val="WW8Num9z0"/>
    <w:rsid w:val="008D2009"/>
    <w:rPr>
      <w:rFonts w:ascii="Symbol" w:hAnsi="Symbol"/>
    </w:rPr>
  </w:style>
  <w:style w:type="character" w:customStyle="1" w:styleId="WW8Num9z1">
    <w:name w:val="WW8Num9z1"/>
    <w:rsid w:val="008D2009"/>
    <w:rPr>
      <w:rFonts w:ascii="OpenSymbol" w:hAnsi="OpenSymbol"/>
    </w:rPr>
  </w:style>
  <w:style w:type="character" w:customStyle="1" w:styleId="WW8Num10z0">
    <w:name w:val="WW8Num10z0"/>
    <w:rsid w:val="008D2009"/>
    <w:rPr>
      <w:rFonts w:ascii="Symbol" w:hAnsi="Symbol"/>
    </w:rPr>
  </w:style>
  <w:style w:type="character" w:customStyle="1" w:styleId="WW8Num10z1">
    <w:name w:val="WW8Num10z1"/>
    <w:rsid w:val="008D2009"/>
    <w:rPr>
      <w:rFonts w:ascii="OpenSymbol" w:hAnsi="OpenSymbol"/>
    </w:rPr>
  </w:style>
  <w:style w:type="character" w:customStyle="1" w:styleId="WW8Num11z0">
    <w:name w:val="WW8Num11z0"/>
    <w:rsid w:val="008D2009"/>
    <w:rPr>
      <w:rFonts w:ascii="Symbol" w:hAnsi="Symbol"/>
    </w:rPr>
  </w:style>
  <w:style w:type="character" w:customStyle="1" w:styleId="WW8Num11z1">
    <w:name w:val="WW8Num11z1"/>
    <w:rsid w:val="008D2009"/>
    <w:rPr>
      <w:rFonts w:ascii="OpenSymbol" w:hAnsi="OpenSymbol"/>
    </w:rPr>
  </w:style>
  <w:style w:type="character" w:customStyle="1" w:styleId="WW8Num12z0">
    <w:name w:val="WW8Num12z0"/>
    <w:rsid w:val="008D2009"/>
    <w:rPr>
      <w:rFonts w:ascii="Symbol" w:hAnsi="Symbol"/>
    </w:rPr>
  </w:style>
  <w:style w:type="character" w:customStyle="1" w:styleId="WW8Num12z1">
    <w:name w:val="WW8Num12z1"/>
    <w:rsid w:val="008D2009"/>
    <w:rPr>
      <w:rFonts w:ascii="OpenSymbol" w:hAnsi="OpenSymbol"/>
    </w:rPr>
  </w:style>
  <w:style w:type="character" w:customStyle="1" w:styleId="WW8Num13z0">
    <w:name w:val="WW8Num13z0"/>
    <w:rsid w:val="008D2009"/>
    <w:rPr>
      <w:rFonts w:ascii="Symbol" w:hAnsi="Symbol"/>
    </w:rPr>
  </w:style>
  <w:style w:type="character" w:customStyle="1" w:styleId="WW8Num13z1">
    <w:name w:val="WW8Num13z1"/>
    <w:rsid w:val="008D2009"/>
    <w:rPr>
      <w:rFonts w:ascii="OpenSymbol" w:hAnsi="OpenSymbol"/>
    </w:rPr>
  </w:style>
  <w:style w:type="character" w:customStyle="1" w:styleId="WW8Num14z0">
    <w:name w:val="WW8Num14z0"/>
    <w:rsid w:val="008D2009"/>
    <w:rPr>
      <w:rFonts w:ascii="Symbol" w:hAnsi="Symbol"/>
    </w:rPr>
  </w:style>
  <w:style w:type="character" w:customStyle="1" w:styleId="WW8Num14z1">
    <w:name w:val="WW8Num14z1"/>
    <w:rsid w:val="008D2009"/>
    <w:rPr>
      <w:rFonts w:ascii="OpenSymbol" w:hAnsi="OpenSymbol"/>
    </w:rPr>
  </w:style>
  <w:style w:type="character" w:customStyle="1" w:styleId="WW8Num15z0">
    <w:name w:val="WW8Num15z0"/>
    <w:rsid w:val="008D2009"/>
    <w:rPr>
      <w:rFonts w:ascii="Symbol" w:hAnsi="Symbol"/>
    </w:rPr>
  </w:style>
  <w:style w:type="character" w:customStyle="1" w:styleId="WW8Num15z1">
    <w:name w:val="WW8Num15z1"/>
    <w:rsid w:val="008D2009"/>
    <w:rPr>
      <w:rFonts w:ascii="OpenSymbol" w:hAnsi="OpenSymbol"/>
    </w:rPr>
  </w:style>
  <w:style w:type="character" w:customStyle="1" w:styleId="WW8Num16z0">
    <w:name w:val="WW8Num16z0"/>
    <w:rsid w:val="008D2009"/>
    <w:rPr>
      <w:rFonts w:ascii="Symbol" w:hAnsi="Symbol"/>
    </w:rPr>
  </w:style>
  <w:style w:type="character" w:customStyle="1" w:styleId="WW8Num16z1">
    <w:name w:val="WW8Num16z1"/>
    <w:rsid w:val="008D2009"/>
    <w:rPr>
      <w:rFonts w:ascii="OpenSymbol" w:hAnsi="OpenSymbol"/>
    </w:rPr>
  </w:style>
  <w:style w:type="character" w:customStyle="1" w:styleId="WW8Num17z0">
    <w:name w:val="WW8Num17z0"/>
    <w:rsid w:val="008D2009"/>
    <w:rPr>
      <w:rFonts w:ascii="Symbol" w:hAnsi="Symbol"/>
    </w:rPr>
  </w:style>
  <w:style w:type="character" w:customStyle="1" w:styleId="WW8Num17z1">
    <w:name w:val="WW8Num17z1"/>
    <w:rsid w:val="008D2009"/>
    <w:rPr>
      <w:rFonts w:ascii="OpenSymbol" w:hAnsi="OpenSymbol"/>
    </w:rPr>
  </w:style>
  <w:style w:type="character" w:customStyle="1" w:styleId="WW8Num18z0">
    <w:name w:val="WW8Num18z0"/>
    <w:rsid w:val="008D2009"/>
    <w:rPr>
      <w:rFonts w:ascii="Symbol" w:hAnsi="Symbol"/>
    </w:rPr>
  </w:style>
  <w:style w:type="character" w:customStyle="1" w:styleId="WW8Num18z1">
    <w:name w:val="WW8Num18z1"/>
    <w:rsid w:val="008D2009"/>
    <w:rPr>
      <w:rFonts w:ascii="OpenSymbol" w:hAnsi="OpenSymbol"/>
    </w:rPr>
  </w:style>
  <w:style w:type="character" w:customStyle="1" w:styleId="WW8Num19z0">
    <w:name w:val="WW8Num19z0"/>
    <w:rsid w:val="008D2009"/>
    <w:rPr>
      <w:rFonts w:ascii="Symbol" w:hAnsi="Symbol"/>
    </w:rPr>
  </w:style>
  <w:style w:type="character" w:customStyle="1" w:styleId="WW8Num19z1">
    <w:name w:val="WW8Num19z1"/>
    <w:rsid w:val="008D2009"/>
    <w:rPr>
      <w:rFonts w:ascii="OpenSymbol" w:hAnsi="OpenSymbol"/>
    </w:rPr>
  </w:style>
  <w:style w:type="character" w:customStyle="1" w:styleId="WW8Num22z0">
    <w:name w:val="WW8Num22z0"/>
    <w:rsid w:val="008D2009"/>
    <w:rPr>
      <w:rFonts w:ascii="Symbol" w:hAnsi="Symbol"/>
    </w:rPr>
  </w:style>
  <w:style w:type="character" w:customStyle="1" w:styleId="WW8Num22z1">
    <w:name w:val="WW8Num22z1"/>
    <w:rsid w:val="008D2009"/>
    <w:rPr>
      <w:rFonts w:ascii="Courier New" w:hAnsi="Courier New"/>
    </w:rPr>
  </w:style>
  <w:style w:type="character" w:customStyle="1" w:styleId="WW8Num22z2">
    <w:name w:val="WW8Num22z2"/>
    <w:rsid w:val="008D2009"/>
    <w:rPr>
      <w:rFonts w:ascii="Wingdings" w:hAnsi="Wingdings"/>
    </w:rPr>
  </w:style>
  <w:style w:type="character" w:customStyle="1" w:styleId="WW8Num24z0">
    <w:name w:val="WW8Num24z0"/>
    <w:rsid w:val="008D2009"/>
    <w:rPr>
      <w:rFonts w:ascii="Symbol" w:hAnsi="Symbol"/>
    </w:rPr>
  </w:style>
  <w:style w:type="character" w:customStyle="1" w:styleId="WW8Num24z1">
    <w:name w:val="WW8Num24z1"/>
    <w:rsid w:val="008D2009"/>
    <w:rPr>
      <w:rFonts w:ascii="Courier New" w:hAnsi="Courier New"/>
    </w:rPr>
  </w:style>
  <w:style w:type="character" w:customStyle="1" w:styleId="WW8Num24z2">
    <w:name w:val="WW8Num24z2"/>
    <w:rsid w:val="008D2009"/>
    <w:rPr>
      <w:rFonts w:ascii="Wingdings" w:hAnsi="Wingdings"/>
    </w:rPr>
  </w:style>
  <w:style w:type="character" w:customStyle="1" w:styleId="WW8Num25z0">
    <w:name w:val="WW8Num25z0"/>
    <w:rsid w:val="008D2009"/>
    <w:rPr>
      <w:rFonts w:ascii="Symbol" w:hAnsi="Symbol"/>
    </w:rPr>
  </w:style>
  <w:style w:type="character" w:customStyle="1" w:styleId="WW8Num25z1">
    <w:name w:val="WW8Num25z1"/>
    <w:rsid w:val="008D2009"/>
    <w:rPr>
      <w:rFonts w:ascii="Courier New" w:hAnsi="Courier New"/>
    </w:rPr>
  </w:style>
  <w:style w:type="character" w:customStyle="1" w:styleId="WW8Num25z2">
    <w:name w:val="WW8Num25z2"/>
    <w:rsid w:val="008D2009"/>
    <w:rPr>
      <w:rFonts w:ascii="Wingdings" w:hAnsi="Wingdings"/>
    </w:rPr>
  </w:style>
  <w:style w:type="character" w:customStyle="1" w:styleId="WW8Num29z0">
    <w:name w:val="WW8Num29z0"/>
    <w:rsid w:val="008D2009"/>
    <w:rPr>
      <w:rFonts w:ascii="Symbol" w:hAnsi="Symbol"/>
    </w:rPr>
  </w:style>
  <w:style w:type="character" w:customStyle="1" w:styleId="WW8Num29z1">
    <w:name w:val="WW8Num29z1"/>
    <w:rsid w:val="008D2009"/>
    <w:rPr>
      <w:rFonts w:ascii="Courier New" w:hAnsi="Courier New"/>
    </w:rPr>
  </w:style>
  <w:style w:type="character" w:customStyle="1" w:styleId="WW8Num29z2">
    <w:name w:val="WW8Num29z2"/>
    <w:rsid w:val="008D2009"/>
    <w:rPr>
      <w:rFonts w:ascii="Wingdings" w:hAnsi="Wingdings"/>
    </w:rPr>
  </w:style>
  <w:style w:type="character" w:customStyle="1" w:styleId="WW8Num35z0">
    <w:name w:val="WW8Num35z0"/>
    <w:rsid w:val="008D2009"/>
    <w:rPr>
      <w:rFonts w:ascii="Symbol" w:hAnsi="Symbol"/>
    </w:rPr>
  </w:style>
  <w:style w:type="character" w:customStyle="1" w:styleId="WW8Num35z1">
    <w:name w:val="WW8Num35z1"/>
    <w:rsid w:val="008D2009"/>
    <w:rPr>
      <w:rFonts w:ascii="Courier New" w:hAnsi="Courier New"/>
    </w:rPr>
  </w:style>
  <w:style w:type="character" w:customStyle="1" w:styleId="WW8Num35z3">
    <w:name w:val="WW8Num35z3"/>
    <w:rsid w:val="008D2009"/>
    <w:rPr>
      <w:rFonts w:ascii="Wingdings 2" w:hAnsi="Wingdings 2"/>
    </w:rPr>
  </w:style>
  <w:style w:type="character" w:customStyle="1" w:styleId="WW8Num35z5">
    <w:name w:val="WW8Num35z5"/>
    <w:rsid w:val="008D2009"/>
    <w:rPr>
      <w:rFonts w:ascii="Wingdings" w:hAnsi="Wingdings"/>
    </w:rPr>
  </w:style>
  <w:style w:type="character" w:customStyle="1" w:styleId="Absatz-Standardschriftart">
    <w:name w:val="Absatz-Standardschriftart"/>
    <w:rsid w:val="008D2009"/>
  </w:style>
  <w:style w:type="character" w:customStyle="1" w:styleId="WW-Absatz-Standardschriftart">
    <w:name w:val="WW-Absatz-Standardschriftart"/>
    <w:rsid w:val="008D2009"/>
  </w:style>
  <w:style w:type="character" w:customStyle="1" w:styleId="WW8Num1z0">
    <w:name w:val="WW8Num1z0"/>
    <w:rsid w:val="008D2009"/>
    <w:rPr>
      <w:rFonts w:ascii="Symbol" w:hAnsi="Symbol"/>
      <w:position w:val="0"/>
      <w:sz w:val="24"/>
      <w:vertAlign w:val="baseline"/>
    </w:rPr>
  </w:style>
  <w:style w:type="character" w:customStyle="1" w:styleId="WW8Num1z1">
    <w:name w:val="WW8Num1z1"/>
    <w:rsid w:val="008D2009"/>
    <w:rPr>
      <w:rFonts w:ascii="Courier New" w:hAnsi="Courier New"/>
    </w:rPr>
  </w:style>
  <w:style w:type="character" w:customStyle="1" w:styleId="WW8Num1z2">
    <w:name w:val="WW8Num1z2"/>
    <w:rsid w:val="008D2009"/>
    <w:rPr>
      <w:rFonts w:ascii="Wingdings" w:hAnsi="Wingdings"/>
    </w:rPr>
  </w:style>
  <w:style w:type="character" w:customStyle="1" w:styleId="WW8Num1z3">
    <w:name w:val="WW8Num1z3"/>
    <w:rsid w:val="008D2009"/>
    <w:rPr>
      <w:rFonts w:ascii="Symbol" w:hAnsi="Symbol"/>
    </w:rPr>
  </w:style>
  <w:style w:type="character" w:customStyle="1" w:styleId="WW-DefaultParagraphFont">
    <w:name w:val="WW-Default Paragraph Font"/>
    <w:rsid w:val="008D2009"/>
  </w:style>
  <w:style w:type="paragraph" w:customStyle="1" w:styleId="Style">
    <w:name w:val="Style"/>
    <w:basedOn w:val="Normal"/>
    <w:next w:val="FootnoteText"/>
    <w:rsid w:val="008D2009"/>
    <w:pPr>
      <w:spacing w:after="0"/>
    </w:pPr>
    <w:rPr>
      <w:rFonts w:ascii="Times New Roman" w:eastAsia="Cambria" w:hAnsi="Times New Roman" w:cs="Times New Roman"/>
      <w:sz w:val="20"/>
      <w:szCs w:val="20"/>
      <w:lang w:val="en-GB" w:eastAsia="ar-SA"/>
    </w:rPr>
  </w:style>
  <w:style w:type="character" w:customStyle="1" w:styleId="Bullets">
    <w:name w:val="Bullets"/>
    <w:rsid w:val="008D2009"/>
    <w:rPr>
      <w:rFonts w:ascii="OpenSymbol" w:eastAsia="Times New Roman" w:hAnsi="OpenSymbol"/>
    </w:rPr>
  </w:style>
  <w:style w:type="character" w:styleId="PageNumber">
    <w:name w:val="page number"/>
    <w:basedOn w:val="DefaultParagraphFont"/>
    <w:rsid w:val="008D2009"/>
    <w:rPr>
      <w:rFonts w:cs="Times New Roman"/>
    </w:rPr>
  </w:style>
  <w:style w:type="character" w:customStyle="1" w:styleId="FootnoteCharacters">
    <w:name w:val="Footnote Characters"/>
    <w:basedOn w:val="DefaultParagraphFont"/>
    <w:rsid w:val="008D2009"/>
    <w:rPr>
      <w:rFonts w:cs="Times New Roman"/>
      <w:vertAlign w:val="superscript"/>
    </w:rPr>
  </w:style>
  <w:style w:type="character" w:customStyle="1" w:styleId="HeaderChar">
    <w:name w:val="Header Char"/>
    <w:basedOn w:val="DefaultParagraphFont"/>
    <w:rsid w:val="008D2009"/>
    <w:rPr>
      <w:rFonts w:cs="Times New Roman"/>
      <w:sz w:val="24"/>
      <w:lang w:val="en-GB"/>
    </w:rPr>
  </w:style>
  <w:style w:type="character" w:styleId="CommentReference">
    <w:name w:val="annotation reference"/>
    <w:basedOn w:val="DefaultParagraphFont"/>
    <w:rsid w:val="008D2009"/>
    <w:rPr>
      <w:rFonts w:cs="Times New Roman"/>
      <w:sz w:val="18"/>
    </w:rPr>
  </w:style>
  <w:style w:type="character" w:customStyle="1" w:styleId="CommentTextChar">
    <w:name w:val="Comment Text Char"/>
    <w:basedOn w:val="DefaultParagraphFont"/>
    <w:rsid w:val="008D2009"/>
    <w:rPr>
      <w:rFonts w:cs="Times New Roman"/>
      <w:sz w:val="24"/>
      <w:lang w:val="en-GB"/>
    </w:rPr>
  </w:style>
  <w:style w:type="character" w:customStyle="1" w:styleId="CommentSubjectChar">
    <w:name w:val="Comment Subject Char"/>
    <w:basedOn w:val="CommentTextChar"/>
    <w:rsid w:val="008D2009"/>
    <w:rPr>
      <w:b/>
      <w:bCs/>
    </w:rPr>
  </w:style>
  <w:style w:type="character" w:customStyle="1" w:styleId="EndnoteCharacters">
    <w:name w:val="Endnote Characters"/>
    <w:rsid w:val="008D2009"/>
  </w:style>
  <w:style w:type="paragraph" w:customStyle="1" w:styleId="Heading">
    <w:name w:val="Heading"/>
    <w:basedOn w:val="Normal"/>
    <w:next w:val="BodyText"/>
    <w:rsid w:val="008D2009"/>
    <w:pPr>
      <w:keepNext/>
      <w:suppressAutoHyphens/>
      <w:spacing w:before="240" w:after="120"/>
    </w:pPr>
    <w:rPr>
      <w:rFonts w:ascii="Arial" w:eastAsia="Times New Roman" w:hAnsi="Arial" w:cs="Tahoma"/>
      <w:sz w:val="28"/>
      <w:szCs w:val="28"/>
      <w:lang w:val="en-GB" w:eastAsia="ar-SA"/>
    </w:rPr>
  </w:style>
  <w:style w:type="paragraph" w:styleId="List">
    <w:name w:val="List"/>
    <w:basedOn w:val="BodyText"/>
    <w:rsid w:val="008D2009"/>
    <w:pPr>
      <w:spacing w:after="0"/>
      <w:jc w:val="both"/>
    </w:pPr>
    <w:rPr>
      <w:rFonts w:cs="Tahoma"/>
    </w:rPr>
  </w:style>
  <w:style w:type="paragraph" w:customStyle="1" w:styleId="Index">
    <w:name w:val="Index"/>
    <w:basedOn w:val="Normal"/>
    <w:rsid w:val="008D2009"/>
    <w:pPr>
      <w:suppressLineNumbers/>
      <w:suppressAutoHyphens/>
      <w:spacing w:after="0"/>
    </w:pPr>
    <w:rPr>
      <w:rFonts w:ascii="Times New Roman" w:eastAsia="Cambria" w:hAnsi="Times New Roman" w:cs="Tahoma"/>
      <w:lang w:val="en-GB" w:eastAsia="ar-SA"/>
    </w:rPr>
  </w:style>
  <w:style w:type="paragraph" w:styleId="NormalWeb">
    <w:name w:val="Normal (Web)"/>
    <w:basedOn w:val="Normal"/>
    <w:rsid w:val="008D2009"/>
    <w:pPr>
      <w:suppressAutoHyphens/>
      <w:spacing w:before="280" w:after="280"/>
    </w:pPr>
    <w:rPr>
      <w:rFonts w:ascii="Times New Roman" w:eastAsia="Cambria" w:hAnsi="Times New Roman" w:cs="Times New Roman"/>
      <w:lang w:val="en-GB" w:eastAsia="ar-SA"/>
    </w:rPr>
  </w:style>
  <w:style w:type="character" w:customStyle="1" w:styleId="BalloonTextChar1">
    <w:name w:val="Balloon Text Char1"/>
    <w:basedOn w:val="DefaultParagraphFont"/>
    <w:rsid w:val="008D2009"/>
    <w:rPr>
      <w:rFonts w:ascii="Lucida Grande" w:hAnsi="Lucida Grande" w:cs="Times New Roman"/>
      <w:sz w:val="18"/>
      <w:lang w:val="en-GB" w:eastAsia="ar-SA" w:bidi="ar-SA"/>
    </w:rPr>
  </w:style>
  <w:style w:type="paragraph" w:styleId="Footer">
    <w:name w:val="footer"/>
    <w:basedOn w:val="Normal"/>
    <w:link w:val="FooterChar"/>
    <w:rsid w:val="008D2009"/>
    <w:pPr>
      <w:tabs>
        <w:tab w:val="center" w:pos="4320"/>
        <w:tab w:val="right" w:pos="8640"/>
      </w:tabs>
      <w:suppressAutoHyphens/>
      <w:spacing w:after="0"/>
    </w:pPr>
    <w:rPr>
      <w:rFonts w:ascii="Times New Roman" w:eastAsia="Cambria" w:hAnsi="Times New Roman" w:cs="Times New Roman"/>
      <w:lang w:val="en-GB" w:eastAsia="ar-SA"/>
    </w:rPr>
  </w:style>
  <w:style w:type="character" w:customStyle="1" w:styleId="FooterChar">
    <w:name w:val="Footer Char"/>
    <w:basedOn w:val="DefaultParagraphFont"/>
    <w:link w:val="Footer"/>
    <w:rsid w:val="008D2009"/>
    <w:rPr>
      <w:rFonts w:ascii="Times New Roman" w:eastAsia="Cambria" w:hAnsi="Times New Roman" w:cs="Times New Roman"/>
      <w:lang w:val="en-GB" w:eastAsia="ar-SA"/>
    </w:rPr>
  </w:style>
  <w:style w:type="paragraph" w:styleId="TableofFigures">
    <w:name w:val="table of figures"/>
    <w:basedOn w:val="Normal"/>
    <w:next w:val="Normal"/>
    <w:rsid w:val="008D2009"/>
    <w:pPr>
      <w:suppressAutoHyphens/>
      <w:spacing w:after="0"/>
      <w:ind w:left="480" w:hanging="480"/>
    </w:pPr>
    <w:rPr>
      <w:rFonts w:ascii="Times New Roman" w:eastAsia="Cambria" w:hAnsi="Times New Roman" w:cs="Times New Roman"/>
      <w:lang w:val="en-GB" w:eastAsia="ar-SA"/>
    </w:rPr>
  </w:style>
  <w:style w:type="paragraph" w:styleId="Header">
    <w:name w:val="header"/>
    <w:basedOn w:val="Normal"/>
    <w:link w:val="HeaderChar1"/>
    <w:rsid w:val="008D2009"/>
    <w:pPr>
      <w:tabs>
        <w:tab w:val="center" w:pos="4320"/>
        <w:tab w:val="right" w:pos="8640"/>
      </w:tabs>
      <w:suppressAutoHyphens/>
      <w:spacing w:after="0"/>
    </w:pPr>
    <w:rPr>
      <w:rFonts w:ascii="Times New Roman" w:eastAsia="Cambria" w:hAnsi="Times New Roman" w:cs="Times New Roman"/>
      <w:lang w:val="en-GB" w:eastAsia="ar-SA"/>
    </w:rPr>
  </w:style>
  <w:style w:type="character" w:customStyle="1" w:styleId="HeaderChar1">
    <w:name w:val="Header Char1"/>
    <w:basedOn w:val="DefaultParagraphFont"/>
    <w:link w:val="Header"/>
    <w:rsid w:val="008D2009"/>
    <w:rPr>
      <w:rFonts w:ascii="Times New Roman" w:eastAsia="Cambria" w:hAnsi="Times New Roman" w:cs="Times New Roman"/>
      <w:lang w:val="en-GB" w:eastAsia="ar-SA"/>
    </w:rPr>
  </w:style>
  <w:style w:type="paragraph" w:styleId="CommentText">
    <w:name w:val="annotation text"/>
    <w:basedOn w:val="Normal"/>
    <w:link w:val="CommentTextChar1"/>
    <w:rsid w:val="008D2009"/>
    <w:pPr>
      <w:suppressAutoHyphens/>
      <w:spacing w:after="0"/>
    </w:pPr>
    <w:rPr>
      <w:rFonts w:ascii="Times New Roman" w:eastAsia="Cambria" w:hAnsi="Times New Roman" w:cs="Times New Roman"/>
      <w:lang w:val="en-GB" w:eastAsia="ar-SA"/>
    </w:rPr>
  </w:style>
  <w:style w:type="character" w:customStyle="1" w:styleId="CommentTextChar1">
    <w:name w:val="Comment Text Char1"/>
    <w:basedOn w:val="DefaultParagraphFont"/>
    <w:link w:val="CommentText"/>
    <w:rsid w:val="008D2009"/>
    <w:rPr>
      <w:rFonts w:ascii="Times New Roman" w:eastAsia="Cambria" w:hAnsi="Times New Roman" w:cs="Times New Roman"/>
      <w:lang w:val="en-GB" w:eastAsia="ar-SA"/>
    </w:rPr>
  </w:style>
  <w:style w:type="paragraph" w:styleId="CommentSubject">
    <w:name w:val="annotation subject"/>
    <w:basedOn w:val="CommentText"/>
    <w:next w:val="CommentText"/>
    <w:link w:val="CommentSubjectChar1"/>
    <w:rsid w:val="008D2009"/>
    <w:rPr>
      <w:b/>
      <w:bCs/>
      <w:sz w:val="20"/>
      <w:szCs w:val="20"/>
    </w:rPr>
  </w:style>
  <w:style w:type="character" w:customStyle="1" w:styleId="CommentSubjectChar1">
    <w:name w:val="Comment Subject Char1"/>
    <w:basedOn w:val="CommentTextChar1"/>
    <w:link w:val="CommentSubject"/>
    <w:rsid w:val="008D2009"/>
    <w:rPr>
      <w:b/>
      <w:bCs/>
      <w:sz w:val="20"/>
      <w:szCs w:val="20"/>
    </w:rPr>
  </w:style>
  <w:style w:type="paragraph" w:customStyle="1" w:styleId="TableContents">
    <w:name w:val="Table Contents"/>
    <w:basedOn w:val="Normal"/>
    <w:rsid w:val="008D2009"/>
    <w:pPr>
      <w:suppressLineNumbers/>
      <w:suppressAutoHyphens/>
      <w:spacing w:after="0"/>
    </w:pPr>
    <w:rPr>
      <w:rFonts w:ascii="Times New Roman" w:eastAsia="Cambria" w:hAnsi="Times New Roman" w:cs="Times New Roman"/>
      <w:lang w:val="en-GB" w:eastAsia="ar-SA"/>
    </w:rPr>
  </w:style>
  <w:style w:type="paragraph" w:customStyle="1" w:styleId="TableHeading">
    <w:name w:val="Table Heading"/>
    <w:basedOn w:val="TableContents"/>
    <w:rsid w:val="008D2009"/>
    <w:pPr>
      <w:jc w:val="center"/>
    </w:pPr>
    <w:rPr>
      <w:b/>
      <w:bCs/>
    </w:rPr>
  </w:style>
  <w:style w:type="paragraph" w:customStyle="1" w:styleId="Framecontents">
    <w:name w:val="Frame contents"/>
    <w:basedOn w:val="BodyText"/>
    <w:rsid w:val="008D2009"/>
    <w:pPr>
      <w:spacing w:after="0"/>
      <w:jc w:val="both"/>
    </w:pPr>
  </w:style>
  <w:style w:type="character" w:customStyle="1" w:styleId="WW8Num13z2">
    <w:name w:val="WW8Num13z2"/>
    <w:rsid w:val="008D2009"/>
    <w:rPr>
      <w:rFonts w:ascii="Wingdings" w:hAnsi="Wingdings"/>
    </w:rPr>
  </w:style>
  <w:style w:type="character" w:customStyle="1" w:styleId="WW8Num19z2">
    <w:name w:val="WW8Num19z2"/>
    <w:rsid w:val="008D2009"/>
    <w:rPr>
      <w:rFonts w:ascii="Wingdings" w:hAnsi="Wingdings"/>
    </w:rPr>
  </w:style>
  <w:style w:type="character" w:customStyle="1" w:styleId="WW8Num20z0">
    <w:name w:val="WW8Num20z0"/>
    <w:rsid w:val="008D2009"/>
    <w:rPr>
      <w:rFonts w:ascii="Symbol" w:hAnsi="Symbol"/>
    </w:rPr>
  </w:style>
  <w:style w:type="character" w:customStyle="1" w:styleId="WW8Num20z1">
    <w:name w:val="WW8Num20z1"/>
    <w:rsid w:val="008D2009"/>
    <w:rPr>
      <w:rFonts w:ascii="Courier New" w:hAnsi="Courier New"/>
    </w:rPr>
  </w:style>
  <w:style w:type="character" w:customStyle="1" w:styleId="WW8Num20z2">
    <w:name w:val="WW8Num20z2"/>
    <w:rsid w:val="008D2009"/>
    <w:rPr>
      <w:rFonts w:ascii="Wingdings" w:hAnsi="Wingdings"/>
    </w:rPr>
  </w:style>
  <w:style w:type="character" w:customStyle="1" w:styleId="WW-Absatz-Standardschriftart1">
    <w:name w:val="WW-Absatz-Standardschriftart1"/>
    <w:rsid w:val="008D2009"/>
  </w:style>
  <w:style w:type="character" w:customStyle="1" w:styleId="WW8Num13z3">
    <w:name w:val="WW8Num13z3"/>
    <w:rsid w:val="008D2009"/>
    <w:rPr>
      <w:rFonts w:ascii="Symbol" w:hAnsi="Symbol"/>
    </w:rPr>
  </w:style>
  <w:style w:type="character" w:customStyle="1" w:styleId="WW-Absatz-Standardschriftart11">
    <w:name w:val="WW-Absatz-Standardschriftart11"/>
    <w:rsid w:val="008D2009"/>
  </w:style>
  <w:style w:type="character" w:customStyle="1" w:styleId="WW8Num3z1">
    <w:name w:val="WW8Num3z1"/>
    <w:rsid w:val="008D2009"/>
    <w:rPr>
      <w:rFonts w:ascii="OpenSymbol" w:hAnsi="OpenSymbol"/>
    </w:rPr>
  </w:style>
  <w:style w:type="character" w:customStyle="1" w:styleId="WW8Num4z1">
    <w:name w:val="WW8Num4z1"/>
    <w:rsid w:val="008D2009"/>
    <w:rPr>
      <w:rFonts w:ascii="OpenSymbol" w:hAnsi="OpenSymbol"/>
    </w:rPr>
  </w:style>
  <w:style w:type="character" w:customStyle="1" w:styleId="WW8Num18z2">
    <w:name w:val="WW8Num18z2"/>
    <w:rsid w:val="008D2009"/>
    <w:rPr>
      <w:rFonts w:ascii="Wingdings" w:hAnsi="Wingdings"/>
    </w:rPr>
  </w:style>
  <w:style w:type="character" w:customStyle="1" w:styleId="WW8Num21z0">
    <w:name w:val="WW8Num21z0"/>
    <w:rsid w:val="008D2009"/>
    <w:rPr>
      <w:rFonts w:ascii="Symbol" w:hAnsi="Symbol"/>
    </w:rPr>
  </w:style>
  <w:style w:type="character" w:customStyle="1" w:styleId="WW8Num21z1">
    <w:name w:val="WW8Num21z1"/>
    <w:rsid w:val="008D2009"/>
    <w:rPr>
      <w:rFonts w:ascii="Courier New" w:hAnsi="Courier New"/>
    </w:rPr>
  </w:style>
  <w:style w:type="character" w:customStyle="1" w:styleId="WW8Num21z2">
    <w:name w:val="WW8Num21z2"/>
    <w:rsid w:val="008D2009"/>
    <w:rPr>
      <w:rFonts w:ascii="Wingdings" w:hAnsi="Wingdings"/>
    </w:rPr>
  </w:style>
  <w:style w:type="character" w:customStyle="1" w:styleId="WW8Num23z0">
    <w:name w:val="WW8Num23z0"/>
    <w:rsid w:val="008D2009"/>
    <w:rPr>
      <w:rFonts w:ascii="Symbol" w:hAnsi="Symbol"/>
    </w:rPr>
  </w:style>
  <w:style w:type="character" w:customStyle="1" w:styleId="WW8Num23z1">
    <w:name w:val="WW8Num23z1"/>
    <w:rsid w:val="008D2009"/>
    <w:rPr>
      <w:rFonts w:ascii="Courier New" w:hAnsi="Courier New"/>
    </w:rPr>
  </w:style>
  <w:style w:type="character" w:customStyle="1" w:styleId="WW8Num23z2">
    <w:name w:val="WW8Num23z2"/>
    <w:rsid w:val="008D2009"/>
    <w:rPr>
      <w:rFonts w:ascii="Wingdings" w:hAnsi="Wingdings"/>
    </w:rPr>
  </w:style>
  <w:style w:type="character" w:customStyle="1" w:styleId="WW8Num27z1">
    <w:name w:val="WW8Num27z1"/>
    <w:rsid w:val="008D2009"/>
    <w:rPr>
      <w:rFonts w:ascii="Courier New" w:hAnsi="Courier New"/>
    </w:rPr>
  </w:style>
  <w:style w:type="character" w:customStyle="1" w:styleId="WW8Num27z2">
    <w:name w:val="WW8Num27z2"/>
    <w:rsid w:val="008D2009"/>
    <w:rPr>
      <w:rFonts w:ascii="Wingdings" w:hAnsi="Wingdings"/>
    </w:rPr>
  </w:style>
  <w:style w:type="character" w:customStyle="1" w:styleId="WW8Num27z3">
    <w:name w:val="WW8Num27z3"/>
    <w:rsid w:val="008D2009"/>
    <w:rPr>
      <w:rFonts w:ascii="Symbol" w:hAnsi="Symbol"/>
    </w:rPr>
  </w:style>
  <w:style w:type="character" w:customStyle="1" w:styleId="WW8Num28z0">
    <w:name w:val="WW8Num28z0"/>
    <w:rsid w:val="008D2009"/>
    <w:rPr>
      <w:rFonts w:ascii="Symbol" w:hAnsi="Symbol"/>
    </w:rPr>
  </w:style>
  <w:style w:type="character" w:customStyle="1" w:styleId="WW8Num28z1">
    <w:name w:val="WW8Num28z1"/>
    <w:rsid w:val="008D2009"/>
    <w:rPr>
      <w:rFonts w:ascii="Courier New" w:hAnsi="Courier New"/>
    </w:rPr>
  </w:style>
  <w:style w:type="character" w:customStyle="1" w:styleId="WW8Num28z2">
    <w:name w:val="WW8Num28z2"/>
    <w:rsid w:val="008D2009"/>
    <w:rPr>
      <w:rFonts w:ascii="Wingdings" w:hAnsi="Wingdings"/>
    </w:rPr>
  </w:style>
  <w:style w:type="character" w:customStyle="1" w:styleId="WW8Num30z0">
    <w:name w:val="WW8Num30z0"/>
    <w:rsid w:val="008D2009"/>
    <w:rPr>
      <w:rFonts w:ascii="Symbol" w:hAnsi="Symbol"/>
    </w:rPr>
  </w:style>
  <w:style w:type="character" w:customStyle="1" w:styleId="WW8Num30z1">
    <w:name w:val="WW8Num30z1"/>
    <w:rsid w:val="008D2009"/>
    <w:rPr>
      <w:rFonts w:ascii="Courier New" w:hAnsi="Courier New"/>
    </w:rPr>
  </w:style>
  <w:style w:type="character" w:customStyle="1" w:styleId="WW8Num30z2">
    <w:name w:val="WW8Num30z2"/>
    <w:rsid w:val="008D2009"/>
    <w:rPr>
      <w:rFonts w:ascii="Wingdings" w:hAnsi="Wingdings"/>
    </w:rPr>
  </w:style>
  <w:style w:type="character" w:customStyle="1" w:styleId="WW8Num31z0">
    <w:name w:val="WW8Num31z0"/>
    <w:rsid w:val="008D2009"/>
    <w:rPr>
      <w:rFonts w:ascii="Symbol" w:hAnsi="Symbol"/>
    </w:rPr>
  </w:style>
  <w:style w:type="character" w:customStyle="1" w:styleId="WW8Num31z1">
    <w:name w:val="WW8Num31z1"/>
    <w:rsid w:val="008D2009"/>
    <w:rPr>
      <w:rFonts w:ascii="Courier New" w:hAnsi="Courier New"/>
    </w:rPr>
  </w:style>
  <w:style w:type="character" w:customStyle="1" w:styleId="WW8Num31z2">
    <w:name w:val="WW8Num31z2"/>
    <w:rsid w:val="008D2009"/>
    <w:rPr>
      <w:rFonts w:ascii="Wingdings" w:hAnsi="Wingdings"/>
    </w:rPr>
  </w:style>
  <w:style w:type="character" w:customStyle="1" w:styleId="WW8Num32z0">
    <w:name w:val="WW8Num32z0"/>
    <w:rsid w:val="008D2009"/>
    <w:rPr>
      <w:rFonts w:ascii="Symbol" w:hAnsi="Symbol"/>
    </w:rPr>
  </w:style>
  <w:style w:type="character" w:customStyle="1" w:styleId="WW8Num32z1">
    <w:name w:val="WW8Num32z1"/>
    <w:rsid w:val="008D2009"/>
    <w:rPr>
      <w:rFonts w:ascii="Courier New" w:hAnsi="Courier New"/>
    </w:rPr>
  </w:style>
  <w:style w:type="character" w:customStyle="1" w:styleId="WW8Num32z2">
    <w:name w:val="WW8Num32z2"/>
    <w:rsid w:val="008D2009"/>
    <w:rPr>
      <w:rFonts w:ascii="Wingdings" w:hAnsi="Wingdings"/>
    </w:rPr>
  </w:style>
  <w:style w:type="character" w:customStyle="1" w:styleId="WW8Num33z0">
    <w:name w:val="WW8Num33z0"/>
    <w:rsid w:val="008D2009"/>
    <w:rPr>
      <w:rFonts w:ascii="Symbol" w:hAnsi="Symbol"/>
    </w:rPr>
  </w:style>
  <w:style w:type="character" w:customStyle="1" w:styleId="WW8Num33z1">
    <w:name w:val="WW8Num33z1"/>
    <w:rsid w:val="008D2009"/>
    <w:rPr>
      <w:rFonts w:ascii="Courier New" w:hAnsi="Courier New"/>
    </w:rPr>
  </w:style>
  <w:style w:type="character" w:customStyle="1" w:styleId="WW8Num33z2">
    <w:name w:val="WW8Num33z2"/>
    <w:rsid w:val="008D2009"/>
    <w:rPr>
      <w:rFonts w:ascii="Wingdings" w:hAnsi="Wingdings"/>
    </w:rPr>
  </w:style>
  <w:style w:type="character" w:customStyle="1" w:styleId="WW8Num34z0">
    <w:name w:val="WW8Num34z0"/>
    <w:rsid w:val="008D2009"/>
    <w:rPr>
      <w:rFonts w:ascii="Symbol" w:hAnsi="Symbol"/>
    </w:rPr>
  </w:style>
  <w:style w:type="character" w:customStyle="1" w:styleId="WW8Num34z1">
    <w:name w:val="WW8Num34z1"/>
    <w:rsid w:val="008D2009"/>
    <w:rPr>
      <w:rFonts w:ascii="Courier New" w:hAnsi="Courier New"/>
    </w:rPr>
  </w:style>
  <w:style w:type="character" w:customStyle="1" w:styleId="WW8Num34z2">
    <w:name w:val="WW8Num34z2"/>
    <w:rsid w:val="008D2009"/>
    <w:rPr>
      <w:rFonts w:ascii="Wingdings" w:hAnsi="Wingdings"/>
    </w:rPr>
  </w:style>
  <w:style w:type="character" w:customStyle="1" w:styleId="WW8Num35z2">
    <w:name w:val="WW8Num35z2"/>
    <w:rsid w:val="008D2009"/>
    <w:rPr>
      <w:rFonts w:ascii="Wingdings" w:hAnsi="Wingdings"/>
    </w:rPr>
  </w:style>
  <w:style w:type="character" w:customStyle="1" w:styleId="WW-Absatz-Standardschriftart111">
    <w:name w:val="WW-Absatz-Standardschriftart111"/>
    <w:rsid w:val="008D2009"/>
  </w:style>
  <w:style w:type="character" w:customStyle="1" w:styleId="WW-Absatz-Standardschriftart1111">
    <w:name w:val="WW-Absatz-Standardschriftart1111"/>
    <w:rsid w:val="008D2009"/>
  </w:style>
  <w:style w:type="character" w:customStyle="1" w:styleId="PlainTextChar">
    <w:name w:val="Plain Text Char"/>
    <w:basedOn w:val="DefaultParagraphFont"/>
    <w:rsid w:val="008D2009"/>
    <w:rPr>
      <w:rFonts w:ascii="Courier" w:eastAsia="Times New Roman" w:hAnsi="Courier" w:cs="Times New Roman"/>
      <w:sz w:val="21"/>
      <w:lang w:val="en-US"/>
    </w:rPr>
  </w:style>
  <w:style w:type="character" w:customStyle="1" w:styleId="NumberingSymbols">
    <w:name w:val="Numbering Symbols"/>
    <w:rsid w:val="008D2009"/>
  </w:style>
  <w:style w:type="paragraph" w:styleId="PlainText">
    <w:name w:val="Plain Text"/>
    <w:basedOn w:val="Normal"/>
    <w:link w:val="PlainTextChar1"/>
    <w:rsid w:val="008D2009"/>
    <w:pPr>
      <w:widowControl w:val="0"/>
      <w:suppressAutoHyphens/>
      <w:spacing w:after="0"/>
    </w:pPr>
    <w:rPr>
      <w:rFonts w:ascii="Courier" w:eastAsia="Times New Roman" w:hAnsi="Courier" w:cs="Times New Roman"/>
      <w:sz w:val="21"/>
      <w:szCs w:val="21"/>
      <w:lang w:eastAsia="ar-SA"/>
    </w:rPr>
  </w:style>
  <w:style w:type="character" w:customStyle="1" w:styleId="PlainTextChar1">
    <w:name w:val="Plain Text Char1"/>
    <w:basedOn w:val="DefaultParagraphFont"/>
    <w:link w:val="PlainText"/>
    <w:rsid w:val="008D2009"/>
    <w:rPr>
      <w:rFonts w:ascii="Courier" w:eastAsia="Times New Roman" w:hAnsi="Courier" w:cs="Times New Roman"/>
      <w:sz w:val="21"/>
      <w:szCs w:val="21"/>
      <w:lang w:eastAsia="ar-SA"/>
    </w:rPr>
  </w:style>
  <w:style w:type="table" w:styleId="TableGrid">
    <w:name w:val="Table Grid"/>
    <w:basedOn w:val="TableNormal"/>
    <w:uiPriority w:val="59"/>
    <w:rsid w:val="008D2009"/>
    <w:pPr>
      <w:spacing w:after="0"/>
    </w:pPr>
    <w:rPr>
      <w:rFonts w:ascii="Times New Roman" w:eastAsia="Cambria" w:hAnsi="Times New Roman"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8D2009"/>
    <w:rPr>
      <w:rFonts w:cs="Times New Roman"/>
      <w:b/>
      <w:bCs/>
    </w:rPr>
  </w:style>
  <w:style w:type="character" w:styleId="Hyperlink">
    <w:name w:val="Hyperlink"/>
    <w:basedOn w:val="DefaultParagraphFont"/>
    <w:rsid w:val="008D2009"/>
    <w:rPr>
      <w:rFonts w:cs="Times New Roman"/>
      <w:color w:val="0000FF"/>
      <w:u w:val="single"/>
    </w:rPr>
  </w:style>
  <w:style w:type="character" w:styleId="EndnoteReference">
    <w:name w:val="endnote reference"/>
    <w:basedOn w:val="DefaultParagraphFont"/>
    <w:semiHidden/>
    <w:rsid w:val="008D2009"/>
    <w:rPr>
      <w:rFonts w:cs="Times New Roman"/>
      <w:vertAlign w:val="superscript"/>
    </w:rPr>
  </w:style>
  <w:style w:type="character" w:customStyle="1" w:styleId="BodyTextChar1">
    <w:name w:val="Body Text Char1"/>
    <w:basedOn w:val="DefaultParagraphFont"/>
    <w:semiHidden/>
    <w:rsid w:val="008D2009"/>
    <w:rPr>
      <w:rFonts w:ascii="Times New Roman" w:hAnsi="Times New Roman" w:cs="Times New Roman"/>
      <w:lang w:val="en-GB" w:eastAsia="ar-SA" w:bidi="ar-SA"/>
    </w:rPr>
  </w:style>
  <w:style w:type="character" w:customStyle="1" w:styleId="FootnoteTextChar1">
    <w:name w:val="Footnote Text Char1"/>
    <w:basedOn w:val="DefaultParagraphFont"/>
    <w:rsid w:val="008D2009"/>
    <w:rPr>
      <w:rFonts w:ascii="Times New Roman" w:hAnsi="Times New Roman" w:cs="Times New Roman"/>
      <w:lang w:val="en-GB" w:eastAsia="ar-SA" w:bidi="ar-SA"/>
    </w:rPr>
  </w:style>
  <w:style w:type="paragraph" w:styleId="DocumentMap">
    <w:name w:val="Document Map"/>
    <w:basedOn w:val="Normal"/>
    <w:link w:val="DocumentMapChar"/>
    <w:semiHidden/>
    <w:rsid w:val="008D2009"/>
    <w:pPr>
      <w:suppressAutoHyphens/>
      <w:spacing w:after="0"/>
    </w:pPr>
    <w:rPr>
      <w:rFonts w:ascii="Lucida Grande" w:eastAsia="Cambria" w:hAnsi="Lucida Grande" w:cs="Times New Roman"/>
      <w:lang w:val="en-GB" w:eastAsia="ar-SA"/>
    </w:rPr>
  </w:style>
  <w:style w:type="character" w:customStyle="1" w:styleId="DocumentMapChar">
    <w:name w:val="Document Map Char"/>
    <w:basedOn w:val="DefaultParagraphFont"/>
    <w:link w:val="DocumentMap"/>
    <w:semiHidden/>
    <w:rsid w:val="008D2009"/>
    <w:rPr>
      <w:rFonts w:ascii="Lucida Grande" w:eastAsia="Cambria" w:hAnsi="Lucida Grande" w:cs="Times New Roman"/>
      <w:lang w:val="en-GB" w:eastAsia="ar-SA"/>
    </w:rPr>
  </w:style>
  <w:style w:type="paragraph" w:customStyle="1" w:styleId="CaptionB">
    <w:name w:val="Caption B"/>
    <w:next w:val="Normal"/>
    <w:rsid w:val="008D2009"/>
    <w:pPr>
      <w:spacing w:after="0"/>
    </w:pPr>
    <w:rPr>
      <w:rFonts w:ascii="Lucida Grande" w:eastAsia="ヒラギノ角ゴ Pro W3" w:hAnsi="Lucida Grande" w:cs="Times New Roman"/>
      <w:b/>
      <w:color w:val="000000"/>
      <w:sz w:val="20"/>
      <w:szCs w:val="20"/>
    </w:rPr>
  </w:style>
  <w:style w:type="paragraph" w:customStyle="1" w:styleId="CaptionA">
    <w:name w:val="Caption A"/>
    <w:next w:val="Normal"/>
    <w:rsid w:val="008D2009"/>
    <w:pPr>
      <w:spacing w:after="0"/>
    </w:pPr>
    <w:rPr>
      <w:rFonts w:ascii="Lucida Grande" w:eastAsia="ヒラギノ角ゴ Pro W3" w:hAnsi="Lucida Grande" w:cs="Times New Roman"/>
      <w:b/>
      <w:color w:val="000000"/>
      <w:sz w:val="20"/>
      <w:szCs w:val="20"/>
    </w:rPr>
  </w:style>
  <w:style w:type="character" w:customStyle="1" w:styleId="viewreferencelabels">
    <w:name w:val="viewreferencelabels"/>
    <w:basedOn w:val="DefaultParagraphFont"/>
    <w:rsid w:val="008D2009"/>
  </w:style>
  <w:style w:type="paragraph" w:customStyle="1" w:styleId="FreeFormA">
    <w:name w:val="Free Form A"/>
    <w:rsid w:val="008D2009"/>
    <w:pPr>
      <w:spacing w:after="0"/>
    </w:pPr>
    <w:rPr>
      <w:rFonts w:ascii="Times New Roman" w:eastAsia="ヒラギノ角ゴ Pro W3" w:hAnsi="Times New Roman" w:cs="Times New Roman"/>
      <w:color w:val="000000"/>
      <w:sz w:val="20"/>
      <w:szCs w:val="20"/>
      <w:lang w:val="en-GB"/>
    </w:rPr>
  </w:style>
  <w:style w:type="paragraph" w:customStyle="1" w:styleId="FreeFormAA">
    <w:name w:val="Free Form A A"/>
    <w:rsid w:val="008D2009"/>
    <w:pPr>
      <w:spacing w:after="0"/>
    </w:pPr>
    <w:rPr>
      <w:rFonts w:ascii="Lucida Grande" w:eastAsia="ヒラギノ角ゴ Pro W3" w:hAnsi="Lucida Grande" w:cs="Times New Roman"/>
      <w:color w:val="000000"/>
      <w:sz w:val="20"/>
      <w:szCs w:val="20"/>
      <w:lang w:val="en-GB"/>
    </w:rPr>
  </w:style>
  <w:style w:type="paragraph" w:customStyle="1" w:styleId="TableNormalParagraph">
    <w:name w:val="Table Normal Paragraph"/>
    <w:rsid w:val="008D2009"/>
    <w:pPr>
      <w:spacing w:after="0"/>
    </w:pPr>
    <w:rPr>
      <w:rFonts w:ascii="Lucida Grande" w:eastAsia="ヒラギノ角ゴ Pro W3" w:hAnsi="Lucida Grande" w:cs="Times New Roman"/>
      <w:color w:val="000000"/>
      <w:sz w:val="20"/>
      <w:szCs w:val="20"/>
      <w:lang w:val="en-GB"/>
    </w:rPr>
  </w:style>
  <w:style w:type="table" w:styleId="LightShading-Accent1">
    <w:name w:val="Light Shading Accent 1"/>
    <w:basedOn w:val="TableNormal"/>
    <w:uiPriority w:val="60"/>
    <w:rsid w:val="008D2009"/>
    <w:pPr>
      <w:spacing w:after="0"/>
    </w:pPr>
    <w:rPr>
      <w:rFonts w:ascii="Cambria" w:eastAsia="Times New Roman" w:hAnsi="Cambria" w:cs="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WW8Num16z2">
    <w:name w:val="WW8Num16z2"/>
    <w:rsid w:val="008D2009"/>
    <w:rPr>
      <w:rFonts w:ascii="Wingdings" w:hAnsi="Wingdings"/>
    </w:rPr>
  </w:style>
  <w:style w:type="character" w:customStyle="1" w:styleId="WW8Num17z2">
    <w:name w:val="WW8Num17z2"/>
    <w:rsid w:val="008D2009"/>
    <w:rPr>
      <w:rFonts w:ascii="Wingdings" w:hAnsi="Wingdings"/>
    </w:rPr>
  </w:style>
  <w:style w:type="character" w:customStyle="1" w:styleId="WW8Num24z3">
    <w:name w:val="WW8Num24z3"/>
    <w:rsid w:val="008D2009"/>
    <w:rPr>
      <w:rFonts w:ascii="Symbol" w:hAnsi="Symbol"/>
    </w:rPr>
  </w:style>
  <w:style w:type="character" w:customStyle="1" w:styleId="WW8Num6z2">
    <w:name w:val="WW8Num6z2"/>
    <w:rsid w:val="008D2009"/>
    <w:rPr>
      <w:rFonts w:ascii="OpenSymbol" w:hAnsi="OpenSymbol" w:cs="OpenSymbol"/>
    </w:rPr>
  </w:style>
  <w:style w:type="character" w:customStyle="1" w:styleId="WW8Num7z3">
    <w:name w:val="WW8Num7z3"/>
    <w:rsid w:val="008D2009"/>
    <w:rPr>
      <w:rFonts w:ascii="Symbol" w:hAnsi="Symbol"/>
    </w:rPr>
  </w:style>
  <w:style w:type="character" w:customStyle="1" w:styleId="WW8Num11z3">
    <w:name w:val="WW8Num11z3"/>
    <w:rsid w:val="008D2009"/>
    <w:rPr>
      <w:rFonts w:ascii="Symbol" w:hAnsi="Symbol"/>
    </w:rPr>
  </w:style>
  <w:style w:type="character" w:customStyle="1" w:styleId="WW-Absatz-Standardschriftart11111">
    <w:name w:val="WW-Absatz-Standardschriftart11111"/>
    <w:rsid w:val="008D2009"/>
  </w:style>
  <w:style w:type="character" w:customStyle="1" w:styleId="WW8Num4z2">
    <w:name w:val="WW8Num4z2"/>
    <w:rsid w:val="008D2009"/>
    <w:rPr>
      <w:rFonts w:ascii="Wingdings" w:hAnsi="Wingdings"/>
    </w:rPr>
  </w:style>
  <w:style w:type="character" w:customStyle="1" w:styleId="WW8Num4z3">
    <w:name w:val="WW8Num4z3"/>
    <w:rsid w:val="008D2009"/>
    <w:rPr>
      <w:rFonts w:ascii="Symbol" w:hAnsi="Symbol"/>
    </w:rPr>
  </w:style>
  <w:style w:type="character" w:customStyle="1" w:styleId="ListBulletChar">
    <w:name w:val="List Bullet Char"/>
    <w:basedOn w:val="WW-Absatz-Standardschriftart"/>
    <w:rsid w:val="008D2009"/>
    <w:rPr>
      <w:lang w:val="en-GB" w:eastAsia="ar-SA" w:bidi="ar-SA"/>
    </w:rPr>
  </w:style>
  <w:style w:type="paragraph" w:styleId="BlockText">
    <w:name w:val="Block Text"/>
    <w:basedOn w:val="Normal"/>
    <w:rsid w:val="008D2009"/>
    <w:pPr>
      <w:spacing w:after="0"/>
      <w:ind w:left="-709" w:right="-907"/>
    </w:pPr>
    <w:rPr>
      <w:rFonts w:ascii="Times New Roman" w:eastAsia="Times New Roman" w:hAnsi="Times New Roman" w:cs="Times New Roman"/>
      <w:szCs w:val="20"/>
      <w:lang w:val="en-GB" w:eastAsia="ar-SA"/>
    </w:rPr>
  </w:style>
  <w:style w:type="paragraph" w:styleId="BodyTextIndent2">
    <w:name w:val="Body Text Indent 2"/>
    <w:basedOn w:val="Normal"/>
    <w:link w:val="BodyTextIndent2Char"/>
    <w:rsid w:val="008D2009"/>
    <w:pPr>
      <w:spacing w:after="120" w:line="480" w:lineRule="auto"/>
      <w:ind w:left="283"/>
    </w:pPr>
    <w:rPr>
      <w:rFonts w:ascii="Times New Roman" w:eastAsia="Times New Roman" w:hAnsi="Times New Roman" w:cs="Times New Roman"/>
      <w:sz w:val="20"/>
      <w:szCs w:val="20"/>
      <w:lang w:val="en-GB" w:eastAsia="ar-SA"/>
    </w:rPr>
  </w:style>
  <w:style w:type="character" w:customStyle="1" w:styleId="BodyTextIndent2Char">
    <w:name w:val="Body Text Indent 2 Char"/>
    <w:basedOn w:val="DefaultParagraphFont"/>
    <w:link w:val="BodyTextIndent2"/>
    <w:rsid w:val="008D2009"/>
    <w:rPr>
      <w:rFonts w:ascii="Times New Roman" w:eastAsia="Times New Roman" w:hAnsi="Times New Roman" w:cs="Times New Roman"/>
      <w:sz w:val="20"/>
      <w:szCs w:val="20"/>
      <w:lang w:val="en-GB" w:eastAsia="ar-SA"/>
    </w:rPr>
  </w:style>
  <w:style w:type="paragraph" w:styleId="BodyTextIndent">
    <w:name w:val="Body Text Indent"/>
    <w:basedOn w:val="Normal"/>
    <w:link w:val="BodyTextIndentChar"/>
    <w:rsid w:val="008D2009"/>
    <w:pPr>
      <w:spacing w:after="120"/>
      <w:ind w:left="283"/>
    </w:pPr>
    <w:rPr>
      <w:rFonts w:ascii="Times New Roman" w:eastAsia="Times New Roman" w:hAnsi="Times New Roman" w:cs="Times New Roman"/>
      <w:sz w:val="20"/>
      <w:szCs w:val="20"/>
      <w:lang w:val="en-GB" w:eastAsia="ar-SA"/>
    </w:rPr>
  </w:style>
  <w:style w:type="character" w:customStyle="1" w:styleId="BodyTextIndentChar">
    <w:name w:val="Body Text Indent Char"/>
    <w:basedOn w:val="DefaultParagraphFont"/>
    <w:link w:val="BodyTextIndent"/>
    <w:rsid w:val="008D2009"/>
    <w:rPr>
      <w:rFonts w:ascii="Times New Roman" w:eastAsia="Times New Roman" w:hAnsi="Times New Roman" w:cs="Times New Roman"/>
      <w:sz w:val="20"/>
      <w:szCs w:val="20"/>
      <w:lang w:val="en-GB" w:eastAsia="ar-SA"/>
    </w:rPr>
  </w:style>
  <w:style w:type="paragraph" w:styleId="ListBullet">
    <w:name w:val="List Bullet"/>
    <w:basedOn w:val="Normal"/>
    <w:link w:val="ListBulletChar1"/>
    <w:rsid w:val="008D2009"/>
    <w:pPr>
      <w:numPr>
        <w:numId w:val="2"/>
      </w:numPr>
      <w:spacing w:after="0"/>
    </w:pPr>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8D2009"/>
    <w:pPr>
      <w:spacing w:after="120" w:line="480" w:lineRule="auto"/>
    </w:pPr>
    <w:rPr>
      <w:rFonts w:ascii="Times New Roman" w:eastAsia="Times New Roman" w:hAnsi="Times New Roman" w:cs="Times New Roman"/>
      <w:lang w:val="en-GB" w:eastAsia="ar-SA"/>
    </w:rPr>
  </w:style>
  <w:style w:type="character" w:customStyle="1" w:styleId="BodyText2Char">
    <w:name w:val="Body Text 2 Char"/>
    <w:basedOn w:val="DefaultParagraphFont"/>
    <w:link w:val="BodyText2"/>
    <w:rsid w:val="008D2009"/>
    <w:rPr>
      <w:rFonts w:ascii="Times New Roman" w:eastAsia="Times New Roman" w:hAnsi="Times New Roman" w:cs="Times New Roman"/>
      <w:lang w:val="en-GB" w:eastAsia="ar-SA"/>
    </w:rPr>
  </w:style>
  <w:style w:type="paragraph" w:styleId="Title">
    <w:name w:val="Title"/>
    <w:basedOn w:val="Normal"/>
    <w:next w:val="Subtitle"/>
    <w:link w:val="TitleChar"/>
    <w:qFormat/>
    <w:rsid w:val="008D2009"/>
    <w:pPr>
      <w:spacing w:after="0"/>
      <w:jc w:val="center"/>
    </w:pPr>
    <w:rPr>
      <w:rFonts w:ascii="Times New Roman" w:eastAsia="Times New Roman" w:hAnsi="Times New Roman" w:cs="Times New Roman"/>
      <w:sz w:val="20"/>
      <w:szCs w:val="20"/>
      <w:u w:val="single"/>
      <w:lang w:val="en-GB" w:eastAsia="ar-SA"/>
    </w:rPr>
  </w:style>
  <w:style w:type="character" w:customStyle="1" w:styleId="TitleChar">
    <w:name w:val="Title Char"/>
    <w:basedOn w:val="DefaultParagraphFont"/>
    <w:link w:val="Title"/>
    <w:rsid w:val="008D2009"/>
    <w:rPr>
      <w:rFonts w:ascii="Times New Roman" w:eastAsia="Times New Roman" w:hAnsi="Times New Roman" w:cs="Times New Roman"/>
      <w:sz w:val="20"/>
      <w:szCs w:val="20"/>
      <w:u w:val="single"/>
      <w:lang w:val="en-GB" w:eastAsia="ar-SA"/>
    </w:rPr>
  </w:style>
  <w:style w:type="paragraph" w:styleId="Subtitle">
    <w:name w:val="Subtitle"/>
    <w:basedOn w:val="Heading"/>
    <w:next w:val="BodyText"/>
    <w:link w:val="SubtitleChar"/>
    <w:qFormat/>
    <w:rsid w:val="008D2009"/>
    <w:pPr>
      <w:jc w:val="center"/>
    </w:pPr>
    <w:rPr>
      <w:rFonts w:eastAsia="Arial Unicode MS"/>
      <w:i/>
      <w:iCs/>
    </w:rPr>
  </w:style>
  <w:style w:type="character" w:customStyle="1" w:styleId="SubtitleChar">
    <w:name w:val="Subtitle Char"/>
    <w:basedOn w:val="DefaultParagraphFont"/>
    <w:link w:val="Subtitle"/>
    <w:rsid w:val="008D2009"/>
    <w:rPr>
      <w:rFonts w:ascii="Arial" w:eastAsia="Arial Unicode MS" w:hAnsi="Arial" w:cs="Tahoma"/>
      <w:i/>
      <w:iCs/>
      <w:sz w:val="28"/>
      <w:szCs w:val="28"/>
      <w:lang w:val="en-GB" w:eastAsia="ar-SA"/>
    </w:rPr>
  </w:style>
  <w:style w:type="paragraph" w:styleId="NoteLevel2">
    <w:name w:val="Note Level 2"/>
    <w:link w:val="NoteLevel2Char"/>
    <w:qFormat/>
    <w:rsid w:val="008D2009"/>
    <w:pPr>
      <w:spacing w:after="0"/>
    </w:pPr>
    <w:rPr>
      <w:rFonts w:ascii="PMingLiU" w:eastAsia="Times New Roman" w:hAnsi="PMingLiU" w:cs="Times New Roman"/>
      <w:sz w:val="22"/>
      <w:szCs w:val="22"/>
    </w:rPr>
  </w:style>
  <w:style w:type="character" w:customStyle="1" w:styleId="NoteLevel2Char">
    <w:name w:val="Note Level 2 Char"/>
    <w:basedOn w:val="DefaultParagraphFont"/>
    <w:link w:val="NoteLevel2"/>
    <w:rsid w:val="008D2009"/>
    <w:rPr>
      <w:rFonts w:ascii="PMingLiU" w:eastAsia="Times New Roman" w:hAnsi="PMingLiU" w:cs="Times New Roman"/>
      <w:sz w:val="22"/>
      <w:szCs w:val="22"/>
    </w:rPr>
  </w:style>
  <w:style w:type="character" w:customStyle="1" w:styleId="NoteLevel11">
    <w:name w:val="Note Level 11"/>
    <w:basedOn w:val="DefaultParagraphFont"/>
    <w:uiPriority w:val="99"/>
    <w:semiHidden/>
    <w:rsid w:val="008D2009"/>
    <w:rPr>
      <w:color w:val="808080"/>
    </w:rPr>
  </w:style>
  <w:style w:type="character" w:customStyle="1" w:styleId="CharChar7">
    <w:name w:val="Char Char7"/>
    <w:basedOn w:val="DefaultParagraphFont"/>
    <w:uiPriority w:val="99"/>
    <w:rsid w:val="008D2009"/>
  </w:style>
  <w:style w:type="character" w:customStyle="1" w:styleId="CharChar6">
    <w:name w:val="Char Char6"/>
    <w:basedOn w:val="DefaultParagraphFont"/>
    <w:uiPriority w:val="99"/>
    <w:semiHidden/>
    <w:rsid w:val="008D2009"/>
  </w:style>
  <w:style w:type="character" w:customStyle="1" w:styleId="CharChar10">
    <w:name w:val="Char Char10"/>
    <w:basedOn w:val="DefaultParagraphFont"/>
    <w:rsid w:val="008D2009"/>
    <w:rPr>
      <w:rFonts w:ascii="Times New Roman" w:eastAsia="Times New Roman" w:hAnsi="Times New Roman" w:cs="Times New Roman"/>
      <w:b/>
      <w:szCs w:val="20"/>
      <w:u w:val="single"/>
      <w:lang w:val="en-GB"/>
    </w:rPr>
  </w:style>
  <w:style w:type="character" w:customStyle="1" w:styleId="CharChar8">
    <w:name w:val="Char Char8"/>
    <w:basedOn w:val="DefaultParagraphFont"/>
    <w:rsid w:val="008D2009"/>
    <w:rPr>
      <w:rFonts w:ascii="Times New Roman" w:eastAsia="Times New Roman" w:hAnsi="Times New Roman" w:cs="Times New Roman"/>
      <w:szCs w:val="20"/>
      <w:lang w:val="en-GB"/>
    </w:rPr>
  </w:style>
  <w:style w:type="character" w:customStyle="1" w:styleId="CharChar5">
    <w:name w:val="Char Char5"/>
    <w:basedOn w:val="DefaultParagraphFont"/>
    <w:rsid w:val="008D2009"/>
    <w:rPr>
      <w:rFonts w:ascii="Times New Roman" w:eastAsia="Times New Roman" w:hAnsi="Times New Roman" w:cs="Times New Roman"/>
      <w:b/>
      <w:szCs w:val="20"/>
      <w:lang w:val="en-GB"/>
    </w:rPr>
  </w:style>
  <w:style w:type="character" w:customStyle="1" w:styleId="CharChar4">
    <w:name w:val="Char Char4"/>
    <w:basedOn w:val="DefaultParagraphFont"/>
    <w:rsid w:val="008D2009"/>
    <w:rPr>
      <w:rFonts w:ascii="Times New Roman" w:eastAsia="Times New Roman" w:hAnsi="Times New Roman" w:cs="Times New Roman"/>
      <w:sz w:val="20"/>
      <w:szCs w:val="20"/>
      <w:lang w:val="en-GB"/>
    </w:rPr>
  </w:style>
  <w:style w:type="character" w:customStyle="1" w:styleId="CharChar9">
    <w:name w:val="Char Char9"/>
    <w:basedOn w:val="DefaultParagraphFont"/>
    <w:rsid w:val="008D2009"/>
    <w:rPr>
      <w:rFonts w:ascii="Arial" w:eastAsia="Times New Roman" w:hAnsi="Arial" w:cs="Arial"/>
      <w:b/>
      <w:bCs/>
      <w:i/>
      <w:iCs/>
      <w:sz w:val="28"/>
      <w:szCs w:val="28"/>
      <w:lang w:val="en-GB"/>
    </w:rPr>
  </w:style>
  <w:style w:type="character" w:customStyle="1" w:styleId="CharChar3">
    <w:name w:val="Char Char3"/>
    <w:basedOn w:val="DefaultParagraphFont"/>
    <w:rsid w:val="008D2009"/>
    <w:rPr>
      <w:rFonts w:ascii="Times New Roman" w:eastAsia="Times New Roman" w:hAnsi="Times New Roman" w:cs="Times New Roman"/>
      <w:sz w:val="20"/>
      <w:szCs w:val="20"/>
      <w:lang w:val="en-GB"/>
    </w:rPr>
  </w:style>
  <w:style w:type="character" w:customStyle="1" w:styleId="ListBulletChar1">
    <w:name w:val="List Bullet Char1"/>
    <w:basedOn w:val="DefaultParagraphFont"/>
    <w:link w:val="ListBullet"/>
    <w:rsid w:val="008D2009"/>
    <w:rPr>
      <w:rFonts w:ascii="Times New Roman" w:eastAsia="Times New Roman" w:hAnsi="Times New Roman" w:cs="Times New Roman"/>
      <w:sz w:val="20"/>
      <w:szCs w:val="20"/>
      <w:lang w:val="en-GB" w:eastAsia="ar-SA"/>
    </w:rPr>
  </w:style>
  <w:style w:type="character" w:customStyle="1" w:styleId="CharChar1">
    <w:name w:val="Char Char1"/>
    <w:basedOn w:val="DefaultParagraphFont"/>
    <w:rsid w:val="008D2009"/>
    <w:rPr>
      <w:rFonts w:ascii="Times New Roman" w:eastAsia="Times New Roman" w:hAnsi="Times New Roman" w:cs="Times New Roman"/>
      <w:lang w:val="en-GB"/>
    </w:rPr>
  </w:style>
  <w:style w:type="character" w:customStyle="1" w:styleId="CharChar">
    <w:name w:val="Char Char"/>
    <w:basedOn w:val="DefaultParagraphFont"/>
    <w:rsid w:val="008D2009"/>
    <w:rPr>
      <w:rFonts w:ascii="Times New Roman" w:eastAsia="Times New Roman" w:hAnsi="Times New Roman" w:cs="Times New Roman"/>
      <w:sz w:val="20"/>
      <w:szCs w:val="20"/>
      <w:u w:val="single"/>
      <w:lang w:val="en-GB"/>
    </w:rPr>
  </w:style>
  <w:style w:type="numbering" w:customStyle="1" w:styleId="CurrentList1">
    <w:name w:val="Current List1"/>
    <w:rsid w:val="008D2009"/>
    <w:pPr>
      <w:numPr>
        <w:numId w:val="4"/>
      </w:numPr>
    </w:pPr>
  </w:style>
  <w:style w:type="character" w:customStyle="1" w:styleId="NoSpacingChar">
    <w:name w:val="No Spacing Char"/>
    <w:basedOn w:val="DefaultParagraphFont"/>
    <w:rsid w:val="008D2009"/>
    <w:rPr>
      <w:rFonts w:ascii="PMingLiU" w:hAnsi="PMingLiU"/>
      <w:sz w:val="22"/>
      <w:szCs w:val="22"/>
      <w:lang w:val="en-US" w:eastAsia="en-US" w:bidi="ar-SA"/>
    </w:rPr>
  </w:style>
  <w:style w:type="character" w:customStyle="1" w:styleId="CharChar70">
    <w:name w:val="Char Char7"/>
    <w:basedOn w:val="DefaultParagraphFont"/>
    <w:uiPriority w:val="99"/>
    <w:rsid w:val="008D2009"/>
  </w:style>
  <w:style w:type="character" w:customStyle="1" w:styleId="CharChar60">
    <w:name w:val="Char Char6"/>
    <w:basedOn w:val="DefaultParagraphFont"/>
    <w:uiPriority w:val="99"/>
    <w:semiHidden/>
    <w:rsid w:val="008D2009"/>
  </w:style>
  <w:style w:type="character" w:customStyle="1" w:styleId="CharChar100">
    <w:name w:val="Char Char10"/>
    <w:basedOn w:val="DefaultParagraphFont"/>
    <w:rsid w:val="008D2009"/>
    <w:rPr>
      <w:rFonts w:ascii="Times New Roman" w:eastAsia="Times New Roman" w:hAnsi="Times New Roman" w:cs="Times New Roman"/>
      <w:b/>
      <w:szCs w:val="20"/>
      <w:u w:val="single"/>
      <w:lang w:val="en-GB"/>
    </w:rPr>
  </w:style>
  <w:style w:type="character" w:customStyle="1" w:styleId="CharChar80">
    <w:name w:val="Char Char8"/>
    <w:basedOn w:val="DefaultParagraphFont"/>
    <w:rsid w:val="008D2009"/>
    <w:rPr>
      <w:rFonts w:ascii="Times New Roman" w:eastAsia="Times New Roman" w:hAnsi="Times New Roman" w:cs="Times New Roman"/>
      <w:szCs w:val="20"/>
      <w:lang w:val="en-GB"/>
    </w:rPr>
  </w:style>
  <w:style w:type="character" w:customStyle="1" w:styleId="CharChar50">
    <w:name w:val="Char Char5"/>
    <w:basedOn w:val="DefaultParagraphFont"/>
    <w:rsid w:val="008D2009"/>
    <w:rPr>
      <w:rFonts w:ascii="Times New Roman" w:eastAsia="Times New Roman" w:hAnsi="Times New Roman" w:cs="Times New Roman"/>
      <w:b/>
      <w:szCs w:val="20"/>
      <w:lang w:val="en-GB"/>
    </w:rPr>
  </w:style>
  <w:style w:type="character" w:customStyle="1" w:styleId="CharChar40">
    <w:name w:val="Char Char4"/>
    <w:basedOn w:val="DefaultParagraphFont"/>
    <w:rsid w:val="008D2009"/>
    <w:rPr>
      <w:rFonts w:ascii="Times New Roman" w:eastAsia="Times New Roman" w:hAnsi="Times New Roman" w:cs="Times New Roman"/>
      <w:sz w:val="20"/>
      <w:szCs w:val="20"/>
      <w:lang w:val="en-GB"/>
    </w:rPr>
  </w:style>
  <w:style w:type="character" w:customStyle="1" w:styleId="CharChar90">
    <w:name w:val="Char Char9"/>
    <w:basedOn w:val="DefaultParagraphFont"/>
    <w:rsid w:val="008D2009"/>
    <w:rPr>
      <w:rFonts w:ascii="Arial" w:eastAsia="Times New Roman" w:hAnsi="Arial" w:cs="Arial"/>
      <w:b/>
      <w:bCs/>
      <w:i/>
      <w:iCs/>
      <w:sz w:val="28"/>
      <w:szCs w:val="28"/>
      <w:lang w:val="en-GB"/>
    </w:rPr>
  </w:style>
  <w:style w:type="character" w:customStyle="1" w:styleId="CharChar30">
    <w:name w:val="Char Char3"/>
    <w:basedOn w:val="DefaultParagraphFont"/>
    <w:rsid w:val="008D2009"/>
    <w:rPr>
      <w:rFonts w:ascii="Times New Roman" w:eastAsia="Times New Roman" w:hAnsi="Times New Roman" w:cs="Times New Roman"/>
      <w:sz w:val="20"/>
      <w:szCs w:val="20"/>
      <w:lang w:val="en-GB"/>
    </w:rPr>
  </w:style>
  <w:style w:type="character" w:customStyle="1" w:styleId="CharChar2">
    <w:name w:val="Char Char2"/>
    <w:basedOn w:val="DefaultParagraphFont"/>
    <w:rsid w:val="008D2009"/>
    <w:rPr>
      <w:lang w:eastAsia="ar-SA"/>
    </w:rPr>
  </w:style>
  <w:style w:type="character" w:customStyle="1" w:styleId="CharChar11">
    <w:name w:val="Char Char1"/>
    <w:basedOn w:val="DefaultParagraphFont"/>
    <w:rsid w:val="008D2009"/>
    <w:rPr>
      <w:rFonts w:ascii="Times New Roman" w:eastAsia="Times New Roman" w:hAnsi="Times New Roman" w:cs="Times New Roman"/>
      <w:lang w:val="en-GB"/>
    </w:rPr>
  </w:style>
  <w:style w:type="character" w:customStyle="1" w:styleId="CharChar0">
    <w:name w:val="Char Char"/>
    <w:basedOn w:val="DefaultParagraphFont"/>
    <w:rsid w:val="008D2009"/>
    <w:rPr>
      <w:rFonts w:ascii="Times New Roman" w:eastAsia="Times New Roman" w:hAnsi="Times New Roman" w:cs="Times New Roman"/>
      <w:sz w:val="20"/>
      <w:szCs w:val="20"/>
      <w:u w:val="single"/>
      <w:lang w:val="en-GB"/>
    </w:rPr>
  </w:style>
  <w:style w:type="character" w:customStyle="1" w:styleId="breadcrumbsubjects">
    <w:name w:val="breadcrumb_subjects"/>
    <w:basedOn w:val="DefaultParagraphFont"/>
    <w:rsid w:val="00E23557"/>
  </w:style>
  <w:style w:type="character" w:customStyle="1" w:styleId="ampersand">
    <w:name w:val="ampersand"/>
    <w:basedOn w:val="DefaultParagraphFont"/>
    <w:rsid w:val="00E23557"/>
  </w:style>
  <w:style w:type="character" w:customStyle="1" w:styleId="volume-value">
    <w:name w:val="volume-value"/>
    <w:basedOn w:val="DefaultParagraphFont"/>
    <w:rsid w:val="00E23557"/>
  </w:style>
  <w:style w:type="character" w:customStyle="1" w:styleId="vol-issue-comma">
    <w:name w:val="vol-issue-comma"/>
    <w:basedOn w:val="DefaultParagraphFont"/>
    <w:rsid w:val="00E23557"/>
  </w:style>
  <w:style w:type="character" w:customStyle="1" w:styleId="issue-value">
    <w:name w:val="issue-value"/>
    <w:basedOn w:val="DefaultParagraphFont"/>
    <w:rsid w:val="00E23557"/>
  </w:style>
  <w:style w:type="character" w:customStyle="1" w:styleId="slug-pages">
    <w:name w:val="slug-pages"/>
    <w:basedOn w:val="DefaultParagraphFont"/>
    <w:rsid w:val="00E23557"/>
  </w:style>
  <w:style w:type="character" w:customStyle="1" w:styleId="cit">
    <w:name w:val="cit"/>
    <w:basedOn w:val="DefaultParagraphFont"/>
    <w:rsid w:val="00BC3073"/>
  </w:style>
  <w:style w:type="character" w:customStyle="1" w:styleId="fm-vol-iss-date">
    <w:name w:val="fm-vol-iss-date"/>
    <w:basedOn w:val="DefaultParagraphFont"/>
    <w:rsid w:val="00BC3073"/>
  </w:style>
  <w:style w:type="character" w:customStyle="1" w:styleId="doi">
    <w:name w:val="doi"/>
    <w:basedOn w:val="DefaultParagraphFont"/>
    <w:rsid w:val="00BC3073"/>
  </w:style>
  <w:style w:type="character" w:customStyle="1" w:styleId="fm-citation-ids-label">
    <w:name w:val="fm-citation-ids-label"/>
    <w:basedOn w:val="DefaultParagraphFont"/>
    <w:rsid w:val="00BC3073"/>
  </w:style>
  <w:style w:type="character" w:styleId="Emphasis">
    <w:name w:val="Emphasis"/>
    <w:basedOn w:val="DefaultParagraphFont"/>
    <w:uiPriority w:val="20"/>
    <w:rsid w:val="00BC3073"/>
    <w:rPr>
      <w:i/>
    </w:rPr>
  </w:style>
  <w:style w:type="paragraph" w:customStyle="1" w:styleId="fulltext-author">
    <w:name w:val="fulltext-author"/>
    <w:basedOn w:val="Normal"/>
    <w:rsid w:val="00166D3D"/>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767821603">
      <w:bodyDiv w:val="1"/>
      <w:marLeft w:val="0"/>
      <w:marRight w:val="0"/>
      <w:marTop w:val="0"/>
      <w:marBottom w:val="0"/>
      <w:divBdr>
        <w:top w:val="none" w:sz="0" w:space="0" w:color="auto"/>
        <w:left w:val="none" w:sz="0" w:space="0" w:color="auto"/>
        <w:bottom w:val="none" w:sz="0" w:space="0" w:color="auto"/>
        <w:right w:val="none" w:sz="0" w:space="0" w:color="auto"/>
      </w:divBdr>
      <w:divsChild>
        <w:div w:id="1447891617">
          <w:marLeft w:val="0"/>
          <w:marRight w:val="0"/>
          <w:marTop w:val="0"/>
          <w:marBottom w:val="0"/>
          <w:divBdr>
            <w:top w:val="none" w:sz="0" w:space="0" w:color="auto"/>
            <w:left w:val="none" w:sz="0" w:space="0" w:color="auto"/>
            <w:bottom w:val="none" w:sz="0" w:space="0" w:color="auto"/>
            <w:right w:val="none" w:sz="0" w:space="0" w:color="auto"/>
          </w:divBdr>
        </w:div>
      </w:divsChild>
    </w:div>
    <w:div w:id="1006440523">
      <w:bodyDiv w:val="1"/>
      <w:marLeft w:val="0"/>
      <w:marRight w:val="0"/>
      <w:marTop w:val="0"/>
      <w:marBottom w:val="0"/>
      <w:divBdr>
        <w:top w:val="none" w:sz="0" w:space="0" w:color="auto"/>
        <w:left w:val="none" w:sz="0" w:space="0" w:color="auto"/>
        <w:bottom w:val="none" w:sz="0" w:space="0" w:color="auto"/>
        <w:right w:val="none" w:sz="0" w:space="0" w:color="auto"/>
      </w:divBdr>
      <w:divsChild>
        <w:div w:id="2119786244">
          <w:marLeft w:val="0"/>
          <w:marRight w:val="0"/>
          <w:marTop w:val="0"/>
          <w:marBottom w:val="0"/>
          <w:divBdr>
            <w:top w:val="none" w:sz="0" w:space="0" w:color="auto"/>
            <w:left w:val="none" w:sz="0" w:space="0" w:color="auto"/>
            <w:bottom w:val="none" w:sz="0" w:space="0" w:color="auto"/>
            <w:right w:val="none" w:sz="0" w:space="0" w:color="auto"/>
          </w:divBdr>
        </w:div>
        <w:div w:id="1280718386">
          <w:marLeft w:val="0"/>
          <w:marRight w:val="0"/>
          <w:marTop w:val="0"/>
          <w:marBottom w:val="0"/>
          <w:divBdr>
            <w:top w:val="none" w:sz="0" w:space="0" w:color="auto"/>
            <w:left w:val="none" w:sz="0" w:space="0" w:color="auto"/>
            <w:bottom w:val="none" w:sz="0" w:space="0" w:color="auto"/>
            <w:right w:val="none" w:sz="0" w:space="0" w:color="auto"/>
          </w:divBdr>
        </w:div>
      </w:divsChild>
    </w:div>
    <w:div w:id="1339230373">
      <w:bodyDiv w:val="1"/>
      <w:marLeft w:val="0"/>
      <w:marRight w:val="0"/>
      <w:marTop w:val="0"/>
      <w:marBottom w:val="0"/>
      <w:divBdr>
        <w:top w:val="none" w:sz="0" w:space="0" w:color="auto"/>
        <w:left w:val="none" w:sz="0" w:space="0" w:color="auto"/>
        <w:bottom w:val="none" w:sz="0" w:space="0" w:color="auto"/>
        <w:right w:val="none" w:sz="0" w:space="0" w:color="auto"/>
      </w:divBdr>
    </w:div>
    <w:div w:id="1415123425">
      <w:bodyDiv w:val="1"/>
      <w:marLeft w:val="0"/>
      <w:marRight w:val="0"/>
      <w:marTop w:val="0"/>
      <w:marBottom w:val="0"/>
      <w:divBdr>
        <w:top w:val="none" w:sz="0" w:space="0" w:color="auto"/>
        <w:left w:val="none" w:sz="0" w:space="0" w:color="auto"/>
        <w:bottom w:val="none" w:sz="0" w:space="0" w:color="auto"/>
        <w:right w:val="none" w:sz="0" w:space="0" w:color="auto"/>
      </w:divBdr>
      <w:divsChild>
        <w:div w:id="598295039">
          <w:marLeft w:val="0"/>
          <w:marRight w:val="0"/>
          <w:marTop w:val="0"/>
          <w:marBottom w:val="0"/>
          <w:divBdr>
            <w:top w:val="none" w:sz="0" w:space="0" w:color="auto"/>
            <w:left w:val="none" w:sz="0" w:space="0" w:color="auto"/>
            <w:bottom w:val="none" w:sz="0" w:space="0" w:color="auto"/>
            <w:right w:val="none" w:sz="0" w:space="0" w:color="auto"/>
          </w:divBdr>
          <w:divsChild>
            <w:div w:id="191194727">
              <w:marLeft w:val="0"/>
              <w:marRight w:val="0"/>
              <w:marTop w:val="0"/>
              <w:marBottom w:val="0"/>
              <w:divBdr>
                <w:top w:val="none" w:sz="0" w:space="0" w:color="auto"/>
                <w:left w:val="none" w:sz="0" w:space="0" w:color="auto"/>
                <w:bottom w:val="none" w:sz="0" w:space="0" w:color="auto"/>
                <w:right w:val="none" w:sz="0" w:space="0" w:color="auto"/>
              </w:divBdr>
              <w:divsChild>
                <w:div w:id="1424255419">
                  <w:marLeft w:val="0"/>
                  <w:marRight w:val="0"/>
                  <w:marTop w:val="0"/>
                  <w:marBottom w:val="0"/>
                  <w:divBdr>
                    <w:top w:val="none" w:sz="0" w:space="0" w:color="auto"/>
                    <w:left w:val="none" w:sz="0" w:space="0" w:color="auto"/>
                    <w:bottom w:val="none" w:sz="0" w:space="0" w:color="auto"/>
                    <w:right w:val="none" w:sz="0" w:space="0" w:color="auto"/>
                  </w:divBdr>
                  <w:divsChild>
                    <w:div w:id="1911840600">
                      <w:marLeft w:val="240"/>
                      <w:marRight w:val="0"/>
                      <w:marTop w:val="0"/>
                      <w:marBottom w:val="0"/>
                      <w:divBdr>
                        <w:top w:val="none" w:sz="0" w:space="0" w:color="auto"/>
                        <w:left w:val="none" w:sz="0" w:space="0" w:color="auto"/>
                        <w:bottom w:val="none" w:sz="0" w:space="0" w:color="auto"/>
                        <w:right w:val="none" w:sz="0" w:space="0" w:color="auto"/>
                      </w:divBdr>
                      <w:divsChild>
                        <w:div w:id="5096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010">
                  <w:marLeft w:val="0"/>
                  <w:marRight w:val="0"/>
                  <w:marTop w:val="0"/>
                  <w:marBottom w:val="0"/>
                  <w:divBdr>
                    <w:top w:val="none" w:sz="0" w:space="0" w:color="auto"/>
                    <w:left w:val="none" w:sz="0" w:space="0" w:color="auto"/>
                    <w:bottom w:val="none" w:sz="0" w:space="0" w:color="auto"/>
                    <w:right w:val="none" w:sz="0" w:space="0" w:color="auto"/>
                  </w:divBdr>
                  <w:divsChild>
                    <w:div w:id="1775517467">
                      <w:marLeft w:val="0"/>
                      <w:marRight w:val="0"/>
                      <w:marTop w:val="0"/>
                      <w:marBottom w:val="0"/>
                      <w:divBdr>
                        <w:top w:val="none" w:sz="0" w:space="0" w:color="auto"/>
                        <w:left w:val="none" w:sz="0" w:space="0" w:color="auto"/>
                        <w:bottom w:val="none" w:sz="0" w:space="0" w:color="auto"/>
                        <w:right w:val="none" w:sz="0" w:space="0" w:color="auto"/>
                      </w:divBdr>
                      <w:divsChild>
                        <w:div w:id="1112364097">
                          <w:marLeft w:val="0"/>
                          <w:marRight w:val="0"/>
                          <w:marTop w:val="0"/>
                          <w:marBottom w:val="0"/>
                          <w:divBdr>
                            <w:top w:val="none" w:sz="0" w:space="0" w:color="auto"/>
                            <w:left w:val="none" w:sz="0" w:space="0" w:color="auto"/>
                            <w:bottom w:val="none" w:sz="0" w:space="0" w:color="auto"/>
                            <w:right w:val="none" w:sz="0" w:space="0" w:color="auto"/>
                          </w:divBdr>
                        </w:div>
                        <w:div w:id="1767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722">
          <w:marLeft w:val="0"/>
          <w:marRight w:val="0"/>
          <w:marTop w:val="0"/>
          <w:marBottom w:val="0"/>
          <w:divBdr>
            <w:top w:val="none" w:sz="0" w:space="0" w:color="auto"/>
            <w:left w:val="none" w:sz="0" w:space="0" w:color="auto"/>
            <w:bottom w:val="none" w:sz="0" w:space="0" w:color="auto"/>
            <w:right w:val="none" w:sz="0" w:space="0" w:color="auto"/>
          </w:divBdr>
          <w:divsChild>
            <w:div w:id="1761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elce@cf.ac.u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6396</Words>
  <Characters>36459</Characters>
  <Application>Microsoft Word 12.0.0</Application>
  <DocSecurity>0</DocSecurity>
  <Lines>303</Lines>
  <Paragraphs>72</Paragraphs>
  <ScaleCrop>false</ScaleCrop>
  <Company>WCLD</Company>
  <LinksUpToDate>false</LinksUpToDate>
  <CharactersWithSpaces>44774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Felce</dc:creator>
  <cp:keywords/>
  <cp:lastModifiedBy>David Felce</cp:lastModifiedBy>
  <cp:revision>2</cp:revision>
  <dcterms:created xsi:type="dcterms:W3CDTF">2015-01-08T14:57:00Z</dcterms:created>
  <dcterms:modified xsi:type="dcterms:W3CDTF">2015-01-08T14:57:00Z</dcterms:modified>
</cp:coreProperties>
</file>