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A" w:rsidRDefault="00481DDA" w:rsidP="00481DD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7118">
        <w:rPr>
          <w:rFonts w:ascii="Times New Roman" w:hAnsi="Times New Roman" w:cs="Times New Roman"/>
          <w:sz w:val="20"/>
          <w:szCs w:val="20"/>
        </w:rPr>
        <w:t>Table 1: Table of standards</w:t>
      </w:r>
      <w:r>
        <w:rPr>
          <w:rFonts w:ascii="Times New Roman" w:hAnsi="Times New Roman" w:cs="Times New Roman"/>
          <w:sz w:val="20"/>
          <w:szCs w:val="20"/>
        </w:rPr>
        <w:t xml:space="preserve"> and summary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3794"/>
        <w:gridCol w:w="3827"/>
        <w:gridCol w:w="1196"/>
      </w:tblGrid>
      <w:tr w:rsidR="00481DDA" w:rsidRPr="00B07118" w:rsidTr="00F11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National Osteoporosis Society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standards </w:t>
            </w: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Hospital Birmingham</w:t>
            </w: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 xml:space="preserve"> standards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A" w:rsidRPr="00FA6AAF" w:rsidRDefault="00481DDA" w:rsidP="00F116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AAF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</w:p>
        </w:tc>
      </w:tr>
      <w:tr w:rsidR="00481DDA" w:rsidRPr="00B07118" w:rsidTr="00F11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Identification: All patients ≥50 with a new fragility fracture or a newly reported vertebral fracture will be systematically and proactively identified.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iCs/>
                <w:sz w:val="20"/>
                <w:szCs w:val="20"/>
              </w:rPr>
              <w:t>All patients ≥50 attending UHB (inpatient or fracture clinic) with a fracture (excluding vertebral) will be identified by FLS.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A" w:rsidRPr="00FA6AAF" w:rsidRDefault="00481DDA" w:rsidP="00F1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AF">
              <w:rPr>
                <w:rFonts w:ascii="Times New Roman" w:hAnsi="Times New Roman" w:cs="Times New Roman"/>
                <w:sz w:val="20"/>
                <w:szCs w:val="20"/>
              </w:rPr>
              <w:t>1773 reviewed in 1</w:t>
            </w:r>
            <w:r w:rsidRPr="00FA6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A6AAF">
              <w:rPr>
                <w:rFonts w:ascii="Times New Roman" w:hAnsi="Times New Roman" w:cs="Times New Roman"/>
                <w:sz w:val="20"/>
                <w:szCs w:val="20"/>
              </w:rPr>
              <w:t xml:space="preserve"> year. </w:t>
            </w:r>
          </w:p>
        </w:tc>
      </w:tr>
      <w:tr w:rsidR="00481DDA" w:rsidRPr="00B07118" w:rsidTr="00F11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Investigation: Patients will have a bone health assessment and their need for a comprehensive falls risk assessment will be evaluated within 3 months of the incident fracture.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All patients are assessed within 6 weeks of fracture. All patients deemed suitable for further assessment to have fracture and falls risk determined (FRAX</w:t>
            </w:r>
            <w:r w:rsidRPr="00B071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; FRAT outpatients only). DXA offered as appropriate.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A" w:rsidRPr="00FA6AAF" w:rsidRDefault="00481DDA" w:rsidP="00F1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AF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481DDA" w:rsidRPr="00B07118" w:rsidTr="00F11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Information: All patients identified will be offered written information about bone health, lifestyle, nutrition and bone-protection treatments.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Information on secondary prevention, actions taken and outstanding actions given to patient.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A" w:rsidRPr="00FA6AAF" w:rsidRDefault="00481DDA" w:rsidP="00F1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AF">
              <w:rPr>
                <w:rFonts w:ascii="Times New Roman" w:hAnsi="Times New Roman" w:cs="Times New Roman"/>
                <w:sz w:val="20"/>
                <w:szCs w:val="20"/>
              </w:rPr>
              <w:t>100% of outpatients</w:t>
            </w:r>
          </w:p>
          <w:p w:rsidR="00481DDA" w:rsidRPr="00FA6AAF" w:rsidRDefault="00481DDA" w:rsidP="00F1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AF">
              <w:rPr>
                <w:rFonts w:ascii="Times New Roman" w:hAnsi="Times New Roman" w:cs="Times New Roman"/>
                <w:sz w:val="20"/>
                <w:szCs w:val="20"/>
              </w:rPr>
              <w:t>99% of inpatients</w:t>
            </w:r>
          </w:p>
        </w:tc>
      </w:tr>
      <w:tr w:rsidR="00481DDA" w:rsidRPr="00B07118" w:rsidTr="00F11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Intervention: Patients at increased risk of further fracture will be offered appropriate bone-protection treatments.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A" w:rsidRPr="00D65F2C" w:rsidRDefault="00481DDA" w:rsidP="00F116D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5F2C">
              <w:rPr>
                <w:rFonts w:ascii="Times New Roman" w:hAnsi="Times New Roman" w:cs="Times New Roman"/>
                <w:sz w:val="20"/>
                <w:szCs w:val="20"/>
              </w:rPr>
              <w:t>Appropriate treatment recommended (NICE TA161) [NICE].</w:t>
            </w:r>
          </w:p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A" w:rsidRPr="00FA6AAF" w:rsidRDefault="00481DDA" w:rsidP="00F1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AF">
              <w:rPr>
                <w:rFonts w:ascii="Times New Roman" w:hAnsi="Times New Roman" w:cs="Times New Roman"/>
                <w:sz w:val="20"/>
                <w:szCs w:val="20"/>
              </w:rPr>
              <w:t>94% of outpatients</w:t>
            </w:r>
          </w:p>
          <w:p w:rsidR="00481DDA" w:rsidRPr="00FA6AAF" w:rsidRDefault="00481DDA" w:rsidP="00F1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AF">
              <w:rPr>
                <w:rFonts w:ascii="Times New Roman" w:hAnsi="Times New Roman" w:cs="Times New Roman"/>
                <w:sz w:val="20"/>
                <w:szCs w:val="20"/>
              </w:rPr>
              <w:t>81% of inpatients</w:t>
            </w:r>
          </w:p>
        </w:tc>
      </w:tr>
      <w:tr w:rsidR="00481DDA" w:rsidRPr="00B07118" w:rsidTr="00F11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Intervention: Patients at increased risk of further falls will be referred for appropriate assessment or interventions to reduce future falls.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Falls risk assessed and information on prevention given and referrals made as appropriate.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A" w:rsidRPr="00FA6AAF" w:rsidRDefault="00481DDA" w:rsidP="00F1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A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81DDA" w:rsidRPr="00B07118" w:rsidTr="00F11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Integration: Management plans will be patient-centred and integrated between primary and secondary care.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Information on actions taken and outstanding actions required given to GP (and patient).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A" w:rsidRPr="00FA6AAF" w:rsidRDefault="00481DDA" w:rsidP="00F1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AA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81DDA" w:rsidRPr="00B07118" w:rsidTr="00F11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Integration:</w:t>
            </w:r>
            <w:r w:rsidRPr="00B07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Patients who are recommended drug therapy to reduce risk of fracture will be reviewed within 4 months of initiation to ensure appropriate treatment has been started, and every 12 months to monitor adherence with the treatment plan.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 xml:space="preserve">Telephone follow up to be done at 4 (originally 3 &amp; 6 months) and 12 months to ensure treatments prescribed and taken and to exchange information.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To call ≥3 times, if no answer after 3</w:t>
            </w:r>
            <w:r w:rsidRPr="00B071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call to cease</w:t>
            </w: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A" w:rsidRPr="00FA6AAF" w:rsidRDefault="00481DDA" w:rsidP="00F1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-45% successfully contacted</w:t>
            </w:r>
            <w:r w:rsidRPr="00FA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(at 3 months) </w:t>
            </w:r>
          </w:p>
        </w:tc>
      </w:tr>
      <w:tr w:rsidR="00481DDA" w:rsidRPr="00B07118" w:rsidTr="00F11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Quality:</w:t>
            </w:r>
            <w:r w:rsidRPr="00B07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Core clinical data from patients identified by the FLS will be recorded on a database. Regular audit and patient experience measures will be performed and the FLS will participate in any national audits undertaken.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sz w:val="20"/>
                <w:szCs w:val="20"/>
              </w:rPr>
              <w:t>All identified patients will be recorded on database and local and national audits undertaken as required. Internal audit cycles initiated to review and develop service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A" w:rsidRPr="00FA6AAF" w:rsidRDefault="00481DDA" w:rsidP="00F1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in database.</w:t>
            </w:r>
          </w:p>
          <w:p w:rsidR="00481DDA" w:rsidRPr="00FA6AAF" w:rsidRDefault="00481DDA" w:rsidP="00F1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A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</w:t>
            </w:r>
            <w:r w:rsidRPr="00FA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patient surveys performed</w:t>
            </w:r>
          </w:p>
        </w:tc>
      </w:tr>
      <w:tr w:rsidR="00481DDA" w:rsidRPr="00B07118" w:rsidTr="00F11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Quality:</w:t>
            </w:r>
            <w:r w:rsidRPr="00B07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FLS team will have appropriate competencies in secondary fracture prevention and will maintain </w:t>
            </w:r>
            <w:r w:rsidRPr="00B07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relevant Continued Professional Development (CPD).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All staff to attend relevant courses and competencies and training reviewed as part of appraisal process. Time and support </w:t>
            </w:r>
            <w:r w:rsidRPr="00B07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provided to attend requisite training.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A" w:rsidRPr="00FA6AAF" w:rsidRDefault="00481DDA" w:rsidP="00F1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100% FLS staff trained</w:t>
            </w:r>
          </w:p>
        </w:tc>
      </w:tr>
      <w:tr w:rsidR="00481DDA" w:rsidRPr="00B07118" w:rsidTr="00F116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Quality: </w:t>
            </w:r>
            <w:r w:rsidRPr="00B07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FLS should engage in a regular peer-review process of quality assurance.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A" w:rsidRDefault="00481DDA" w:rsidP="00F116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Clinical peer review will be engaged with and relevant data published to improve FLS evidence base and facilitate development.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A" w:rsidRPr="00FA6AAF" w:rsidRDefault="00481DDA" w:rsidP="00F11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Peer review recently occurred</w:t>
            </w:r>
          </w:p>
        </w:tc>
      </w:tr>
    </w:tbl>
    <w:p w:rsidR="00E7189E" w:rsidRPr="00481DDA" w:rsidRDefault="00E7189E">
      <w:pPr>
        <w:rPr>
          <w:rFonts w:ascii="Times New Roman" w:eastAsia="Calibri" w:hAnsi="Times New Roman" w:cs="Times New Roman"/>
          <w:sz w:val="20"/>
          <w:szCs w:val="20"/>
        </w:rPr>
      </w:pPr>
    </w:p>
    <w:sectPr w:rsidR="00E7189E" w:rsidRPr="00481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DA"/>
    <w:rsid w:val="00481DDA"/>
    <w:rsid w:val="00D02FF6"/>
    <w:rsid w:val="00E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D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DD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D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DD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Shipman</dc:creator>
  <cp:lastModifiedBy>Sarah Magson</cp:lastModifiedBy>
  <cp:revision>2</cp:revision>
  <dcterms:created xsi:type="dcterms:W3CDTF">2016-05-10T10:31:00Z</dcterms:created>
  <dcterms:modified xsi:type="dcterms:W3CDTF">2016-05-10T10:31:00Z</dcterms:modified>
</cp:coreProperties>
</file>