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8D229D" w14:textId="72158B23" w:rsidR="00C97B37" w:rsidRPr="00C06F1B" w:rsidRDefault="00C97B37" w:rsidP="00DD7417">
      <w:pPr>
        <w:autoSpaceDE w:val="0"/>
        <w:autoSpaceDN w:val="0"/>
        <w:adjustRightInd w:val="0"/>
        <w:spacing w:after="0" w:line="360" w:lineRule="auto"/>
        <w:ind w:firstLine="567"/>
        <w:jc w:val="right"/>
        <w:rPr>
          <w:rFonts w:ascii="Times New Roman" w:hAnsi="Times New Roman"/>
        </w:rPr>
      </w:pPr>
      <w:bookmarkStart w:id="0" w:name="_GoBack"/>
      <w:bookmarkEnd w:id="0"/>
      <w:r w:rsidRPr="00C06F1B">
        <w:rPr>
          <w:rFonts w:ascii="Times New Roman" w:hAnsi="Times New Roman"/>
        </w:rPr>
        <w:t>Version:</w:t>
      </w:r>
      <w:r w:rsidR="007D6518" w:rsidRPr="00C06F1B">
        <w:rPr>
          <w:rFonts w:ascii="Times New Roman" w:hAnsi="Times New Roman"/>
        </w:rPr>
        <w:t xml:space="preserve"> </w:t>
      </w:r>
      <w:r w:rsidR="00282021" w:rsidRPr="00C06F1B">
        <w:rPr>
          <w:rFonts w:ascii="Times New Roman" w:hAnsi="Times New Roman"/>
        </w:rPr>
        <w:t>1</w:t>
      </w:r>
      <w:r w:rsidR="00D855EA" w:rsidRPr="00C06F1B">
        <w:rPr>
          <w:rFonts w:ascii="Times New Roman" w:hAnsi="Times New Roman"/>
        </w:rPr>
        <w:t xml:space="preserve"> </w:t>
      </w:r>
      <w:r w:rsidR="00282021" w:rsidRPr="00C06F1B">
        <w:rPr>
          <w:rFonts w:ascii="Times New Roman" w:hAnsi="Times New Roman"/>
        </w:rPr>
        <w:t>November</w:t>
      </w:r>
      <w:r w:rsidR="00D855EA" w:rsidRPr="00C06F1B">
        <w:rPr>
          <w:rFonts w:ascii="Times New Roman" w:hAnsi="Times New Roman"/>
        </w:rPr>
        <w:t xml:space="preserve"> </w:t>
      </w:r>
      <w:r w:rsidR="006C1768" w:rsidRPr="00C06F1B">
        <w:rPr>
          <w:rFonts w:ascii="Times New Roman" w:hAnsi="Times New Roman"/>
        </w:rPr>
        <w:t>201</w:t>
      </w:r>
      <w:r w:rsidR="009327D7" w:rsidRPr="00C06F1B">
        <w:rPr>
          <w:rFonts w:ascii="Times New Roman" w:hAnsi="Times New Roman"/>
        </w:rPr>
        <w:t>4</w:t>
      </w:r>
      <w:r w:rsidR="007349AB" w:rsidRPr="00C06F1B">
        <w:rPr>
          <w:rFonts w:ascii="Times New Roman" w:hAnsi="Times New Roman"/>
        </w:rPr>
        <w:t xml:space="preserve"> </w:t>
      </w:r>
    </w:p>
    <w:p w14:paraId="7175E14F" w14:textId="73634418" w:rsidR="00C97B37" w:rsidRPr="00E7515A" w:rsidRDefault="007D6518" w:rsidP="00C97B37">
      <w:pPr>
        <w:autoSpaceDE w:val="0"/>
        <w:autoSpaceDN w:val="0"/>
        <w:adjustRightInd w:val="0"/>
        <w:spacing w:after="0" w:line="360" w:lineRule="auto"/>
        <w:ind w:firstLine="567"/>
        <w:jc w:val="center"/>
        <w:rPr>
          <w:rFonts w:ascii="Times New Roman" w:hAnsi="Times New Roman"/>
          <w:b/>
          <w:bCs/>
        </w:rPr>
      </w:pPr>
      <w:r w:rsidRPr="00E7515A">
        <w:rPr>
          <w:rFonts w:ascii="Times New Roman" w:hAnsi="Times New Roman"/>
          <w:b/>
          <w:bCs/>
        </w:rPr>
        <w:t xml:space="preserve">Balancing </w:t>
      </w:r>
      <w:r w:rsidR="00D855EA" w:rsidRPr="00E7515A">
        <w:rPr>
          <w:rFonts w:ascii="Times New Roman" w:hAnsi="Times New Roman"/>
          <w:b/>
          <w:bCs/>
        </w:rPr>
        <w:t>the R</w:t>
      </w:r>
      <w:r w:rsidR="00C8605B" w:rsidRPr="00E7515A">
        <w:rPr>
          <w:rFonts w:ascii="Times New Roman" w:hAnsi="Times New Roman"/>
          <w:b/>
          <w:bCs/>
        </w:rPr>
        <w:t>egulation</w:t>
      </w:r>
      <w:r w:rsidRPr="00E7515A">
        <w:rPr>
          <w:rFonts w:ascii="Times New Roman" w:hAnsi="Times New Roman"/>
          <w:b/>
          <w:bCs/>
        </w:rPr>
        <w:t xml:space="preserve"> and Taxation</w:t>
      </w:r>
      <w:r w:rsidR="00D855EA" w:rsidRPr="00E7515A">
        <w:rPr>
          <w:rFonts w:ascii="Times New Roman" w:hAnsi="Times New Roman"/>
          <w:b/>
          <w:bCs/>
        </w:rPr>
        <w:t xml:space="preserve"> of Banking</w:t>
      </w:r>
    </w:p>
    <w:p w14:paraId="1E75D8BC" w14:textId="6BF89553" w:rsidR="00C97B37" w:rsidRPr="00E7515A" w:rsidRDefault="00C97B37" w:rsidP="0001073E">
      <w:pPr>
        <w:autoSpaceDE w:val="0"/>
        <w:autoSpaceDN w:val="0"/>
        <w:adjustRightInd w:val="0"/>
        <w:spacing w:after="0" w:line="360" w:lineRule="auto"/>
        <w:ind w:firstLine="567"/>
        <w:jc w:val="center"/>
        <w:rPr>
          <w:rFonts w:ascii="Times New Roman" w:hAnsi="Times New Roman"/>
          <w:b/>
          <w:bCs/>
          <w:vertAlign w:val="superscript"/>
        </w:rPr>
      </w:pPr>
      <w:proofErr w:type="spellStart"/>
      <w:r w:rsidRPr="00E7515A">
        <w:rPr>
          <w:rFonts w:ascii="Times New Roman" w:hAnsi="Times New Roman"/>
          <w:b/>
          <w:bCs/>
        </w:rPr>
        <w:t>Sajid</w:t>
      </w:r>
      <w:proofErr w:type="spellEnd"/>
      <w:r w:rsidRPr="00E7515A">
        <w:rPr>
          <w:rFonts w:ascii="Times New Roman" w:hAnsi="Times New Roman"/>
          <w:b/>
          <w:bCs/>
        </w:rPr>
        <w:t xml:space="preserve"> Mukhtar Chaudhry</w:t>
      </w:r>
      <w:r w:rsidR="00B73BDB" w:rsidRPr="00E7515A">
        <w:rPr>
          <w:rFonts w:ascii="Times New Roman" w:hAnsi="Times New Roman"/>
          <w:b/>
          <w:bCs/>
          <w:vertAlign w:val="superscript"/>
        </w:rPr>
        <w:t>a</w:t>
      </w:r>
      <w:proofErr w:type="gramStart"/>
      <w:r w:rsidR="00BF7C04" w:rsidRPr="00E7515A">
        <w:rPr>
          <w:rFonts w:ascii="Times New Roman" w:hAnsi="Times New Roman"/>
          <w:b/>
          <w:bCs/>
          <w:vertAlign w:val="superscript"/>
        </w:rPr>
        <w:t>,1</w:t>
      </w:r>
      <w:proofErr w:type="gramEnd"/>
      <w:r w:rsidR="00D92C84" w:rsidRPr="00E7515A">
        <w:rPr>
          <w:rFonts w:ascii="Times New Roman" w:hAnsi="Times New Roman"/>
          <w:b/>
          <w:bCs/>
        </w:rPr>
        <w:t xml:space="preserve">, </w:t>
      </w:r>
      <w:r w:rsidRPr="00E7515A">
        <w:rPr>
          <w:rFonts w:ascii="Times New Roman" w:hAnsi="Times New Roman"/>
          <w:b/>
          <w:bCs/>
        </w:rPr>
        <w:t xml:space="preserve">Andrew </w:t>
      </w:r>
      <w:proofErr w:type="spellStart"/>
      <w:r w:rsidRPr="00E7515A">
        <w:rPr>
          <w:rFonts w:ascii="Times New Roman" w:hAnsi="Times New Roman"/>
          <w:b/>
          <w:bCs/>
        </w:rPr>
        <w:t>Mullineux</w:t>
      </w:r>
      <w:r w:rsidR="00B73BDB" w:rsidRPr="00E7515A">
        <w:rPr>
          <w:rFonts w:ascii="Times New Roman" w:hAnsi="Times New Roman"/>
          <w:b/>
          <w:bCs/>
          <w:vertAlign w:val="superscript"/>
        </w:rPr>
        <w:t>b</w:t>
      </w:r>
      <w:proofErr w:type="spellEnd"/>
      <w:r w:rsidR="00D92C84" w:rsidRPr="00E7515A">
        <w:rPr>
          <w:rFonts w:ascii="Times New Roman" w:hAnsi="Times New Roman"/>
          <w:b/>
          <w:bCs/>
          <w:vertAlign w:val="superscript"/>
        </w:rPr>
        <w:t xml:space="preserve"> </w:t>
      </w:r>
      <w:r w:rsidR="00D92C84" w:rsidRPr="00E7515A">
        <w:rPr>
          <w:rFonts w:ascii="Times New Roman" w:hAnsi="Times New Roman"/>
          <w:b/>
          <w:bCs/>
        </w:rPr>
        <w:t xml:space="preserve">and Natasha </w:t>
      </w:r>
      <w:proofErr w:type="spellStart"/>
      <w:r w:rsidR="00D92C84" w:rsidRPr="00E7515A">
        <w:rPr>
          <w:rFonts w:ascii="Times New Roman" w:hAnsi="Times New Roman"/>
          <w:b/>
          <w:bCs/>
        </w:rPr>
        <w:t>Agarwal</w:t>
      </w:r>
      <w:r w:rsidR="00D92C84" w:rsidRPr="00E7515A">
        <w:rPr>
          <w:rFonts w:ascii="Times New Roman" w:hAnsi="Times New Roman"/>
          <w:b/>
          <w:bCs/>
          <w:vertAlign w:val="superscript"/>
        </w:rPr>
        <w:t>c</w:t>
      </w:r>
      <w:proofErr w:type="spellEnd"/>
    </w:p>
    <w:p w14:paraId="2A0879DE" w14:textId="77777777" w:rsidR="00C97B37" w:rsidRPr="00E7515A" w:rsidRDefault="00C97B37" w:rsidP="004D28AC">
      <w:pPr>
        <w:pStyle w:val="Default"/>
        <w:spacing w:line="228" w:lineRule="atLeast"/>
        <w:rPr>
          <w:rFonts w:ascii="Times New Roman" w:hAnsi="Times New Roman" w:cs="Times New Roman"/>
          <w:color w:val="auto"/>
          <w:sz w:val="22"/>
          <w:szCs w:val="22"/>
        </w:rPr>
      </w:pPr>
    </w:p>
    <w:p w14:paraId="2237FDC3" w14:textId="77777777" w:rsidR="00C97B37" w:rsidRPr="0016557F" w:rsidRDefault="00B73BDB" w:rsidP="00C97B37">
      <w:pPr>
        <w:spacing w:line="240" w:lineRule="auto"/>
        <w:jc w:val="center"/>
        <w:rPr>
          <w:rFonts w:ascii="Times New Roman" w:hAnsi="Times New Roman"/>
        </w:rPr>
      </w:pPr>
      <w:proofErr w:type="gramStart"/>
      <w:r w:rsidRPr="00C06F1B">
        <w:rPr>
          <w:rFonts w:ascii="Times New Roman" w:hAnsi="Times New Roman"/>
          <w:vertAlign w:val="superscript"/>
        </w:rPr>
        <w:t>a</w:t>
      </w:r>
      <w:proofErr w:type="gramEnd"/>
      <w:r w:rsidR="00C97B37" w:rsidRPr="00C06F1B">
        <w:rPr>
          <w:rFonts w:ascii="Times New Roman" w:hAnsi="Times New Roman"/>
        </w:rPr>
        <w:t xml:space="preserve"> Birmingham Business School, The University of Birmingham, Birmingham B15 2TT, United Kingdom</w:t>
      </w:r>
    </w:p>
    <w:p w14:paraId="590ED996" w14:textId="77777777" w:rsidR="002468DD" w:rsidRPr="00C06F1B" w:rsidRDefault="00B73BDB" w:rsidP="002468DD">
      <w:pPr>
        <w:spacing w:line="240" w:lineRule="auto"/>
        <w:jc w:val="center"/>
        <w:rPr>
          <w:rFonts w:ascii="Times New Roman" w:hAnsi="Times New Roman"/>
        </w:rPr>
      </w:pPr>
      <w:proofErr w:type="gramStart"/>
      <w:r w:rsidRPr="00C06F1B">
        <w:rPr>
          <w:rFonts w:ascii="Times New Roman" w:hAnsi="Times New Roman"/>
          <w:vertAlign w:val="superscript"/>
        </w:rPr>
        <w:t>b</w:t>
      </w:r>
      <w:proofErr w:type="gramEnd"/>
      <w:r w:rsidR="002468DD" w:rsidRPr="00C06F1B">
        <w:rPr>
          <w:rFonts w:ascii="Times New Roman" w:hAnsi="Times New Roman"/>
        </w:rPr>
        <w:t xml:space="preserve"> Bournemouth Business School, Bournemouth University, Bournemouth </w:t>
      </w:r>
      <w:r w:rsidR="0036245E" w:rsidRPr="00C06F1B">
        <w:rPr>
          <w:rFonts w:ascii="Times New Roman" w:hAnsi="Times New Roman"/>
        </w:rPr>
        <w:t>BH8 8EB</w:t>
      </w:r>
      <w:r w:rsidR="002468DD" w:rsidRPr="00C06F1B">
        <w:rPr>
          <w:rFonts w:ascii="Times New Roman" w:hAnsi="Times New Roman"/>
        </w:rPr>
        <w:t>, United Kingdom</w:t>
      </w:r>
    </w:p>
    <w:p w14:paraId="29BE2EBA" w14:textId="77777777" w:rsidR="00D92C84" w:rsidRPr="00C06F1B" w:rsidRDefault="00D92C84" w:rsidP="00D92C84">
      <w:pPr>
        <w:spacing w:line="240" w:lineRule="auto"/>
        <w:jc w:val="center"/>
        <w:rPr>
          <w:rFonts w:ascii="Times New Roman" w:hAnsi="Times New Roman"/>
        </w:rPr>
      </w:pPr>
      <w:proofErr w:type="gramStart"/>
      <w:r w:rsidRPr="00C06F1B">
        <w:rPr>
          <w:rFonts w:ascii="Times New Roman" w:hAnsi="Times New Roman"/>
          <w:vertAlign w:val="superscript"/>
        </w:rPr>
        <w:t>c</w:t>
      </w:r>
      <w:proofErr w:type="gramEnd"/>
      <w:r w:rsidR="004058EF" w:rsidRPr="00C06F1B">
        <w:rPr>
          <w:rFonts w:ascii="Times New Roman" w:hAnsi="Times New Roman"/>
          <w:vertAlign w:val="superscript"/>
        </w:rPr>
        <w:t xml:space="preserve"> </w:t>
      </w:r>
      <w:r w:rsidR="004058EF" w:rsidRPr="00C06F1B">
        <w:rPr>
          <w:rFonts w:ascii="Times New Roman" w:hAnsi="Times New Roman"/>
        </w:rPr>
        <w:t xml:space="preserve">Centre for Advanced </w:t>
      </w:r>
      <w:r w:rsidR="0084465A" w:rsidRPr="00C06F1B">
        <w:rPr>
          <w:rFonts w:ascii="Times New Roman" w:hAnsi="Times New Roman"/>
        </w:rPr>
        <w:t xml:space="preserve">Financial </w:t>
      </w:r>
      <w:r w:rsidR="004058EF" w:rsidRPr="00C06F1B">
        <w:rPr>
          <w:rFonts w:ascii="Times New Roman" w:hAnsi="Times New Roman"/>
        </w:rPr>
        <w:t>Research and Learning, Reserve Bank of India, Mumbai</w:t>
      </w:r>
      <w:r w:rsidRPr="00C06F1B">
        <w:rPr>
          <w:rFonts w:ascii="Times New Roman" w:hAnsi="Times New Roman"/>
        </w:rPr>
        <w:t>, India</w:t>
      </w:r>
    </w:p>
    <w:p w14:paraId="00136A3E" w14:textId="77777777" w:rsidR="00C97B37" w:rsidRPr="00E7515A" w:rsidRDefault="00C97B37" w:rsidP="00C97B37">
      <w:pPr>
        <w:pStyle w:val="Default"/>
        <w:spacing w:line="228" w:lineRule="atLeast"/>
        <w:jc w:val="center"/>
        <w:rPr>
          <w:rFonts w:ascii="Times New Roman" w:hAnsi="Times New Roman" w:cs="Times New Roman"/>
          <w:color w:val="auto"/>
          <w:sz w:val="22"/>
          <w:szCs w:val="22"/>
        </w:rPr>
      </w:pPr>
    </w:p>
    <w:p w14:paraId="31B400DD" w14:textId="048D0DE9" w:rsidR="00FA4389" w:rsidRPr="00E7515A" w:rsidRDefault="00FA4389" w:rsidP="002B64B3">
      <w:pPr>
        <w:autoSpaceDE w:val="0"/>
        <w:autoSpaceDN w:val="0"/>
        <w:adjustRightInd w:val="0"/>
        <w:spacing w:after="0" w:line="360" w:lineRule="auto"/>
        <w:jc w:val="center"/>
        <w:rPr>
          <w:rFonts w:ascii="Times New Roman" w:hAnsi="Times New Roman"/>
          <w:b/>
          <w:bCs/>
        </w:rPr>
      </w:pPr>
      <w:r w:rsidRPr="00E7515A">
        <w:rPr>
          <w:rFonts w:ascii="Times New Roman" w:hAnsi="Times New Roman"/>
          <w:b/>
          <w:bCs/>
        </w:rPr>
        <w:t>Abstract</w:t>
      </w:r>
    </w:p>
    <w:p w14:paraId="6191E050" w14:textId="16D114EA" w:rsidR="00DD7417" w:rsidRPr="00C06F1B" w:rsidRDefault="00DD7417" w:rsidP="00DC3017">
      <w:pPr>
        <w:widowControl w:val="0"/>
        <w:autoSpaceDE w:val="0"/>
        <w:autoSpaceDN w:val="0"/>
        <w:adjustRightInd w:val="0"/>
        <w:spacing w:after="0" w:line="360" w:lineRule="auto"/>
        <w:jc w:val="both"/>
        <w:rPr>
          <w:rFonts w:ascii="Times New Roman" w:hAnsi="Times New Roman"/>
        </w:rPr>
      </w:pPr>
      <w:r w:rsidRPr="00C06F1B">
        <w:rPr>
          <w:rFonts w:ascii="Times New Roman" w:hAnsi="Times New Roman"/>
        </w:rPr>
        <w:t>This study gives an overview of bank taxation as an alternative to prudential regulations or non-revenue taxation. We review existing bank taxation with a view to eliminat</w:t>
      </w:r>
      <w:r w:rsidR="0066233E" w:rsidRPr="0016557F">
        <w:rPr>
          <w:rFonts w:ascii="Times New Roman" w:hAnsi="Times New Roman"/>
        </w:rPr>
        <w:t>ing</w:t>
      </w:r>
      <w:r w:rsidRPr="00C06F1B">
        <w:rPr>
          <w:rFonts w:ascii="Times New Roman" w:hAnsi="Times New Roman"/>
        </w:rPr>
        <w:t xml:space="preserve"> distortions in the tax system, which have incentivized banks to engage in risky activities in the past. </w:t>
      </w:r>
      <w:r w:rsidR="00182DFD" w:rsidRPr="00C06F1B">
        <w:rPr>
          <w:rFonts w:ascii="Times New Roman" w:hAnsi="Times New Roman"/>
        </w:rPr>
        <w:t xml:space="preserve">We furthermore </w:t>
      </w:r>
      <w:proofErr w:type="spellStart"/>
      <w:r w:rsidR="00182DFD" w:rsidRPr="00C06F1B">
        <w:rPr>
          <w:rFonts w:ascii="Times New Roman" w:hAnsi="Times New Roman"/>
        </w:rPr>
        <w:t>analyze</w:t>
      </w:r>
      <w:proofErr w:type="spellEnd"/>
      <w:r w:rsidR="00182DFD" w:rsidRPr="00C06F1B">
        <w:rPr>
          <w:rFonts w:ascii="Times New Roman" w:hAnsi="Times New Roman"/>
        </w:rPr>
        <w:t xml:space="preserve"> taxation of financial instruments trading and taxation of banking products and services and their ability to finance resolution mechanisms for banks and to ensure their stability. </w:t>
      </w:r>
      <w:r w:rsidRPr="00C06F1B">
        <w:rPr>
          <w:rFonts w:ascii="Times New Roman" w:hAnsi="Times New Roman"/>
        </w:rPr>
        <w:t xml:space="preserve">In </w:t>
      </w:r>
      <w:r w:rsidR="00182DFD" w:rsidRPr="00C06F1B">
        <w:rPr>
          <w:rFonts w:ascii="Times New Roman" w:hAnsi="Times New Roman"/>
        </w:rPr>
        <w:t xml:space="preserve">this respect, </w:t>
      </w:r>
      <w:r w:rsidRPr="00C06F1B">
        <w:rPr>
          <w:rFonts w:ascii="Times New Roman" w:hAnsi="Times New Roman"/>
        </w:rPr>
        <w:t>we put forward the following arguments</w:t>
      </w:r>
      <w:r w:rsidR="0066233E" w:rsidRPr="00C06F1B">
        <w:rPr>
          <w:rFonts w:ascii="Times New Roman" w:hAnsi="Times New Roman"/>
        </w:rPr>
        <w:t>:</w:t>
      </w:r>
      <w:r w:rsidRPr="00C06F1B">
        <w:rPr>
          <w:rFonts w:ascii="Times New Roman" w:hAnsi="Times New Roman"/>
        </w:rPr>
        <w:t xml:space="preserve"> (1) </w:t>
      </w:r>
      <w:r w:rsidR="0066233E" w:rsidRPr="00C06F1B">
        <w:rPr>
          <w:rFonts w:ascii="Times New Roman" w:hAnsi="Times New Roman"/>
        </w:rPr>
        <w:t xml:space="preserve">that </w:t>
      </w:r>
      <w:r w:rsidRPr="00C06F1B">
        <w:rPr>
          <w:rFonts w:ascii="Times New Roman" w:hAnsi="Times New Roman"/>
        </w:rPr>
        <w:t>a financial transaction tax is economically inefficient and potentially costly for the economy and may not protect taxpayers</w:t>
      </w:r>
      <w:r w:rsidR="0066233E" w:rsidRPr="00C06F1B">
        <w:rPr>
          <w:rFonts w:ascii="Times New Roman" w:hAnsi="Times New Roman"/>
        </w:rPr>
        <w:t>;</w:t>
      </w:r>
      <w:r w:rsidRPr="00C06F1B">
        <w:rPr>
          <w:rFonts w:ascii="Times New Roman" w:hAnsi="Times New Roman"/>
        </w:rPr>
        <w:t xml:space="preserve"> (2) </w:t>
      </w:r>
      <w:r w:rsidR="0066233E" w:rsidRPr="00C06F1B">
        <w:rPr>
          <w:rFonts w:ascii="Times New Roman" w:hAnsi="Times New Roman"/>
        </w:rPr>
        <w:t xml:space="preserve">that </w:t>
      </w:r>
      <w:r w:rsidRPr="00C06F1B">
        <w:rPr>
          <w:rFonts w:ascii="Times New Roman" w:hAnsi="Times New Roman"/>
        </w:rPr>
        <w:t>a bank levy is perhaps good for financial stability to finance resolution mechanisms</w:t>
      </w:r>
      <w:r w:rsidR="00BF7C04" w:rsidRPr="00C06F1B">
        <w:rPr>
          <w:rFonts w:ascii="Times New Roman" w:hAnsi="Times New Roman"/>
        </w:rPr>
        <w:t>,</w:t>
      </w:r>
      <w:r w:rsidRPr="00C06F1B">
        <w:rPr>
          <w:rFonts w:ascii="Times New Roman" w:hAnsi="Times New Roman"/>
        </w:rPr>
        <w:t xml:space="preserve"> but </w:t>
      </w:r>
      <w:r w:rsidR="0066233E" w:rsidRPr="00C06F1B">
        <w:rPr>
          <w:rFonts w:ascii="Times New Roman" w:hAnsi="Times New Roman"/>
        </w:rPr>
        <w:t xml:space="preserve">that </w:t>
      </w:r>
      <w:r w:rsidRPr="00C06F1B">
        <w:rPr>
          <w:rFonts w:ascii="Times New Roman" w:hAnsi="Times New Roman"/>
        </w:rPr>
        <w:t>it poses the threat of double taxation</w:t>
      </w:r>
      <w:r w:rsidR="0066233E" w:rsidRPr="00C06F1B">
        <w:rPr>
          <w:rFonts w:ascii="Times New Roman" w:hAnsi="Times New Roman"/>
        </w:rPr>
        <w:t>,</w:t>
      </w:r>
      <w:r w:rsidRPr="00C06F1B">
        <w:rPr>
          <w:rFonts w:ascii="Times New Roman" w:hAnsi="Times New Roman"/>
        </w:rPr>
        <w:t xml:space="preserve"> together with the proposed Basel III liquidity ratios</w:t>
      </w:r>
      <w:r w:rsidR="0066233E" w:rsidRPr="00C06F1B">
        <w:rPr>
          <w:rFonts w:ascii="Times New Roman" w:hAnsi="Times New Roman"/>
        </w:rPr>
        <w:t>; and</w:t>
      </w:r>
      <w:r w:rsidRPr="00C06F1B">
        <w:rPr>
          <w:rFonts w:ascii="Times New Roman" w:hAnsi="Times New Roman"/>
        </w:rPr>
        <w:t xml:space="preserve"> (3) </w:t>
      </w:r>
      <w:r w:rsidR="0066233E" w:rsidRPr="00C06F1B">
        <w:rPr>
          <w:rFonts w:ascii="Times New Roman" w:hAnsi="Times New Roman"/>
        </w:rPr>
        <w:t xml:space="preserve">that </w:t>
      </w:r>
      <w:r w:rsidRPr="00C06F1B">
        <w:rPr>
          <w:rFonts w:ascii="Times New Roman" w:hAnsi="Times New Roman"/>
        </w:rPr>
        <w:t xml:space="preserve">we support the elimination of exemption </w:t>
      </w:r>
      <w:r w:rsidR="0066233E" w:rsidRPr="00C06F1B">
        <w:rPr>
          <w:rFonts w:ascii="Times New Roman" w:hAnsi="Times New Roman"/>
        </w:rPr>
        <w:t xml:space="preserve">from </w:t>
      </w:r>
      <w:r w:rsidRPr="00C06F1B">
        <w:rPr>
          <w:rFonts w:ascii="Times New Roman" w:hAnsi="Times New Roman"/>
        </w:rPr>
        <w:t>value added tax</w:t>
      </w:r>
      <w:r w:rsidR="00BF7C04" w:rsidRPr="00C06F1B">
        <w:rPr>
          <w:rFonts w:ascii="Times New Roman" w:hAnsi="Times New Roman"/>
        </w:rPr>
        <w:t xml:space="preserve"> (VAT)</w:t>
      </w:r>
      <w:r w:rsidRPr="00C06F1B">
        <w:rPr>
          <w:rFonts w:ascii="Times New Roman" w:hAnsi="Times New Roman"/>
        </w:rPr>
        <w:t xml:space="preserve"> </w:t>
      </w:r>
      <w:r w:rsidR="0066233E" w:rsidRPr="00C06F1B">
        <w:rPr>
          <w:rFonts w:ascii="Times New Roman" w:hAnsi="Times New Roman"/>
        </w:rPr>
        <w:t>for</w:t>
      </w:r>
      <w:r w:rsidRPr="00C06F1B">
        <w:rPr>
          <w:rFonts w:ascii="Times New Roman" w:hAnsi="Times New Roman"/>
        </w:rPr>
        <w:t xml:space="preserve"> financial services </w:t>
      </w:r>
      <w:r w:rsidR="0066233E" w:rsidRPr="00C06F1B">
        <w:rPr>
          <w:rFonts w:ascii="Times New Roman" w:hAnsi="Times New Roman"/>
        </w:rPr>
        <w:t xml:space="preserve">in order </w:t>
      </w:r>
      <w:r w:rsidRPr="00C06F1B">
        <w:rPr>
          <w:rFonts w:ascii="Times New Roman" w:hAnsi="Times New Roman"/>
        </w:rPr>
        <w:t>to provide banks</w:t>
      </w:r>
      <w:r w:rsidR="0066233E" w:rsidRPr="00C06F1B">
        <w:rPr>
          <w:rFonts w:ascii="Times New Roman" w:hAnsi="Times New Roman"/>
        </w:rPr>
        <w:t xml:space="preserve"> with a</w:t>
      </w:r>
      <w:r w:rsidRPr="00C06F1B">
        <w:rPr>
          <w:rFonts w:ascii="Times New Roman" w:hAnsi="Times New Roman"/>
        </w:rPr>
        <w:t xml:space="preserve"> level playing field, whil</w:t>
      </w:r>
      <w:r w:rsidR="00BF7C04" w:rsidRPr="00C06F1B">
        <w:rPr>
          <w:rFonts w:ascii="Times New Roman" w:hAnsi="Times New Roman"/>
        </w:rPr>
        <w:t>st retaining exemption for basic payments services</w:t>
      </w:r>
      <w:r w:rsidRPr="00C06F1B">
        <w:rPr>
          <w:rFonts w:ascii="Times New Roman" w:hAnsi="Times New Roman"/>
        </w:rPr>
        <w:t xml:space="preserve">. </w:t>
      </w:r>
      <w:r w:rsidR="0066233E" w:rsidRPr="00C06F1B">
        <w:rPr>
          <w:rFonts w:ascii="Times New Roman" w:hAnsi="Times New Roman"/>
        </w:rPr>
        <w:t>This</w:t>
      </w:r>
      <w:r w:rsidRPr="00C06F1B">
        <w:rPr>
          <w:rFonts w:ascii="Times New Roman" w:hAnsi="Times New Roman"/>
        </w:rPr>
        <w:t xml:space="preserve"> is expected to improve efficiency because it might stop the wasteful use of financial services. </w:t>
      </w:r>
    </w:p>
    <w:p w14:paraId="3457565F" w14:textId="77777777" w:rsidR="00DD7417" w:rsidRPr="00C06F1B" w:rsidRDefault="00DD7417" w:rsidP="00FA4389">
      <w:pPr>
        <w:autoSpaceDE w:val="0"/>
        <w:autoSpaceDN w:val="0"/>
        <w:adjustRightInd w:val="0"/>
        <w:spacing w:after="0" w:line="360" w:lineRule="auto"/>
        <w:jc w:val="both"/>
        <w:rPr>
          <w:rFonts w:ascii="Times New Roman" w:hAnsi="Times New Roman"/>
        </w:rPr>
      </w:pPr>
    </w:p>
    <w:p w14:paraId="15995747" w14:textId="77777777" w:rsidR="00FA4389" w:rsidRPr="00C06F1B" w:rsidRDefault="00FA4389" w:rsidP="00FA4389">
      <w:pPr>
        <w:autoSpaceDE w:val="0"/>
        <w:autoSpaceDN w:val="0"/>
        <w:adjustRightInd w:val="0"/>
        <w:spacing w:after="0" w:line="360" w:lineRule="auto"/>
        <w:jc w:val="both"/>
        <w:rPr>
          <w:rFonts w:ascii="Times New Roman" w:hAnsi="Times New Roman"/>
        </w:rPr>
      </w:pPr>
      <w:r w:rsidRPr="00C06F1B">
        <w:rPr>
          <w:rFonts w:ascii="Times New Roman" w:hAnsi="Times New Roman"/>
        </w:rPr>
        <w:t>Keywords: banks, taxation, regulation</w:t>
      </w:r>
      <w:r w:rsidR="00726659" w:rsidRPr="00C06F1B">
        <w:rPr>
          <w:rFonts w:ascii="Times New Roman" w:hAnsi="Times New Roman"/>
        </w:rPr>
        <w:t>, too big to fail banks</w:t>
      </w:r>
    </w:p>
    <w:p w14:paraId="36B5ED53" w14:textId="77777777" w:rsidR="00151597" w:rsidRPr="00C06F1B" w:rsidRDefault="00151597" w:rsidP="00FA4389">
      <w:pPr>
        <w:spacing w:after="0" w:line="360" w:lineRule="auto"/>
        <w:rPr>
          <w:rFonts w:ascii="Times New Roman" w:hAnsi="Times New Roman"/>
          <w:lang w:val="de-DE"/>
        </w:rPr>
      </w:pPr>
    </w:p>
    <w:p w14:paraId="4AE06944" w14:textId="325B61C3" w:rsidR="00FA4389" w:rsidRPr="00C06F1B" w:rsidRDefault="00FA4389" w:rsidP="002B64B3">
      <w:pPr>
        <w:spacing w:after="0" w:line="360" w:lineRule="auto"/>
        <w:rPr>
          <w:rFonts w:ascii="Times New Roman" w:hAnsi="Times New Roman"/>
          <w:lang w:val="de-DE"/>
        </w:rPr>
      </w:pPr>
      <w:r w:rsidRPr="00C06F1B">
        <w:rPr>
          <w:rFonts w:ascii="Times New Roman" w:hAnsi="Times New Roman"/>
          <w:lang w:val="de-DE"/>
        </w:rPr>
        <w:t>JEL codes: G28, G21, H20</w:t>
      </w:r>
    </w:p>
    <w:p w14:paraId="1E3331A4" w14:textId="77777777" w:rsidR="00FA4389" w:rsidRPr="00C06F1B" w:rsidRDefault="00985245" w:rsidP="002B411F">
      <w:pPr>
        <w:pStyle w:val="ListParagraph"/>
        <w:numPr>
          <w:ilvl w:val="0"/>
          <w:numId w:val="24"/>
        </w:numPr>
        <w:spacing w:after="0" w:line="240" w:lineRule="auto"/>
        <w:rPr>
          <w:rFonts w:ascii="Times New Roman" w:hAnsi="Times New Roman"/>
        </w:rPr>
      </w:pPr>
      <w:r w:rsidRPr="00E7515A">
        <w:rPr>
          <w:rFonts w:ascii="Times New Roman" w:hAnsi="Times New Roman"/>
        </w:rPr>
        <w:t>Corresponding author</w:t>
      </w:r>
      <w:r w:rsidR="00466A4F" w:rsidRPr="00E7515A">
        <w:rPr>
          <w:rFonts w:ascii="Times New Roman" w:hAnsi="Times New Roman"/>
        </w:rPr>
        <w:t>:</w:t>
      </w:r>
      <w:r w:rsidR="00FA4389" w:rsidRPr="00E7515A">
        <w:rPr>
          <w:rFonts w:ascii="Times New Roman" w:hAnsi="Times New Roman"/>
        </w:rPr>
        <w:t xml:space="preserve"> </w:t>
      </w:r>
      <w:hyperlink r:id="rId9" w:history="1">
        <w:r w:rsidR="00FA4389" w:rsidRPr="00E7515A">
          <w:rPr>
            <w:rStyle w:val="Hyperlink"/>
            <w:rFonts w:ascii="Times New Roman" w:hAnsi="Times New Roman"/>
            <w:color w:val="auto"/>
          </w:rPr>
          <w:t>s.m.chaudhry@bham.ac.uk</w:t>
        </w:r>
      </w:hyperlink>
    </w:p>
    <w:p w14:paraId="2D04358C" w14:textId="77777777" w:rsidR="00F67551" w:rsidRPr="00C06F1B" w:rsidRDefault="00F67551">
      <w:pPr>
        <w:spacing w:after="0" w:line="240" w:lineRule="auto"/>
        <w:rPr>
          <w:rFonts w:ascii="Times New Roman" w:hAnsi="Times New Roman"/>
        </w:rPr>
      </w:pPr>
    </w:p>
    <w:p w14:paraId="158714F4" w14:textId="65BD3F53" w:rsidR="003F17DD" w:rsidRPr="00E7515A" w:rsidRDefault="00F67551" w:rsidP="00E73D67">
      <w:pPr>
        <w:pStyle w:val="FootnoteText"/>
        <w:tabs>
          <w:tab w:val="left" w:pos="0"/>
        </w:tabs>
        <w:jc w:val="both"/>
        <w:rPr>
          <w:rFonts w:ascii="Times New Roman" w:hAnsi="Times New Roman"/>
          <w:sz w:val="22"/>
          <w:szCs w:val="22"/>
        </w:rPr>
      </w:pPr>
      <w:r w:rsidRPr="00C06F1B">
        <w:rPr>
          <w:rFonts w:ascii="Times New Roman" w:hAnsi="Times New Roman"/>
          <w:sz w:val="22"/>
          <w:szCs w:val="22"/>
        </w:rPr>
        <w:t xml:space="preserve">We wish to thank </w:t>
      </w:r>
      <w:r w:rsidR="00887CC1" w:rsidRPr="00C06F1B">
        <w:rPr>
          <w:rFonts w:ascii="Times New Roman" w:hAnsi="Times New Roman"/>
          <w:sz w:val="22"/>
          <w:szCs w:val="22"/>
        </w:rPr>
        <w:t xml:space="preserve">Michael Knoll </w:t>
      </w:r>
      <w:r w:rsidR="00FE1EBE" w:rsidRPr="00C06F1B">
        <w:rPr>
          <w:rFonts w:ascii="Times New Roman" w:hAnsi="Times New Roman"/>
          <w:sz w:val="22"/>
          <w:szCs w:val="22"/>
        </w:rPr>
        <w:t xml:space="preserve">as well as conference </w:t>
      </w:r>
      <w:r w:rsidRPr="00C06F1B">
        <w:rPr>
          <w:rFonts w:ascii="Times New Roman" w:hAnsi="Times New Roman"/>
          <w:sz w:val="22"/>
          <w:szCs w:val="22"/>
        </w:rPr>
        <w:t xml:space="preserve">participants of the </w:t>
      </w:r>
      <w:r w:rsidR="00FE1EBE" w:rsidRPr="00C06F1B">
        <w:rPr>
          <w:rFonts w:ascii="Times New Roman" w:hAnsi="Times New Roman"/>
          <w:sz w:val="22"/>
          <w:szCs w:val="22"/>
        </w:rPr>
        <w:t>76</w:t>
      </w:r>
      <w:r w:rsidR="00FE1EBE" w:rsidRPr="00C06F1B">
        <w:rPr>
          <w:rFonts w:ascii="Times New Roman" w:hAnsi="Times New Roman"/>
          <w:sz w:val="22"/>
          <w:szCs w:val="22"/>
          <w:vertAlign w:val="superscript"/>
        </w:rPr>
        <w:t>th</w:t>
      </w:r>
      <w:r w:rsidR="00FE1EBE" w:rsidRPr="00C06F1B">
        <w:rPr>
          <w:rFonts w:ascii="Times New Roman" w:hAnsi="Times New Roman"/>
          <w:sz w:val="22"/>
          <w:szCs w:val="22"/>
        </w:rPr>
        <w:t xml:space="preserve"> International Atlantic Economic Conference 2013 (Philadelphia), </w:t>
      </w:r>
      <w:r w:rsidR="0066233E" w:rsidRPr="00C06F1B">
        <w:rPr>
          <w:rFonts w:ascii="Times New Roman" w:hAnsi="Times New Roman"/>
          <w:sz w:val="22"/>
          <w:szCs w:val="22"/>
        </w:rPr>
        <w:t xml:space="preserve">the </w:t>
      </w:r>
      <w:r w:rsidR="00887CC1" w:rsidRPr="00C06F1B">
        <w:rPr>
          <w:rFonts w:ascii="Times New Roman" w:hAnsi="Times New Roman"/>
          <w:sz w:val="22"/>
          <w:szCs w:val="22"/>
        </w:rPr>
        <w:t>3</w:t>
      </w:r>
      <w:r w:rsidR="00887CC1" w:rsidRPr="00C06F1B">
        <w:rPr>
          <w:rFonts w:ascii="Times New Roman" w:hAnsi="Times New Roman"/>
          <w:sz w:val="22"/>
          <w:szCs w:val="22"/>
          <w:vertAlign w:val="superscript"/>
        </w:rPr>
        <w:t>rd</w:t>
      </w:r>
      <w:r w:rsidR="00887CC1" w:rsidRPr="00C06F1B">
        <w:rPr>
          <w:rFonts w:ascii="Times New Roman" w:hAnsi="Times New Roman"/>
          <w:sz w:val="22"/>
          <w:szCs w:val="22"/>
        </w:rPr>
        <w:t xml:space="preserve"> International Conference of the Financial Engineering and Banking Society 2013 (Paris), </w:t>
      </w:r>
      <w:r w:rsidR="0066233E" w:rsidRPr="00C06F1B">
        <w:rPr>
          <w:rFonts w:ascii="Times New Roman" w:hAnsi="Times New Roman"/>
          <w:sz w:val="22"/>
          <w:szCs w:val="22"/>
        </w:rPr>
        <w:t xml:space="preserve">the </w:t>
      </w:r>
      <w:r w:rsidR="00887CC1" w:rsidRPr="00C06F1B">
        <w:rPr>
          <w:rFonts w:ascii="Times New Roman" w:hAnsi="Times New Roman"/>
          <w:sz w:val="22"/>
          <w:szCs w:val="22"/>
        </w:rPr>
        <w:t>Taxing Banks Fairly Workshop 2013 (Birmingham)</w:t>
      </w:r>
      <w:r w:rsidR="00B55F56" w:rsidRPr="00C06F1B">
        <w:rPr>
          <w:rFonts w:ascii="Times New Roman" w:hAnsi="Times New Roman"/>
          <w:sz w:val="22"/>
          <w:szCs w:val="22"/>
        </w:rPr>
        <w:t xml:space="preserve"> and the 1</w:t>
      </w:r>
      <w:r w:rsidR="00F028E3" w:rsidRPr="00C06F1B">
        <w:rPr>
          <w:rFonts w:ascii="Times New Roman" w:hAnsi="Times New Roman"/>
          <w:sz w:val="22"/>
          <w:szCs w:val="22"/>
          <w:vertAlign w:val="superscript"/>
        </w:rPr>
        <w:t>st</w:t>
      </w:r>
      <w:r w:rsidR="00B55F56" w:rsidRPr="00C06F1B">
        <w:rPr>
          <w:rFonts w:ascii="Times New Roman" w:hAnsi="Times New Roman"/>
          <w:sz w:val="22"/>
          <w:szCs w:val="22"/>
        </w:rPr>
        <w:t xml:space="preserve"> Paris Financial Management Conference 2013 (Paris)</w:t>
      </w:r>
      <w:r w:rsidRPr="00C06F1B">
        <w:rPr>
          <w:rFonts w:ascii="Times New Roman" w:hAnsi="Times New Roman"/>
          <w:sz w:val="22"/>
          <w:szCs w:val="22"/>
        </w:rPr>
        <w:t xml:space="preserve"> for helpful comments and suggestions. </w:t>
      </w:r>
      <w:r w:rsidR="00B12F1E" w:rsidRPr="00C06F1B">
        <w:rPr>
          <w:rFonts w:ascii="Times New Roman" w:hAnsi="Times New Roman"/>
          <w:sz w:val="22"/>
          <w:szCs w:val="22"/>
        </w:rPr>
        <w:t xml:space="preserve">This research is an output of the </w:t>
      </w:r>
      <w:r w:rsidR="0084465A" w:rsidRPr="00C06F1B">
        <w:rPr>
          <w:rFonts w:ascii="Times New Roman" w:hAnsi="Times New Roman"/>
          <w:sz w:val="22"/>
          <w:szCs w:val="22"/>
        </w:rPr>
        <w:t>Arts and Humanit</w:t>
      </w:r>
      <w:r w:rsidR="00823084" w:rsidRPr="00C06F1B">
        <w:rPr>
          <w:rFonts w:ascii="Times New Roman" w:hAnsi="Times New Roman"/>
          <w:sz w:val="22"/>
          <w:szCs w:val="22"/>
        </w:rPr>
        <w:t xml:space="preserve">ies Research Council (AHRC) </w:t>
      </w:r>
      <w:r w:rsidR="00B12F1E" w:rsidRPr="00C06F1B">
        <w:rPr>
          <w:rFonts w:ascii="Times New Roman" w:hAnsi="Times New Roman"/>
          <w:sz w:val="22"/>
          <w:szCs w:val="22"/>
        </w:rPr>
        <w:t xml:space="preserve">funded </w:t>
      </w:r>
      <w:r w:rsidR="0084465A" w:rsidRPr="00C06F1B">
        <w:rPr>
          <w:rFonts w:ascii="Times New Roman" w:hAnsi="Times New Roman"/>
          <w:sz w:val="22"/>
          <w:szCs w:val="22"/>
        </w:rPr>
        <w:t>‘</w:t>
      </w:r>
      <w:proofErr w:type="spellStart"/>
      <w:r w:rsidR="0084465A" w:rsidRPr="00C06F1B">
        <w:rPr>
          <w:rFonts w:ascii="Times New Roman" w:hAnsi="Times New Roman"/>
          <w:sz w:val="22"/>
          <w:szCs w:val="22"/>
        </w:rPr>
        <w:t>FinCris</w:t>
      </w:r>
      <w:proofErr w:type="spellEnd"/>
      <w:r w:rsidR="0084465A" w:rsidRPr="00C06F1B">
        <w:rPr>
          <w:rFonts w:ascii="Times New Roman" w:hAnsi="Times New Roman"/>
          <w:sz w:val="22"/>
          <w:szCs w:val="22"/>
        </w:rPr>
        <w:t>’ Project</w:t>
      </w:r>
      <w:r w:rsidR="00B12F1E" w:rsidRPr="00C06F1B">
        <w:rPr>
          <w:rFonts w:ascii="Times New Roman" w:hAnsi="Times New Roman"/>
          <w:sz w:val="22"/>
          <w:szCs w:val="22"/>
        </w:rPr>
        <w:t>, reference number AH/J001252/1</w:t>
      </w:r>
      <w:r w:rsidR="0001073E" w:rsidRPr="00C06F1B">
        <w:rPr>
          <w:rFonts w:ascii="Times New Roman" w:hAnsi="Times New Roman"/>
          <w:sz w:val="22"/>
          <w:szCs w:val="22"/>
        </w:rPr>
        <w:t xml:space="preserve"> (</w:t>
      </w:r>
      <w:hyperlink r:id="rId10" w:history="1">
        <w:r w:rsidR="0001073E" w:rsidRPr="00C06F1B">
          <w:rPr>
            <w:rStyle w:val="Hyperlink"/>
            <w:rFonts w:ascii="Times New Roman" w:hAnsi="Times New Roman"/>
            <w:sz w:val="22"/>
            <w:szCs w:val="22"/>
          </w:rPr>
          <w:t>http://fincris.net/</w:t>
        </w:r>
      </w:hyperlink>
      <w:r w:rsidR="0001073E" w:rsidRPr="00C06F1B">
        <w:rPr>
          <w:rFonts w:ascii="Times New Roman" w:hAnsi="Times New Roman"/>
          <w:sz w:val="22"/>
          <w:szCs w:val="22"/>
        </w:rPr>
        <w:t>)</w:t>
      </w:r>
      <w:r w:rsidR="00B12F1E" w:rsidRPr="00C06F1B">
        <w:rPr>
          <w:rFonts w:ascii="Times New Roman" w:hAnsi="Times New Roman"/>
          <w:sz w:val="22"/>
          <w:szCs w:val="22"/>
        </w:rPr>
        <w:t>.</w:t>
      </w:r>
      <w:r w:rsidR="00AB19E2" w:rsidRPr="00C06F1B">
        <w:rPr>
          <w:rFonts w:ascii="Times New Roman" w:hAnsi="Times New Roman"/>
          <w:sz w:val="22"/>
          <w:szCs w:val="22"/>
        </w:rPr>
        <w:t xml:space="preserve"> The usual disclaimer applies. </w:t>
      </w:r>
      <w:r w:rsidR="009074EE" w:rsidRPr="00E7515A">
        <w:rPr>
          <w:rFonts w:ascii="Times New Roman" w:hAnsi="Times New Roman"/>
          <w:sz w:val="22"/>
          <w:szCs w:val="22"/>
        </w:rPr>
        <w:br w:type="page"/>
      </w:r>
    </w:p>
    <w:p w14:paraId="7A3B86FD" w14:textId="77777777" w:rsidR="00B824F5" w:rsidRPr="00C06F1B" w:rsidRDefault="00B824F5" w:rsidP="00B824F5">
      <w:pPr>
        <w:pStyle w:val="CM20"/>
        <w:spacing w:after="195"/>
        <w:jc w:val="both"/>
        <w:rPr>
          <w:rFonts w:ascii="Times New Roman" w:hAnsi="Times New Roman"/>
          <w:b/>
          <w:i/>
          <w:iCs/>
          <w:sz w:val="22"/>
          <w:szCs w:val="22"/>
        </w:rPr>
      </w:pPr>
      <w:r w:rsidRPr="00C06F1B">
        <w:rPr>
          <w:rFonts w:ascii="Times New Roman" w:hAnsi="Times New Roman"/>
          <w:b/>
          <w:i/>
          <w:iCs/>
          <w:sz w:val="22"/>
          <w:szCs w:val="22"/>
        </w:rPr>
        <w:lastRenderedPageBreak/>
        <w:t>1. Introduction</w:t>
      </w:r>
    </w:p>
    <w:p w14:paraId="51F706D3" w14:textId="2E821DC9" w:rsidR="00245FCA" w:rsidRPr="00E7515A" w:rsidRDefault="00E7058E" w:rsidP="00E7515A">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Since the ‘Global, or Great, Financial Crisis’ (GFC) of 2007-9</w:t>
      </w:r>
      <w:r w:rsidR="008E5541" w:rsidRPr="00C06F1B">
        <w:rPr>
          <w:rFonts w:ascii="Times New Roman" w:hAnsi="Times New Roman" w:cs="Times New Roman"/>
          <w:color w:val="auto"/>
          <w:sz w:val="22"/>
          <w:szCs w:val="22"/>
        </w:rPr>
        <w:t>, policy makers</w:t>
      </w:r>
      <w:r w:rsidR="00E36758" w:rsidRPr="00C06F1B">
        <w:rPr>
          <w:rFonts w:ascii="Times New Roman" w:hAnsi="Times New Roman" w:cs="Times New Roman"/>
          <w:color w:val="auto"/>
          <w:sz w:val="22"/>
          <w:szCs w:val="22"/>
        </w:rPr>
        <w:t xml:space="preserve">, academics, and </w:t>
      </w:r>
      <w:r w:rsidRPr="00C06F1B">
        <w:rPr>
          <w:rFonts w:ascii="Times New Roman" w:hAnsi="Times New Roman" w:cs="Times New Roman"/>
          <w:color w:val="auto"/>
          <w:sz w:val="22"/>
          <w:szCs w:val="22"/>
        </w:rPr>
        <w:t>regulators</w:t>
      </w:r>
      <w:r w:rsidR="008E5541" w:rsidRPr="00C06F1B">
        <w:rPr>
          <w:rFonts w:ascii="Times New Roman" w:hAnsi="Times New Roman" w:cs="Times New Roman"/>
          <w:color w:val="auto"/>
          <w:sz w:val="22"/>
          <w:szCs w:val="22"/>
        </w:rPr>
        <w:t xml:space="preserve"> have been </w:t>
      </w:r>
      <w:r w:rsidRPr="00C06F1B">
        <w:rPr>
          <w:rFonts w:ascii="Times New Roman" w:hAnsi="Times New Roman" w:cs="Times New Roman"/>
          <w:color w:val="auto"/>
          <w:sz w:val="22"/>
          <w:szCs w:val="22"/>
        </w:rPr>
        <w:t xml:space="preserve">seeking the best approach to </w:t>
      </w:r>
      <w:r w:rsidR="00D52EC9" w:rsidRPr="00C06F1B">
        <w:rPr>
          <w:rFonts w:ascii="Times New Roman" w:hAnsi="Times New Roman" w:cs="Times New Roman"/>
          <w:color w:val="auto"/>
          <w:sz w:val="22"/>
          <w:szCs w:val="22"/>
        </w:rPr>
        <w:t>‘</w:t>
      </w:r>
      <w:r w:rsidR="008E5541" w:rsidRPr="00C06F1B">
        <w:rPr>
          <w:rFonts w:ascii="Times New Roman" w:hAnsi="Times New Roman" w:cs="Times New Roman"/>
          <w:color w:val="auto"/>
          <w:sz w:val="22"/>
          <w:szCs w:val="22"/>
        </w:rPr>
        <w:t>tax</w:t>
      </w:r>
      <w:r w:rsidRPr="00C06F1B">
        <w:rPr>
          <w:rFonts w:ascii="Times New Roman" w:hAnsi="Times New Roman" w:cs="Times New Roman"/>
          <w:color w:val="auto"/>
          <w:sz w:val="22"/>
          <w:szCs w:val="22"/>
        </w:rPr>
        <w:t>ing</w:t>
      </w:r>
      <w:r w:rsidR="00D52EC9" w:rsidRPr="00C06F1B">
        <w:rPr>
          <w:rFonts w:ascii="Times New Roman" w:hAnsi="Times New Roman" w:cs="Times New Roman"/>
          <w:color w:val="auto"/>
          <w:sz w:val="22"/>
          <w:szCs w:val="22"/>
        </w:rPr>
        <w:t>’</w:t>
      </w:r>
      <w:r w:rsidR="008E5541" w:rsidRPr="00C06F1B">
        <w:rPr>
          <w:rFonts w:ascii="Times New Roman" w:hAnsi="Times New Roman" w:cs="Times New Roman"/>
          <w:color w:val="auto"/>
          <w:sz w:val="22"/>
          <w:szCs w:val="22"/>
        </w:rPr>
        <w:t xml:space="preserve"> financial </w:t>
      </w:r>
      <w:r w:rsidR="00466A4F" w:rsidRPr="00C06F1B">
        <w:rPr>
          <w:rFonts w:ascii="Times New Roman" w:hAnsi="Times New Roman" w:cs="Times New Roman"/>
          <w:color w:val="auto"/>
          <w:sz w:val="22"/>
          <w:szCs w:val="22"/>
        </w:rPr>
        <w:t xml:space="preserve">institutions and </w:t>
      </w:r>
      <w:r w:rsidR="00D52EC9" w:rsidRPr="00C06F1B">
        <w:rPr>
          <w:rFonts w:ascii="Times New Roman" w:hAnsi="Times New Roman" w:cs="Times New Roman"/>
          <w:color w:val="auto"/>
          <w:sz w:val="22"/>
          <w:szCs w:val="22"/>
        </w:rPr>
        <w:t xml:space="preserve">their </w:t>
      </w:r>
      <w:r w:rsidR="00985245" w:rsidRPr="00C06F1B">
        <w:rPr>
          <w:rFonts w:ascii="Times New Roman" w:hAnsi="Times New Roman" w:cs="Times New Roman"/>
          <w:color w:val="auto"/>
          <w:sz w:val="22"/>
          <w:szCs w:val="22"/>
        </w:rPr>
        <w:t>activities</w:t>
      </w:r>
      <w:r w:rsidR="008E5541" w:rsidRPr="00C06F1B">
        <w:rPr>
          <w:rFonts w:ascii="Times New Roman" w:hAnsi="Times New Roman" w:cs="Times New Roman"/>
          <w:color w:val="auto"/>
          <w:sz w:val="22"/>
          <w:szCs w:val="22"/>
        </w:rPr>
        <w:t xml:space="preserve"> in the financial markets. </w:t>
      </w:r>
      <w:r w:rsidR="00F113C4" w:rsidRPr="00C06F1B">
        <w:rPr>
          <w:rFonts w:ascii="Times New Roman" w:hAnsi="Times New Roman" w:cs="Times New Roman"/>
          <w:color w:val="auto"/>
          <w:sz w:val="22"/>
          <w:szCs w:val="22"/>
        </w:rPr>
        <w:t>There are two predominant ways of taxing banks</w:t>
      </w:r>
      <w:r w:rsidR="00695DE8" w:rsidRPr="00C06F1B">
        <w:rPr>
          <w:rFonts w:ascii="Times New Roman" w:hAnsi="Times New Roman" w:cs="Times New Roman"/>
          <w:color w:val="auto"/>
          <w:sz w:val="22"/>
          <w:szCs w:val="22"/>
        </w:rPr>
        <w:t>,</w:t>
      </w:r>
      <w:r w:rsidR="00F113C4" w:rsidRPr="00C06F1B">
        <w:rPr>
          <w:rFonts w:ascii="Times New Roman" w:hAnsi="Times New Roman" w:cs="Times New Roman"/>
          <w:color w:val="auto"/>
          <w:sz w:val="22"/>
          <w:szCs w:val="22"/>
        </w:rPr>
        <w:t xml:space="preserve"> with the goal of improving the</w:t>
      </w:r>
      <w:r w:rsidR="00D07F65" w:rsidRPr="00C06F1B">
        <w:rPr>
          <w:rFonts w:ascii="Times New Roman" w:hAnsi="Times New Roman" w:cs="Times New Roman"/>
          <w:color w:val="auto"/>
          <w:sz w:val="22"/>
          <w:szCs w:val="22"/>
        </w:rPr>
        <w:t>ir</w:t>
      </w:r>
      <w:r w:rsidR="007654B2" w:rsidRPr="00C06F1B">
        <w:rPr>
          <w:rFonts w:ascii="Times New Roman" w:hAnsi="Times New Roman" w:cs="Times New Roman"/>
          <w:color w:val="auto"/>
          <w:sz w:val="22"/>
          <w:szCs w:val="22"/>
        </w:rPr>
        <w:t xml:space="preserve"> </w:t>
      </w:r>
      <w:r w:rsidR="00F113C4" w:rsidRPr="00C06F1B">
        <w:rPr>
          <w:rFonts w:ascii="Times New Roman" w:hAnsi="Times New Roman" w:cs="Times New Roman"/>
          <w:color w:val="auto"/>
          <w:sz w:val="22"/>
          <w:szCs w:val="22"/>
        </w:rPr>
        <w:t>stability</w:t>
      </w:r>
      <w:r w:rsidR="00345FB5" w:rsidRPr="00C06F1B">
        <w:rPr>
          <w:rFonts w:ascii="Times New Roman" w:hAnsi="Times New Roman" w:cs="Times New Roman"/>
          <w:color w:val="auto"/>
          <w:sz w:val="22"/>
          <w:szCs w:val="22"/>
        </w:rPr>
        <w:t>, and</w:t>
      </w:r>
      <w:r w:rsidR="00F113C4" w:rsidRPr="00C06F1B">
        <w:rPr>
          <w:rFonts w:ascii="Times New Roman" w:hAnsi="Times New Roman" w:cs="Times New Roman"/>
          <w:color w:val="auto"/>
          <w:sz w:val="22"/>
          <w:szCs w:val="22"/>
        </w:rPr>
        <w:t xml:space="preserve"> dissuad</w:t>
      </w:r>
      <w:r w:rsidR="00695DE8" w:rsidRPr="00C06F1B">
        <w:rPr>
          <w:rFonts w:ascii="Times New Roman" w:hAnsi="Times New Roman" w:cs="Times New Roman"/>
          <w:color w:val="auto"/>
          <w:sz w:val="22"/>
          <w:szCs w:val="22"/>
        </w:rPr>
        <w:t>ing</w:t>
      </w:r>
      <w:r w:rsidR="00F113C4" w:rsidRPr="00C06F1B">
        <w:rPr>
          <w:rFonts w:ascii="Times New Roman" w:hAnsi="Times New Roman" w:cs="Times New Roman"/>
          <w:color w:val="auto"/>
          <w:sz w:val="22"/>
          <w:szCs w:val="22"/>
        </w:rPr>
        <w:t xml:space="preserve"> the</w:t>
      </w:r>
      <w:r w:rsidR="00D07F65" w:rsidRPr="00C06F1B">
        <w:rPr>
          <w:rFonts w:ascii="Times New Roman" w:hAnsi="Times New Roman" w:cs="Times New Roman"/>
          <w:color w:val="auto"/>
          <w:sz w:val="22"/>
          <w:szCs w:val="22"/>
        </w:rPr>
        <w:t xml:space="preserve">m </w:t>
      </w:r>
      <w:r w:rsidR="00695DE8" w:rsidRPr="00C06F1B">
        <w:rPr>
          <w:rFonts w:ascii="Times New Roman" w:hAnsi="Times New Roman" w:cs="Times New Roman"/>
          <w:color w:val="auto"/>
          <w:sz w:val="22"/>
          <w:szCs w:val="22"/>
        </w:rPr>
        <w:t>from</w:t>
      </w:r>
      <w:r w:rsidR="00D07F65" w:rsidRPr="00C06F1B">
        <w:rPr>
          <w:rFonts w:ascii="Times New Roman" w:hAnsi="Times New Roman" w:cs="Times New Roman"/>
          <w:color w:val="auto"/>
          <w:sz w:val="22"/>
          <w:szCs w:val="22"/>
        </w:rPr>
        <w:t xml:space="preserve"> </w:t>
      </w:r>
      <w:r w:rsidR="00F113C4" w:rsidRPr="00C06F1B">
        <w:rPr>
          <w:rFonts w:ascii="Times New Roman" w:hAnsi="Times New Roman" w:cs="Times New Roman"/>
          <w:color w:val="auto"/>
          <w:sz w:val="22"/>
          <w:szCs w:val="22"/>
        </w:rPr>
        <w:t>carry</w:t>
      </w:r>
      <w:r w:rsidR="00695DE8" w:rsidRPr="00C06F1B">
        <w:rPr>
          <w:rFonts w:ascii="Times New Roman" w:hAnsi="Times New Roman" w:cs="Times New Roman"/>
          <w:color w:val="auto"/>
          <w:sz w:val="22"/>
          <w:szCs w:val="22"/>
        </w:rPr>
        <w:t>ing</w:t>
      </w:r>
      <w:r w:rsidR="00F113C4" w:rsidRPr="00C06F1B">
        <w:rPr>
          <w:rFonts w:ascii="Times New Roman" w:hAnsi="Times New Roman" w:cs="Times New Roman"/>
          <w:color w:val="auto"/>
          <w:sz w:val="22"/>
          <w:szCs w:val="22"/>
        </w:rPr>
        <w:t xml:space="preserve"> out </w:t>
      </w:r>
      <w:r w:rsidR="00AC7256" w:rsidRPr="00C06F1B">
        <w:rPr>
          <w:rFonts w:ascii="Times New Roman" w:hAnsi="Times New Roman" w:cs="Times New Roman"/>
          <w:color w:val="auto"/>
          <w:sz w:val="22"/>
          <w:szCs w:val="22"/>
        </w:rPr>
        <w:t xml:space="preserve">overly </w:t>
      </w:r>
      <w:r w:rsidR="00F113C4" w:rsidRPr="00C06F1B">
        <w:rPr>
          <w:rFonts w:ascii="Times New Roman" w:hAnsi="Times New Roman" w:cs="Times New Roman"/>
          <w:color w:val="auto"/>
          <w:sz w:val="22"/>
          <w:szCs w:val="22"/>
        </w:rPr>
        <w:t xml:space="preserve">risky activities. One way is </w:t>
      </w:r>
      <w:r w:rsidR="00AC7256" w:rsidRPr="00C06F1B">
        <w:rPr>
          <w:rFonts w:ascii="Times New Roman" w:hAnsi="Times New Roman" w:cs="Times New Roman"/>
          <w:color w:val="auto"/>
          <w:sz w:val="22"/>
          <w:szCs w:val="22"/>
        </w:rPr>
        <w:t>through</w:t>
      </w:r>
      <w:r w:rsidR="00F113C4" w:rsidRPr="00C06F1B">
        <w:rPr>
          <w:rFonts w:ascii="Times New Roman" w:hAnsi="Times New Roman" w:cs="Times New Roman"/>
          <w:color w:val="auto"/>
          <w:sz w:val="22"/>
          <w:szCs w:val="22"/>
        </w:rPr>
        <w:t xml:space="preserve"> regulations and the other is </w:t>
      </w:r>
      <w:r w:rsidR="00AC7256" w:rsidRPr="00C06F1B">
        <w:rPr>
          <w:rFonts w:ascii="Times New Roman" w:hAnsi="Times New Roman" w:cs="Times New Roman"/>
          <w:color w:val="auto"/>
          <w:sz w:val="22"/>
          <w:szCs w:val="22"/>
        </w:rPr>
        <w:t xml:space="preserve">through </w:t>
      </w:r>
      <w:r w:rsidR="00695DE8" w:rsidRPr="00C06F1B">
        <w:rPr>
          <w:rFonts w:ascii="Times New Roman" w:hAnsi="Times New Roman" w:cs="Times New Roman"/>
          <w:color w:val="auto"/>
          <w:sz w:val="22"/>
          <w:szCs w:val="22"/>
        </w:rPr>
        <w:t xml:space="preserve">imposing </w:t>
      </w:r>
      <w:r w:rsidR="00F113C4" w:rsidRPr="00C06F1B">
        <w:rPr>
          <w:rFonts w:ascii="Times New Roman" w:hAnsi="Times New Roman" w:cs="Times New Roman"/>
          <w:color w:val="auto"/>
          <w:sz w:val="22"/>
          <w:szCs w:val="22"/>
        </w:rPr>
        <w:t>direct ‘fiscal’ taxes</w:t>
      </w:r>
      <w:r w:rsidR="00AC7256" w:rsidRPr="00C06F1B">
        <w:rPr>
          <w:rFonts w:ascii="Times New Roman" w:hAnsi="Times New Roman" w:cs="Times New Roman"/>
          <w:color w:val="auto"/>
          <w:sz w:val="22"/>
          <w:szCs w:val="22"/>
        </w:rPr>
        <w:t xml:space="preserve"> that raise revenues</w:t>
      </w:r>
      <w:r w:rsidR="00F113C4" w:rsidRPr="00C06F1B">
        <w:rPr>
          <w:rFonts w:ascii="Times New Roman" w:hAnsi="Times New Roman" w:cs="Times New Roman"/>
          <w:color w:val="auto"/>
          <w:sz w:val="22"/>
          <w:szCs w:val="22"/>
        </w:rPr>
        <w:t xml:space="preserve">. </w:t>
      </w:r>
      <w:r w:rsidR="00D07F65" w:rsidRPr="00C06F1B">
        <w:rPr>
          <w:rFonts w:ascii="Times New Roman" w:hAnsi="Times New Roman" w:cs="Times New Roman"/>
          <w:color w:val="auto"/>
          <w:sz w:val="22"/>
          <w:szCs w:val="22"/>
        </w:rPr>
        <w:t>Regulation</w:t>
      </w:r>
      <w:r w:rsidR="00E55EEE" w:rsidRPr="00C06F1B">
        <w:rPr>
          <w:rFonts w:ascii="Times New Roman" w:hAnsi="Times New Roman" w:cs="Times New Roman"/>
          <w:color w:val="auto"/>
          <w:sz w:val="22"/>
          <w:szCs w:val="22"/>
        </w:rPr>
        <w:t>s have</w:t>
      </w:r>
      <w:r w:rsidR="00D07F65" w:rsidRPr="00C06F1B">
        <w:rPr>
          <w:rFonts w:ascii="Times New Roman" w:hAnsi="Times New Roman" w:cs="Times New Roman"/>
          <w:color w:val="auto"/>
          <w:sz w:val="22"/>
          <w:szCs w:val="22"/>
        </w:rPr>
        <w:t xml:space="preserve"> been the dominant way </w:t>
      </w:r>
      <w:r w:rsidR="00695DE8" w:rsidRPr="00C06F1B">
        <w:rPr>
          <w:rFonts w:ascii="Times New Roman" w:hAnsi="Times New Roman" w:cs="Times New Roman"/>
          <w:color w:val="auto"/>
          <w:sz w:val="22"/>
          <w:szCs w:val="22"/>
        </w:rPr>
        <w:t>of</w:t>
      </w:r>
      <w:r w:rsidR="00D07F65" w:rsidRPr="00C06F1B">
        <w:rPr>
          <w:rFonts w:ascii="Times New Roman" w:hAnsi="Times New Roman" w:cs="Times New Roman"/>
          <w:color w:val="auto"/>
          <w:sz w:val="22"/>
          <w:szCs w:val="22"/>
        </w:rPr>
        <w:t xml:space="preserve"> ensur</w:t>
      </w:r>
      <w:r w:rsidR="00695DE8" w:rsidRPr="00C06F1B">
        <w:rPr>
          <w:rFonts w:ascii="Times New Roman" w:hAnsi="Times New Roman" w:cs="Times New Roman"/>
          <w:color w:val="auto"/>
          <w:sz w:val="22"/>
          <w:szCs w:val="22"/>
        </w:rPr>
        <w:t>ing the</w:t>
      </w:r>
      <w:r w:rsidR="00D07F65" w:rsidRPr="00C06F1B">
        <w:rPr>
          <w:rFonts w:ascii="Times New Roman" w:hAnsi="Times New Roman" w:cs="Times New Roman"/>
          <w:color w:val="auto"/>
          <w:sz w:val="22"/>
          <w:szCs w:val="22"/>
        </w:rPr>
        <w:t xml:space="preserve"> stability of banks. </w:t>
      </w:r>
      <w:r w:rsidR="0098146A" w:rsidRPr="00C06F1B">
        <w:rPr>
          <w:rFonts w:ascii="Times New Roman" w:hAnsi="Times New Roman" w:cs="Times New Roman"/>
          <w:color w:val="auto"/>
          <w:sz w:val="22"/>
          <w:szCs w:val="22"/>
        </w:rPr>
        <w:t xml:space="preserve">The post crisis </w:t>
      </w:r>
      <w:r w:rsidR="002E244F" w:rsidRPr="00C06F1B">
        <w:rPr>
          <w:rFonts w:ascii="Times New Roman" w:hAnsi="Times New Roman" w:cs="Times New Roman"/>
          <w:color w:val="auto"/>
          <w:sz w:val="22"/>
          <w:szCs w:val="22"/>
        </w:rPr>
        <w:t xml:space="preserve">Basel III </w:t>
      </w:r>
      <w:r w:rsidR="0098146A" w:rsidRPr="00C06F1B">
        <w:rPr>
          <w:rFonts w:ascii="Times New Roman" w:hAnsi="Times New Roman" w:cs="Times New Roman"/>
          <w:color w:val="auto"/>
          <w:sz w:val="22"/>
          <w:szCs w:val="22"/>
        </w:rPr>
        <w:t xml:space="preserve">framework </w:t>
      </w:r>
      <w:r w:rsidR="002E244F" w:rsidRPr="00C06F1B">
        <w:rPr>
          <w:rFonts w:ascii="Times New Roman" w:hAnsi="Times New Roman" w:cs="Times New Roman"/>
          <w:color w:val="auto"/>
          <w:sz w:val="22"/>
          <w:szCs w:val="22"/>
        </w:rPr>
        <w:t>strengthens the minimum capital requirements required by Basel I and Basel II and introduces new regulatory requirements in the form of bank liquidity and leverage</w:t>
      </w:r>
      <w:r w:rsidR="001E78B1" w:rsidRPr="00C06F1B">
        <w:rPr>
          <w:rFonts w:ascii="Times New Roman" w:hAnsi="Times New Roman" w:cs="Times New Roman"/>
          <w:color w:val="auto"/>
          <w:sz w:val="22"/>
          <w:szCs w:val="22"/>
        </w:rPr>
        <w:t xml:space="preserve"> ratios</w:t>
      </w:r>
      <w:r w:rsidR="002E244F" w:rsidRPr="00C06F1B">
        <w:rPr>
          <w:rFonts w:ascii="Times New Roman" w:hAnsi="Times New Roman" w:cs="Times New Roman"/>
          <w:color w:val="auto"/>
          <w:sz w:val="22"/>
          <w:szCs w:val="22"/>
        </w:rPr>
        <w:t xml:space="preserve">. </w:t>
      </w:r>
      <w:r w:rsidR="00E36758" w:rsidRPr="00C06F1B">
        <w:rPr>
          <w:rFonts w:ascii="Times New Roman" w:hAnsi="Times New Roman" w:cs="Times New Roman"/>
          <w:color w:val="auto"/>
          <w:sz w:val="22"/>
          <w:szCs w:val="22"/>
        </w:rPr>
        <w:t xml:space="preserve">Nevertheless, </w:t>
      </w:r>
      <w:r w:rsidR="00180256" w:rsidRPr="00C06F1B">
        <w:rPr>
          <w:rFonts w:ascii="Times New Roman" w:hAnsi="Times New Roman" w:cs="Times New Roman"/>
          <w:color w:val="auto"/>
          <w:sz w:val="22"/>
          <w:szCs w:val="22"/>
        </w:rPr>
        <w:t>b</w:t>
      </w:r>
      <w:r w:rsidR="00AD6834" w:rsidRPr="00C06F1B">
        <w:rPr>
          <w:rFonts w:ascii="Times New Roman" w:hAnsi="Times New Roman" w:cs="Times New Roman"/>
          <w:color w:val="auto"/>
          <w:sz w:val="22"/>
          <w:szCs w:val="22"/>
        </w:rPr>
        <w:t>ig banks</w:t>
      </w:r>
      <w:r w:rsidR="00180256" w:rsidRPr="00C06F1B">
        <w:rPr>
          <w:rFonts w:ascii="Times New Roman" w:hAnsi="Times New Roman" w:cs="Times New Roman"/>
          <w:color w:val="auto"/>
          <w:sz w:val="22"/>
          <w:szCs w:val="22"/>
        </w:rPr>
        <w:t xml:space="preserve"> remain</w:t>
      </w:r>
      <w:r w:rsidR="00AD6834" w:rsidRPr="00C06F1B">
        <w:rPr>
          <w:rFonts w:ascii="Times New Roman" w:hAnsi="Times New Roman" w:cs="Times New Roman"/>
          <w:color w:val="auto"/>
          <w:sz w:val="22"/>
          <w:szCs w:val="22"/>
        </w:rPr>
        <w:t xml:space="preserve"> implicitly insured by taxpayers and can </w:t>
      </w:r>
      <w:r w:rsidR="00180256" w:rsidRPr="00C06F1B">
        <w:rPr>
          <w:rFonts w:ascii="Times New Roman" w:hAnsi="Times New Roman" w:cs="Times New Roman"/>
          <w:color w:val="auto"/>
          <w:sz w:val="22"/>
          <w:szCs w:val="22"/>
        </w:rPr>
        <w:t xml:space="preserve">consequently </w:t>
      </w:r>
      <w:r w:rsidR="00AD6834" w:rsidRPr="00C06F1B">
        <w:rPr>
          <w:rFonts w:ascii="Times New Roman" w:hAnsi="Times New Roman" w:cs="Times New Roman"/>
          <w:color w:val="auto"/>
          <w:sz w:val="22"/>
          <w:szCs w:val="22"/>
        </w:rPr>
        <w:t>raise funds more cheaply</w:t>
      </w:r>
      <w:r w:rsidR="00180256" w:rsidRPr="00C06F1B">
        <w:rPr>
          <w:rFonts w:ascii="Times New Roman" w:hAnsi="Times New Roman" w:cs="Times New Roman"/>
          <w:color w:val="auto"/>
          <w:sz w:val="22"/>
          <w:szCs w:val="22"/>
        </w:rPr>
        <w:t xml:space="preserve"> than strategically less important banks that are not too big or too complex to be allowed to fail. This </w:t>
      </w:r>
      <w:r w:rsidR="00AD6834" w:rsidRPr="00C06F1B">
        <w:rPr>
          <w:rFonts w:ascii="Times New Roman" w:hAnsi="Times New Roman" w:cs="Times New Roman"/>
          <w:color w:val="auto"/>
          <w:sz w:val="22"/>
          <w:szCs w:val="22"/>
        </w:rPr>
        <w:t>giv</w:t>
      </w:r>
      <w:r w:rsidR="00180256" w:rsidRPr="00C06F1B">
        <w:rPr>
          <w:rFonts w:ascii="Times New Roman" w:hAnsi="Times New Roman" w:cs="Times New Roman"/>
          <w:color w:val="auto"/>
          <w:sz w:val="22"/>
          <w:szCs w:val="22"/>
        </w:rPr>
        <w:t>es</w:t>
      </w:r>
      <w:r w:rsidR="00AD6834" w:rsidRPr="00C06F1B">
        <w:rPr>
          <w:rFonts w:ascii="Times New Roman" w:hAnsi="Times New Roman" w:cs="Times New Roman"/>
          <w:color w:val="auto"/>
          <w:sz w:val="22"/>
          <w:szCs w:val="22"/>
        </w:rPr>
        <w:t xml:space="preserve"> them a competitive advantage and </w:t>
      </w:r>
      <w:r w:rsidR="00745917" w:rsidRPr="00C06F1B">
        <w:rPr>
          <w:rFonts w:ascii="Times New Roman" w:hAnsi="Times New Roman" w:cs="Times New Roman"/>
          <w:color w:val="auto"/>
          <w:sz w:val="22"/>
          <w:szCs w:val="22"/>
        </w:rPr>
        <w:t>re</w:t>
      </w:r>
      <w:r w:rsidR="00180256" w:rsidRPr="00C06F1B">
        <w:rPr>
          <w:rFonts w:ascii="Times New Roman" w:hAnsi="Times New Roman" w:cs="Times New Roman"/>
          <w:color w:val="auto"/>
          <w:sz w:val="22"/>
          <w:szCs w:val="22"/>
        </w:rPr>
        <w:t>-</w:t>
      </w:r>
      <w:r w:rsidR="00745917" w:rsidRPr="00C06F1B">
        <w:rPr>
          <w:rFonts w:ascii="Times New Roman" w:hAnsi="Times New Roman" w:cs="Times New Roman"/>
          <w:color w:val="auto"/>
          <w:sz w:val="22"/>
          <w:szCs w:val="22"/>
        </w:rPr>
        <w:t>enforc</w:t>
      </w:r>
      <w:r w:rsidR="00180256" w:rsidRPr="00C06F1B">
        <w:rPr>
          <w:rFonts w:ascii="Times New Roman" w:hAnsi="Times New Roman" w:cs="Times New Roman"/>
          <w:color w:val="auto"/>
          <w:sz w:val="22"/>
          <w:szCs w:val="22"/>
        </w:rPr>
        <w:t xml:space="preserve">es </w:t>
      </w:r>
      <w:r w:rsidR="00AD6834" w:rsidRPr="00C06F1B">
        <w:rPr>
          <w:rFonts w:ascii="Times New Roman" w:hAnsi="Times New Roman" w:cs="Times New Roman"/>
          <w:color w:val="auto"/>
          <w:sz w:val="22"/>
          <w:szCs w:val="22"/>
        </w:rPr>
        <w:t xml:space="preserve">their </w:t>
      </w:r>
      <w:r w:rsidR="00466A4F" w:rsidRPr="00C06F1B">
        <w:rPr>
          <w:rFonts w:ascii="Times New Roman" w:hAnsi="Times New Roman" w:cs="Times New Roman"/>
          <w:color w:val="auto"/>
          <w:sz w:val="22"/>
          <w:szCs w:val="22"/>
        </w:rPr>
        <w:t>dominance</w:t>
      </w:r>
      <w:r w:rsidR="00AD6834" w:rsidRPr="00C06F1B">
        <w:rPr>
          <w:rFonts w:ascii="Times New Roman" w:hAnsi="Times New Roman" w:cs="Times New Roman"/>
          <w:color w:val="auto"/>
          <w:sz w:val="22"/>
          <w:szCs w:val="22"/>
        </w:rPr>
        <w:t>.</w:t>
      </w:r>
      <w:r w:rsidR="00245FCA" w:rsidRPr="00C06F1B">
        <w:rPr>
          <w:rFonts w:ascii="Times New Roman" w:hAnsi="Times New Roman" w:cs="Times New Roman"/>
          <w:color w:val="auto"/>
          <w:sz w:val="22"/>
          <w:szCs w:val="22"/>
        </w:rPr>
        <w:t xml:space="preserve"> </w:t>
      </w:r>
      <w:r w:rsidR="00245FCA" w:rsidRPr="00E7515A">
        <w:rPr>
          <w:rFonts w:ascii="Times New Roman" w:hAnsi="Times New Roman" w:cs="Times New Roman"/>
          <w:color w:val="auto"/>
          <w:sz w:val="22"/>
          <w:szCs w:val="22"/>
        </w:rPr>
        <w:t>In response to this, systemically important financial institutions (SIFIs) are required to hold supplementary capital as recommended by the Financial Stability Board (</w:t>
      </w:r>
      <w:r w:rsidR="00245FCA" w:rsidRPr="00E7515A">
        <w:rPr>
          <w:rFonts w:ascii="Times New Roman" w:hAnsi="Times New Roman" w:cs="Times New Roman"/>
          <w:b/>
          <w:color w:val="auto"/>
          <w:sz w:val="22"/>
          <w:szCs w:val="22"/>
        </w:rPr>
        <w:t>FSB, 2011</w:t>
      </w:r>
      <w:r w:rsidR="00245FCA" w:rsidRPr="00E7515A">
        <w:rPr>
          <w:rFonts w:ascii="Times New Roman" w:hAnsi="Times New Roman" w:cs="Times New Roman"/>
          <w:color w:val="auto"/>
          <w:sz w:val="22"/>
          <w:szCs w:val="22"/>
        </w:rPr>
        <w:t>) and attention is now turning to GLAC, the general loss absorbing capacity of banks and the banking system (</w:t>
      </w:r>
      <w:proofErr w:type="spellStart"/>
      <w:r w:rsidR="00245FCA" w:rsidRPr="00E7515A">
        <w:rPr>
          <w:rFonts w:ascii="Times New Roman" w:hAnsi="Times New Roman" w:cs="Times New Roman"/>
          <w:color w:val="auto"/>
          <w:sz w:val="22"/>
          <w:szCs w:val="22"/>
        </w:rPr>
        <w:t>Mullineux</w:t>
      </w:r>
      <w:proofErr w:type="spellEnd"/>
      <w:r w:rsidR="00245FCA" w:rsidRPr="00E7515A">
        <w:rPr>
          <w:rFonts w:ascii="Times New Roman" w:hAnsi="Times New Roman" w:cs="Times New Roman"/>
          <w:color w:val="auto"/>
          <w:sz w:val="22"/>
          <w:szCs w:val="22"/>
        </w:rPr>
        <w:t>, 2014).</w:t>
      </w:r>
    </w:p>
    <w:p w14:paraId="589D1B65" w14:textId="77777777" w:rsidR="00245FCA" w:rsidRPr="00C06F1B" w:rsidRDefault="00245FCA" w:rsidP="00436F7A">
      <w:pPr>
        <w:pStyle w:val="Default"/>
        <w:spacing w:line="360" w:lineRule="auto"/>
        <w:jc w:val="both"/>
        <w:rPr>
          <w:rFonts w:ascii="Times New Roman" w:hAnsi="Times New Roman" w:cs="Times New Roman"/>
          <w:color w:val="auto"/>
          <w:sz w:val="22"/>
          <w:szCs w:val="22"/>
        </w:rPr>
      </w:pPr>
    </w:p>
    <w:p w14:paraId="1E30D20D" w14:textId="77777777" w:rsidR="00245FCA" w:rsidRPr="00C06F1B" w:rsidRDefault="00245FCA" w:rsidP="00436F7A">
      <w:pPr>
        <w:pStyle w:val="Default"/>
        <w:spacing w:line="360" w:lineRule="auto"/>
        <w:jc w:val="both"/>
        <w:rPr>
          <w:rFonts w:ascii="Times New Roman" w:hAnsi="Times New Roman" w:cs="Times New Roman"/>
          <w:color w:val="auto"/>
          <w:sz w:val="22"/>
          <w:szCs w:val="22"/>
        </w:rPr>
      </w:pPr>
    </w:p>
    <w:p w14:paraId="58B69A82" w14:textId="0383249D" w:rsidR="00715B41" w:rsidRPr="00C06F1B" w:rsidRDefault="0049038A" w:rsidP="00CC10CA">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The </w:t>
      </w:r>
      <w:r w:rsidR="00245FCA" w:rsidRPr="00C06F1B">
        <w:rPr>
          <w:rFonts w:ascii="Times New Roman" w:hAnsi="Times New Roman" w:cs="Times New Roman"/>
          <w:color w:val="auto"/>
          <w:sz w:val="22"/>
          <w:szCs w:val="22"/>
        </w:rPr>
        <w:t xml:space="preserve">GFC </w:t>
      </w:r>
      <w:r w:rsidR="00466A4F" w:rsidRPr="00C06F1B">
        <w:rPr>
          <w:rFonts w:ascii="Times New Roman" w:hAnsi="Times New Roman" w:cs="Times New Roman"/>
          <w:color w:val="auto"/>
          <w:sz w:val="22"/>
          <w:szCs w:val="22"/>
        </w:rPr>
        <w:t>revealed</w:t>
      </w:r>
      <w:r w:rsidRPr="00C06F1B">
        <w:rPr>
          <w:rFonts w:ascii="Times New Roman" w:hAnsi="Times New Roman" w:cs="Times New Roman"/>
          <w:color w:val="auto"/>
          <w:sz w:val="22"/>
          <w:szCs w:val="22"/>
        </w:rPr>
        <w:t xml:space="preserve"> problems with the regulatory approach </w:t>
      </w:r>
      <w:r w:rsidR="00466A4F" w:rsidRPr="00C06F1B">
        <w:rPr>
          <w:rFonts w:ascii="Times New Roman" w:hAnsi="Times New Roman" w:cs="Times New Roman"/>
          <w:color w:val="auto"/>
          <w:sz w:val="22"/>
          <w:szCs w:val="22"/>
        </w:rPr>
        <w:t>to</w:t>
      </w:r>
      <w:r w:rsidRPr="00C06F1B">
        <w:rPr>
          <w:rFonts w:ascii="Times New Roman" w:hAnsi="Times New Roman" w:cs="Times New Roman"/>
          <w:color w:val="auto"/>
          <w:sz w:val="22"/>
          <w:szCs w:val="22"/>
        </w:rPr>
        <w:t xml:space="preserve"> address</w:t>
      </w:r>
      <w:r w:rsidR="00695DE8" w:rsidRPr="00C06F1B">
        <w:rPr>
          <w:rFonts w:ascii="Times New Roman" w:hAnsi="Times New Roman" w:cs="Times New Roman"/>
          <w:color w:val="auto"/>
          <w:sz w:val="22"/>
          <w:szCs w:val="22"/>
        </w:rPr>
        <w:t>ing</w:t>
      </w:r>
      <w:r w:rsidRPr="00C06F1B">
        <w:rPr>
          <w:rFonts w:ascii="Times New Roman" w:hAnsi="Times New Roman" w:cs="Times New Roman"/>
          <w:color w:val="auto"/>
          <w:sz w:val="22"/>
          <w:szCs w:val="22"/>
        </w:rPr>
        <w:t xml:space="preserve"> externalities arising from excessive bank risk taking and from</w:t>
      </w:r>
      <w:r w:rsidR="00466A4F" w:rsidRPr="00C06F1B">
        <w:rPr>
          <w:rFonts w:ascii="Times New Roman" w:hAnsi="Times New Roman" w:cs="Times New Roman"/>
          <w:color w:val="auto"/>
          <w:sz w:val="22"/>
          <w:szCs w:val="22"/>
        </w:rPr>
        <w:t xml:space="preserve"> the </w:t>
      </w:r>
      <w:r w:rsidRPr="00C06F1B">
        <w:rPr>
          <w:rFonts w:ascii="Times New Roman" w:hAnsi="Times New Roman" w:cs="Times New Roman"/>
          <w:color w:val="auto"/>
          <w:sz w:val="22"/>
          <w:szCs w:val="22"/>
        </w:rPr>
        <w:t>‘too big to fail’</w:t>
      </w:r>
      <w:r w:rsidR="00695DE8" w:rsidRPr="00C06F1B">
        <w:rPr>
          <w:rFonts w:ascii="Times New Roman" w:hAnsi="Times New Roman" w:cs="Times New Roman"/>
          <w:color w:val="auto"/>
          <w:sz w:val="22"/>
          <w:szCs w:val="22"/>
        </w:rPr>
        <w:t xml:space="preserve"> </w:t>
      </w:r>
      <w:r w:rsidR="00466A4F" w:rsidRPr="00C06F1B">
        <w:rPr>
          <w:rFonts w:ascii="Times New Roman" w:hAnsi="Times New Roman" w:cs="Times New Roman"/>
          <w:color w:val="auto"/>
          <w:sz w:val="22"/>
          <w:szCs w:val="22"/>
        </w:rPr>
        <w:t>problem</w:t>
      </w:r>
      <w:r w:rsidRPr="00C06F1B">
        <w:rPr>
          <w:rFonts w:ascii="Times New Roman" w:hAnsi="Times New Roman" w:cs="Times New Roman"/>
          <w:color w:val="auto"/>
          <w:sz w:val="22"/>
          <w:szCs w:val="22"/>
        </w:rPr>
        <w:t xml:space="preserve">. </w:t>
      </w:r>
      <w:r w:rsidR="00245FCA" w:rsidRPr="00C06F1B">
        <w:rPr>
          <w:rFonts w:ascii="Times New Roman" w:hAnsi="Times New Roman" w:cs="Times New Roman"/>
          <w:color w:val="auto"/>
          <w:sz w:val="22"/>
          <w:szCs w:val="22"/>
        </w:rPr>
        <w:t xml:space="preserve">A structural </w:t>
      </w:r>
      <w:r w:rsidR="00BE3D20" w:rsidRPr="00C06F1B">
        <w:rPr>
          <w:rFonts w:ascii="Times New Roman" w:hAnsi="Times New Roman" w:cs="Times New Roman"/>
          <w:color w:val="auto"/>
          <w:sz w:val="22"/>
          <w:szCs w:val="22"/>
        </w:rPr>
        <w:t xml:space="preserve">proposal put forward to </w:t>
      </w:r>
      <w:r w:rsidR="00245FCA" w:rsidRPr="00C06F1B">
        <w:rPr>
          <w:rFonts w:ascii="Times New Roman" w:hAnsi="Times New Roman" w:cs="Times New Roman"/>
          <w:color w:val="auto"/>
          <w:sz w:val="22"/>
          <w:szCs w:val="22"/>
        </w:rPr>
        <w:t xml:space="preserve">help </w:t>
      </w:r>
      <w:r w:rsidR="00BE3D20" w:rsidRPr="00C06F1B">
        <w:rPr>
          <w:rFonts w:ascii="Times New Roman" w:hAnsi="Times New Roman" w:cs="Times New Roman"/>
          <w:color w:val="auto"/>
          <w:sz w:val="22"/>
          <w:szCs w:val="22"/>
        </w:rPr>
        <w:t xml:space="preserve">solve the </w:t>
      </w:r>
      <w:r w:rsidR="00245FCA" w:rsidRPr="00C06F1B">
        <w:rPr>
          <w:rFonts w:ascii="Times New Roman" w:hAnsi="Times New Roman" w:cs="Times New Roman"/>
          <w:color w:val="auto"/>
          <w:sz w:val="22"/>
          <w:szCs w:val="22"/>
        </w:rPr>
        <w:t xml:space="preserve">problem </w:t>
      </w:r>
      <w:r w:rsidR="00BE3D20" w:rsidRPr="00C06F1B">
        <w:rPr>
          <w:rFonts w:ascii="Times New Roman" w:hAnsi="Times New Roman" w:cs="Times New Roman"/>
          <w:color w:val="auto"/>
          <w:sz w:val="22"/>
          <w:szCs w:val="22"/>
        </w:rPr>
        <w:t xml:space="preserve">of ‘too big </w:t>
      </w:r>
      <w:r w:rsidR="00245FCA" w:rsidRPr="00C06F1B">
        <w:rPr>
          <w:rFonts w:ascii="Times New Roman" w:hAnsi="Times New Roman" w:cs="Times New Roman"/>
          <w:color w:val="auto"/>
          <w:sz w:val="22"/>
          <w:szCs w:val="22"/>
        </w:rPr>
        <w:t xml:space="preserve">(or complex) </w:t>
      </w:r>
      <w:r w:rsidR="00BE3D20" w:rsidRPr="00C06F1B">
        <w:rPr>
          <w:rFonts w:ascii="Times New Roman" w:hAnsi="Times New Roman" w:cs="Times New Roman"/>
          <w:color w:val="auto"/>
          <w:sz w:val="22"/>
          <w:szCs w:val="22"/>
        </w:rPr>
        <w:t xml:space="preserve">to </w:t>
      </w:r>
      <w:r w:rsidR="00245FCA" w:rsidRPr="00C06F1B">
        <w:rPr>
          <w:rFonts w:ascii="Times New Roman" w:hAnsi="Times New Roman" w:cs="Times New Roman"/>
          <w:color w:val="auto"/>
          <w:sz w:val="22"/>
          <w:szCs w:val="22"/>
        </w:rPr>
        <w:t xml:space="preserve">be allowed to </w:t>
      </w:r>
      <w:r w:rsidR="00BE3D20" w:rsidRPr="00C06F1B">
        <w:rPr>
          <w:rFonts w:ascii="Times New Roman" w:hAnsi="Times New Roman" w:cs="Times New Roman"/>
          <w:color w:val="auto"/>
          <w:sz w:val="22"/>
          <w:szCs w:val="22"/>
        </w:rPr>
        <w:t xml:space="preserve">fail’ is to </w:t>
      </w:r>
      <w:r w:rsidR="00B86166" w:rsidRPr="00C06F1B">
        <w:rPr>
          <w:rFonts w:ascii="Times New Roman" w:hAnsi="Times New Roman" w:cs="Times New Roman"/>
          <w:color w:val="auto"/>
          <w:sz w:val="22"/>
          <w:szCs w:val="22"/>
        </w:rPr>
        <w:t>separat</w:t>
      </w:r>
      <w:r w:rsidR="003F17DD" w:rsidRPr="00C06F1B">
        <w:rPr>
          <w:rFonts w:ascii="Times New Roman" w:hAnsi="Times New Roman" w:cs="Times New Roman"/>
          <w:color w:val="auto"/>
          <w:sz w:val="22"/>
          <w:szCs w:val="22"/>
        </w:rPr>
        <w:t>e</w:t>
      </w:r>
      <w:r w:rsidR="00B86166" w:rsidRPr="00C06F1B">
        <w:rPr>
          <w:rFonts w:ascii="Times New Roman" w:hAnsi="Times New Roman" w:cs="Times New Roman"/>
          <w:color w:val="auto"/>
          <w:sz w:val="22"/>
          <w:szCs w:val="22"/>
        </w:rPr>
        <w:t xml:space="preserve"> </w:t>
      </w:r>
      <w:r w:rsidR="003F17DD" w:rsidRPr="00C06F1B">
        <w:rPr>
          <w:rFonts w:ascii="Times New Roman" w:hAnsi="Times New Roman" w:cs="Times New Roman"/>
          <w:color w:val="auto"/>
          <w:sz w:val="22"/>
          <w:szCs w:val="22"/>
        </w:rPr>
        <w:t xml:space="preserve">the </w:t>
      </w:r>
      <w:r w:rsidR="00B86166" w:rsidRPr="00C06F1B">
        <w:rPr>
          <w:rFonts w:ascii="Times New Roman" w:hAnsi="Times New Roman" w:cs="Times New Roman"/>
          <w:color w:val="auto"/>
          <w:sz w:val="22"/>
          <w:szCs w:val="22"/>
        </w:rPr>
        <w:t>investment and commercial banking activities</w:t>
      </w:r>
      <w:r w:rsidR="003F17DD" w:rsidRPr="00C06F1B">
        <w:rPr>
          <w:rFonts w:ascii="Times New Roman" w:hAnsi="Times New Roman" w:cs="Times New Roman"/>
          <w:color w:val="auto"/>
          <w:sz w:val="22"/>
          <w:szCs w:val="22"/>
        </w:rPr>
        <w:t xml:space="preserve"> of ‘universal banks’ within bank holding companies</w:t>
      </w:r>
      <w:r w:rsidR="00245FCA" w:rsidRPr="00C06F1B">
        <w:rPr>
          <w:rFonts w:ascii="Times New Roman" w:hAnsi="Times New Roman" w:cs="Times New Roman"/>
          <w:color w:val="auto"/>
          <w:sz w:val="22"/>
          <w:szCs w:val="22"/>
        </w:rPr>
        <w:t xml:space="preserve"> (BHCs)</w:t>
      </w:r>
      <w:r w:rsidR="003F17DD" w:rsidRPr="00C06F1B">
        <w:rPr>
          <w:rFonts w:ascii="Times New Roman" w:hAnsi="Times New Roman" w:cs="Times New Roman"/>
          <w:color w:val="auto"/>
          <w:sz w:val="22"/>
          <w:szCs w:val="22"/>
        </w:rPr>
        <w:t xml:space="preserve"> and to require them to operate as separately capitali</w:t>
      </w:r>
      <w:r w:rsidR="00763A55" w:rsidRPr="00C06F1B">
        <w:rPr>
          <w:rFonts w:ascii="Times New Roman" w:hAnsi="Times New Roman" w:cs="Times New Roman"/>
          <w:color w:val="auto"/>
          <w:sz w:val="22"/>
          <w:szCs w:val="22"/>
        </w:rPr>
        <w:t>z</w:t>
      </w:r>
      <w:r w:rsidR="003F17DD" w:rsidRPr="00C06F1B">
        <w:rPr>
          <w:rFonts w:ascii="Times New Roman" w:hAnsi="Times New Roman" w:cs="Times New Roman"/>
          <w:color w:val="auto"/>
          <w:sz w:val="22"/>
          <w:szCs w:val="22"/>
        </w:rPr>
        <w:t>ed subsidiaries</w:t>
      </w:r>
      <w:r w:rsidR="00245FCA" w:rsidRPr="00C06F1B">
        <w:rPr>
          <w:rFonts w:ascii="Times New Roman" w:hAnsi="Times New Roman" w:cs="Times New Roman"/>
          <w:color w:val="auto"/>
          <w:sz w:val="22"/>
          <w:szCs w:val="22"/>
        </w:rPr>
        <w:t>, with the aim of making it easier to let parts of the BHC fail whilst ‘resolving’ problems in the ‘utility’ part of the bank, so that it can keep functioning without unduly disrupting economic activity</w:t>
      </w:r>
      <w:r w:rsidR="00B86166" w:rsidRPr="00C06F1B">
        <w:rPr>
          <w:rFonts w:ascii="Times New Roman" w:hAnsi="Times New Roman" w:cs="Times New Roman"/>
          <w:color w:val="auto"/>
          <w:sz w:val="22"/>
          <w:szCs w:val="22"/>
        </w:rPr>
        <w:t>. In the UK</w:t>
      </w:r>
      <w:r w:rsidR="00245FCA" w:rsidRPr="00C06F1B">
        <w:rPr>
          <w:rFonts w:ascii="Times New Roman" w:hAnsi="Times New Roman" w:cs="Times New Roman"/>
          <w:color w:val="auto"/>
          <w:sz w:val="22"/>
          <w:szCs w:val="22"/>
        </w:rPr>
        <w:t xml:space="preserve"> Financial Services (</w:t>
      </w:r>
      <w:r w:rsidR="00B86166" w:rsidRPr="00C06F1B">
        <w:rPr>
          <w:rFonts w:ascii="Times New Roman" w:hAnsi="Times New Roman" w:cs="Times New Roman"/>
          <w:color w:val="auto"/>
          <w:sz w:val="22"/>
          <w:szCs w:val="22"/>
        </w:rPr>
        <w:t>Banking Reform</w:t>
      </w:r>
      <w:r w:rsidR="00245FCA" w:rsidRPr="00C06F1B">
        <w:rPr>
          <w:rFonts w:ascii="Times New Roman" w:hAnsi="Times New Roman" w:cs="Times New Roman"/>
          <w:color w:val="auto"/>
          <w:sz w:val="22"/>
          <w:szCs w:val="22"/>
        </w:rPr>
        <w:t>)</w:t>
      </w:r>
      <w:r w:rsidR="00B86166" w:rsidRPr="00C06F1B">
        <w:rPr>
          <w:rFonts w:ascii="Times New Roman" w:hAnsi="Times New Roman" w:cs="Times New Roman"/>
          <w:color w:val="auto"/>
          <w:sz w:val="22"/>
          <w:szCs w:val="22"/>
        </w:rPr>
        <w:t xml:space="preserve"> Act</w:t>
      </w:r>
      <w:r w:rsidR="003F17DD" w:rsidRPr="00C06F1B">
        <w:rPr>
          <w:rFonts w:ascii="Times New Roman" w:hAnsi="Times New Roman" w:cs="Times New Roman"/>
          <w:color w:val="auto"/>
          <w:sz w:val="22"/>
          <w:szCs w:val="22"/>
        </w:rPr>
        <w:t xml:space="preserve">, </w:t>
      </w:r>
      <w:r w:rsidR="00B86166" w:rsidRPr="00C06F1B">
        <w:rPr>
          <w:rFonts w:ascii="Times New Roman" w:hAnsi="Times New Roman" w:cs="Times New Roman"/>
          <w:color w:val="auto"/>
          <w:sz w:val="22"/>
          <w:szCs w:val="22"/>
        </w:rPr>
        <w:t xml:space="preserve">passed </w:t>
      </w:r>
      <w:r w:rsidR="005E6D1C" w:rsidRPr="00C06F1B">
        <w:rPr>
          <w:rFonts w:ascii="Times New Roman" w:hAnsi="Times New Roman" w:cs="Times New Roman"/>
          <w:color w:val="auto"/>
          <w:sz w:val="22"/>
          <w:szCs w:val="22"/>
        </w:rPr>
        <w:t>on 18 December 2013</w:t>
      </w:r>
      <w:r w:rsidR="003F17DD" w:rsidRPr="00C06F1B">
        <w:rPr>
          <w:rFonts w:ascii="Times New Roman" w:hAnsi="Times New Roman" w:cs="Times New Roman"/>
          <w:color w:val="auto"/>
          <w:sz w:val="22"/>
          <w:szCs w:val="22"/>
        </w:rPr>
        <w:t xml:space="preserve">, </w:t>
      </w:r>
      <w:r w:rsidR="00AD7A68" w:rsidRPr="00C06F1B">
        <w:rPr>
          <w:rFonts w:ascii="Times New Roman" w:hAnsi="Times New Roman" w:cs="Times New Roman"/>
          <w:color w:val="auto"/>
          <w:sz w:val="22"/>
          <w:szCs w:val="22"/>
        </w:rPr>
        <w:t xml:space="preserve">the </w:t>
      </w:r>
      <w:r w:rsidR="005E6D1C" w:rsidRPr="00C06F1B">
        <w:rPr>
          <w:rFonts w:ascii="Times New Roman" w:hAnsi="Times New Roman" w:cs="Times New Roman"/>
          <w:color w:val="auto"/>
          <w:sz w:val="22"/>
          <w:szCs w:val="22"/>
        </w:rPr>
        <w:t>‘ring fenc</w:t>
      </w:r>
      <w:r w:rsidR="00AD7A68" w:rsidRPr="00C06F1B">
        <w:rPr>
          <w:rFonts w:ascii="Times New Roman" w:hAnsi="Times New Roman" w:cs="Times New Roman"/>
          <w:color w:val="auto"/>
          <w:sz w:val="22"/>
          <w:szCs w:val="22"/>
        </w:rPr>
        <w:t>ing</w:t>
      </w:r>
      <w:r w:rsidR="005E6D1C" w:rsidRPr="00C06F1B">
        <w:rPr>
          <w:rFonts w:ascii="Times New Roman" w:hAnsi="Times New Roman" w:cs="Times New Roman"/>
          <w:color w:val="auto"/>
          <w:sz w:val="22"/>
          <w:szCs w:val="22"/>
        </w:rPr>
        <w:t xml:space="preserve">’ </w:t>
      </w:r>
      <w:r w:rsidR="00AD7A68" w:rsidRPr="00C06F1B">
        <w:rPr>
          <w:rFonts w:ascii="Times New Roman" w:hAnsi="Times New Roman" w:cs="Times New Roman"/>
          <w:color w:val="auto"/>
          <w:sz w:val="22"/>
          <w:szCs w:val="22"/>
        </w:rPr>
        <w:t xml:space="preserve">of </w:t>
      </w:r>
      <w:r w:rsidR="003F17DD" w:rsidRPr="00C06F1B">
        <w:rPr>
          <w:rFonts w:ascii="Times New Roman" w:hAnsi="Times New Roman" w:cs="Times New Roman"/>
          <w:color w:val="auto"/>
          <w:sz w:val="22"/>
          <w:szCs w:val="22"/>
        </w:rPr>
        <w:t>retail banking</w:t>
      </w:r>
      <w:r w:rsidR="00AD7A68" w:rsidRPr="00C06F1B">
        <w:rPr>
          <w:rFonts w:ascii="Times New Roman" w:hAnsi="Times New Roman" w:cs="Times New Roman"/>
          <w:color w:val="auto"/>
          <w:sz w:val="22"/>
          <w:szCs w:val="22"/>
        </w:rPr>
        <w:t xml:space="preserve"> and some commercial banking</w:t>
      </w:r>
      <w:r w:rsidR="003F17DD" w:rsidRPr="00C06F1B">
        <w:rPr>
          <w:rFonts w:ascii="Times New Roman" w:hAnsi="Times New Roman" w:cs="Times New Roman"/>
          <w:color w:val="auto"/>
          <w:sz w:val="22"/>
          <w:szCs w:val="22"/>
        </w:rPr>
        <w:t>, and thus</w:t>
      </w:r>
      <w:r w:rsidR="00763A55" w:rsidRPr="00C06F1B">
        <w:rPr>
          <w:rFonts w:ascii="Times New Roman" w:hAnsi="Times New Roman" w:cs="Times New Roman"/>
          <w:color w:val="auto"/>
          <w:sz w:val="22"/>
          <w:szCs w:val="22"/>
        </w:rPr>
        <w:t xml:space="preserve"> </w:t>
      </w:r>
      <w:r w:rsidR="00AD7A68" w:rsidRPr="00C06F1B">
        <w:rPr>
          <w:rFonts w:ascii="Times New Roman" w:hAnsi="Times New Roman" w:cs="Times New Roman"/>
          <w:color w:val="auto"/>
          <w:sz w:val="22"/>
          <w:szCs w:val="22"/>
        </w:rPr>
        <w:t xml:space="preserve">the household and small business deposits, </w:t>
      </w:r>
      <w:r w:rsidR="003F17DD" w:rsidRPr="00C06F1B">
        <w:rPr>
          <w:rFonts w:ascii="Times New Roman" w:hAnsi="Times New Roman" w:cs="Times New Roman"/>
          <w:color w:val="auto"/>
          <w:sz w:val="22"/>
          <w:szCs w:val="22"/>
        </w:rPr>
        <w:t>in line with the Indepen</w:t>
      </w:r>
      <w:r w:rsidR="00E73D67" w:rsidRPr="00C06F1B">
        <w:rPr>
          <w:rFonts w:ascii="Times New Roman" w:hAnsi="Times New Roman" w:cs="Times New Roman"/>
          <w:color w:val="auto"/>
          <w:sz w:val="22"/>
          <w:szCs w:val="22"/>
        </w:rPr>
        <w:t>dent Commission</w:t>
      </w:r>
      <w:r w:rsidR="00745C45" w:rsidRPr="00C06F1B">
        <w:rPr>
          <w:rFonts w:ascii="Times New Roman" w:hAnsi="Times New Roman" w:cs="Times New Roman"/>
          <w:color w:val="auto"/>
          <w:sz w:val="22"/>
          <w:szCs w:val="22"/>
        </w:rPr>
        <w:t xml:space="preserve"> on Banking (ICB, 2011b</w:t>
      </w:r>
      <w:r w:rsidR="003F17DD" w:rsidRPr="00C06F1B">
        <w:rPr>
          <w:rFonts w:ascii="Times New Roman" w:hAnsi="Times New Roman" w:cs="Times New Roman"/>
          <w:color w:val="auto"/>
          <w:sz w:val="22"/>
          <w:szCs w:val="22"/>
        </w:rPr>
        <w:t>) and the Parliamentary Commiss</w:t>
      </w:r>
      <w:r w:rsidR="00745C45" w:rsidRPr="00C06F1B">
        <w:rPr>
          <w:rFonts w:ascii="Times New Roman" w:hAnsi="Times New Roman" w:cs="Times New Roman"/>
          <w:color w:val="auto"/>
          <w:sz w:val="22"/>
          <w:szCs w:val="22"/>
        </w:rPr>
        <w:t>ion on Banking Standards (PCBS, 2013</w:t>
      </w:r>
      <w:r w:rsidR="003F17DD" w:rsidRPr="00C06F1B">
        <w:rPr>
          <w:rFonts w:ascii="Times New Roman" w:hAnsi="Times New Roman" w:cs="Times New Roman"/>
          <w:color w:val="auto"/>
          <w:sz w:val="22"/>
          <w:szCs w:val="22"/>
        </w:rPr>
        <w:t>) recommendations</w:t>
      </w:r>
      <w:r w:rsidR="00AD7A68" w:rsidRPr="00C06F1B">
        <w:rPr>
          <w:rFonts w:ascii="Times New Roman" w:hAnsi="Times New Roman" w:cs="Times New Roman"/>
          <w:color w:val="auto"/>
          <w:sz w:val="22"/>
          <w:szCs w:val="22"/>
        </w:rPr>
        <w:t>, was required to be implemented</w:t>
      </w:r>
      <w:r w:rsidR="00745C45" w:rsidRPr="00C06F1B">
        <w:rPr>
          <w:rFonts w:ascii="Times New Roman" w:hAnsi="Times New Roman" w:cs="Times New Roman"/>
          <w:color w:val="auto"/>
          <w:sz w:val="22"/>
          <w:szCs w:val="22"/>
        </w:rPr>
        <w:t>.</w:t>
      </w:r>
      <w:r w:rsidR="005E6D1C" w:rsidRPr="00C06F1B">
        <w:rPr>
          <w:rFonts w:ascii="Times New Roman" w:hAnsi="Times New Roman" w:cs="Times New Roman"/>
          <w:color w:val="auto"/>
          <w:sz w:val="22"/>
          <w:szCs w:val="22"/>
        </w:rPr>
        <w:t xml:space="preserve"> </w:t>
      </w:r>
      <w:r w:rsidR="00CC10CA" w:rsidRPr="00C06F1B">
        <w:rPr>
          <w:rFonts w:ascii="Times New Roman" w:hAnsi="Times New Roman" w:cs="Times New Roman"/>
          <w:color w:val="auto"/>
          <w:sz w:val="22"/>
          <w:szCs w:val="22"/>
        </w:rPr>
        <w:t xml:space="preserve">Whilst </w:t>
      </w:r>
      <w:r w:rsidR="00D478DE" w:rsidRPr="00C06F1B">
        <w:rPr>
          <w:rFonts w:ascii="Times New Roman" w:hAnsi="Times New Roman" w:cs="Times New Roman"/>
          <w:color w:val="auto"/>
          <w:sz w:val="22"/>
          <w:szCs w:val="22"/>
        </w:rPr>
        <w:t xml:space="preserve">we see </w:t>
      </w:r>
      <w:r w:rsidR="00243FD7" w:rsidRPr="00C06F1B">
        <w:rPr>
          <w:rFonts w:ascii="Times New Roman" w:hAnsi="Times New Roman" w:cs="Times New Roman"/>
          <w:color w:val="auto"/>
          <w:sz w:val="22"/>
          <w:szCs w:val="22"/>
        </w:rPr>
        <w:t>regulatory reforms are moving</w:t>
      </w:r>
      <w:r w:rsidR="00D478DE" w:rsidRPr="00C06F1B">
        <w:rPr>
          <w:rFonts w:ascii="Times New Roman" w:hAnsi="Times New Roman" w:cs="Times New Roman"/>
          <w:color w:val="auto"/>
          <w:sz w:val="22"/>
          <w:szCs w:val="22"/>
        </w:rPr>
        <w:t xml:space="preserve"> in the right direction</w:t>
      </w:r>
      <w:r w:rsidR="00CC10CA" w:rsidRPr="00C06F1B">
        <w:rPr>
          <w:rFonts w:ascii="Times New Roman" w:hAnsi="Times New Roman" w:cs="Times New Roman"/>
          <w:color w:val="auto"/>
          <w:sz w:val="22"/>
          <w:szCs w:val="22"/>
        </w:rPr>
        <w:t xml:space="preserve"> and k</w:t>
      </w:r>
      <w:r w:rsidR="00D478DE" w:rsidRPr="00C06F1B">
        <w:rPr>
          <w:rFonts w:ascii="Times New Roman" w:hAnsi="Times New Roman" w:cs="Times New Roman"/>
          <w:color w:val="auto"/>
          <w:sz w:val="22"/>
          <w:szCs w:val="22"/>
        </w:rPr>
        <w:t xml:space="preserve">eeping in </w:t>
      </w:r>
      <w:r w:rsidR="00695DE8" w:rsidRPr="00C06F1B">
        <w:rPr>
          <w:rFonts w:ascii="Times New Roman" w:hAnsi="Times New Roman" w:cs="Times New Roman"/>
          <w:color w:val="auto"/>
          <w:sz w:val="22"/>
          <w:szCs w:val="22"/>
        </w:rPr>
        <w:t xml:space="preserve">mind </w:t>
      </w:r>
      <w:r w:rsidR="00D478DE" w:rsidRPr="00C06F1B">
        <w:rPr>
          <w:rFonts w:ascii="Times New Roman" w:hAnsi="Times New Roman" w:cs="Times New Roman"/>
          <w:color w:val="auto"/>
          <w:sz w:val="22"/>
          <w:szCs w:val="22"/>
        </w:rPr>
        <w:t xml:space="preserve">the usefulness of regulations to ensure financial stability, we argue </w:t>
      </w:r>
      <w:r w:rsidR="00695DE8" w:rsidRPr="00C06F1B">
        <w:rPr>
          <w:rFonts w:ascii="Times New Roman" w:hAnsi="Times New Roman" w:cs="Times New Roman"/>
          <w:color w:val="auto"/>
          <w:sz w:val="22"/>
          <w:szCs w:val="22"/>
        </w:rPr>
        <w:t>that</w:t>
      </w:r>
      <w:r w:rsidR="00D478DE" w:rsidRPr="00C06F1B">
        <w:rPr>
          <w:rFonts w:ascii="Times New Roman" w:hAnsi="Times New Roman" w:cs="Times New Roman"/>
          <w:color w:val="auto"/>
          <w:sz w:val="22"/>
          <w:szCs w:val="22"/>
        </w:rPr>
        <w:t xml:space="preserve"> th</w:t>
      </w:r>
      <w:r w:rsidR="00CC10CA" w:rsidRPr="00C06F1B">
        <w:rPr>
          <w:rFonts w:ascii="Times New Roman" w:hAnsi="Times New Roman" w:cs="Times New Roman"/>
          <w:color w:val="auto"/>
          <w:sz w:val="22"/>
          <w:szCs w:val="22"/>
        </w:rPr>
        <w:t>e regulatory and structural</w:t>
      </w:r>
      <w:r w:rsidR="00D478DE" w:rsidRPr="00C06F1B">
        <w:rPr>
          <w:rFonts w:ascii="Times New Roman" w:hAnsi="Times New Roman" w:cs="Times New Roman"/>
          <w:color w:val="auto"/>
          <w:sz w:val="22"/>
          <w:szCs w:val="22"/>
        </w:rPr>
        <w:t xml:space="preserve"> measure</w:t>
      </w:r>
      <w:r w:rsidR="00CC10CA" w:rsidRPr="00C06F1B">
        <w:rPr>
          <w:rFonts w:ascii="Times New Roman" w:hAnsi="Times New Roman" w:cs="Times New Roman"/>
          <w:color w:val="auto"/>
          <w:sz w:val="22"/>
          <w:szCs w:val="22"/>
        </w:rPr>
        <w:t>s</w:t>
      </w:r>
      <w:r w:rsidR="00695DE8" w:rsidRPr="00C06F1B">
        <w:rPr>
          <w:rFonts w:ascii="Times New Roman" w:hAnsi="Times New Roman" w:cs="Times New Roman"/>
          <w:color w:val="auto"/>
          <w:sz w:val="22"/>
          <w:szCs w:val="22"/>
        </w:rPr>
        <w:t xml:space="preserve"> should be augmented</w:t>
      </w:r>
      <w:r w:rsidR="00D478DE" w:rsidRPr="00C06F1B">
        <w:rPr>
          <w:rFonts w:ascii="Times New Roman" w:hAnsi="Times New Roman" w:cs="Times New Roman"/>
          <w:color w:val="auto"/>
          <w:sz w:val="22"/>
          <w:szCs w:val="22"/>
        </w:rPr>
        <w:t xml:space="preserve"> </w:t>
      </w:r>
      <w:r w:rsidR="00AF56F7" w:rsidRPr="00C06F1B">
        <w:rPr>
          <w:rFonts w:ascii="Times New Roman" w:hAnsi="Times New Roman" w:cs="Times New Roman"/>
          <w:color w:val="auto"/>
          <w:sz w:val="22"/>
          <w:szCs w:val="22"/>
        </w:rPr>
        <w:t xml:space="preserve">by </w:t>
      </w:r>
      <w:r w:rsidR="00CC10CA" w:rsidRPr="00C06F1B">
        <w:rPr>
          <w:rFonts w:ascii="Times New Roman" w:hAnsi="Times New Roman" w:cs="Times New Roman"/>
          <w:color w:val="auto"/>
          <w:sz w:val="22"/>
          <w:szCs w:val="22"/>
        </w:rPr>
        <w:t xml:space="preserve">(fiscal) </w:t>
      </w:r>
      <w:r w:rsidR="00D478DE" w:rsidRPr="00C06F1B">
        <w:rPr>
          <w:rFonts w:ascii="Times New Roman" w:hAnsi="Times New Roman" w:cs="Times New Roman"/>
          <w:color w:val="auto"/>
          <w:sz w:val="22"/>
          <w:szCs w:val="22"/>
        </w:rPr>
        <w:t xml:space="preserve">taxation and </w:t>
      </w:r>
      <w:r w:rsidR="004A0792" w:rsidRPr="00C06F1B">
        <w:rPr>
          <w:rFonts w:ascii="Times New Roman" w:hAnsi="Times New Roman" w:cs="Times New Roman"/>
          <w:color w:val="auto"/>
          <w:sz w:val="22"/>
          <w:szCs w:val="22"/>
        </w:rPr>
        <w:t>also</w:t>
      </w:r>
      <w:r w:rsidR="00AF56F7" w:rsidRPr="00C06F1B">
        <w:rPr>
          <w:rFonts w:ascii="Times New Roman" w:hAnsi="Times New Roman" w:cs="Times New Roman"/>
          <w:color w:val="auto"/>
          <w:sz w:val="22"/>
          <w:szCs w:val="22"/>
        </w:rPr>
        <w:t xml:space="preserve"> that</w:t>
      </w:r>
      <w:r w:rsidR="004A0792" w:rsidRPr="00C06F1B">
        <w:rPr>
          <w:rFonts w:ascii="Times New Roman" w:hAnsi="Times New Roman" w:cs="Times New Roman"/>
          <w:color w:val="auto"/>
          <w:sz w:val="22"/>
          <w:szCs w:val="22"/>
        </w:rPr>
        <w:t xml:space="preserve"> a balance between regulation and taxation</w:t>
      </w:r>
      <w:r w:rsidR="00AF56F7" w:rsidRPr="00C06F1B">
        <w:rPr>
          <w:rFonts w:ascii="Times New Roman" w:hAnsi="Times New Roman" w:cs="Times New Roman"/>
          <w:color w:val="auto"/>
          <w:sz w:val="22"/>
          <w:szCs w:val="22"/>
        </w:rPr>
        <w:t xml:space="preserve"> should be </w:t>
      </w:r>
      <w:r w:rsidR="00CC10CA" w:rsidRPr="00C06F1B">
        <w:rPr>
          <w:rFonts w:ascii="Times New Roman" w:hAnsi="Times New Roman" w:cs="Times New Roman"/>
          <w:color w:val="auto"/>
          <w:sz w:val="22"/>
          <w:szCs w:val="22"/>
        </w:rPr>
        <w:t>aimed for</w:t>
      </w:r>
      <w:r w:rsidR="004A0792" w:rsidRPr="00C06F1B">
        <w:rPr>
          <w:rFonts w:ascii="Times New Roman" w:hAnsi="Times New Roman" w:cs="Times New Roman"/>
          <w:color w:val="auto"/>
          <w:sz w:val="22"/>
          <w:szCs w:val="22"/>
        </w:rPr>
        <w:t>. We</w:t>
      </w:r>
      <w:r w:rsidR="006C5A76" w:rsidRPr="00C06F1B">
        <w:rPr>
          <w:rFonts w:ascii="Times New Roman" w:hAnsi="Times New Roman" w:cs="Times New Roman"/>
          <w:color w:val="auto"/>
          <w:sz w:val="22"/>
          <w:szCs w:val="22"/>
        </w:rPr>
        <w:t xml:space="preserve"> support </w:t>
      </w:r>
      <w:r w:rsidR="00AE5D08" w:rsidRPr="00C06F1B">
        <w:rPr>
          <w:rFonts w:ascii="Times New Roman" w:hAnsi="Times New Roman" w:cs="Times New Roman"/>
          <w:color w:val="auto"/>
          <w:sz w:val="22"/>
          <w:szCs w:val="22"/>
        </w:rPr>
        <w:t>Adam Smith</w:t>
      </w:r>
      <w:r w:rsidR="006C5A76" w:rsidRPr="00C06F1B">
        <w:rPr>
          <w:rFonts w:ascii="Times New Roman" w:hAnsi="Times New Roman" w:cs="Times New Roman"/>
          <w:color w:val="auto"/>
          <w:sz w:val="22"/>
          <w:szCs w:val="22"/>
        </w:rPr>
        <w:t>’s</w:t>
      </w:r>
      <w:r w:rsidR="00AE5D08" w:rsidRPr="00C06F1B">
        <w:rPr>
          <w:rFonts w:ascii="Times New Roman" w:hAnsi="Times New Roman" w:cs="Times New Roman"/>
          <w:color w:val="auto"/>
          <w:sz w:val="22"/>
          <w:szCs w:val="22"/>
        </w:rPr>
        <w:t xml:space="preserve"> </w:t>
      </w:r>
      <w:r w:rsidR="00CC10CA" w:rsidRPr="00C06F1B">
        <w:rPr>
          <w:rFonts w:ascii="Times New Roman" w:hAnsi="Times New Roman" w:cs="Times New Roman"/>
          <w:color w:val="auto"/>
          <w:sz w:val="22"/>
          <w:szCs w:val="22"/>
        </w:rPr>
        <w:t xml:space="preserve">(Smith, 1776) widely accepted ‘principles’ </w:t>
      </w:r>
      <w:r w:rsidR="006C5A76" w:rsidRPr="00C06F1B">
        <w:rPr>
          <w:rFonts w:ascii="Times New Roman" w:hAnsi="Times New Roman" w:cs="Times New Roman"/>
          <w:color w:val="auto"/>
          <w:sz w:val="22"/>
          <w:szCs w:val="22"/>
        </w:rPr>
        <w:t xml:space="preserve">of fairness </w:t>
      </w:r>
      <w:r w:rsidR="00C25012" w:rsidRPr="00C06F1B">
        <w:rPr>
          <w:rFonts w:ascii="Times New Roman" w:hAnsi="Times New Roman" w:cs="Times New Roman"/>
          <w:color w:val="auto"/>
          <w:sz w:val="22"/>
          <w:szCs w:val="22"/>
        </w:rPr>
        <w:t xml:space="preserve">and efficiency </w:t>
      </w:r>
      <w:r w:rsidR="00AF56F7" w:rsidRPr="00C06F1B">
        <w:rPr>
          <w:rFonts w:ascii="Times New Roman" w:hAnsi="Times New Roman" w:cs="Times New Roman"/>
          <w:color w:val="auto"/>
          <w:sz w:val="22"/>
          <w:szCs w:val="22"/>
        </w:rPr>
        <w:t xml:space="preserve">in </w:t>
      </w:r>
      <w:r w:rsidR="00CC10CA" w:rsidRPr="00C06F1B">
        <w:rPr>
          <w:rFonts w:ascii="Times New Roman" w:hAnsi="Times New Roman" w:cs="Times New Roman"/>
          <w:color w:val="auto"/>
          <w:sz w:val="22"/>
          <w:szCs w:val="22"/>
        </w:rPr>
        <w:t>taxation and propose that they should be used to balance the regulatory and fiscal taxation of banks (and other financial institutions), noting that regulatory and fiscal taxes may potentially be interchangeable.</w:t>
      </w:r>
      <w:r w:rsidR="004A0792" w:rsidRPr="00C06F1B">
        <w:rPr>
          <w:rFonts w:ascii="Times New Roman" w:hAnsi="Times New Roman" w:cs="Times New Roman"/>
          <w:color w:val="auto"/>
          <w:sz w:val="22"/>
          <w:szCs w:val="22"/>
        </w:rPr>
        <w:t xml:space="preserve"> </w:t>
      </w:r>
    </w:p>
    <w:p w14:paraId="70525E24" w14:textId="77777777" w:rsidR="00243FD7" w:rsidRPr="00C06F1B" w:rsidRDefault="00243FD7" w:rsidP="00436F7A">
      <w:pPr>
        <w:pStyle w:val="Default"/>
        <w:spacing w:line="360" w:lineRule="auto"/>
        <w:jc w:val="both"/>
        <w:rPr>
          <w:rFonts w:ascii="Times New Roman" w:hAnsi="Times New Roman" w:cs="Times New Roman"/>
          <w:color w:val="auto"/>
          <w:sz w:val="22"/>
          <w:szCs w:val="22"/>
        </w:rPr>
      </w:pPr>
    </w:p>
    <w:p w14:paraId="7575B1E2" w14:textId="77777777" w:rsidR="00245FCA" w:rsidRPr="00C06F1B" w:rsidRDefault="00245FCA" w:rsidP="00436F7A">
      <w:pPr>
        <w:pStyle w:val="Default"/>
        <w:spacing w:line="360" w:lineRule="auto"/>
        <w:jc w:val="both"/>
        <w:rPr>
          <w:rFonts w:ascii="Times New Roman" w:hAnsi="Times New Roman" w:cs="Times New Roman"/>
          <w:color w:val="auto"/>
          <w:sz w:val="22"/>
          <w:szCs w:val="22"/>
        </w:rPr>
      </w:pPr>
    </w:p>
    <w:p w14:paraId="2016205B" w14:textId="77777777" w:rsidR="00197FA7" w:rsidRPr="00C06F1B" w:rsidRDefault="00197FA7" w:rsidP="00436F7A">
      <w:pPr>
        <w:pStyle w:val="Default"/>
        <w:spacing w:line="360" w:lineRule="auto"/>
        <w:jc w:val="both"/>
        <w:rPr>
          <w:rFonts w:ascii="Times New Roman" w:hAnsi="Times New Roman" w:cs="Times New Roman"/>
          <w:color w:val="auto"/>
          <w:sz w:val="22"/>
          <w:szCs w:val="22"/>
        </w:rPr>
      </w:pPr>
    </w:p>
    <w:p w14:paraId="1B6307B4" w14:textId="6DD01A09" w:rsidR="00BA0575" w:rsidRPr="00C06F1B" w:rsidRDefault="00730D9E" w:rsidP="00BA0575">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sz w:val="22"/>
          <w:szCs w:val="22"/>
        </w:rPr>
        <w:t xml:space="preserve">The IMF (2010) proposes the use of taxes and regulations to counteract micro- and macro-prudential risk in the financial system. </w:t>
      </w:r>
      <w:r w:rsidR="00BA0575" w:rsidRPr="00E7515A">
        <w:rPr>
          <w:rFonts w:ascii="Times New Roman" w:hAnsi="Times New Roman" w:cs="Times New Roman"/>
          <w:sz w:val="22"/>
          <w:szCs w:val="22"/>
        </w:rPr>
        <w:t xml:space="preserve">While micro-prudential supervision focuses on individual institutions, macro-prudential supervision aims to mitigate risks to the financial system as a whole (‘systemic risks’). The Bank of England (2009) highlighted that macro-prudential policy was missing in the prevailing policy framework and the gap between macro-prudential policy and micro-prudential supervision had widened over the previous decade. The focus of </w:t>
      </w:r>
      <w:r w:rsidRPr="00E7515A">
        <w:rPr>
          <w:rFonts w:ascii="Times New Roman" w:hAnsi="Times New Roman" w:cs="Times New Roman"/>
          <w:sz w:val="22"/>
          <w:szCs w:val="22"/>
        </w:rPr>
        <w:t xml:space="preserve">regulations has primarily been on micro-prudential regulation and supervision. The </w:t>
      </w:r>
      <w:r w:rsidR="00BA0575" w:rsidRPr="00E7515A">
        <w:rPr>
          <w:rFonts w:ascii="Times New Roman" w:hAnsi="Times New Roman" w:cs="Times New Roman"/>
          <w:sz w:val="22"/>
          <w:szCs w:val="22"/>
        </w:rPr>
        <w:t xml:space="preserve">GFC </w:t>
      </w:r>
      <w:r w:rsidRPr="00E7515A">
        <w:rPr>
          <w:rFonts w:ascii="Times New Roman" w:hAnsi="Times New Roman" w:cs="Times New Roman"/>
          <w:sz w:val="22"/>
          <w:szCs w:val="22"/>
        </w:rPr>
        <w:t>has emphasized the need for a macro prudential framework that can address systemic risks and hence focus on the stability of the financial system</w:t>
      </w:r>
      <w:r w:rsidR="00254E6E" w:rsidRPr="00E7515A">
        <w:rPr>
          <w:rFonts w:ascii="Times New Roman" w:hAnsi="Times New Roman" w:cs="Times New Roman"/>
          <w:sz w:val="22"/>
          <w:szCs w:val="22"/>
        </w:rPr>
        <w:t xml:space="preserve"> </w:t>
      </w:r>
      <w:r w:rsidR="00254E6E" w:rsidRPr="00E7515A">
        <w:rPr>
          <w:rFonts w:ascii="Times New Roman" w:hAnsi="Times New Roman" w:cs="Times New Roman"/>
          <w:b/>
          <w:sz w:val="22"/>
          <w:szCs w:val="22"/>
        </w:rPr>
        <w:t xml:space="preserve">by providing self-insurance and external-insurance </w:t>
      </w:r>
      <w:r w:rsidR="00994382" w:rsidRPr="00E7515A">
        <w:rPr>
          <w:rFonts w:ascii="Times New Roman" w:hAnsi="Times New Roman" w:cs="Times New Roman"/>
          <w:b/>
          <w:sz w:val="22"/>
          <w:szCs w:val="22"/>
        </w:rPr>
        <w:t>(Haldane, 2014)</w:t>
      </w:r>
      <w:r w:rsidRPr="00E7515A">
        <w:rPr>
          <w:rFonts w:ascii="Times New Roman" w:hAnsi="Times New Roman" w:cs="Times New Roman"/>
          <w:b/>
          <w:sz w:val="22"/>
          <w:szCs w:val="22"/>
        </w:rPr>
        <w:t>.</w:t>
      </w:r>
      <w:r w:rsidRPr="00E7515A">
        <w:rPr>
          <w:rFonts w:ascii="Times New Roman" w:hAnsi="Times New Roman" w:cs="Times New Roman"/>
          <w:sz w:val="22"/>
          <w:szCs w:val="22"/>
        </w:rPr>
        <w:t xml:space="preserve"> </w:t>
      </w:r>
      <w:r w:rsidR="00BA0575" w:rsidRPr="00E7515A">
        <w:rPr>
          <w:rFonts w:ascii="Times New Roman" w:hAnsi="Times New Roman" w:cs="Times New Roman"/>
          <w:sz w:val="22"/>
          <w:szCs w:val="22"/>
        </w:rPr>
        <w:t>Recently, some measures to ‘tax’ banks have been devised to measure the macro-economic impact of the financial institutions. These include: Conditional Value-at-Risk (</w:t>
      </w:r>
      <w:proofErr w:type="spellStart"/>
      <w:r w:rsidR="00BA0575" w:rsidRPr="00E7515A">
        <w:rPr>
          <w:rFonts w:ascii="Times New Roman" w:hAnsi="Times New Roman" w:cs="Times New Roman"/>
          <w:sz w:val="22"/>
          <w:szCs w:val="22"/>
        </w:rPr>
        <w:t>CoVaR</w:t>
      </w:r>
      <w:proofErr w:type="spellEnd"/>
      <w:r w:rsidR="00BA0575" w:rsidRPr="00E7515A">
        <w:rPr>
          <w:rFonts w:ascii="Times New Roman" w:hAnsi="Times New Roman" w:cs="Times New Roman"/>
          <w:sz w:val="22"/>
          <w:szCs w:val="22"/>
        </w:rPr>
        <w:t xml:space="preserve">), by Adrian and </w:t>
      </w:r>
      <w:proofErr w:type="spellStart"/>
      <w:r w:rsidR="00BA0575" w:rsidRPr="00E7515A">
        <w:rPr>
          <w:rFonts w:ascii="Times New Roman" w:hAnsi="Times New Roman" w:cs="Times New Roman"/>
          <w:sz w:val="22"/>
          <w:szCs w:val="22"/>
        </w:rPr>
        <w:t>Brunnermeier</w:t>
      </w:r>
      <w:proofErr w:type="spellEnd"/>
      <w:r w:rsidR="00BA0575" w:rsidRPr="00E7515A">
        <w:rPr>
          <w:rFonts w:ascii="Times New Roman" w:hAnsi="Times New Roman" w:cs="Times New Roman"/>
          <w:sz w:val="22"/>
          <w:szCs w:val="22"/>
        </w:rPr>
        <w:t xml:space="preserve"> (2011); Systemic Expected Shortfall (SES), by Acharya et al. (2010), proposing a tax on the default risk of a bank; and the Market-based tax by Hart and </w:t>
      </w:r>
      <w:proofErr w:type="spellStart"/>
      <w:r w:rsidR="00BA0575" w:rsidRPr="00E7515A">
        <w:rPr>
          <w:rFonts w:ascii="Times New Roman" w:hAnsi="Times New Roman" w:cs="Times New Roman"/>
          <w:sz w:val="22"/>
          <w:szCs w:val="22"/>
        </w:rPr>
        <w:t>Zingales</w:t>
      </w:r>
      <w:proofErr w:type="spellEnd"/>
      <w:r w:rsidR="00BA0575" w:rsidRPr="00E7515A">
        <w:rPr>
          <w:rFonts w:ascii="Times New Roman" w:hAnsi="Times New Roman" w:cs="Times New Roman"/>
          <w:sz w:val="22"/>
          <w:szCs w:val="22"/>
        </w:rPr>
        <w:t xml:space="preserve"> (2009), proposing a bank tax on the value of credit default swap contracts. </w:t>
      </w:r>
      <w:r w:rsidRPr="00E7515A">
        <w:rPr>
          <w:rFonts w:ascii="Times New Roman" w:hAnsi="Times New Roman" w:cs="Times New Roman"/>
          <w:sz w:val="22"/>
          <w:szCs w:val="22"/>
        </w:rPr>
        <w:t>We portray the taxation of banks as a macro-prudential regulation</w:t>
      </w:r>
      <w:r w:rsidR="00BA0575" w:rsidRPr="00E7515A">
        <w:rPr>
          <w:rFonts w:ascii="Times New Roman" w:hAnsi="Times New Roman" w:cs="Times New Roman"/>
          <w:sz w:val="22"/>
          <w:szCs w:val="22"/>
        </w:rPr>
        <w:t xml:space="preserve"> and argue that </w:t>
      </w:r>
      <w:r w:rsidR="00BA0575" w:rsidRPr="00C06F1B">
        <w:rPr>
          <w:rFonts w:ascii="Times New Roman" w:hAnsi="Times New Roman" w:cs="Times New Roman"/>
          <w:color w:val="auto"/>
          <w:sz w:val="22"/>
          <w:szCs w:val="22"/>
        </w:rPr>
        <w:t xml:space="preserve">there is a need to put fiscal taxation to compensate for the systemic risk posed by banks to the financial system and to reflect that the costs of bailing them out are not borne by the public finances. In a world of bail-outs and bail-ins, taxation can act as a measure to mitigate the problem of moral hazard because the banks can resort to pooled resources in case of a risk of default. </w:t>
      </w:r>
    </w:p>
    <w:p w14:paraId="341CD5C9" w14:textId="77777777" w:rsidR="00730D9E" w:rsidRPr="00C06F1B" w:rsidRDefault="00730D9E" w:rsidP="00436F7A">
      <w:pPr>
        <w:pStyle w:val="Default"/>
        <w:spacing w:line="360" w:lineRule="auto"/>
        <w:jc w:val="both"/>
        <w:rPr>
          <w:rFonts w:ascii="Times New Roman" w:hAnsi="Times New Roman" w:cs="Times New Roman"/>
          <w:color w:val="auto"/>
          <w:sz w:val="22"/>
          <w:szCs w:val="22"/>
        </w:rPr>
      </w:pPr>
    </w:p>
    <w:p w14:paraId="1BC5EBC3" w14:textId="4C893B3F" w:rsidR="00C777C3" w:rsidRPr="00E7515A" w:rsidRDefault="0049038A" w:rsidP="00E7515A">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In this paper, we study how banks are regulated and taxed in </w:t>
      </w:r>
      <w:r w:rsidR="007D0A11" w:rsidRPr="00C06F1B">
        <w:rPr>
          <w:rFonts w:ascii="Times New Roman" w:hAnsi="Times New Roman" w:cs="Times New Roman"/>
          <w:color w:val="auto"/>
          <w:sz w:val="22"/>
          <w:szCs w:val="22"/>
        </w:rPr>
        <w:t xml:space="preserve">a number of </w:t>
      </w:r>
      <w:r w:rsidRPr="00C06F1B">
        <w:rPr>
          <w:rFonts w:ascii="Times New Roman" w:hAnsi="Times New Roman" w:cs="Times New Roman"/>
          <w:color w:val="auto"/>
          <w:sz w:val="22"/>
          <w:szCs w:val="22"/>
        </w:rPr>
        <w:t>countr</w:t>
      </w:r>
      <w:r w:rsidR="00E36758" w:rsidRPr="00C06F1B">
        <w:rPr>
          <w:rFonts w:ascii="Times New Roman" w:hAnsi="Times New Roman" w:cs="Times New Roman"/>
          <w:color w:val="auto"/>
          <w:sz w:val="22"/>
          <w:szCs w:val="22"/>
        </w:rPr>
        <w:t xml:space="preserve">ies and </w:t>
      </w:r>
      <w:proofErr w:type="spellStart"/>
      <w:r w:rsidR="00E36758" w:rsidRPr="00C06F1B">
        <w:rPr>
          <w:rFonts w:ascii="Times New Roman" w:hAnsi="Times New Roman" w:cs="Times New Roman"/>
          <w:color w:val="auto"/>
          <w:sz w:val="22"/>
          <w:szCs w:val="22"/>
        </w:rPr>
        <w:t>analy</w:t>
      </w:r>
      <w:r w:rsidR="006F1028" w:rsidRPr="00C06F1B">
        <w:rPr>
          <w:rFonts w:ascii="Times New Roman" w:hAnsi="Times New Roman" w:cs="Times New Roman"/>
          <w:color w:val="auto"/>
          <w:sz w:val="22"/>
          <w:szCs w:val="22"/>
        </w:rPr>
        <w:t>z</w:t>
      </w:r>
      <w:r w:rsidR="00E36758" w:rsidRPr="00C06F1B">
        <w:rPr>
          <w:rFonts w:ascii="Times New Roman" w:hAnsi="Times New Roman" w:cs="Times New Roman"/>
          <w:color w:val="auto"/>
          <w:sz w:val="22"/>
          <w:szCs w:val="22"/>
        </w:rPr>
        <w:t>e</w:t>
      </w:r>
      <w:proofErr w:type="spellEnd"/>
      <w:r w:rsidR="00E36758" w:rsidRPr="00C06F1B">
        <w:rPr>
          <w:rFonts w:ascii="Times New Roman" w:hAnsi="Times New Roman" w:cs="Times New Roman"/>
          <w:color w:val="auto"/>
          <w:sz w:val="22"/>
          <w:szCs w:val="22"/>
        </w:rPr>
        <w:t xml:space="preserve"> how </w:t>
      </w:r>
      <w:r w:rsidR="006305D9" w:rsidRPr="00C06F1B">
        <w:rPr>
          <w:rFonts w:ascii="Times New Roman" w:hAnsi="Times New Roman" w:cs="Times New Roman"/>
          <w:color w:val="auto"/>
          <w:sz w:val="22"/>
          <w:szCs w:val="22"/>
        </w:rPr>
        <w:t xml:space="preserve">they </w:t>
      </w:r>
      <w:r w:rsidR="00E36758" w:rsidRPr="00C06F1B">
        <w:rPr>
          <w:rFonts w:ascii="Times New Roman" w:hAnsi="Times New Roman" w:cs="Times New Roman"/>
          <w:color w:val="auto"/>
          <w:sz w:val="22"/>
          <w:szCs w:val="22"/>
        </w:rPr>
        <w:t>could</w:t>
      </w:r>
      <w:r w:rsidRPr="00C06F1B">
        <w:rPr>
          <w:rFonts w:ascii="Times New Roman" w:hAnsi="Times New Roman" w:cs="Times New Roman"/>
          <w:color w:val="auto"/>
          <w:sz w:val="22"/>
          <w:szCs w:val="22"/>
        </w:rPr>
        <w:t xml:space="preserve"> be taxed </w:t>
      </w:r>
      <w:r w:rsidR="003401A0" w:rsidRPr="00C06F1B">
        <w:rPr>
          <w:rFonts w:ascii="Times New Roman" w:hAnsi="Times New Roman" w:cs="Times New Roman"/>
          <w:color w:val="auto"/>
          <w:sz w:val="22"/>
          <w:szCs w:val="22"/>
        </w:rPr>
        <w:t xml:space="preserve">to achieve </w:t>
      </w:r>
      <w:r w:rsidR="006F1028" w:rsidRPr="00C06F1B">
        <w:rPr>
          <w:rFonts w:ascii="Times New Roman" w:hAnsi="Times New Roman" w:cs="Times New Roman"/>
          <w:color w:val="auto"/>
          <w:sz w:val="22"/>
          <w:szCs w:val="22"/>
        </w:rPr>
        <w:t xml:space="preserve">a </w:t>
      </w:r>
      <w:r w:rsidR="007D0A11" w:rsidRPr="00C06F1B">
        <w:rPr>
          <w:rFonts w:ascii="Times New Roman" w:hAnsi="Times New Roman" w:cs="Times New Roman"/>
          <w:color w:val="auto"/>
          <w:sz w:val="22"/>
          <w:szCs w:val="22"/>
        </w:rPr>
        <w:t xml:space="preserve">fair and efficient </w:t>
      </w:r>
      <w:r w:rsidR="001C71C5" w:rsidRPr="00C06F1B">
        <w:rPr>
          <w:rFonts w:ascii="Times New Roman" w:hAnsi="Times New Roman" w:cs="Times New Roman"/>
          <w:color w:val="auto"/>
          <w:sz w:val="22"/>
          <w:szCs w:val="22"/>
        </w:rPr>
        <w:t xml:space="preserve">balance </w:t>
      </w:r>
      <w:r w:rsidRPr="00C06F1B">
        <w:rPr>
          <w:rFonts w:ascii="Times New Roman" w:hAnsi="Times New Roman" w:cs="Times New Roman"/>
          <w:color w:val="auto"/>
          <w:sz w:val="22"/>
          <w:szCs w:val="22"/>
        </w:rPr>
        <w:t xml:space="preserve">between regulatory and </w:t>
      </w:r>
      <w:r w:rsidR="007D0A11" w:rsidRPr="00C06F1B">
        <w:rPr>
          <w:rFonts w:ascii="Times New Roman" w:hAnsi="Times New Roman" w:cs="Times New Roman"/>
          <w:color w:val="auto"/>
          <w:sz w:val="22"/>
          <w:szCs w:val="22"/>
        </w:rPr>
        <w:t xml:space="preserve">fiscal taxes. Additionally, we provide </w:t>
      </w:r>
      <w:r w:rsidR="0070273B" w:rsidRPr="00C06F1B">
        <w:rPr>
          <w:rFonts w:ascii="Times New Roman" w:hAnsi="Times New Roman" w:cs="Times New Roman"/>
          <w:color w:val="auto"/>
          <w:sz w:val="22"/>
          <w:szCs w:val="22"/>
        </w:rPr>
        <w:t xml:space="preserve">an overview of the taxation of financial activities (the Financial Activities Tax, or FAT), the taxation of financial instruments trading (the Financial Transaction Tax, or FTT) and the taxation of banking products and services using a Value Added Tax, or VAT. </w:t>
      </w:r>
      <w:r w:rsidR="00C777C3" w:rsidRPr="00E7515A">
        <w:rPr>
          <w:rFonts w:ascii="Times New Roman" w:hAnsi="Times New Roman" w:cs="Times New Roman"/>
          <w:color w:val="auto"/>
          <w:sz w:val="22"/>
          <w:szCs w:val="22"/>
        </w:rPr>
        <w:t xml:space="preserve">We note that revenue from such taxes could be hypothecated in order to build both ‘bank  resolution’ and deposit guarantee funds, and also to finance bank supervisory authorities; which are normally funded out of general taxation or through levies on banks and other supervised financial institutions. </w:t>
      </w:r>
    </w:p>
    <w:p w14:paraId="787EC336" w14:textId="77777777" w:rsidR="00C777C3" w:rsidRPr="00C06F1B" w:rsidRDefault="00C777C3" w:rsidP="00436F7A">
      <w:pPr>
        <w:pStyle w:val="Default"/>
        <w:spacing w:line="360" w:lineRule="auto"/>
        <w:jc w:val="both"/>
        <w:rPr>
          <w:rFonts w:ascii="Times New Roman" w:hAnsi="Times New Roman" w:cs="Times New Roman"/>
          <w:color w:val="auto"/>
          <w:sz w:val="22"/>
          <w:szCs w:val="22"/>
        </w:rPr>
      </w:pPr>
    </w:p>
    <w:p w14:paraId="1F5B228D" w14:textId="63D33EA7" w:rsidR="009A4170" w:rsidRPr="00E7515A" w:rsidRDefault="00C777C3" w:rsidP="00E7515A">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W</w:t>
      </w:r>
      <w:r w:rsidR="00B50F23" w:rsidRPr="00C06F1B">
        <w:rPr>
          <w:rFonts w:ascii="Times New Roman" w:hAnsi="Times New Roman" w:cs="Times New Roman"/>
          <w:color w:val="auto"/>
          <w:sz w:val="22"/>
          <w:szCs w:val="22"/>
        </w:rPr>
        <w:t xml:space="preserve">e propose elimination of </w:t>
      </w:r>
      <w:r w:rsidRPr="00C06F1B">
        <w:rPr>
          <w:rFonts w:ascii="Times New Roman" w:hAnsi="Times New Roman" w:cs="Times New Roman"/>
          <w:color w:val="auto"/>
          <w:sz w:val="22"/>
          <w:szCs w:val="22"/>
        </w:rPr>
        <w:t xml:space="preserve">the </w:t>
      </w:r>
      <w:r w:rsidR="00B50F23" w:rsidRPr="00C06F1B">
        <w:rPr>
          <w:rFonts w:ascii="Times New Roman" w:hAnsi="Times New Roman" w:cs="Times New Roman"/>
          <w:color w:val="auto"/>
          <w:sz w:val="22"/>
          <w:szCs w:val="22"/>
        </w:rPr>
        <w:t>tax deductibility of</w:t>
      </w:r>
      <w:r w:rsidR="007B0588" w:rsidRPr="00C06F1B">
        <w:rPr>
          <w:rFonts w:ascii="Times New Roman" w:hAnsi="Times New Roman" w:cs="Times New Roman"/>
          <w:color w:val="auto"/>
          <w:sz w:val="22"/>
          <w:szCs w:val="22"/>
        </w:rPr>
        <w:t xml:space="preserve"> the</w:t>
      </w:r>
      <w:r w:rsidR="00B50F23" w:rsidRPr="00C06F1B">
        <w:rPr>
          <w:rFonts w:ascii="Times New Roman" w:hAnsi="Times New Roman" w:cs="Times New Roman"/>
          <w:color w:val="auto"/>
          <w:sz w:val="22"/>
          <w:szCs w:val="22"/>
        </w:rPr>
        <w:t xml:space="preserve"> ‘expensing’ of interest on debt</w:t>
      </w:r>
      <w:r w:rsidRPr="00C06F1B">
        <w:rPr>
          <w:rFonts w:ascii="Times New Roman" w:hAnsi="Times New Roman" w:cs="Times New Roman"/>
          <w:color w:val="auto"/>
          <w:sz w:val="22"/>
          <w:szCs w:val="22"/>
        </w:rPr>
        <w:t xml:space="preserve"> because</w:t>
      </w:r>
      <w:r w:rsidR="00B50F23" w:rsidRPr="00C06F1B">
        <w:rPr>
          <w:rFonts w:ascii="Times New Roman" w:hAnsi="Times New Roman" w:cs="Times New Roman"/>
          <w:color w:val="auto"/>
          <w:sz w:val="22"/>
          <w:szCs w:val="22"/>
        </w:rPr>
        <w:t xml:space="preserve"> </w:t>
      </w:r>
      <w:r w:rsidR="00203905" w:rsidRPr="00C06F1B">
        <w:rPr>
          <w:rFonts w:ascii="Times New Roman" w:hAnsi="Times New Roman" w:cs="Times New Roman"/>
          <w:color w:val="auto"/>
          <w:sz w:val="22"/>
          <w:szCs w:val="22"/>
        </w:rPr>
        <w:t>current business tax rules encourage excessive</w:t>
      </w:r>
      <w:r w:rsidR="00B50F23" w:rsidRPr="00C06F1B">
        <w:rPr>
          <w:rFonts w:ascii="Times New Roman" w:hAnsi="Times New Roman" w:cs="Times New Roman"/>
          <w:color w:val="auto"/>
          <w:sz w:val="22"/>
          <w:szCs w:val="22"/>
        </w:rPr>
        <w:t xml:space="preserve"> debt</w:t>
      </w:r>
      <w:r w:rsidRPr="00C06F1B">
        <w:rPr>
          <w:rFonts w:ascii="Times New Roman" w:hAnsi="Times New Roman" w:cs="Times New Roman"/>
          <w:color w:val="auto"/>
          <w:sz w:val="22"/>
          <w:szCs w:val="22"/>
        </w:rPr>
        <w:t xml:space="preserve"> issuance and favours debt over equity, which is in direct opposition to what bank regulations require, namely raising extra equity to make banks safer</w:t>
      </w:r>
      <w:r w:rsidR="00F57C06" w:rsidRPr="00C06F1B">
        <w:rPr>
          <w:rFonts w:ascii="Times New Roman" w:hAnsi="Times New Roman" w:cs="Times New Roman"/>
          <w:color w:val="auto"/>
          <w:sz w:val="22"/>
          <w:szCs w:val="22"/>
        </w:rPr>
        <w:t xml:space="preserve">. </w:t>
      </w:r>
      <w:r w:rsidR="00B20AE4" w:rsidRPr="00C06F1B">
        <w:rPr>
          <w:rFonts w:ascii="Times New Roman" w:hAnsi="Times New Roman" w:cs="Times New Roman"/>
          <w:color w:val="auto"/>
          <w:sz w:val="22"/>
          <w:szCs w:val="22"/>
        </w:rPr>
        <w:t>Second,</w:t>
      </w:r>
      <w:r w:rsidR="00243FD7" w:rsidRPr="00C06F1B">
        <w:rPr>
          <w:rFonts w:ascii="Times New Roman" w:hAnsi="Times New Roman" w:cs="Times New Roman"/>
          <w:color w:val="auto"/>
          <w:sz w:val="22"/>
          <w:szCs w:val="22"/>
        </w:rPr>
        <w:t xml:space="preserve"> </w:t>
      </w:r>
      <w:r w:rsidRPr="00C06F1B">
        <w:rPr>
          <w:rFonts w:ascii="Times New Roman" w:hAnsi="Times New Roman" w:cs="Times New Roman"/>
          <w:color w:val="auto"/>
          <w:sz w:val="22"/>
          <w:szCs w:val="22"/>
        </w:rPr>
        <w:t xml:space="preserve">we support the prevailing view that </w:t>
      </w:r>
      <w:r w:rsidR="00243FD7" w:rsidRPr="00C06F1B">
        <w:rPr>
          <w:rFonts w:ascii="Times New Roman" w:hAnsi="Times New Roman" w:cs="Times New Roman"/>
          <w:color w:val="auto"/>
          <w:sz w:val="22"/>
          <w:szCs w:val="22"/>
        </w:rPr>
        <w:t>a Financial Transactions Tax (</w:t>
      </w:r>
      <w:r w:rsidR="00985245" w:rsidRPr="00C06F1B">
        <w:rPr>
          <w:rFonts w:ascii="Times New Roman" w:hAnsi="Times New Roman" w:cs="Times New Roman"/>
          <w:color w:val="auto"/>
          <w:sz w:val="22"/>
          <w:szCs w:val="22"/>
        </w:rPr>
        <w:t>FTT</w:t>
      </w:r>
      <w:r w:rsidR="00243FD7" w:rsidRPr="00C06F1B">
        <w:rPr>
          <w:rFonts w:ascii="Times New Roman" w:hAnsi="Times New Roman" w:cs="Times New Roman"/>
          <w:color w:val="auto"/>
          <w:sz w:val="22"/>
          <w:szCs w:val="22"/>
        </w:rPr>
        <w:t>)</w:t>
      </w:r>
      <w:r w:rsidR="00B20AE4" w:rsidRPr="00C06F1B">
        <w:rPr>
          <w:rFonts w:ascii="Times New Roman" w:hAnsi="Times New Roman" w:cs="Times New Roman"/>
          <w:color w:val="auto"/>
          <w:sz w:val="22"/>
          <w:szCs w:val="22"/>
        </w:rPr>
        <w:t xml:space="preserve"> is </w:t>
      </w:r>
      <w:r w:rsidR="00B50F23" w:rsidRPr="00C06F1B">
        <w:rPr>
          <w:rFonts w:ascii="Times New Roman" w:hAnsi="Times New Roman" w:cs="Times New Roman"/>
          <w:color w:val="auto"/>
          <w:sz w:val="22"/>
          <w:szCs w:val="22"/>
        </w:rPr>
        <w:t xml:space="preserve">economically inefficient because it reduces market </w:t>
      </w:r>
      <w:r w:rsidR="00243FD7" w:rsidRPr="00C06F1B">
        <w:rPr>
          <w:rFonts w:ascii="Times New Roman" w:hAnsi="Times New Roman" w:cs="Times New Roman"/>
          <w:color w:val="auto"/>
          <w:sz w:val="22"/>
          <w:szCs w:val="22"/>
        </w:rPr>
        <w:t xml:space="preserve">trading </w:t>
      </w:r>
      <w:r w:rsidR="00B50F23" w:rsidRPr="00C06F1B">
        <w:rPr>
          <w:rFonts w:ascii="Times New Roman" w:hAnsi="Times New Roman" w:cs="Times New Roman"/>
          <w:color w:val="auto"/>
          <w:sz w:val="22"/>
          <w:szCs w:val="22"/>
        </w:rPr>
        <w:t xml:space="preserve">volume and liquidity and increases volatility and </w:t>
      </w:r>
      <w:r w:rsidR="00D90F34" w:rsidRPr="00C06F1B">
        <w:rPr>
          <w:rFonts w:ascii="Times New Roman" w:hAnsi="Times New Roman" w:cs="Times New Roman"/>
          <w:color w:val="auto"/>
          <w:sz w:val="22"/>
          <w:szCs w:val="22"/>
        </w:rPr>
        <w:t xml:space="preserve">the </w:t>
      </w:r>
      <w:r w:rsidR="00B50F23" w:rsidRPr="00C06F1B">
        <w:rPr>
          <w:rFonts w:ascii="Times New Roman" w:hAnsi="Times New Roman" w:cs="Times New Roman"/>
          <w:color w:val="auto"/>
          <w:sz w:val="22"/>
          <w:szCs w:val="22"/>
        </w:rPr>
        <w:t xml:space="preserve">cost of capital </w:t>
      </w:r>
      <w:r w:rsidR="00D90F34" w:rsidRPr="00EB3837">
        <w:rPr>
          <w:rFonts w:ascii="Times New Roman" w:hAnsi="Times New Roman" w:cs="Times New Roman"/>
          <w:color w:val="auto"/>
          <w:sz w:val="22"/>
          <w:szCs w:val="22"/>
        </w:rPr>
        <w:t>for</w:t>
      </w:r>
      <w:r w:rsidR="00B50F23" w:rsidRPr="00EB3837">
        <w:rPr>
          <w:rFonts w:ascii="Times New Roman" w:hAnsi="Times New Roman" w:cs="Times New Roman"/>
          <w:color w:val="auto"/>
          <w:sz w:val="22"/>
          <w:szCs w:val="22"/>
        </w:rPr>
        <w:t xml:space="preserve"> firms.</w:t>
      </w:r>
      <w:r w:rsidR="00542C4C" w:rsidRPr="00E7515A">
        <w:rPr>
          <w:rFonts w:ascii="Times New Roman" w:hAnsi="Times New Roman" w:cs="Times New Roman"/>
          <w:color w:val="auto"/>
          <w:sz w:val="22"/>
          <w:szCs w:val="22"/>
        </w:rPr>
        <w:t xml:space="preserve"> </w:t>
      </w:r>
      <w:r w:rsidR="00F10E6D" w:rsidRPr="00C06F1B">
        <w:rPr>
          <w:rFonts w:ascii="Times New Roman" w:hAnsi="Times New Roman" w:cs="Times New Roman"/>
          <w:color w:val="auto"/>
          <w:sz w:val="22"/>
          <w:szCs w:val="22"/>
        </w:rPr>
        <w:t>Third, we prefer</w:t>
      </w:r>
      <w:r w:rsidR="00542C4C" w:rsidRPr="00C06F1B">
        <w:rPr>
          <w:rFonts w:ascii="Times New Roman" w:hAnsi="Times New Roman" w:cs="Times New Roman"/>
          <w:color w:val="auto"/>
          <w:sz w:val="22"/>
          <w:szCs w:val="22"/>
        </w:rPr>
        <w:t xml:space="preserve"> UK-style stamp duty</w:t>
      </w:r>
      <w:r w:rsidR="00B20AE4" w:rsidRPr="00C06F1B">
        <w:rPr>
          <w:rFonts w:ascii="Times New Roman" w:hAnsi="Times New Roman" w:cs="Times New Roman"/>
          <w:color w:val="auto"/>
          <w:sz w:val="22"/>
          <w:szCs w:val="22"/>
        </w:rPr>
        <w:t xml:space="preserve"> on equities</w:t>
      </w:r>
      <w:r w:rsidR="00542C4C" w:rsidRPr="00C06F1B">
        <w:rPr>
          <w:rFonts w:ascii="Times New Roman" w:hAnsi="Times New Roman" w:cs="Times New Roman"/>
          <w:color w:val="auto"/>
          <w:sz w:val="22"/>
          <w:szCs w:val="22"/>
        </w:rPr>
        <w:t xml:space="preserve"> </w:t>
      </w:r>
      <w:r w:rsidR="00542C4C" w:rsidRPr="00E7515A">
        <w:rPr>
          <w:rFonts w:ascii="Times New Roman" w:hAnsi="Times New Roman" w:cs="Times New Roman"/>
          <w:color w:val="auto"/>
          <w:sz w:val="22"/>
          <w:szCs w:val="22"/>
        </w:rPr>
        <w:t>as a revenue raiser whose major benefit might be to serve as a ‘</w:t>
      </w:r>
      <w:r w:rsidR="00533502" w:rsidRPr="00533502">
        <w:rPr>
          <w:rFonts w:ascii="Times New Roman" w:hAnsi="Times New Roman" w:cs="Times New Roman"/>
          <w:color w:val="auto"/>
          <w:sz w:val="22"/>
          <w:szCs w:val="22"/>
        </w:rPr>
        <w:t>Tobin Tax’ (Tobin, 197</w:t>
      </w:r>
      <w:r w:rsidR="00542C4C" w:rsidRPr="00E7515A">
        <w:rPr>
          <w:rFonts w:ascii="Times New Roman" w:hAnsi="Times New Roman" w:cs="Times New Roman"/>
          <w:color w:val="auto"/>
          <w:sz w:val="22"/>
          <w:szCs w:val="22"/>
        </w:rPr>
        <w:t xml:space="preserve">8) discouraging wasteful over-trading of shares and ‘short-termism’. </w:t>
      </w:r>
      <w:r w:rsidR="009A4170" w:rsidRPr="00EB3837">
        <w:rPr>
          <w:rFonts w:ascii="Times New Roman" w:hAnsi="Times New Roman" w:cs="Times New Roman"/>
          <w:color w:val="auto"/>
          <w:sz w:val="22"/>
          <w:szCs w:val="22"/>
        </w:rPr>
        <w:t>Fourth</w:t>
      </w:r>
      <w:r w:rsidR="00B20AE4" w:rsidRPr="00C05F62">
        <w:rPr>
          <w:rFonts w:ascii="Times New Roman" w:hAnsi="Times New Roman" w:cs="Times New Roman"/>
          <w:color w:val="auto"/>
          <w:sz w:val="22"/>
          <w:szCs w:val="22"/>
        </w:rPr>
        <w:t xml:space="preserve">, we propose the </w:t>
      </w:r>
      <w:r w:rsidR="009A4170" w:rsidRPr="00B3127F">
        <w:rPr>
          <w:rFonts w:ascii="Times New Roman" w:hAnsi="Times New Roman" w:cs="Times New Roman"/>
          <w:color w:val="auto"/>
          <w:sz w:val="22"/>
          <w:szCs w:val="22"/>
        </w:rPr>
        <w:t>removal of the exemption</w:t>
      </w:r>
      <w:r w:rsidR="00B20AE4" w:rsidRPr="00B3127F">
        <w:rPr>
          <w:rFonts w:ascii="Times New Roman" w:hAnsi="Times New Roman" w:cs="Times New Roman"/>
          <w:color w:val="auto"/>
          <w:sz w:val="22"/>
          <w:szCs w:val="22"/>
        </w:rPr>
        <w:t xml:space="preserve"> of financial service</w:t>
      </w:r>
      <w:r w:rsidR="009A4170" w:rsidRPr="00F73326">
        <w:rPr>
          <w:rFonts w:ascii="Times New Roman" w:hAnsi="Times New Roman" w:cs="Times New Roman"/>
          <w:color w:val="auto"/>
          <w:sz w:val="22"/>
          <w:szCs w:val="22"/>
        </w:rPr>
        <w:t xml:space="preserve">s </w:t>
      </w:r>
      <w:r w:rsidR="005726D0" w:rsidRPr="00331488">
        <w:rPr>
          <w:rFonts w:ascii="Times New Roman" w:hAnsi="Times New Roman" w:cs="Times New Roman"/>
          <w:color w:val="auto"/>
          <w:sz w:val="22"/>
          <w:szCs w:val="22"/>
        </w:rPr>
        <w:t>from VAT</w:t>
      </w:r>
      <w:r w:rsidR="009A4170" w:rsidRPr="00331488">
        <w:rPr>
          <w:rFonts w:ascii="Times New Roman" w:hAnsi="Times New Roman" w:cs="Times New Roman"/>
          <w:color w:val="auto"/>
          <w:sz w:val="22"/>
          <w:szCs w:val="22"/>
        </w:rPr>
        <w:t xml:space="preserve"> in </w:t>
      </w:r>
      <w:r w:rsidR="009A4170" w:rsidRPr="00331488">
        <w:rPr>
          <w:rFonts w:ascii="Times New Roman" w:hAnsi="Times New Roman" w:cs="Times New Roman"/>
          <w:color w:val="auto"/>
          <w:sz w:val="22"/>
          <w:szCs w:val="22"/>
        </w:rPr>
        <w:lastRenderedPageBreak/>
        <w:t>order to achieve greater efficien</w:t>
      </w:r>
      <w:r w:rsidR="009A4170" w:rsidRPr="00533502">
        <w:rPr>
          <w:rFonts w:ascii="Times New Roman" w:hAnsi="Times New Roman" w:cs="Times New Roman"/>
          <w:color w:val="auto"/>
          <w:sz w:val="22"/>
          <w:szCs w:val="22"/>
        </w:rPr>
        <w:t xml:space="preserve">cy in taxation, as recommended in the </w:t>
      </w:r>
      <w:proofErr w:type="spellStart"/>
      <w:r w:rsidR="009A4170" w:rsidRPr="00533502">
        <w:rPr>
          <w:rFonts w:ascii="Times New Roman" w:hAnsi="Times New Roman" w:cs="Times New Roman"/>
          <w:color w:val="auto"/>
          <w:sz w:val="22"/>
          <w:szCs w:val="22"/>
        </w:rPr>
        <w:t>Mirrlees</w:t>
      </w:r>
      <w:proofErr w:type="spellEnd"/>
      <w:r w:rsidR="009A4170" w:rsidRPr="00533502">
        <w:rPr>
          <w:rFonts w:ascii="Times New Roman" w:hAnsi="Times New Roman" w:cs="Times New Roman"/>
          <w:color w:val="auto"/>
          <w:sz w:val="22"/>
          <w:szCs w:val="22"/>
        </w:rPr>
        <w:t xml:space="preserve"> Report (</w:t>
      </w:r>
      <w:proofErr w:type="spellStart"/>
      <w:r w:rsidR="009A4170" w:rsidRPr="00533502">
        <w:rPr>
          <w:rFonts w:ascii="Times New Roman" w:hAnsi="Times New Roman" w:cs="Times New Roman"/>
          <w:color w:val="auto"/>
          <w:sz w:val="22"/>
          <w:szCs w:val="22"/>
        </w:rPr>
        <w:t>Mirrlees</w:t>
      </w:r>
      <w:proofErr w:type="spellEnd"/>
      <w:r w:rsidR="009A4170" w:rsidRPr="00533502">
        <w:rPr>
          <w:rFonts w:ascii="Times New Roman" w:hAnsi="Times New Roman" w:cs="Times New Roman"/>
          <w:color w:val="auto"/>
          <w:sz w:val="22"/>
          <w:szCs w:val="22"/>
        </w:rPr>
        <w:t xml:space="preserve">, 2010), and to discourage over use of financial services and the elimination of </w:t>
      </w:r>
      <w:r w:rsidR="009A4170" w:rsidRPr="00985BF3">
        <w:rPr>
          <w:rFonts w:ascii="Times New Roman" w:hAnsi="Times New Roman" w:cs="Times New Roman"/>
          <w:color w:val="auto"/>
          <w:sz w:val="22"/>
          <w:szCs w:val="22"/>
        </w:rPr>
        <w:t>the distortionary ‘free banking’ system (</w:t>
      </w:r>
      <w:proofErr w:type="spellStart"/>
      <w:r w:rsidR="009A4170" w:rsidRPr="00985BF3">
        <w:rPr>
          <w:rFonts w:ascii="Times New Roman" w:hAnsi="Times New Roman" w:cs="Times New Roman"/>
          <w:color w:val="auto"/>
          <w:sz w:val="22"/>
          <w:szCs w:val="22"/>
        </w:rPr>
        <w:t>Mullineux</w:t>
      </w:r>
      <w:proofErr w:type="spellEnd"/>
      <w:r w:rsidR="009A4170" w:rsidRPr="00985BF3">
        <w:rPr>
          <w:rFonts w:ascii="Times New Roman" w:hAnsi="Times New Roman" w:cs="Times New Roman"/>
          <w:color w:val="auto"/>
          <w:sz w:val="22"/>
          <w:szCs w:val="22"/>
        </w:rPr>
        <w:t xml:space="preserve">, 2013). </w:t>
      </w:r>
      <w:r w:rsidR="00B20AE4" w:rsidRPr="00561C67">
        <w:rPr>
          <w:rFonts w:ascii="Times New Roman" w:hAnsi="Times New Roman" w:cs="Times New Roman"/>
          <w:color w:val="auto"/>
          <w:sz w:val="22"/>
          <w:szCs w:val="22"/>
        </w:rPr>
        <w:t>Sixth</w:t>
      </w:r>
      <w:r w:rsidR="00015ACE" w:rsidRPr="00DF2256">
        <w:rPr>
          <w:rFonts w:ascii="Times New Roman" w:hAnsi="Times New Roman" w:cs="Times New Roman"/>
          <w:color w:val="auto"/>
          <w:sz w:val="22"/>
          <w:szCs w:val="22"/>
        </w:rPr>
        <w:t xml:space="preserve">, </w:t>
      </w:r>
      <w:r w:rsidR="009A4170" w:rsidRPr="00DF2256">
        <w:rPr>
          <w:rFonts w:ascii="Times New Roman" w:hAnsi="Times New Roman" w:cs="Times New Roman"/>
          <w:color w:val="auto"/>
          <w:sz w:val="22"/>
          <w:szCs w:val="22"/>
        </w:rPr>
        <w:t xml:space="preserve">we note the </w:t>
      </w:r>
      <w:r w:rsidR="00203905" w:rsidRPr="00AF5C7B">
        <w:rPr>
          <w:rFonts w:ascii="Times New Roman" w:hAnsi="Times New Roman" w:cs="Times New Roman"/>
          <w:color w:val="auto"/>
          <w:sz w:val="22"/>
          <w:szCs w:val="22"/>
        </w:rPr>
        <w:t xml:space="preserve">overlap between </w:t>
      </w:r>
      <w:r w:rsidR="00203905" w:rsidRPr="002C4611">
        <w:rPr>
          <w:rFonts w:ascii="Times New Roman" w:hAnsi="Times New Roman" w:cs="Times New Roman"/>
          <w:color w:val="auto"/>
          <w:sz w:val="22"/>
          <w:szCs w:val="22"/>
        </w:rPr>
        <w:t xml:space="preserve">the </w:t>
      </w:r>
      <w:r w:rsidR="009A4170" w:rsidRPr="00E7515A">
        <w:rPr>
          <w:rFonts w:ascii="Times New Roman" w:hAnsi="Times New Roman" w:cs="Times New Roman"/>
          <w:color w:val="auto"/>
          <w:sz w:val="22"/>
          <w:szCs w:val="22"/>
        </w:rPr>
        <w:t>UK B</w:t>
      </w:r>
      <w:r w:rsidR="00203905" w:rsidRPr="00E7515A">
        <w:rPr>
          <w:rFonts w:ascii="Times New Roman" w:hAnsi="Times New Roman" w:cs="Times New Roman"/>
          <w:color w:val="auto"/>
          <w:sz w:val="22"/>
          <w:szCs w:val="22"/>
        </w:rPr>
        <w:t xml:space="preserve">ank </w:t>
      </w:r>
      <w:r w:rsidR="009A4170" w:rsidRPr="00E7515A">
        <w:rPr>
          <w:rFonts w:ascii="Times New Roman" w:hAnsi="Times New Roman" w:cs="Times New Roman"/>
          <w:color w:val="auto"/>
          <w:sz w:val="22"/>
          <w:szCs w:val="22"/>
        </w:rPr>
        <w:t>L</w:t>
      </w:r>
      <w:r w:rsidR="00203905" w:rsidRPr="00E7515A">
        <w:rPr>
          <w:rFonts w:ascii="Times New Roman" w:hAnsi="Times New Roman" w:cs="Times New Roman"/>
          <w:color w:val="auto"/>
          <w:sz w:val="22"/>
          <w:szCs w:val="22"/>
        </w:rPr>
        <w:t xml:space="preserve">evy </w:t>
      </w:r>
      <w:r w:rsidR="009A4170" w:rsidRPr="00E7515A">
        <w:rPr>
          <w:rFonts w:ascii="Times New Roman" w:hAnsi="Times New Roman" w:cs="Times New Roman"/>
          <w:color w:val="auto"/>
          <w:sz w:val="22"/>
          <w:szCs w:val="22"/>
        </w:rPr>
        <w:t xml:space="preserve">(HM Treasury, 2010), which was initially designed to discourage reliance on wholesale money market funding in favour of retail deposits taking, but has increasingly been used to hit revenue raising targets, </w:t>
      </w:r>
      <w:r w:rsidR="00203905" w:rsidRPr="00C06F1B">
        <w:rPr>
          <w:rFonts w:ascii="Times New Roman" w:hAnsi="Times New Roman" w:cs="Times New Roman"/>
          <w:color w:val="auto"/>
          <w:sz w:val="22"/>
          <w:szCs w:val="22"/>
        </w:rPr>
        <w:t xml:space="preserve">and </w:t>
      </w:r>
      <w:r w:rsidR="005726D0" w:rsidRPr="00C06F1B">
        <w:rPr>
          <w:rFonts w:ascii="Times New Roman" w:hAnsi="Times New Roman" w:cs="Times New Roman"/>
          <w:color w:val="auto"/>
          <w:sz w:val="22"/>
          <w:szCs w:val="22"/>
        </w:rPr>
        <w:t xml:space="preserve">the </w:t>
      </w:r>
      <w:r w:rsidR="00203905" w:rsidRPr="00C06F1B">
        <w:rPr>
          <w:rFonts w:ascii="Times New Roman" w:hAnsi="Times New Roman" w:cs="Times New Roman"/>
          <w:color w:val="auto"/>
          <w:sz w:val="22"/>
          <w:szCs w:val="22"/>
        </w:rPr>
        <w:t>proposed Basel III Liquidity Coverage Ratio (LCR) and Net Stable Funding Ratio (NSFR)</w:t>
      </w:r>
      <w:r w:rsidR="009A4170" w:rsidRPr="00C06F1B">
        <w:rPr>
          <w:rFonts w:ascii="Times New Roman" w:hAnsi="Times New Roman" w:cs="Times New Roman"/>
          <w:color w:val="auto"/>
          <w:sz w:val="22"/>
          <w:szCs w:val="22"/>
        </w:rPr>
        <w:t>. This should be rectified to eliminate double taxation</w:t>
      </w:r>
      <w:proofErr w:type="gramStart"/>
      <w:r w:rsidR="009A4170" w:rsidRPr="00C06F1B">
        <w:rPr>
          <w:rFonts w:ascii="Times New Roman" w:hAnsi="Times New Roman" w:cs="Times New Roman"/>
          <w:color w:val="auto"/>
          <w:sz w:val="22"/>
          <w:szCs w:val="22"/>
        </w:rPr>
        <w:t>..</w:t>
      </w:r>
      <w:proofErr w:type="gramEnd"/>
      <w:r w:rsidR="005D4A31" w:rsidRPr="00C06F1B">
        <w:rPr>
          <w:rFonts w:ascii="Times New Roman" w:hAnsi="Times New Roman" w:cs="Times New Roman"/>
          <w:color w:val="auto"/>
          <w:sz w:val="22"/>
          <w:szCs w:val="22"/>
        </w:rPr>
        <w:t xml:space="preserve"> </w:t>
      </w:r>
      <w:r w:rsidR="00B20AE4" w:rsidRPr="00C06F1B">
        <w:rPr>
          <w:rFonts w:ascii="Times New Roman" w:hAnsi="Times New Roman" w:cs="Times New Roman"/>
          <w:color w:val="auto"/>
          <w:sz w:val="22"/>
          <w:szCs w:val="22"/>
        </w:rPr>
        <w:t>Finally</w:t>
      </w:r>
      <w:r w:rsidR="00015ACE" w:rsidRPr="00C06F1B">
        <w:rPr>
          <w:rFonts w:ascii="Times New Roman" w:hAnsi="Times New Roman" w:cs="Times New Roman"/>
          <w:color w:val="auto"/>
          <w:sz w:val="22"/>
          <w:szCs w:val="22"/>
        </w:rPr>
        <w:t>, t</w:t>
      </w:r>
      <w:r w:rsidR="00203905" w:rsidRPr="00C06F1B">
        <w:rPr>
          <w:rFonts w:ascii="Times New Roman" w:hAnsi="Times New Roman" w:cs="Times New Roman"/>
          <w:color w:val="auto"/>
          <w:sz w:val="22"/>
          <w:szCs w:val="22"/>
        </w:rPr>
        <w:t>he</w:t>
      </w:r>
      <w:r w:rsidR="005D4A31" w:rsidRPr="00C06F1B">
        <w:rPr>
          <w:rFonts w:ascii="Times New Roman" w:hAnsi="Times New Roman" w:cs="Times New Roman"/>
          <w:color w:val="auto"/>
          <w:sz w:val="22"/>
          <w:szCs w:val="22"/>
        </w:rPr>
        <w:t xml:space="preserve"> proposed EU FTT is likely to reduce market liquidity and the proposed</w:t>
      </w:r>
      <w:r w:rsidR="00203905" w:rsidRPr="00C06F1B">
        <w:rPr>
          <w:rFonts w:ascii="Times New Roman" w:hAnsi="Times New Roman" w:cs="Times New Roman"/>
          <w:color w:val="auto"/>
          <w:sz w:val="22"/>
          <w:szCs w:val="22"/>
        </w:rPr>
        <w:t xml:space="preserve"> Basel III </w:t>
      </w:r>
      <w:r w:rsidR="005D4A31" w:rsidRPr="00C06F1B">
        <w:rPr>
          <w:rFonts w:ascii="Times New Roman" w:hAnsi="Times New Roman" w:cs="Times New Roman"/>
          <w:color w:val="auto"/>
          <w:sz w:val="22"/>
          <w:szCs w:val="22"/>
        </w:rPr>
        <w:t xml:space="preserve">liquidity ratios </w:t>
      </w:r>
      <w:r w:rsidR="009A4170" w:rsidRPr="00C06F1B">
        <w:rPr>
          <w:rFonts w:ascii="Times New Roman" w:hAnsi="Times New Roman" w:cs="Times New Roman"/>
          <w:color w:val="auto"/>
          <w:sz w:val="22"/>
          <w:szCs w:val="22"/>
        </w:rPr>
        <w:t xml:space="preserve">(LCR and NSFR) </w:t>
      </w:r>
      <w:r w:rsidR="005D4A31" w:rsidRPr="00C06F1B">
        <w:rPr>
          <w:rFonts w:ascii="Times New Roman" w:hAnsi="Times New Roman" w:cs="Times New Roman"/>
          <w:color w:val="auto"/>
          <w:sz w:val="22"/>
          <w:szCs w:val="22"/>
        </w:rPr>
        <w:t xml:space="preserve">may </w:t>
      </w:r>
      <w:r w:rsidR="005726D0" w:rsidRPr="00C06F1B">
        <w:rPr>
          <w:rFonts w:ascii="Times New Roman" w:hAnsi="Times New Roman" w:cs="Times New Roman"/>
          <w:color w:val="auto"/>
          <w:sz w:val="22"/>
          <w:szCs w:val="22"/>
        </w:rPr>
        <w:t xml:space="preserve">also </w:t>
      </w:r>
      <w:r w:rsidR="005D4A31" w:rsidRPr="00C06F1B">
        <w:rPr>
          <w:rFonts w:ascii="Times New Roman" w:hAnsi="Times New Roman" w:cs="Times New Roman"/>
          <w:color w:val="auto"/>
          <w:sz w:val="22"/>
          <w:szCs w:val="22"/>
        </w:rPr>
        <w:t xml:space="preserve">reduce </w:t>
      </w:r>
      <w:r w:rsidR="005726D0" w:rsidRPr="00C06F1B">
        <w:rPr>
          <w:rFonts w:ascii="Times New Roman" w:hAnsi="Times New Roman" w:cs="Times New Roman"/>
          <w:color w:val="auto"/>
          <w:sz w:val="22"/>
          <w:szCs w:val="22"/>
        </w:rPr>
        <w:t xml:space="preserve">it </w:t>
      </w:r>
      <w:r w:rsidR="00594B7A" w:rsidRPr="00C06F1B">
        <w:rPr>
          <w:rFonts w:ascii="Times New Roman" w:hAnsi="Times New Roman" w:cs="Times New Roman"/>
          <w:color w:val="auto"/>
          <w:sz w:val="22"/>
          <w:szCs w:val="22"/>
        </w:rPr>
        <w:t xml:space="preserve">because </w:t>
      </w:r>
      <w:r w:rsidR="005726D0" w:rsidRPr="00C06F1B">
        <w:rPr>
          <w:rFonts w:ascii="Times New Roman" w:hAnsi="Times New Roman" w:cs="Times New Roman"/>
          <w:color w:val="auto"/>
          <w:sz w:val="22"/>
          <w:szCs w:val="22"/>
        </w:rPr>
        <w:t xml:space="preserve">they </w:t>
      </w:r>
      <w:r w:rsidR="00203905" w:rsidRPr="00C06F1B">
        <w:rPr>
          <w:rFonts w:ascii="Times New Roman" w:hAnsi="Times New Roman" w:cs="Times New Roman"/>
          <w:color w:val="auto"/>
          <w:sz w:val="22"/>
          <w:szCs w:val="22"/>
        </w:rPr>
        <w:t>require banks to hold more liqu</w:t>
      </w:r>
      <w:r w:rsidR="005D4A31" w:rsidRPr="00C06F1B">
        <w:rPr>
          <w:rFonts w:ascii="Times New Roman" w:hAnsi="Times New Roman" w:cs="Times New Roman"/>
          <w:color w:val="auto"/>
          <w:sz w:val="22"/>
          <w:szCs w:val="22"/>
        </w:rPr>
        <w:t>idity on their balance sheets</w:t>
      </w:r>
      <w:r w:rsidR="005726D0" w:rsidRPr="00EB3837">
        <w:rPr>
          <w:rFonts w:ascii="Times New Roman" w:hAnsi="Times New Roman" w:cs="Times New Roman"/>
          <w:color w:val="auto"/>
          <w:sz w:val="22"/>
          <w:szCs w:val="22"/>
        </w:rPr>
        <w:t>. This</w:t>
      </w:r>
      <w:r w:rsidR="00203905" w:rsidRPr="00EB3837">
        <w:rPr>
          <w:rFonts w:ascii="Times New Roman" w:hAnsi="Times New Roman" w:cs="Times New Roman"/>
          <w:color w:val="auto"/>
          <w:sz w:val="22"/>
          <w:szCs w:val="22"/>
        </w:rPr>
        <w:t xml:space="preserve"> </w:t>
      </w:r>
      <w:r w:rsidR="009A4170" w:rsidRPr="00C05F62">
        <w:rPr>
          <w:rFonts w:ascii="Times New Roman" w:hAnsi="Times New Roman" w:cs="Times New Roman"/>
          <w:color w:val="auto"/>
          <w:sz w:val="22"/>
          <w:szCs w:val="22"/>
        </w:rPr>
        <w:t>may reduce</w:t>
      </w:r>
      <w:r w:rsidR="00203905" w:rsidRPr="00331488">
        <w:rPr>
          <w:rFonts w:ascii="Times New Roman" w:hAnsi="Times New Roman" w:cs="Times New Roman"/>
          <w:color w:val="auto"/>
          <w:sz w:val="22"/>
          <w:szCs w:val="22"/>
        </w:rPr>
        <w:t xml:space="preserve"> the number of buyers in the market and </w:t>
      </w:r>
      <w:r w:rsidR="00203905" w:rsidRPr="00533502">
        <w:rPr>
          <w:rFonts w:ascii="Times New Roman" w:hAnsi="Times New Roman" w:cs="Times New Roman"/>
          <w:color w:val="auto"/>
          <w:sz w:val="22"/>
          <w:szCs w:val="22"/>
        </w:rPr>
        <w:t xml:space="preserve">could cause difficulties when many banks </w:t>
      </w:r>
      <w:r w:rsidR="009A4170" w:rsidRPr="00533502">
        <w:rPr>
          <w:rFonts w:ascii="Times New Roman" w:hAnsi="Times New Roman" w:cs="Times New Roman"/>
          <w:color w:val="auto"/>
          <w:sz w:val="22"/>
          <w:szCs w:val="22"/>
        </w:rPr>
        <w:t>are</w:t>
      </w:r>
      <w:r w:rsidR="005726D0" w:rsidRPr="00533502">
        <w:rPr>
          <w:rFonts w:ascii="Times New Roman" w:hAnsi="Times New Roman" w:cs="Times New Roman"/>
          <w:color w:val="auto"/>
          <w:sz w:val="22"/>
          <w:szCs w:val="22"/>
        </w:rPr>
        <w:t xml:space="preserve"> </w:t>
      </w:r>
      <w:r w:rsidR="00203905" w:rsidRPr="00533502">
        <w:rPr>
          <w:rFonts w:ascii="Times New Roman" w:hAnsi="Times New Roman" w:cs="Times New Roman"/>
          <w:color w:val="auto"/>
          <w:sz w:val="22"/>
          <w:szCs w:val="22"/>
        </w:rPr>
        <w:t>seek</w:t>
      </w:r>
      <w:r w:rsidR="005726D0" w:rsidRPr="00985BF3">
        <w:rPr>
          <w:rFonts w:ascii="Times New Roman" w:hAnsi="Times New Roman" w:cs="Times New Roman"/>
          <w:color w:val="auto"/>
          <w:sz w:val="22"/>
          <w:szCs w:val="22"/>
        </w:rPr>
        <w:t>ing</w:t>
      </w:r>
      <w:r w:rsidR="00203905" w:rsidRPr="00754C96">
        <w:rPr>
          <w:rFonts w:ascii="Times New Roman" w:hAnsi="Times New Roman" w:cs="Times New Roman"/>
          <w:color w:val="auto"/>
          <w:sz w:val="22"/>
          <w:szCs w:val="22"/>
        </w:rPr>
        <w:t xml:space="preserve"> to sell liquid assets following a major </w:t>
      </w:r>
      <w:r w:rsidR="009A4170" w:rsidRPr="00DF2256">
        <w:rPr>
          <w:rFonts w:ascii="Times New Roman" w:hAnsi="Times New Roman" w:cs="Times New Roman"/>
          <w:color w:val="auto"/>
          <w:sz w:val="22"/>
          <w:szCs w:val="22"/>
        </w:rPr>
        <w:t xml:space="preserve">adverse </w:t>
      </w:r>
      <w:r w:rsidR="00203905" w:rsidRPr="00DF2256">
        <w:rPr>
          <w:rFonts w:ascii="Times New Roman" w:hAnsi="Times New Roman" w:cs="Times New Roman"/>
          <w:color w:val="auto"/>
          <w:sz w:val="22"/>
          <w:szCs w:val="22"/>
        </w:rPr>
        <w:t>event.</w:t>
      </w:r>
      <w:r w:rsidR="00015ACE" w:rsidRPr="00AF5C7B">
        <w:rPr>
          <w:rFonts w:ascii="Times New Roman" w:hAnsi="Times New Roman" w:cs="Times New Roman"/>
          <w:color w:val="auto"/>
          <w:sz w:val="22"/>
          <w:szCs w:val="22"/>
        </w:rPr>
        <w:t xml:space="preserve"> </w:t>
      </w:r>
      <w:r w:rsidR="00594B7A" w:rsidRPr="00AF5C7B">
        <w:rPr>
          <w:rFonts w:ascii="Times New Roman" w:hAnsi="Times New Roman" w:cs="Times New Roman"/>
          <w:color w:val="auto"/>
          <w:sz w:val="22"/>
          <w:szCs w:val="22"/>
        </w:rPr>
        <w:t xml:space="preserve">We </w:t>
      </w:r>
      <w:r w:rsidR="009A4170" w:rsidRPr="00AF5C7B">
        <w:rPr>
          <w:rFonts w:ascii="Times New Roman" w:hAnsi="Times New Roman" w:cs="Times New Roman"/>
          <w:color w:val="auto"/>
          <w:sz w:val="22"/>
          <w:szCs w:val="22"/>
        </w:rPr>
        <w:t xml:space="preserve">thus </w:t>
      </w:r>
      <w:r w:rsidR="00594B7A" w:rsidRPr="002C4611">
        <w:rPr>
          <w:rFonts w:ascii="Times New Roman" w:hAnsi="Times New Roman" w:cs="Times New Roman"/>
          <w:color w:val="auto"/>
          <w:sz w:val="22"/>
          <w:szCs w:val="22"/>
        </w:rPr>
        <w:t xml:space="preserve">propose a cautious approach </w:t>
      </w:r>
      <w:r w:rsidR="005726D0" w:rsidRPr="002C4611">
        <w:rPr>
          <w:rFonts w:ascii="Times New Roman" w:hAnsi="Times New Roman" w:cs="Times New Roman"/>
          <w:color w:val="auto"/>
          <w:sz w:val="22"/>
          <w:szCs w:val="22"/>
        </w:rPr>
        <w:t>to</w:t>
      </w:r>
      <w:r w:rsidR="00594B7A" w:rsidRPr="00E7515A">
        <w:rPr>
          <w:rFonts w:ascii="Times New Roman" w:hAnsi="Times New Roman" w:cs="Times New Roman"/>
          <w:color w:val="auto"/>
          <w:sz w:val="22"/>
          <w:szCs w:val="22"/>
        </w:rPr>
        <w:t xml:space="preserve"> the implementation of FTT </w:t>
      </w:r>
      <w:r w:rsidR="009A4170" w:rsidRPr="00E7515A">
        <w:rPr>
          <w:rFonts w:ascii="Times New Roman" w:hAnsi="Times New Roman" w:cs="Times New Roman"/>
          <w:color w:val="auto"/>
          <w:sz w:val="22"/>
          <w:szCs w:val="22"/>
        </w:rPr>
        <w:t xml:space="preserve">on top of </w:t>
      </w:r>
      <w:r w:rsidR="00594B7A" w:rsidRPr="00E7515A">
        <w:rPr>
          <w:rFonts w:ascii="Times New Roman" w:hAnsi="Times New Roman" w:cs="Times New Roman"/>
          <w:color w:val="auto"/>
          <w:sz w:val="22"/>
          <w:szCs w:val="22"/>
        </w:rPr>
        <w:t>the Basel III liquidity ratios</w:t>
      </w:r>
      <w:r w:rsidR="009A4170" w:rsidRPr="00E7515A">
        <w:rPr>
          <w:rFonts w:ascii="Times New Roman" w:hAnsi="Times New Roman" w:cs="Times New Roman"/>
          <w:color w:val="auto"/>
          <w:sz w:val="22"/>
          <w:szCs w:val="22"/>
        </w:rPr>
        <w:t>,</w:t>
      </w:r>
      <w:r w:rsidR="009A4170" w:rsidRPr="00E7515A">
        <w:rPr>
          <w:rFonts w:ascii="Times New Roman" w:hAnsi="Times New Roman" w:cs="Times New Roman"/>
          <w:sz w:val="22"/>
          <w:szCs w:val="22"/>
        </w:rPr>
        <w:t xml:space="preserve"> </w:t>
      </w:r>
      <w:r w:rsidR="009A4170" w:rsidRPr="00E7515A">
        <w:rPr>
          <w:rFonts w:ascii="Times New Roman" w:hAnsi="Times New Roman" w:cs="Times New Roman"/>
          <w:color w:val="auto"/>
          <w:sz w:val="22"/>
          <w:szCs w:val="22"/>
        </w:rPr>
        <w:t>especially as it undermines the ‘repo’ market</w:t>
      </w:r>
      <w:r w:rsidR="009972F9" w:rsidRPr="00C06F1B">
        <w:rPr>
          <w:rFonts w:ascii="Times New Roman" w:hAnsi="Times New Roman" w:cs="Times New Roman"/>
          <w:color w:val="auto"/>
          <w:sz w:val="22"/>
          <w:szCs w:val="22"/>
        </w:rPr>
        <w:t>,</w:t>
      </w:r>
      <w:r w:rsidR="009A4170" w:rsidRPr="00E7515A">
        <w:rPr>
          <w:rFonts w:ascii="Times New Roman" w:hAnsi="Times New Roman" w:cs="Times New Roman"/>
          <w:color w:val="auto"/>
          <w:sz w:val="22"/>
          <w:szCs w:val="22"/>
        </w:rPr>
        <w:t xml:space="preserve"> which underpins the interbank markets and the central banks’ liquidity management channel.</w:t>
      </w:r>
    </w:p>
    <w:p w14:paraId="22F28104" w14:textId="3A178BD2" w:rsidR="00203905" w:rsidRPr="00C06F1B" w:rsidRDefault="00203905" w:rsidP="005F7459">
      <w:pPr>
        <w:pStyle w:val="Default"/>
        <w:spacing w:line="360" w:lineRule="auto"/>
        <w:jc w:val="both"/>
        <w:rPr>
          <w:rFonts w:ascii="Times New Roman" w:hAnsi="Times New Roman" w:cs="Times New Roman"/>
          <w:color w:val="auto"/>
          <w:sz w:val="22"/>
          <w:szCs w:val="22"/>
        </w:rPr>
      </w:pPr>
    </w:p>
    <w:p w14:paraId="4C4C4CB2" w14:textId="77777777" w:rsidR="007E657A" w:rsidRPr="00C06F1B" w:rsidRDefault="007E657A" w:rsidP="00436F7A">
      <w:pPr>
        <w:pStyle w:val="Default"/>
        <w:spacing w:line="360" w:lineRule="auto"/>
        <w:jc w:val="both"/>
        <w:rPr>
          <w:rFonts w:ascii="Times New Roman" w:hAnsi="Times New Roman" w:cs="Times New Roman"/>
          <w:color w:val="auto"/>
          <w:sz w:val="22"/>
          <w:szCs w:val="22"/>
        </w:rPr>
      </w:pPr>
    </w:p>
    <w:p w14:paraId="26272521" w14:textId="42DA007F" w:rsidR="001756A5" w:rsidRPr="00C06F1B" w:rsidRDefault="008916EC" w:rsidP="00126304">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The </w:t>
      </w:r>
      <w:r w:rsidR="00204120" w:rsidRPr="00C06F1B">
        <w:rPr>
          <w:rFonts w:ascii="Times New Roman" w:hAnsi="Times New Roman" w:cs="Times New Roman"/>
          <w:color w:val="auto"/>
          <w:sz w:val="22"/>
          <w:szCs w:val="22"/>
        </w:rPr>
        <w:t xml:space="preserve">remainder </w:t>
      </w:r>
      <w:r w:rsidRPr="00C06F1B">
        <w:rPr>
          <w:rFonts w:ascii="Times New Roman" w:hAnsi="Times New Roman" w:cs="Times New Roman"/>
          <w:color w:val="auto"/>
          <w:sz w:val="22"/>
          <w:szCs w:val="22"/>
        </w:rPr>
        <w:t>of t</w:t>
      </w:r>
      <w:r w:rsidR="00594B7A" w:rsidRPr="00C06F1B">
        <w:rPr>
          <w:rFonts w:ascii="Times New Roman" w:hAnsi="Times New Roman" w:cs="Times New Roman"/>
          <w:color w:val="auto"/>
          <w:sz w:val="22"/>
          <w:szCs w:val="22"/>
        </w:rPr>
        <w:t xml:space="preserve">he paper is organised as follows: </w:t>
      </w:r>
      <w:r w:rsidRPr="00C06F1B">
        <w:rPr>
          <w:rFonts w:ascii="Times New Roman" w:hAnsi="Times New Roman" w:cs="Times New Roman"/>
          <w:color w:val="auto"/>
          <w:sz w:val="22"/>
          <w:szCs w:val="22"/>
        </w:rPr>
        <w:t xml:space="preserve">Section 2 </w:t>
      </w:r>
      <w:r w:rsidR="00204120" w:rsidRPr="00C06F1B">
        <w:rPr>
          <w:rFonts w:ascii="Times New Roman" w:hAnsi="Times New Roman" w:cs="Times New Roman"/>
          <w:color w:val="auto"/>
          <w:sz w:val="22"/>
          <w:szCs w:val="22"/>
        </w:rPr>
        <w:t xml:space="preserve">makes a </w:t>
      </w:r>
      <w:r w:rsidRPr="00C06F1B">
        <w:rPr>
          <w:rFonts w:ascii="Times New Roman" w:hAnsi="Times New Roman" w:cs="Times New Roman"/>
          <w:color w:val="auto"/>
          <w:sz w:val="22"/>
          <w:szCs w:val="22"/>
        </w:rPr>
        <w:t xml:space="preserve">comparison </w:t>
      </w:r>
      <w:r w:rsidR="00204120" w:rsidRPr="00C06F1B">
        <w:rPr>
          <w:rFonts w:ascii="Times New Roman" w:hAnsi="Times New Roman" w:cs="Times New Roman"/>
          <w:color w:val="auto"/>
          <w:sz w:val="22"/>
          <w:szCs w:val="22"/>
        </w:rPr>
        <w:t xml:space="preserve">between </w:t>
      </w:r>
      <w:r w:rsidRPr="00C06F1B">
        <w:rPr>
          <w:rFonts w:ascii="Times New Roman" w:hAnsi="Times New Roman" w:cs="Times New Roman"/>
          <w:color w:val="auto"/>
          <w:sz w:val="22"/>
          <w:szCs w:val="22"/>
        </w:rPr>
        <w:t xml:space="preserve">regulations and taxation and section 3 provides an overview of existing taxation and related issues. Section </w:t>
      </w:r>
      <w:r w:rsidR="00196AB9" w:rsidRPr="00C06F1B">
        <w:rPr>
          <w:rFonts w:ascii="Times New Roman" w:hAnsi="Times New Roman" w:cs="Times New Roman"/>
          <w:color w:val="auto"/>
          <w:sz w:val="22"/>
          <w:szCs w:val="22"/>
        </w:rPr>
        <w:t xml:space="preserve">4 </w:t>
      </w:r>
      <w:r w:rsidRPr="00C06F1B">
        <w:rPr>
          <w:rFonts w:ascii="Times New Roman" w:hAnsi="Times New Roman" w:cs="Times New Roman"/>
          <w:color w:val="auto"/>
          <w:sz w:val="22"/>
          <w:szCs w:val="22"/>
        </w:rPr>
        <w:t xml:space="preserve">discusses </w:t>
      </w:r>
      <w:r w:rsidR="00204120" w:rsidRPr="00C06F1B">
        <w:rPr>
          <w:rFonts w:ascii="Times New Roman" w:hAnsi="Times New Roman" w:cs="Times New Roman"/>
          <w:color w:val="auto"/>
          <w:sz w:val="22"/>
          <w:szCs w:val="22"/>
        </w:rPr>
        <w:t xml:space="preserve">the </w:t>
      </w:r>
      <w:r w:rsidR="00F82C0C" w:rsidRPr="00C06F1B">
        <w:rPr>
          <w:rFonts w:ascii="Times New Roman" w:hAnsi="Times New Roman" w:cs="Times New Roman"/>
          <w:color w:val="auto"/>
          <w:sz w:val="22"/>
          <w:szCs w:val="22"/>
        </w:rPr>
        <w:t xml:space="preserve">financial taxes; </w:t>
      </w:r>
      <w:r w:rsidRPr="00C06F1B">
        <w:rPr>
          <w:rFonts w:ascii="Times New Roman" w:hAnsi="Times New Roman" w:cs="Times New Roman"/>
          <w:color w:val="auto"/>
          <w:sz w:val="22"/>
          <w:szCs w:val="22"/>
        </w:rPr>
        <w:t xml:space="preserve">section 5 provides </w:t>
      </w:r>
      <w:r w:rsidR="00204120" w:rsidRPr="00C06F1B">
        <w:rPr>
          <w:rFonts w:ascii="Times New Roman" w:hAnsi="Times New Roman" w:cs="Times New Roman"/>
          <w:color w:val="auto"/>
          <w:sz w:val="22"/>
          <w:szCs w:val="22"/>
        </w:rPr>
        <w:t xml:space="preserve">the </w:t>
      </w:r>
      <w:r w:rsidR="00F82C0C" w:rsidRPr="00C06F1B">
        <w:rPr>
          <w:rFonts w:ascii="Times New Roman" w:hAnsi="Times New Roman" w:cs="Times New Roman"/>
          <w:color w:val="auto"/>
          <w:sz w:val="22"/>
          <w:szCs w:val="22"/>
        </w:rPr>
        <w:t xml:space="preserve">policy recommendations and section 6 concludes </w:t>
      </w:r>
      <w:r w:rsidRPr="00C06F1B">
        <w:rPr>
          <w:rFonts w:ascii="Times New Roman" w:hAnsi="Times New Roman" w:cs="Times New Roman"/>
          <w:color w:val="auto"/>
          <w:sz w:val="22"/>
          <w:szCs w:val="22"/>
        </w:rPr>
        <w:t xml:space="preserve">the paper. </w:t>
      </w:r>
    </w:p>
    <w:p w14:paraId="46C81C02" w14:textId="77777777" w:rsidR="00126304" w:rsidRPr="00C06F1B" w:rsidRDefault="00126304" w:rsidP="00126304">
      <w:pPr>
        <w:pStyle w:val="Default"/>
        <w:spacing w:line="360" w:lineRule="auto"/>
        <w:jc w:val="both"/>
        <w:rPr>
          <w:rFonts w:ascii="Times New Roman" w:hAnsi="Times New Roman" w:cs="Times New Roman"/>
          <w:color w:val="auto"/>
          <w:sz w:val="22"/>
          <w:szCs w:val="22"/>
        </w:rPr>
      </w:pPr>
    </w:p>
    <w:p w14:paraId="05E75B56" w14:textId="77777777" w:rsidR="00060939" w:rsidRPr="00C06F1B" w:rsidRDefault="002B0FF9" w:rsidP="00126304">
      <w:pPr>
        <w:pStyle w:val="CM20"/>
        <w:spacing w:after="195"/>
        <w:jc w:val="both"/>
        <w:rPr>
          <w:rFonts w:ascii="Times New Roman" w:hAnsi="Times New Roman"/>
          <w:b/>
          <w:i/>
          <w:iCs/>
          <w:sz w:val="22"/>
          <w:szCs w:val="22"/>
        </w:rPr>
      </w:pPr>
      <w:r w:rsidRPr="00E7515A">
        <w:rPr>
          <w:rFonts w:ascii="Times New Roman" w:hAnsi="Times New Roman"/>
          <w:b/>
          <w:i/>
          <w:iCs/>
          <w:sz w:val="22"/>
          <w:szCs w:val="22"/>
        </w:rPr>
        <w:t>2</w:t>
      </w:r>
      <w:r w:rsidR="00060939" w:rsidRPr="00E7515A">
        <w:rPr>
          <w:rFonts w:ascii="Times New Roman" w:hAnsi="Times New Roman"/>
          <w:b/>
          <w:i/>
          <w:iCs/>
          <w:sz w:val="22"/>
          <w:szCs w:val="22"/>
        </w:rPr>
        <w:t>. Regulations and Taxation</w:t>
      </w:r>
    </w:p>
    <w:p w14:paraId="1036F5AE" w14:textId="1DD04298" w:rsidR="00B73441" w:rsidRPr="00C06F1B" w:rsidRDefault="00F01856" w:rsidP="00B73441">
      <w:pPr>
        <w:spacing w:line="360" w:lineRule="auto"/>
        <w:jc w:val="both"/>
        <w:rPr>
          <w:rFonts w:ascii="Times New Roman" w:hAnsi="Times New Roman"/>
        </w:rPr>
      </w:pPr>
      <w:r w:rsidRPr="00E7515A">
        <w:rPr>
          <w:rFonts w:ascii="Times New Roman" w:hAnsi="Times New Roman"/>
        </w:rPr>
        <w:t>Th</w:t>
      </w:r>
      <w:r w:rsidR="00C43E37" w:rsidRPr="00E7515A">
        <w:rPr>
          <w:rFonts w:ascii="Times New Roman" w:hAnsi="Times New Roman"/>
        </w:rPr>
        <w:t xml:space="preserve">e IMF’s (2010) </w:t>
      </w:r>
      <w:r w:rsidRPr="00E7515A">
        <w:rPr>
          <w:rFonts w:ascii="Times New Roman" w:hAnsi="Times New Roman"/>
        </w:rPr>
        <w:t>idea of using regulatory and other policy measures</w:t>
      </w:r>
      <w:r w:rsidR="00AE34D0" w:rsidRPr="00E7515A">
        <w:rPr>
          <w:rFonts w:ascii="Times New Roman" w:hAnsi="Times New Roman"/>
        </w:rPr>
        <w:t>,</w:t>
      </w:r>
      <w:r w:rsidRPr="00E7515A">
        <w:rPr>
          <w:rFonts w:ascii="Times New Roman" w:hAnsi="Times New Roman"/>
        </w:rPr>
        <w:t xml:space="preserve"> including</w:t>
      </w:r>
      <w:r w:rsidR="00AE34D0" w:rsidRPr="00E7515A">
        <w:rPr>
          <w:rFonts w:ascii="Times New Roman" w:hAnsi="Times New Roman"/>
        </w:rPr>
        <w:t xml:space="preserve"> the</w:t>
      </w:r>
      <w:r w:rsidRPr="00E7515A">
        <w:rPr>
          <w:rFonts w:ascii="Times New Roman" w:hAnsi="Times New Roman"/>
        </w:rPr>
        <w:t xml:space="preserve"> implementation of </w:t>
      </w:r>
      <w:r w:rsidR="00AE34D0" w:rsidRPr="00E7515A">
        <w:rPr>
          <w:rFonts w:ascii="Times New Roman" w:hAnsi="Times New Roman"/>
        </w:rPr>
        <w:t>taxes</w:t>
      </w:r>
      <w:r w:rsidRPr="00E7515A">
        <w:rPr>
          <w:rFonts w:ascii="Times New Roman" w:hAnsi="Times New Roman"/>
        </w:rPr>
        <w:t xml:space="preserve"> and surcharge</w:t>
      </w:r>
      <w:r w:rsidR="00AE34D0" w:rsidRPr="00E7515A">
        <w:rPr>
          <w:rFonts w:ascii="Times New Roman" w:hAnsi="Times New Roman"/>
        </w:rPr>
        <w:t>,</w:t>
      </w:r>
      <w:r w:rsidRPr="00E7515A">
        <w:rPr>
          <w:rFonts w:ascii="Times New Roman" w:hAnsi="Times New Roman"/>
        </w:rPr>
        <w:t xml:space="preserve"> is not new and has been pursued by policy makers around the world for some time. For instance, a number of Asian countries have</w:t>
      </w:r>
      <w:r w:rsidR="007A55CF" w:rsidRPr="00E7515A">
        <w:rPr>
          <w:rFonts w:ascii="Times New Roman" w:hAnsi="Times New Roman"/>
        </w:rPr>
        <w:t xml:space="preserve"> long used restrictions on loan-to-</w:t>
      </w:r>
      <w:r w:rsidRPr="00E7515A">
        <w:rPr>
          <w:rFonts w:ascii="Times New Roman" w:hAnsi="Times New Roman"/>
        </w:rPr>
        <w:t xml:space="preserve">value ratios, capital inflows and other ad hoc measures to limit internal or external vulnerabilities. Over a decade ago, the </w:t>
      </w:r>
      <w:r w:rsidR="008A0F46" w:rsidRPr="00E7515A">
        <w:rPr>
          <w:rFonts w:ascii="Times New Roman" w:hAnsi="Times New Roman"/>
        </w:rPr>
        <w:t>Bank for International Settlements (</w:t>
      </w:r>
      <w:r w:rsidRPr="00E7515A">
        <w:rPr>
          <w:rFonts w:ascii="Times New Roman" w:hAnsi="Times New Roman"/>
        </w:rPr>
        <w:t>BIS</w:t>
      </w:r>
      <w:r w:rsidR="008A0F46" w:rsidRPr="00E7515A">
        <w:rPr>
          <w:rFonts w:ascii="Times New Roman" w:hAnsi="Times New Roman"/>
        </w:rPr>
        <w:t>)</w:t>
      </w:r>
      <w:r w:rsidR="007A55CF" w:rsidRPr="00E7515A">
        <w:rPr>
          <w:rFonts w:ascii="Times New Roman" w:hAnsi="Times New Roman"/>
        </w:rPr>
        <w:t xml:space="preserve"> </w:t>
      </w:r>
      <w:r w:rsidR="00AE34D0" w:rsidRPr="00E7515A">
        <w:rPr>
          <w:rFonts w:ascii="Times New Roman" w:hAnsi="Times New Roman"/>
        </w:rPr>
        <w:t xml:space="preserve">proposed </w:t>
      </w:r>
      <w:r w:rsidR="007A55CF" w:rsidRPr="00E7515A">
        <w:rPr>
          <w:rFonts w:ascii="Times New Roman" w:hAnsi="Times New Roman"/>
        </w:rPr>
        <w:t>marrying the micro</w:t>
      </w:r>
      <w:r w:rsidR="0068272E" w:rsidRPr="00E7515A">
        <w:rPr>
          <w:rFonts w:ascii="Times New Roman" w:hAnsi="Times New Roman"/>
        </w:rPr>
        <w:t>-</w:t>
      </w:r>
      <w:r w:rsidR="007A55CF" w:rsidRPr="00E7515A">
        <w:rPr>
          <w:rFonts w:ascii="Times New Roman" w:hAnsi="Times New Roman"/>
        </w:rPr>
        <w:t xml:space="preserve"> and macro</w:t>
      </w:r>
      <w:r w:rsidR="002958F5" w:rsidRPr="00E7515A">
        <w:rPr>
          <w:rFonts w:ascii="Times New Roman" w:hAnsi="Times New Roman"/>
        </w:rPr>
        <w:t>-</w:t>
      </w:r>
      <w:r w:rsidRPr="00E7515A">
        <w:rPr>
          <w:rFonts w:ascii="Times New Roman" w:hAnsi="Times New Roman"/>
        </w:rPr>
        <w:t>prudential dimensions of financial stabilit</w:t>
      </w:r>
      <w:r w:rsidR="0068272E" w:rsidRPr="00E7515A">
        <w:rPr>
          <w:rFonts w:ascii="Times New Roman" w:hAnsi="Times New Roman"/>
        </w:rPr>
        <w:t>y</w:t>
      </w:r>
      <w:r w:rsidRPr="00E7515A">
        <w:rPr>
          <w:rFonts w:ascii="Times New Roman" w:hAnsi="Times New Roman"/>
        </w:rPr>
        <w:t xml:space="preserve"> </w:t>
      </w:r>
      <w:r w:rsidR="00985245" w:rsidRPr="00E7515A">
        <w:rPr>
          <w:rFonts w:ascii="Times New Roman" w:hAnsi="Times New Roman"/>
        </w:rPr>
        <w:t>in a speech</w:t>
      </w:r>
      <w:r w:rsidRPr="00E7515A">
        <w:rPr>
          <w:rFonts w:ascii="Times New Roman" w:hAnsi="Times New Roman"/>
        </w:rPr>
        <w:t xml:space="preserve"> </w:t>
      </w:r>
      <w:r w:rsidR="0068272E" w:rsidRPr="00E7515A">
        <w:rPr>
          <w:rFonts w:ascii="Times New Roman" w:hAnsi="Times New Roman"/>
        </w:rPr>
        <w:t>by its</w:t>
      </w:r>
      <w:r w:rsidR="00EF5851" w:rsidRPr="00E7515A">
        <w:rPr>
          <w:rFonts w:ascii="Times New Roman" w:hAnsi="Times New Roman"/>
        </w:rPr>
        <w:t xml:space="preserve"> general manager</w:t>
      </w:r>
      <w:r w:rsidR="0068272E" w:rsidRPr="00E7515A">
        <w:rPr>
          <w:rFonts w:ascii="Times New Roman" w:hAnsi="Times New Roman"/>
        </w:rPr>
        <w:t xml:space="preserve"> (</w:t>
      </w:r>
      <w:r w:rsidR="00EF5851" w:rsidRPr="00E7515A">
        <w:rPr>
          <w:rFonts w:ascii="Times New Roman" w:hAnsi="Times New Roman"/>
        </w:rPr>
        <w:t>Andrew Crockett</w:t>
      </w:r>
      <w:r w:rsidR="0068272E" w:rsidRPr="00E7515A">
        <w:rPr>
          <w:rFonts w:ascii="Times New Roman" w:hAnsi="Times New Roman"/>
        </w:rPr>
        <w:t xml:space="preserve">) </w:t>
      </w:r>
      <w:r w:rsidRPr="00E7515A">
        <w:rPr>
          <w:rFonts w:ascii="Times New Roman" w:hAnsi="Times New Roman"/>
        </w:rPr>
        <w:t xml:space="preserve">that proved </w:t>
      </w:r>
      <w:r w:rsidR="0068272E" w:rsidRPr="00E7515A">
        <w:rPr>
          <w:rFonts w:ascii="Times New Roman" w:hAnsi="Times New Roman"/>
        </w:rPr>
        <w:t>prescient</w:t>
      </w:r>
      <w:r w:rsidRPr="00E7515A">
        <w:rPr>
          <w:rFonts w:ascii="Times New Roman" w:hAnsi="Times New Roman"/>
        </w:rPr>
        <w:t xml:space="preserve"> </w:t>
      </w:r>
      <w:r w:rsidR="00837144" w:rsidRPr="00E7515A">
        <w:rPr>
          <w:rFonts w:ascii="Times New Roman" w:hAnsi="Times New Roman"/>
        </w:rPr>
        <w:t>(Crockett, 2000)</w:t>
      </w:r>
      <w:r w:rsidRPr="00E7515A">
        <w:rPr>
          <w:rFonts w:ascii="Times New Roman" w:hAnsi="Times New Roman"/>
        </w:rPr>
        <w:t xml:space="preserve">. </w:t>
      </w:r>
      <w:r w:rsidR="00B73441" w:rsidRPr="00E7515A">
        <w:rPr>
          <w:rFonts w:ascii="Times New Roman" w:hAnsi="Times New Roman"/>
        </w:rPr>
        <w:t xml:space="preserve">The focus of micro-prudential supervision is on individual institutions whereas the focus of macro-prudential supervision is to mitigate risks to the financial system. </w:t>
      </w:r>
      <w:r w:rsidR="00B73441" w:rsidRPr="00C06F1B">
        <w:rPr>
          <w:rFonts w:ascii="Times New Roman" w:hAnsi="Times New Roman"/>
        </w:rPr>
        <w:t>Haldane (2014) argues that the safety of individual banks is neither a necessary nor sufficient condi</w:t>
      </w:r>
      <w:r w:rsidR="00B73441" w:rsidRPr="00E7515A">
        <w:rPr>
          <w:rFonts w:ascii="Times New Roman" w:hAnsi="Times New Roman"/>
        </w:rPr>
        <w:t>tion for systemic stability. It is not necessary because individual banks should be allowed to fail and not sufficient because the chain is only as strong as its weakest link in an integrated link.</w:t>
      </w:r>
    </w:p>
    <w:p w14:paraId="65A74368" w14:textId="697930A8" w:rsidR="003F183B" w:rsidRPr="00C06F1B" w:rsidRDefault="00BA0575" w:rsidP="00BA0575">
      <w:pPr>
        <w:pStyle w:val="NormalWeb"/>
        <w:spacing w:line="360" w:lineRule="auto"/>
        <w:jc w:val="both"/>
        <w:rPr>
          <w:sz w:val="22"/>
          <w:szCs w:val="22"/>
        </w:rPr>
      </w:pPr>
      <w:r w:rsidRPr="00E7515A">
        <w:rPr>
          <w:sz w:val="22"/>
          <w:szCs w:val="22"/>
        </w:rPr>
        <w:t xml:space="preserve">Macro-prudential supervision focuses on reducing asset price inflation, and thus the need to insure against bank failure; it hence protects taxpayers from the need for bail-outs. </w:t>
      </w:r>
      <w:r w:rsidR="003F183B" w:rsidRPr="00E7515A">
        <w:rPr>
          <w:sz w:val="22"/>
          <w:szCs w:val="22"/>
        </w:rPr>
        <w:t>The proposed</w:t>
      </w:r>
      <w:r w:rsidRPr="00E7515A">
        <w:rPr>
          <w:sz w:val="22"/>
          <w:szCs w:val="22"/>
        </w:rPr>
        <w:t xml:space="preserve"> tools </w:t>
      </w:r>
      <w:r w:rsidR="003F183B" w:rsidRPr="00E7515A">
        <w:rPr>
          <w:sz w:val="22"/>
          <w:szCs w:val="22"/>
        </w:rPr>
        <w:t xml:space="preserve">include ‘mortgage or home loan (house price) to value’ and ‘loan to income’ ratios; which can be </w:t>
      </w:r>
      <w:r w:rsidR="003F183B" w:rsidRPr="00E7515A">
        <w:rPr>
          <w:sz w:val="22"/>
          <w:szCs w:val="22"/>
        </w:rPr>
        <w:lastRenderedPageBreak/>
        <w:t>raised in response to increasing asset price inflation. They essentially credit controls that can be regarded as a targeted ‘tax’ on mortgage lending.</w:t>
      </w:r>
    </w:p>
    <w:p w14:paraId="2C4C5720" w14:textId="61F5E72E" w:rsidR="00F0698D" w:rsidRPr="00C06F1B" w:rsidRDefault="00BA0575" w:rsidP="00BA0575">
      <w:pPr>
        <w:pStyle w:val="NormalWeb"/>
        <w:spacing w:line="360" w:lineRule="auto"/>
        <w:jc w:val="both"/>
        <w:rPr>
          <w:sz w:val="22"/>
          <w:szCs w:val="22"/>
        </w:rPr>
      </w:pPr>
      <w:r w:rsidRPr="00E7515A">
        <w:rPr>
          <w:sz w:val="22"/>
          <w:szCs w:val="22"/>
        </w:rPr>
        <w:t xml:space="preserve"> </w:t>
      </w:r>
      <w:r w:rsidR="003F183B" w:rsidRPr="00E7515A">
        <w:rPr>
          <w:sz w:val="22"/>
          <w:szCs w:val="22"/>
        </w:rPr>
        <w:t xml:space="preserve">Additional macro-prudential tools have been proposed to counter the </w:t>
      </w:r>
      <w:r w:rsidRPr="00E7515A">
        <w:rPr>
          <w:sz w:val="22"/>
          <w:szCs w:val="22"/>
        </w:rPr>
        <w:t>pro</w:t>
      </w:r>
      <w:r w:rsidR="003F183B" w:rsidRPr="00E7515A">
        <w:rPr>
          <w:sz w:val="22"/>
          <w:szCs w:val="22"/>
        </w:rPr>
        <w:t>-</w:t>
      </w:r>
      <w:r w:rsidRPr="00E7515A">
        <w:rPr>
          <w:sz w:val="22"/>
          <w:szCs w:val="22"/>
        </w:rPr>
        <w:t xml:space="preserve">cyclicality of the banking system </w:t>
      </w:r>
      <w:r w:rsidR="003F183B" w:rsidRPr="00E7515A">
        <w:rPr>
          <w:sz w:val="22"/>
          <w:szCs w:val="22"/>
        </w:rPr>
        <w:t xml:space="preserve">caused by </w:t>
      </w:r>
      <w:r w:rsidRPr="00E7515A">
        <w:rPr>
          <w:sz w:val="22"/>
          <w:szCs w:val="22"/>
        </w:rPr>
        <w:t>risk-related capital adequacy</w:t>
      </w:r>
      <w:r w:rsidR="003F183B" w:rsidRPr="00E7515A">
        <w:rPr>
          <w:sz w:val="22"/>
          <w:szCs w:val="22"/>
        </w:rPr>
        <w:t>, ‘mark-to-market’ accounting,</w:t>
      </w:r>
      <w:r w:rsidRPr="00E7515A">
        <w:rPr>
          <w:sz w:val="22"/>
          <w:szCs w:val="22"/>
        </w:rPr>
        <w:t xml:space="preserve"> and backward looking provisioning against bad and doubtful debts. Examples of these are </w:t>
      </w:r>
      <w:r w:rsidR="003F183B" w:rsidRPr="00E7515A">
        <w:rPr>
          <w:sz w:val="22"/>
          <w:szCs w:val="22"/>
        </w:rPr>
        <w:t xml:space="preserve">countercyclical capital and liquidity requirements, and non-risk related </w:t>
      </w:r>
      <w:r w:rsidRPr="00E7515A">
        <w:rPr>
          <w:sz w:val="22"/>
          <w:szCs w:val="22"/>
        </w:rPr>
        <w:t>capital (‘leverage’) ratios; a levy on the outstanding debt multiplied with a factor of average time-to-maturity of a bank; and a levy on non-core liabilities (</w:t>
      </w:r>
      <w:proofErr w:type="spellStart"/>
      <w:r w:rsidRPr="00E7515A">
        <w:rPr>
          <w:sz w:val="22"/>
          <w:szCs w:val="22"/>
        </w:rPr>
        <w:t>Perotti</w:t>
      </w:r>
      <w:proofErr w:type="spellEnd"/>
      <w:r w:rsidRPr="00E7515A">
        <w:rPr>
          <w:sz w:val="22"/>
          <w:szCs w:val="22"/>
        </w:rPr>
        <w:t xml:space="preserve"> and Suarez, 2009; Shin, 2011; Hansen et al. 2011)</w:t>
      </w:r>
      <w:r w:rsidR="00716658" w:rsidRPr="00E7515A">
        <w:rPr>
          <w:sz w:val="22"/>
          <w:szCs w:val="22"/>
        </w:rPr>
        <w:t>; and forward looking provisioning, for which allowance has been made via changes in the international accounting standards to permit forward looking ‘general’ provisioning (Gaston &amp; Song, 2014)</w:t>
      </w:r>
      <w:r w:rsidRPr="00E7515A">
        <w:rPr>
          <w:sz w:val="22"/>
          <w:szCs w:val="22"/>
        </w:rPr>
        <w:t xml:space="preserve">. </w:t>
      </w:r>
    </w:p>
    <w:p w14:paraId="33151B6B" w14:textId="37E835AE" w:rsidR="000E7410" w:rsidRPr="00C06F1B" w:rsidRDefault="000E7410" w:rsidP="00E7515A">
      <w:pPr>
        <w:widowControl w:val="0"/>
        <w:autoSpaceDE w:val="0"/>
        <w:autoSpaceDN w:val="0"/>
        <w:adjustRightInd w:val="0"/>
        <w:spacing w:after="0" w:line="360" w:lineRule="auto"/>
        <w:jc w:val="both"/>
      </w:pPr>
      <w:r w:rsidRPr="00E7515A">
        <w:rPr>
          <w:rFonts w:ascii="Times New Roman" w:hAnsi="Times New Roman"/>
        </w:rPr>
        <w:t xml:space="preserve">The </w:t>
      </w:r>
      <w:r w:rsidR="00B657C8" w:rsidRPr="00E7515A">
        <w:rPr>
          <w:rFonts w:ascii="Times New Roman" w:hAnsi="Times New Roman"/>
        </w:rPr>
        <w:t xml:space="preserve">capital requirements under Basel framework </w:t>
      </w:r>
      <w:r w:rsidRPr="00E7515A">
        <w:rPr>
          <w:rFonts w:ascii="Times New Roman" w:hAnsi="Times New Roman"/>
        </w:rPr>
        <w:t xml:space="preserve">were not able to prevent banks from taking excessive </w:t>
      </w:r>
      <w:proofErr w:type="gramStart"/>
      <w:r w:rsidRPr="00E7515A">
        <w:rPr>
          <w:rFonts w:ascii="Times New Roman" w:hAnsi="Times New Roman"/>
        </w:rPr>
        <w:t>risks,</w:t>
      </w:r>
      <w:proofErr w:type="gramEnd"/>
      <w:r w:rsidRPr="00E7515A">
        <w:rPr>
          <w:rFonts w:ascii="Times New Roman" w:hAnsi="Times New Roman"/>
        </w:rPr>
        <w:t xml:space="preserve"> forcing governments to either let them fail or bail them out in the GFC. </w:t>
      </w:r>
      <w:r w:rsidR="00B657C8" w:rsidRPr="00E7515A">
        <w:rPr>
          <w:rFonts w:ascii="Times New Roman" w:hAnsi="Times New Roman"/>
        </w:rPr>
        <w:t>The proposed</w:t>
      </w:r>
      <w:r w:rsidRPr="00E7515A">
        <w:rPr>
          <w:rFonts w:ascii="Times New Roman" w:hAnsi="Times New Roman"/>
        </w:rPr>
        <w:t xml:space="preserve"> Basel III (BIS, 2011) requires banks to increase their capital ratios in order to make them more resilient. This helps to address the moral hazard problem created by implicit taxpayer insurance of banks and also helps to reassure depositors. </w:t>
      </w:r>
      <w:r w:rsidR="00B657C8" w:rsidRPr="00E7515A">
        <w:rPr>
          <w:rFonts w:ascii="Times New Roman" w:hAnsi="Times New Roman"/>
        </w:rPr>
        <w:t xml:space="preserve">However, the </w:t>
      </w:r>
      <w:r w:rsidRPr="00E7515A">
        <w:rPr>
          <w:rFonts w:ascii="Times New Roman" w:hAnsi="Times New Roman"/>
        </w:rPr>
        <w:t>Parliamentary Commission on Bankin</w:t>
      </w:r>
      <w:r w:rsidR="00B657C8" w:rsidRPr="00E7515A">
        <w:rPr>
          <w:rFonts w:ascii="Times New Roman" w:hAnsi="Times New Roman"/>
        </w:rPr>
        <w:t xml:space="preserve">g Standards (PCBS, 2013) report argues that </w:t>
      </w:r>
      <w:r w:rsidRPr="00E7515A">
        <w:rPr>
          <w:rFonts w:ascii="Times New Roman" w:hAnsi="Times New Roman"/>
        </w:rPr>
        <w:t>the proposed Basel III capital leverage ratio</w:t>
      </w:r>
      <w:r w:rsidRPr="00E7515A">
        <w:rPr>
          <w:rStyle w:val="FootnoteReference"/>
          <w:rFonts w:ascii="Times New Roman" w:hAnsi="Times New Roman"/>
        </w:rPr>
        <w:footnoteReference w:id="1"/>
      </w:r>
      <w:r w:rsidRPr="00E7515A">
        <w:rPr>
          <w:rFonts w:ascii="Times New Roman" w:hAnsi="Times New Roman"/>
        </w:rPr>
        <w:t xml:space="preserve"> of 3% is too low, and that it should be substantially higher than this level.</w:t>
      </w:r>
      <w:r w:rsidRPr="00E7515A">
        <w:rPr>
          <w:rStyle w:val="FootnoteReference"/>
          <w:rFonts w:ascii="Times New Roman" w:hAnsi="Times New Roman"/>
        </w:rPr>
        <w:footnoteReference w:id="2"/>
      </w:r>
      <w:r w:rsidRPr="00E7515A">
        <w:rPr>
          <w:rFonts w:ascii="Times New Roman" w:hAnsi="Times New Roman"/>
        </w:rPr>
        <w:t xml:space="preserve"> </w:t>
      </w:r>
      <w:proofErr w:type="spellStart"/>
      <w:r w:rsidRPr="00E7515A">
        <w:rPr>
          <w:rFonts w:ascii="Times New Roman" w:hAnsi="Times New Roman"/>
        </w:rPr>
        <w:t>Admati</w:t>
      </w:r>
      <w:proofErr w:type="spellEnd"/>
      <w:r w:rsidRPr="00E7515A">
        <w:rPr>
          <w:rFonts w:ascii="Times New Roman" w:hAnsi="Times New Roman"/>
        </w:rPr>
        <w:t xml:space="preserve"> &amp; </w:t>
      </w:r>
      <w:proofErr w:type="spellStart"/>
      <w:r w:rsidRPr="00E7515A">
        <w:rPr>
          <w:rFonts w:ascii="Times New Roman" w:hAnsi="Times New Roman"/>
        </w:rPr>
        <w:t>Hellwig</w:t>
      </w:r>
      <w:proofErr w:type="spellEnd"/>
      <w:r w:rsidRPr="00E7515A">
        <w:rPr>
          <w:rFonts w:ascii="Times New Roman" w:hAnsi="Times New Roman"/>
        </w:rPr>
        <w:t xml:space="preserve"> (2013) favour an equity ratio of 30% or more and argue that it will not reduce the lending capacity of banks; rather, it will increase it because banks will become less risky and able to raise equity more cheaply from the capital market. Because the leverage ratio is implemented on a gross and non-weighted basis, it might encourage banks to increase their exposure to high-risk, high-return lending and could potentially increase their risk exposures and lending to SMEs, </w:t>
      </w:r>
      <w:r w:rsidRPr="00E7515A">
        <w:rPr>
          <w:rFonts w:ascii="Times New Roman" w:hAnsi="Times New Roman"/>
          <w:i/>
        </w:rPr>
        <w:t>inter alia,</w:t>
      </w:r>
      <w:r w:rsidRPr="00E7515A">
        <w:rPr>
          <w:rFonts w:ascii="Times New Roman" w:hAnsi="Times New Roman"/>
        </w:rPr>
        <w:t xml:space="preserve"> helping to overcome the credit to crunch perhaps. The parallel Basel risk-weighted capital adequacy requirements would limit this tendency, however and the balance between the leverage and risk weighted capital ratios needs to be carefully thought through to avoid double taxation and distortions. </w:t>
      </w:r>
      <w:r w:rsidR="00B657C8" w:rsidRPr="00E7515A">
        <w:rPr>
          <w:rFonts w:ascii="Times New Roman" w:hAnsi="Times New Roman"/>
        </w:rPr>
        <w:t xml:space="preserve">Furthermore, as highlighted by </w:t>
      </w:r>
      <w:proofErr w:type="spellStart"/>
      <w:r w:rsidR="00B657C8" w:rsidRPr="00E7515A">
        <w:rPr>
          <w:rFonts w:ascii="Times New Roman" w:hAnsi="Times New Roman"/>
        </w:rPr>
        <w:t>Mullineux</w:t>
      </w:r>
      <w:proofErr w:type="spellEnd"/>
      <w:r w:rsidR="00B657C8" w:rsidRPr="00E7515A">
        <w:rPr>
          <w:rFonts w:ascii="Times New Roman" w:hAnsi="Times New Roman"/>
        </w:rPr>
        <w:t xml:space="preserve"> (2012), the increased emphasis on core equity will put the small saving banks at a disadvantage because they cannot issue equity, potentially reducing diversity in banking; which is widely seen as beneficial (</w:t>
      </w:r>
      <w:proofErr w:type="spellStart"/>
      <w:r w:rsidR="00B657C8" w:rsidRPr="00E7515A">
        <w:rPr>
          <w:rFonts w:ascii="Times New Roman" w:hAnsi="Times New Roman"/>
        </w:rPr>
        <w:t>Mullineux</w:t>
      </w:r>
      <w:proofErr w:type="spellEnd"/>
      <w:r w:rsidR="00B657C8" w:rsidRPr="00E7515A">
        <w:rPr>
          <w:rFonts w:ascii="Times New Roman" w:hAnsi="Times New Roman"/>
        </w:rPr>
        <w:t>, 2014).</w:t>
      </w:r>
    </w:p>
    <w:p w14:paraId="56AF6C31" w14:textId="77777777" w:rsidR="000E7410" w:rsidRPr="00E7515A" w:rsidRDefault="000E7410" w:rsidP="00EA2C64">
      <w:pPr>
        <w:pStyle w:val="Default"/>
        <w:spacing w:line="360" w:lineRule="auto"/>
        <w:jc w:val="both"/>
        <w:rPr>
          <w:rFonts w:ascii="Times New Roman" w:hAnsi="Times New Roman" w:cs="Times New Roman"/>
          <w:sz w:val="22"/>
          <w:szCs w:val="22"/>
        </w:rPr>
      </w:pPr>
    </w:p>
    <w:p w14:paraId="59119DE7" w14:textId="77777777" w:rsidR="009D73C1" w:rsidRPr="00C06F1B" w:rsidRDefault="009D73C1" w:rsidP="009D73C1">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Alongside this re-regulation, broader interest in financial sector taxation has been increasing. The </w:t>
      </w:r>
      <w:r w:rsidRPr="00C06F1B">
        <w:rPr>
          <w:rFonts w:ascii="Times New Roman" w:hAnsi="Times New Roman" w:cs="Times New Roman"/>
          <w:color w:val="auto"/>
          <w:sz w:val="22"/>
          <w:szCs w:val="22"/>
        </w:rPr>
        <w:lastRenderedPageBreak/>
        <w:t xml:space="preserve">European Commission’s (EC, 2010) report on financial sector taxation puts forward three arguments in favour of the use of taxation. They consider taxation, in addition to regulations, to be a corrective measure to reduce the risk taking activities by the financial sector. Secondly, it is a source of revenue through which banks, underpinned by taxpayers, can make a fair contribution to public finances, and thirdly, it is also a source of funding for the resolution of failed banks. However, studies such as those of </w:t>
      </w:r>
      <w:proofErr w:type="spellStart"/>
      <w:r w:rsidRPr="00C06F1B">
        <w:rPr>
          <w:rFonts w:ascii="Times New Roman" w:hAnsi="Times New Roman" w:cs="Times New Roman"/>
          <w:color w:val="auto"/>
          <w:sz w:val="22"/>
          <w:szCs w:val="22"/>
        </w:rPr>
        <w:t>Shaviro</w:t>
      </w:r>
      <w:proofErr w:type="spellEnd"/>
      <w:r w:rsidRPr="00C06F1B">
        <w:rPr>
          <w:rFonts w:ascii="Times New Roman" w:hAnsi="Times New Roman" w:cs="Times New Roman"/>
          <w:color w:val="auto"/>
          <w:sz w:val="22"/>
          <w:szCs w:val="22"/>
        </w:rPr>
        <w:t xml:space="preserve"> (2011) and </w:t>
      </w:r>
      <w:proofErr w:type="spellStart"/>
      <w:r w:rsidRPr="00C06F1B">
        <w:rPr>
          <w:rFonts w:ascii="Times New Roman" w:hAnsi="Times New Roman" w:cs="Times New Roman"/>
          <w:color w:val="auto"/>
          <w:sz w:val="22"/>
          <w:szCs w:val="22"/>
        </w:rPr>
        <w:t>Ceriani</w:t>
      </w:r>
      <w:proofErr w:type="spellEnd"/>
      <w:r w:rsidRPr="00C06F1B">
        <w:rPr>
          <w:rFonts w:ascii="Times New Roman" w:hAnsi="Times New Roman" w:cs="Times New Roman"/>
          <w:color w:val="auto"/>
          <w:sz w:val="22"/>
          <w:szCs w:val="22"/>
        </w:rPr>
        <w:t xml:space="preserve"> et al. (2011) have, however, argued that taxes have the potential to exacerbate behaviours that may have contributed to the crisis. For instance, tax rules encouraging excessive debt, as we have noted, complex financial transactions, poorly designed incentive compensation for corporate managers and highly leveraged home-ownership may have all contributed to the crisis. The last observation has been strongly supported by a recent book by </w:t>
      </w:r>
      <w:proofErr w:type="spellStart"/>
      <w:r w:rsidRPr="00C06F1B">
        <w:rPr>
          <w:rFonts w:ascii="Times New Roman" w:hAnsi="Times New Roman" w:cs="Times New Roman"/>
          <w:color w:val="auto"/>
          <w:sz w:val="22"/>
          <w:szCs w:val="22"/>
        </w:rPr>
        <w:t>Mian</w:t>
      </w:r>
      <w:proofErr w:type="spellEnd"/>
      <w:r w:rsidRPr="00C06F1B">
        <w:rPr>
          <w:rFonts w:ascii="Times New Roman" w:hAnsi="Times New Roman" w:cs="Times New Roman"/>
          <w:color w:val="auto"/>
          <w:sz w:val="22"/>
          <w:szCs w:val="22"/>
        </w:rPr>
        <w:t xml:space="preserve"> and Sufi (2014), who present a strong case that the US subprime crisis was caused by over-indebtedness and the subsequent household deleveraging was the major cause of the ‘Great American Recession’ that followed. The prevention of future cycle of housing debt requires replacing debt-based contracts with equity based home purchase contracts that allow risk sharing and provide for more debt forgiveness. Because firms can deduct interest expenses from their payable taxes, this gives a tax advantage to debt finance. Tax deductibility of interest on home loans is still permitted in the US, where there are also implicit subsidies through mortgage loan guarantees by government sponsored agencies, Switzerland, and a number of other countries, also allow tax deductibility of interest on mortgages, but they were removed in the UK over a decade ago. ‘Debt bias’ is recognised in the wider public finance literature (</w:t>
      </w:r>
      <w:proofErr w:type="spellStart"/>
      <w:r w:rsidRPr="00C06F1B">
        <w:rPr>
          <w:rFonts w:ascii="Times New Roman" w:hAnsi="Times New Roman" w:cs="Times New Roman"/>
          <w:color w:val="auto"/>
          <w:sz w:val="22"/>
          <w:szCs w:val="22"/>
        </w:rPr>
        <w:t>Auerbach</w:t>
      </w:r>
      <w:proofErr w:type="spellEnd"/>
      <w:r w:rsidRPr="00C06F1B">
        <w:rPr>
          <w:rFonts w:ascii="Times New Roman" w:hAnsi="Times New Roman" w:cs="Times New Roman"/>
          <w:color w:val="auto"/>
          <w:sz w:val="22"/>
          <w:szCs w:val="22"/>
        </w:rPr>
        <w:t xml:space="preserve"> &amp; Gordon, 2002). </w:t>
      </w:r>
    </w:p>
    <w:p w14:paraId="13E39058" w14:textId="77777777" w:rsidR="009D73C1" w:rsidRPr="00C06F1B" w:rsidRDefault="009D73C1" w:rsidP="009D73C1">
      <w:pPr>
        <w:pStyle w:val="Default"/>
        <w:rPr>
          <w:rFonts w:ascii="Times New Roman" w:hAnsi="Times New Roman" w:cs="Times New Roman"/>
          <w:color w:val="auto"/>
          <w:sz w:val="22"/>
          <w:szCs w:val="22"/>
        </w:rPr>
      </w:pPr>
    </w:p>
    <w:p w14:paraId="7AC28443" w14:textId="1E86108B" w:rsidR="00F7028E" w:rsidRPr="00C06F1B" w:rsidRDefault="00D641D2" w:rsidP="00D641D2">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 xml:space="preserve">The IMF (2010) argues that debt financing could in principle be offset by taxes at a personal level - relatively light taxation of capital gains favours equity, for instance. However, in reality, the importance of tax-exempt and non-resident investors, the prevalence of avoidance schemes focused on creating interest deductions, and the common discourse of market participants suggest that debt is often strongly tax-favoured. In fact, </w:t>
      </w:r>
      <w:proofErr w:type="spellStart"/>
      <w:r w:rsidRPr="00C06F1B">
        <w:rPr>
          <w:rFonts w:ascii="Times New Roman" w:hAnsi="Times New Roman"/>
          <w:sz w:val="22"/>
          <w:szCs w:val="22"/>
        </w:rPr>
        <w:t>Weichenrieder</w:t>
      </w:r>
      <w:proofErr w:type="spellEnd"/>
      <w:r w:rsidRPr="00C06F1B">
        <w:rPr>
          <w:rFonts w:ascii="Times New Roman" w:hAnsi="Times New Roman"/>
          <w:sz w:val="22"/>
          <w:szCs w:val="22"/>
        </w:rPr>
        <w:t xml:space="preserve"> &amp; </w:t>
      </w:r>
      <w:proofErr w:type="spellStart"/>
      <w:r w:rsidRPr="00C06F1B">
        <w:rPr>
          <w:rFonts w:ascii="Times New Roman" w:hAnsi="Times New Roman"/>
          <w:sz w:val="22"/>
          <w:szCs w:val="22"/>
        </w:rPr>
        <w:t>Klautke</w:t>
      </w:r>
      <w:proofErr w:type="spellEnd"/>
      <w:r w:rsidRPr="00C06F1B">
        <w:rPr>
          <w:rFonts w:ascii="Times New Roman" w:hAnsi="Times New Roman"/>
          <w:sz w:val="22"/>
          <w:szCs w:val="22"/>
        </w:rPr>
        <w:t xml:space="preserve"> (2008) show that debt biasness leads to noticeably higher leverage for non-financial companies. Moreover, the proliferation prior to the crisis of hybrid instruments (such as Trust Preferred Securities; Engel et al., 1999) </w:t>
      </w:r>
      <w:r w:rsidR="00F7028E" w:rsidRPr="00C06F1B">
        <w:rPr>
          <w:rFonts w:ascii="Times New Roman" w:hAnsi="Times New Roman"/>
          <w:sz w:val="22"/>
          <w:szCs w:val="22"/>
        </w:rPr>
        <w:t>attracting interest in deduction yet allowable (subject to limits) as regulatory capital, strongly suggests tax incentives are conflicting with regulatory objectives.</w:t>
      </w:r>
    </w:p>
    <w:p w14:paraId="1B8E944A" w14:textId="77777777" w:rsidR="00D641D2" w:rsidRPr="00C06F1B" w:rsidRDefault="00D641D2" w:rsidP="00E7515A">
      <w:pPr>
        <w:pStyle w:val="CM20"/>
        <w:spacing w:after="195" w:line="403" w:lineRule="atLeast"/>
        <w:jc w:val="both"/>
        <w:rPr>
          <w:rFonts w:ascii="Times New Roman" w:hAnsi="Times New Roman"/>
          <w:sz w:val="22"/>
          <w:szCs w:val="22"/>
        </w:rPr>
      </w:pPr>
    </w:p>
    <w:p w14:paraId="1C254940" w14:textId="77777777" w:rsidR="009D73C1" w:rsidRPr="00C06F1B" w:rsidRDefault="009D73C1" w:rsidP="009D73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proofErr w:type="spellStart"/>
      <w:r w:rsidRPr="00E7515A">
        <w:rPr>
          <w:rFonts w:ascii="Times New Roman" w:hAnsi="Times New Roman"/>
        </w:rPr>
        <w:t>Ceriani</w:t>
      </w:r>
      <w:proofErr w:type="spellEnd"/>
      <w:r w:rsidRPr="00E7515A">
        <w:rPr>
          <w:rFonts w:ascii="Times New Roman" w:hAnsi="Times New Roman"/>
        </w:rPr>
        <w:t xml:space="preserve"> et al. (2011) consider the taxation of residential buildings and the deductibility of mortgage interest, the taxation of stock options and other performance-based remuneration, and the interaction between securitization and the tax system. They argue that three kinds of taxation contributed to the global financial crisis and the repeal of capital gains taxation on home selling through the 1997 US </w:t>
      </w:r>
      <w:r w:rsidRPr="00E7515A">
        <w:rPr>
          <w:rFonts w:ascii="Times New Roman" w:hAnsi="Times New Roman"/>
        </w:rPr>
        <w:lastRenderedPageBreak/>
        <w:t xml:space="preserve">Tax Relief Act was particularly important. In the US there is evidence of preferential tax treatment on the employer’s side, which may have contributed to the success of stock-based remuneration plans. Stock options, nevertheless, force managers to go for short-term profits instead of having a long-term focus. Furthermore, </w:t>
      </w:r>
      <w:proofErr w:type="spellStart"/>
      <w:r w:rsidRPr="00E7515A">
        <w:rPr>
          <w:rFonts w:ascii="Times New Roman" w:hAnsi="Times New Roman"/>
        </w:rPr>
        <w:t>Ceriani</w:t>
      </w:r>
      <w:proofErr w:type="spellEnd"/>
      <w:r w:rsidRPr="00E7515A">
        <w:rPr>
          <w:rFonts w:ascii="Times New Roman" w:hAnsi="Times New Roman"/>
        </w:rPr>
        <w:t xml:space="preserve"> et al. (2011) argue that securitization creates opportunities for tax arbitrage and reduces the total tax paid by the originator, the special purpose vehicle (SPV) and the final investor. Because of tax differences in different countries, the SPV may be a tax-free vehicle under foreign law. The SPV offsets incomes that are otherwise taxed at a different rate by pooling interest incomes, capital gains and losses. It also defers the tax until the SPV distributes incomes on the securities it has issued or profits are realized. </w:t>
      </w:r>
    </w:p>
    <w:p w14:paraId="5D77E873" w14:textId="77777777" w:rsidR="009D73C1" w:rsidRPr="00E7515A" w:rsidRDefault="009D73C1" w:rsidP="00EA2C64">
      <w:pPr>
        <w:pStyle w:val="Default"/>
        <w:spacing w:line="360" w:lineRule="auto"/>
        <w:jc w:val="both"/>
        <w:rPr>
          <w:rFonts w:ascii="Times New Roman" w:hAnsi="Times New Roman" w:cs="Times New Roman"/>
          <w:sz w:val="22"/>
          <w:szCs w:val="22"/>
        </w:rPr>
      </w:pPr>
    </w:p>
    <w:p w14:paraId="22FD5938" w14:textId="7561A13E" w:rsidR="00EA2C64" w:rsidRPr="00C06F1B" w:rsidRDefault="00EA2C64" w:rsidP="00EA2C64">
      <w:pPr>
        <w:pStyle w:val="Default"/>
        <w:spacing w:line="360" w:lineRule="auto"/>
        <w:jc w:val="both"/>
        <w:rPr>
          <w:rFonts w:ascii="Times New Roman" w:hAnsi="Times New Roman" w:cs="Times New Roman"/>
          <w:sz w:val="22"/>
          <w:szCs w:val="22"/>
        </w:rPr>
      </w:pPr>
      <w:r w:rsidRPr="00C06F1B">
        <w:rPr>
          <w:rFonts w:ascii="Times New Roman" w:hAnsi="Times New Roman" w:cs="Times New Roman"/>
          <w:color w:val="auto"/>
          <w:sz w:val="22"/>
          <w:szCs w:val="22"/>
        </w:rPr>
        <w:t>Keen (2011) presents an interesting debate over the choice of taxation or regulation as a measure to attain the stability of a financial system. He highlights that t</w:t>
      </w:r>
      <w:r w:rsidRPr="00C06F1B">
        <w:rPr>
          <w:rFonts w:ascii="Times New Roman" w:hAnsi="Times New Roman" w:cs="Times New Roman"/>
          <w:sz w:val="22"/>
          <w:szCs w:val="22"/>
        </w:rPr>
        <w:t xml:space="preserve">axation strengthens public buffers to address bank failure and crisis, whereas regulation focuses on private buffers. For strongly correlated negative shocks, public buffers provide a useful risk-pooling role and reduce the incidence of bank failures. However, for strongly positively correlated shocks across institutions, the benefit of risk pooling and economy of scale disappears. Taxation is more beneficial in dealing with macro-prudential risks, whereas regulation, while leaving institutions to respond appropriately to systemic crises, may enable a more robust response to macro- prudential concerns. </w:t>
      </w:r>
    </w:p>
    <w:p w14:paraId="6C548A0A" w14:textId="77777777" w:rsidR="00EA2C64" w:rsidRPr="00C06F1B" w:rsidRDefault="00EA2C64" w:rsidP="00EA2C64">
      <w:pPr>
        <w:pStyle w:val="Default"/>
        <w:spacing w:line="360" w:lineRule="auto"/>
        <w:jc w:val="both"/>
        <w:rPr>
          <w:rFonts w:ascii="Times New Roman" w:hAnsi="Times New Roman" w:cs="Times New Roman"/>
          <w:sz w:val="22"/>
          <w:szCs w:val="22"/>
        </w:rPr>
      </w:pPr>
    </w:p>
    <w:p w14:paraId="554068B2" w14:textId="2017DB25" w:rsidR="00EA2C64" w:rsidRPr="00C06F1B" w:rsidRDefault="00EA2C64" w:rsidP="00E7515A">
      <w:pPr>
        <w:widowControl w:val="0"/>
        <w:autoSpaceDE w:val="0"/>
        <w:autoSpaceDN w:val="0"/>
        <w:adjustRightInd w:val="0"/>
        <w:spacing w:after="0" w:line="360" w:lineRule="auto"/>
        <w:jc w:val="both"/>
      </w:pPr>
      <w:r w:rsidRPr="00E7515A">
        <w:rPr>
          <w:rFonts w:ascii="Times New Roman" w:hAnsi="Times New Roman"/>
        </w:rPr>
        <w:t xml:space="preserve">De </w:t>
      </w:r>
      <w:proofErr w:type="spellStart"/>
      <w:r w:rsidRPr="00E7515A">
        <w:rPr>
          <w:rFonts w:ascii="Times New Roman" w:hAnsi="Times New Roman"/>
        </w:rPr>
        <w:t>Nicolo</w:t>
      </w:r>
      <w:proofErr w:type="spellEnd"/>
      <w:r w:rsidRPr="00E7515A">
        <w:rPr>
          <w:rFonts w:ascii="Times New Roman" w:hAnsi="Times New Roman"/>
        </w:rPr>
        <w:t xml:space="preserve"> et al. (2012) study the impact of bank regulation and taxation in a dynamic setting, in which banks are exposed to capital and liquidity risk. They find that capital requirements can mitigate banks’ incentives to take on the excessive risk induced by deposit insurance and limited liability, and can increase efficiency and welfare. By contrast, liquidity requirements significantly reduce lending, efficiency and welfare. If these requirements are too strict, then the benefits of regulation disappear, and the associated efficiency and social costs may be significant. On taxation, corporate income taxes generate higher government revenues and entail lower efficiency and welfare costs than taxes on non-deposit liabilities. Coulter et al. (2013) argue that taxation and regulation are fundamentally the same; however, if taxes are paid ex ante, unless they are pure capital, the double-edged aspect of taxation arises. </w:t>
      </w:r>
    </w:p>
    <w:p w14:paraId="64D460A1" w14:textId="77777777" w:rsidR="00E6660D" w:rsidRPr="00C06F1B" w:rsidRDefault="00E6660D" w:rsidP="00E66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p>
    <w:p w14:paraId="5CF602C0" w14:textId="2D2EC3C2" w:rsidR="00E6660D" w:rsidRPr="00C06F1B" w:rsidRDefault="00E6660D" w:rsidP="00E66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r w:rsidRPr="00C06F1B">
        <w:rPr>
          <w:rFonts w:ascii="Times New Roman" w:hAnsi="Times New Roman"/>
        </w:rPr>
        <w:t>This leads us to evaluate the existing taxes and related issues</w:t>
      </w:r>
      <w:r w:rsidRPr="00E7515A">
        <w:rPr>
          <w:rFonts w:ascii="Times New Roman" w:hAnsi="Times New Roman"/>
        </w:rPr>
        <w:t xml:space="preserve"> that are related to the financial sector. They are briefly discussed in the following section.</w:t>
      </w:r>
    </w:p>
    <w:p w14:paraId="295EE8A5" w14:textId="77777777" w:rsidR="00E6660D" w:rsidRPr="00C06F1B" w:rsidRDefault="00E6660D" w:rsidP="00485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p>
    <w:p w14:paraId="3EEFCE64" w14:textId="041B5B91" w:rsidR="00A421E5" w:rsidRPr="00533502" w:rsidRDefault="00943054" w:rsidP="00E7515A">
      <w:pPr>
        <w:spacing w:after="120" w:line="360" w:lineRule="auto"/>
        <w:jc w:val="both"/>
        <w:rPr>
          <w:rFonts w:ascii="Times New Roman" w:hAnsi="Times New Roman"/>
        </w:rPr>
      </w:pPr>
      <w:r w:rsidRPr="00C06F1B">
        <w:rPr>
          <w:rFonts w:ascii="Times New Roman" w:hAnsi="Times New Roman"/>
        </w:rPr>
        <w:t>First</w:t>
      </w:r>
      <w:r w:rsidR="00E6660D" w:rsidRPr="00C06F1B">
        <w:rPr>
          <w:rFonts w:ascii="Times New Roman" w:hAnsi="Times New Roman"/>
        </w:rPr>
        <w:t xml:space="preserve"> is the corporate income tax (CIT). There are two main differences between financial and non-financial corporations. These concern the treatment of bad and doubtful loans and the non</w:t>
      </w:r>
      <w:r w:rsidR="00E6660D" w:rsidRPr="00E7515A">
        <w:rPr>
          <w:rFonts w:ascii="Times New Roman" w:hAnsi="Times New Roman"/>
          <w:color w:val="000000"/>
        </w:rPr>
        <w:t>-</w:t>
      </w:r>
      <w:r w:rsidR="00E6660D" w:rsidRPr="00C06F1B">
        <w:rPr>
          <w:rFonts w:ascii="Times New Roman" w:hAnsi="Times New Roman"/>
        </w:rPr>
        <w:t xml:space="preserve">application of thin capitalization rules to the financial sector. As far as bad and doubtful loans are concerned, the differential treatment may provide a cash-flow (liquidity) advantage, but not a tax advantage. </w:t>
      </w:r>
      <w:r w:rsidR="00B41BFA" w:rsidRPr="00C06F1B">
        <w:rPr>
          <w:rFonts w:ascii="Times New Roman" w:hAnsi="Times New Roman"/>
        </w:rPr>
        <w:t xml:space="preserve">To limit </w:t>
      </w:r>
      <w:r w:rsidR="00B41BFA" w:rsidRPr="00EB3837">
        <w:rPr>
          <w:rFonts w:ascii="Times New Roman" w:hAnsi="Times New Roman"/>
        </w:rPr>
        <w:lastRenderedPageBreak/>
        <w:t xml:space="preserve">excessive debt financing </w:t>
      </w:r>
      <w:r w:rsidR="00B41BFA" w:rsidRPr="00B3127F">
        <w:rPr>
          <w:rFonts w:ascii="Times New Roman" w:hAnsi="Times New Roman"/>
        </w:rPr>
        <w:t xml:space="preserve">and so </w:t>
      </w:r>
      <w:r w:rsidR="00D86F85" w:rsidRPr="00B3127F">
        <w:rPr>
          <w:rFonts w:ascii="Times New Roman" w:hAnsi="Times New Roman"/>
        </w:rPr>
        <w:t xml:space="preserve">to </w:t>
      </w:r>
      <w:r w:rsidR="00B41BFA" w:rsidRPr="000D1749">
        <w:rPr>
          <w:rFonts w:ascii="Times New Roman" w:hAnsi="Times New Roman"/>
        </w:rPr>
        <w:t>minimize the adverse tax consequences of excessive interest deductions, several countries have set up ‘thin capitalization rules’ or rules ‘limiting interest deductions’. Th</w:t>
      </w:r>
      <w:r w:rsidR="00DB3F6B" w:rsidRPr="000D1749">
        <w:rPr>
          <w:rFonts w:ascii="Times New Roman" w:hAnsi="Times New Roman"/>
        </w:rPr>
        <w:t>ese</w:t>
      </w:r>
      <w:r w:rsidR="00B41BFA" w:rsidRPr="000D1749">
        <w:rPr>
          <w:rFonts w:ascii="Times New Roman" w:hAnsi="Times New Roman"/>
        </w:rPr>
        <w:t xml:space="preserve"> rule</w:t>
      </w:r>
      <w:r w:rsidR="00DB3F6B" w:rsidRPr="000D1749">
        <w:rPr>
          <w:rFonts w:ascii="Times New Roman" w:hAnsi="Times New Roman"/>
        </w:rPr>
        <w:t>s</w:t>
      </w:r>
      <w:r w:rsidR="00B41BFA" w:rsidRPr="000D1749">
        <w:rPr>
          <w:rFonts w:ascii="Times New Roman" w:hAnsi="Times New Roman"/>
        </w:rPr>
        <w:t xml:space="preserve"> </w:t>
      </w:r>
      <w:r w:rsidR="00B41BFA" w:rsidRPr="00F73326">
        <w:rPr>
          <w:rFonts w:ascii="Times New Roman" w:hAnsi="Times New Roman"/>
        </w:rPr>
        <w:t>determine how much of the interest paid on corporate debt is deductible for tax purposes, thus limiting the amount of interest deduction when a certain debt</w:t>
      </w:r>
      <w:r w:rsidR="005A474E" w:rsidRPr="00E7515A">
        <w:rPr>
          <w:rFonts w:ascii="Times New Roman" w:hAnsi="Times New Roman"/>
        </w:rPr>
        <w:t>-</w:t>
      </w:r>
      <w:r w:rsidR="00B41BFA" w:rsidRPr="00C06F1B">
        <w:rPr>
          <w:rFonts w:ascii="Times New Roman" w:hAnsi="Times New Roman"/>
        </w:rPr>
        <w:t>equity ratio is exceeded. In certain count</w:t>
      </w:r>
      <w:r w:rsidR="00B41BFA" w:rsidRPr="00EB3837">
        <w:rPr>
          <w:rFonts w:ascii="Times New Roman" w:hAnsi="Times New Roman"/>
        </w:rPr>
        <w:t>ries, for example in the Netherlands, rules also provide for a limitation of interest expenses, for instance when they exceed interest income.</w:t>
      </w:r>
      <w:r w:rsidR="00815D3A" w:rsidRPr="00C05F62">
        <w:rPr>
          <w:rStyle w:val="FootnoteReference"/>
          <w:rFonts w:ascii="Times New Roman" w:hAnsi="Times New Roman"/>
        </w:rPr>
        <w:footnoteReference w:id="3"/>
      </w:r>
      <w:r w:rsidR="00B41BFA" w:rsidRPr="00B3127F">
        <w:rPr>
          <w:rFonts w:ascii="Times New Roman" w:hAnsi="Times New Roman"/>
        </w:rPr>
        <w:t xml:space="preserve"> </w:t>
      </w:r>
      <w:r w:rsidR="00C10642" w:rsidRPr="00B3127F">
        <w:rPr>
          <w:rFonts w:ascii="Times New Roman" w:hAnsi="Times New Roman"/>
        </w:rPr>
        <w:t xml:space="preserve">The </w:t>
      </w:r>
      <w:r w:rsidR="002D344B" w:rsidRPr="000D1749">
        <w:rPr>
          <w:rFonts w:ascii="Times New Roman" w:hAnsi="Times New Roman"/>
        </w:rPr>
        <w:t xml:space="preserve">Table 1 </w:t>
      </w:r>
      <w:r w:rsidR="00B608C7" w:rsidRPr="000D1749">
        <w:rPr>
          <w:rFonts w:ascii="Times New Roman" w:hAnsi="Times New Roman"/>
        </w:rPr>
        <w:t>in the Appendix</w:t>
      </w:r>
      <w:r w:rsidR="002D344B" w:rsidRPr="000D1749">
        <w:rPr>
          <w:rFonts w:ascii="Times New Roman" w:hAnsi="Times New Roman"/>
        </w:rPr>
        <w:t xml:space="preserve"> </w:t>
      </w:r>
      <w:r w:rsidR="002D344B" w:rsidRPr="00533502">
        <w:rPr>
          <w:rFonts w:ascii="Times New Roman" w:hAnsi="Times New Roman"/>
        </w:rPr>
        <w:t>provides an overview of Thin Capitalization Rules around the world.</w:t>
      </w:r>
    </w:p>
    <w:p w14:paraId="6DB1F1EE" w14:textId="77777777" w:rsidR="002D1307" w:rsidRPr="00C06F1B" w:rsidRDefault="002D1307" w:rsidP="00FF6832">
      <w:pPr>
        <w:spacing w:after="120" w:line="360" w:lineRule="auto"/>
        <w:jc w:val="both"/>
        <w:rPr>
          <w:rFonts w:ascii="Times New Roman" w:hAnsi="Times New Roman"/>
        </w:rPr>
      </w:pPr>
    </w:p>
    <w:p w14:paraId="0EEE4317" w14:textId="189BB4F6" w:rsidR="00815D3A" w:rsidRPr="00C06F1B" w:rsidRDefault="004D3571" w:rsidP="00FF6832">
      <w:pPr>
        <w:spacing w:after="120" w:line="360" w:lineRule="auto"/>
        <w:jc w:val="both"/>
        <w:rPr>
          <w:rFonts w:ascii="Times New Roman" w:hAnsi="Times New Roman"/>
        </w:rPr>
      </w:pPr>
      <w:r w:rsidRPr="00E7515A">
        <w:rPr>
          <w:rFonts w:ascii="Times New Roman" w:hAnsi="Times New Roman"/>
        </w:rPr>
        <w:t xml:space="preserve">To discourage the excessive debt financing, the economic theory offers two potential solutions: </w:t>
      </w:r>
      <w:r w:rsidR="00B41BFA" w:rsidRPr="00E7515A">
        <w:rPr>
          <w:rFonts w:ascii="Times New Roman" w:hAnsi="Times New Roman"/>
        </w:rPr>
        <w:t xml:space="preserve">a </w:t>
      </w:r>
      <w:r w:rsidR="00A421E5" w:rsidRPr="00E7515A">
        <w:rPr>
          <w:rFonts w:ascii="Times New Roman" w:hAnsi="Times New Roman"/>
        </w:rPr>
        <w:t>Comprehensive Business Income Tax (</w:t>
      </w:r>
      <w:r w:rsidR="00B41BFA" w:rsidRPr="00E7515A">
        <w:rPr>
          <w:rFonts w:ascii="Times New Roman" w:hAnsi="Times New Roman"/>
        </w:rPr>
        <w:t>CBIT</w:t>
      </w:r>
      <w:r w:rsidR="00A421E5" w:rsidRPr="00E7515A">
        <w:rPr>
          <w:rFonts w:ascii="Times New Roman" w:hAnsi="Times New Roman"/>
        </w:rPr>
        <w:t>)</w:t>
      </w:r>
      <w:r w:rsidR="00B41BFA" w:rsidRPr="00E7515A">
        <w:rPr>
          <w:rFonts w:ascii="Times New Roman" w:hAnsi="Times New Roman"/>
        </w:rPr>
        <w:t xml:space="preserve">, which </w:t>
      </w:r>
      <w:r w:rsidR="00E51F7C" w:rsidRPr="00E7515A">
        <w:rPr>
          <w:rFonts w:ascii="Times New Roman" w:hAnsi="Times New Roman"/>
        </w:rPr>
        <w:t xml:space="preserve">disallows the </w:t>
      </w:r>
      <w:r w:rsidR="00B41BFA" w:rsidRPr="00E7515A">
        <w:rPr>
          <w:rFonts w:ascii="Times New Roman" w:hAnsi="Times New Roman"/>
        </w:rPr>
        <w:t xml:space="preserve">interest deductibility </w:t>
      </w:r>
      <w:r w:rsidR="00E51F7C" w:rsidRPr="00E7515A">
        <w:rPr>
          <w:rFonts w:ascii="Times New Roman" w:hAnsi="Times New Roman"/>
        </w:rPr>
        <w:t>of debt</w:t>
      </w:r>
      <w:r w:rsidR="00211653" w:rsidRPr="00E7515A">
        <w:rPr>
          <w:rFonts w:ascii="Times New Roman" w:hAnsi="Times New Roman"/>
        </w:rPr>
        <w:t xml:space="preserve"> (IMF, 2010) and an Allowance for Corporate Equity (ACE), which allows </w:t>
      </w:r>
      <w:r w:rsidR="00211653" w:rsidRPr="00C06F1B">
        <w:rPr>
          <w:rFonts w:ascii="Times New Roman" w:hAnsi="Times New Roman"/>
          <w:iCs/>
        </w:rPr>
        <w:t>c</w:t>
      </w:r>
      <w:r w:rsidR="00211653" w:rsidRPr="00E7515A">
        <w:rPr>
          <w:rFonts w:ascii="Times New Roman" w:hAnsi="Times New Roman"/>
          <w:iCs/>
        </w:rPr>
        <w:t>ompanies to</w:t>
      </w:r>
      <w:r w:rsidR="00815D3A" w:rsidRPr="00E7515A">
        <w:rPr>
          <w:rFonts w:ascii="Times New Roman" w:hAnsi="Times New Roman"/>
          <w:iCs/>
        </w:rPr>
        <w:t xml:space="preserve"> retain interest deductibility but also allow a deduction </w:t>
      </w:r>
      <w:r w:rsidR="00A834A6" w:rsidRPr="00E7515A">
        <w:rPr>
          <w:rFonts w:ascii="Times New Roman" w:hAnsi="Times New Roman"/>
          <w:iCs/>
        </w:rPr>
        <w:t>for a notional return on equity</w:t>
      </w:r>
      <w:r w:rsidR="0079534F" w:rsidRPr="00E7515A">
        <w:rPr>
          <w:rFonts w:ascii="Times New Roman" w:hAnsi="Times New Roman"/>
        </w:rPr>
        <w:t>.</w:t>
      </w:r>
      <w:r w:rsidR="001267C4" w:rsidRPr="00E7515A">
        <w:rPr>
          <w:rStyle w:val="FootnoteReference"/>
          <w:rFonts w:ascii="Times New Roman" w:hAnsi="Times New Roman"/>
        </w:rPr>
        <w:footnoteReference w:id="4"/>
      </w:r>
      <w:r w:rsidR="002D344B" w:rsidRPr="00E7515A">
        <w:rPr>
          <w:rFonts w:ascii="Times New Roman" w:hAnsi="Times New Roman"/>
        </w:rPr>
        <w:t xml:space="preserve"> </w:t>
      </w:r>
      <w:r w:rsidR="00C10642" w:rsidRPr="00C06F1B">
        <w:rPr>
          <w:rFonts w:ascii="Times New Roman" w:hAnsi="Times New Roman"/>
        </w:rPr>
        <w:t>Th</w:t>
      </w:r>
      <w:r w:rsidR="00C10642" w:rsidRPr="00E7515A">
        <w:rPr>
          <w:rFonts w:ascii="Times New Roman" w:hAnsi="Times New Roman"/>
        </w:rPr>
        <w:t xml:space="preserve">e </w:t>
      </w:r>
      <w:r w:rsidR="002D344B" w:rsidRPr="00E7515A">
        <w:rPr>
          <w:rFonts w:ascii="Times New Roman" w:hAnsi="Times New Roman"/>
        </w:rPr>
        <w:t>Table 2</w:t>
      </w:r>
      <w:r w:rsidR="00A834A6" w:rsidRPr="00E7515A">
        <w:rPr>
          <w:rFonts w:ascii="Times New Roman" w:hAnsi="Times New Roman"/>
        </w:rPr>
        <w:t xml:space="preserve"> </w:t>
      </w:r>
      <w:r w:rsidR="00B608C7" w:rsidRPr="00C06F1B">
        <w:rPr>
          <w:rFonts w:ascii="Times New Roman" w:hAnsi="Times New Roman"/>
        </w:rPr>
        <w:t>in the Appendix</w:t>
      </w:r>
      <w:r w:rsidR="002D344B" w:rsidRPr="00E7515A">
        <w:rPr>
          <w:rFonts w:ascii="Times New Roman" w:hAnsi="Times New Roman"/>
        </w:rPr>
        <w:t xml:space="preserve"> </w:t>
      </w:r>
      <w:r w:rsidR="00A834A6" w:rsidRPr="00E7515A">
        <w:rPr>
          <w:rFonts w:ascii="Times New Roman" w:hAnsi="Times New Roman"/>
        </w:rPr>
        <w:t xml:space="preserve">provides an overview of ACE around the world. </w:t>
      </w:r>
    </w:p>
    <w:p w14:paraId="1155EA6A" w14:textId="4FF386D3" w:rsidR="00B41BFA" w:rsidRPr="00C06F1B" w:rsidRDefault="00060939" w:rsidP="000D3F3C">
      <w:pPr>
        <w:pStyle w:val="CM20"/>
        <w:spacing w:after="120" w:line="403" w:lineRule="atLeast"/>
        <w:jc w:val="both"/>
        <w:rPr>
          <w:rFonts w:ascii="Times New Roman" w:hAnsi="Times New Roman"/>
          <w:sz w:val="22"/>
          <w:szCs w:val="22"/>
        </w:rPr>
      </w:pPr>
      <w:r w:rsidRPr="00C06F1B">
        <w:rPr>
          <w:rFonts w:ascii="Times New Roman" w:hAnsi="Times New Roman"/>
          <w:sz w:val="22"/>
          <w:szCs w:val="22"/>
        </w:rPr>
        <w:t xml:space="preserve">There </w:t>
      </w:r>
      <w:r w:rsidR="00E36758" w:rsidRPr="00C06F1B">
        <w:rPr>
          <w:rFonts w:ascii="Times New Roman" w:hAnsi="Times New Roman"/>
          <w:sz w:val="22"/>
          <w:szCs w:val="22"/>
        </w:rPr>
        <w:t xml:space="preserve">are </w:t>
      </w:r>
      <w:r w:rsidR="00BA62BB" w:rsidRPr="00C06F1B">
        <w:rPr>
          <w:rFonts w:ascii="Times New Roman" w:hAnsi="Times New Roman"/>
          <w:sz w:val="22"/>
          <w:szCs w:val="22"/>
        </w:rPr>
        <w:t xml:space="preserve">generally </w:t>
      </w:r>
      <w:r w:rsidRPr="00C06F1B">
        <w:rPr>
          <w:rFonts w:ascii="Times New Roman" w:hAnsi="Times New Roman"/>
          <w:sz w:val="22"/>
          <w:szCs w:val="22"/>
        </w:rPr>
        <w:t xml:space="preserve">no differences in the treatment of </w:t>
      </w:r>
      <w:r w:rsidR="00F9456F" w:rsidRPr="00C06F1B">
        <w:rPr>
          <w:rFonts w:ascii="Times New Roman" w:hAnsi="Times New Roman"/>
          <w:sz w:val="22"/>
          <w:szCs w:val="22"/>
        </w:rPr>
        <w:t xml:space="preserve">the </w:t>
      </w:r>
      <w:r w:rsidRPr="00C06F1B">
        <w:rPr>
          <w:rFonts w:ascii="Times New Roman" w:hAnsi="Times New Roman"/>
          <w:sz w:val="22"/>
          <w:szCs w:val="22"/>
        </w:rPr>
        <w:t xml:space="preserve">personal income of workers employed in the financial sector, </w:t>
      </w:r>
      <w:r w:rsidR="00B41BFA" w:rsidRPr="00C06F1B">
        <w:rPr>
          <w:rFonts w:ascii="Times New Roman" w:hAnsi="Times New Roman"/>
          <w:sz w:val="22"/>
          <w:szCs w:val="22"/>
        </w:rPr>
        <w:t xml:space="preserve">except for the introduction of </w:t>
      </w:r>
      <w:r w:rsidR="00F9456F" w:rsidRPr="00C06F1B">
        <w:rPr>
          <w:rFonts w:ascii="Times New Roman" w:hAnsi="Times New Roman"/>
          <w:sz w:val="22"/>
          <w:szCs w:val="22"/>
        </w:rPr>
        <w:t xml:space="preserve">a </w:t>
      </w:r>
      <w:r w:rsidR="00BA62BB" w:rsidRPr="00C06F1B">
        <w:rPr>
          <w:rFonts w:ascii="Times New Roman" w:hAnsi="Times New Roman"/>
          <w:sz w:val="22"/>
          <w:szCs w:val="22"/>
        </w:rPr>
        <w:t xml:space="preserve">special </w:t>
      </w:r>
      <w:r w:rsidR="00B41BFA" w:rsidRPr="00C06F1B">
        <w:rPr>
          <w:rFonts w:ascii="Times New Roman" w:hAnsi="Times New Roman"/>
          <w:sz w:val="22"/>
          <w:szCs w:val="22"/>
        </w:rPr>
        <w:t xml:space="preserve">bonus tax (albeit temporary for some </w:t>
      </w:r>
      <w:r w:rsidR="00BA62BB" w:rsidRPr="00C06F1B">
        <w:rPr>
          <w:rFonts w:ascii="Times New Roman" w:hAnsi="Times New Roman"/>
          <w:sz w:val="22"/>
          <w:szCs w:val="22"/>
        </w:rPr>
        <w:t xml:space="preserve">EU </w:t>
      </w:r>
      <w:r w:rsidR="00F9456F" w:rsidRPr="00C06F1B">
        <w:rPr>
          <w:rFonts w:ascii="Times New Roman" w:hAnsi="Times New Roman"/>
          <w:sz w:val="22"/>
          <w:szCs w:val="22"/>
        </w:rPr>
        <w:t>m</w:t>
      </w:r>
      <w:r w:rsidR="00B41BFA" w:rsidRPr="00C06F1B">
        <w:rPr>
          <w:rFonts w:ascii="Times New Roman" w:hAnsi="Times New Roman"/>
          <w:sz w:val="22"/>
          <w:szCs w:val="22"/>
        </w:rPr>
        <w:t xml:space="preserve">ember </w:t>
      </w:r>
      <w:r w:rsidR="00F9456F" w:rsidRPr="00C06F1B">
        <w:rPr>
          <w:rFonts w:ascii="Times New Roman" w:hAnsi="Times New Roman"/>
          <w:sz w:val="22"/>
          <w:szCs w:val="22"/>
        </w:rPr>
        <w:t>s</w:t>
      </w:r>
      <w:r w:rsidR="00B41BFA" w:rsidRPr="00C06F1B">
        <w:rPr>
          <w:rFonts w:ascii="Times New Roman" w:hAnsi="Times New Roman"/>
          <w:sz w:val="22"/>
          <w:szCs w:val="22"/>
        </w:rPr>
        <w:t>tates) on financial sector</w:t>
      </w:r>
      <w:r w:rsidR="00BA62BB" w:rsidRPr="00C06F1B">
        <w:rPr>
          <w:rFonts w:ascii="Times New Roman" w:hAnsi="Times New Roman"/>
          <w:sz w:val="22"/>
          <w:szCs w:val="22"/>
        </w:rPr>
        <w:t xml:space="preserve"> employees</w:t>
      </w:r>
      <w:r w:rsidR="00B41BFA" w:rsidRPr="00C06F1B">
        <w:rPr>
          <w:rFonts w:ascii="Times New Roman" w:hAnsi="Times New Roman"/>
          <w:sz w:val="22"/>
          <w:szCs w:val="22"/>
        </w:rPr>
        <w:t xml:space="preserve">. A </w:t>
      </w:r>
      <w:r w:rsidR="00BA62BB" w:rsidRPr="00C06F1B">
        <w:rPr>
          <w:rFonts w:ascii="Times New Roman" w:hAnsi="Times New Roman"/>
          <w:sz w:val="22"/>
          <w:szCs w:val="22"/>
        </w:rPr>
        <w:t xml:space="preserve">special enhanced </w:t>
      </w:r>
      <w:r w:rsidR="00B41BFA" w:rsidRPr="00C06F1B">
        <w:rPr>
          <w:rFonts w:ascii="Times New Roman" w:hAnsi="Times New Roman"/>
          <w:sz w:val="22"/>
          <w:szCs w:val="22"/>
        </w:rPr>
        <w:t>tax on bonus</w:t>
      </w:r>
      <w:r w:rsidR="00F9456F" w:rsidRPr="00C06F1B">
        <w:rPr>
          <w:rFonts w:ascii="Times New Roman" w:hAnsi="Times New Roman"/>
          <w:sz w:val="22"/>
          <w:szCs w:val="22"/>
        </w:rPr>
        <w:t>es</w:t>
      </w:r>
      <w:r w:rsidR="00B41BFA" w:rsidRPr="00C06F1B">
        <w:rPr>
          <w:rFonts w:ascii="Times New Roman" w:hAnsi="Times New Roman"/>
          <w:sz w:val="22"/>
          <w:szCs w:val="22"/>
        </w:rPr>
        <w:t xml:space="preserve"> would lead to </w:t>
      </w:r>
      <w:r w:rsidR="00BA62BB" w:rsidRPr="00C06F1B">
        <w:rPr>
          <w:rFonts w:ascii="Times New Roman" w:hAnsi="Times New Roman"/>
          <w:sz w:val="22"/>
          <w:szCs w:val="22"/>
        </w:rPr>
        <w:t>higher</w:t>
      </w:r>
      <w:r w:rsidR="00985245" w:rsidRPr="00C06F1B">
        <w:rPr>
          <w:rFonts w:ascii="Times New Roman" w:hAnsi="Times New Roman"/>
          <w:sz w:val="22"/>
          <w:szCs w:val="22"/>
        </w:rPr>
        <w:t xml:space="preserve"> tax</w:t>
      </w:r>
      <w:r w:rsidR="00BA62BB" w:rsidRPr="00C06F1B">
        <w:rPr>
          <w:rFonts w:ascii="Times New Roman" w:hAnsi="Times New Roman"/>
          <w:sz w:val="22"/>
          <w:szCs w:val="22"/>
        </w:rPr>
        <w:t xml:space="preserve"> rates</w:t>
      </w:r>
      <w:r w:rsidR="00985245" w:rsidRPr="00C06F1B">
        <w:rPr>
          <w:rFonts w:ascii="Times New Roman" w:hAnsi="Times New Roman"/>
          <w:sz w:val="22"/>
          <w:szCs w:val="22"/>
        </w:rPr>
        <w:t xml:space="preserve"> </w:t>
      </w:r>
      <w:r w:rsidR="00BA62BB" w:rsidRPr="00C06F1B">
        <w:rPr>
          <w:rFonts w:ascii="Times New Roman" w:hAnsi="Times New Roman"/>
          <w:sz w:val="22"/>
          <w:szCs w:val="22"/>
        </w:rPr>
        <w:t>than</w:t>
      </w:r>
      <w:r w:rsidR="00B41BFA" w:rsidRPr="00C06F1B">
        <w:rPr>
          <w:rFonts w:ascii="Times New Roman" w:hAnsi="Times New Roman"/>
          <w:sz w:val="22"/>
          <w:szCs w:val="22"/>
        </w:rPr>
        <w:t xml:space="preserve"> personal income tax</w:t>
      </w:r>
      <w:r w:rsidR="00BA62BB" w:rsidRPr="00C06F1B">
        <w:rPr>
          <w:rFonts w:ascii="Times New Roman" w:hAnsi="Times New Roman"/>
          <w:sz w:val="22"/>
          <w:szCs w:val="22"/>
        </w:rPr>
        <w:t>ation alone</w:t>
      </w:r>
      <w:r w:rsidR="00B41BFA" w:rsidRPr="00C06F1B">
        <w:rPr>
          <w:rFonts w:ascii="Times New Roman" w:hAnsi="Times New Roman"/>
          <w:sz w:val="22"/>
          <w:szCs w:val="22"/>
        </w:rPr>
        <w:t>. In a limited number of countries, stock options and bonuses benefit from a favourable tax treatment</w:t>
      </w:r>
      <w:r w:rsidR="00BA62BB" w:rsidRPr="00C06F1B">
        <w:rPr>
          <w:rFonts w:ascii="Times New Roman" w:hAnsi="Times New Roman"/>
          <w:sz w:val="22"/>
          <w:szCs w:val="22"/>
        </w:rPr>
        <w:t xml:space="preserve">, but </w:t>
      </w:r>
      <w:r w:rsidR="00B41BFA" w:rsidRPr="00C06F1B">
        <w:rPr>
          <w:rFonts w:ascii="Times New Roman" w:hAnsi="Times New Roman"/>
          <w:sz w:val="22"/>
          <w:szCs w:val="22"/>
        </w:rPr>
        <w:t xml:space="preserve">this treatment is available </w:t>
      </w:r>
      <w:r w:rsidR="00BA62BB" w:rsidRPr="00C06F1B">
        <w:rPr>
          <w:rFonts w:ascii="Times New Roman" w:hAnsi="Times New Roman"/>
          <w:sz w:val="22"/>
          <w:szCs w:val="22"/>
        </w:rPr>
        <w:t>across</w:t>
      </w:r>
      <w:r w:rsidR="00B41BFA" w:rsidRPr="00C06F1B">
        <w:rPr>
          <w:rFonts w:ascii="Times New Roman" w:hAnsi="Times New Roman"/>
          <w:sz w:val="22"/>
          <w:szCs w:val="22"/>
        </w:rPr>
        <w:t xml:space="preserve"> all sectors. </w:t>
      </w:r>
      <w:r w:rsidR="00CE2439" w:rsidRPr="00C06F1B">
        <w:rPr>
          <w:rFonts w:ascii="Times New Roman" w:hAnsi="Times New Roman"/>
          <w:sz w:val="22"/>
          <w:szCs w:val="22"/>
        </w:rPr>
        <w:t xml:space="preserve">Also, some studies (Egger et al., 2012 and </w:t>
      </w:r>
      <w:proofErr w:type="spellStart"/>
      <w:r w:rsidR="00CE2439" w:rsidRPr="00C06F1B">
        <w:rPr>
          <w:rFonts w:ascii="Times New Roman" w:hAnsi="Times New Roman"/>
          <w:sz w:val="22"/>
          <w:szCs w:val="22"/>
        </w:rPr>
        <w:t>Philippon</w:t>
      </w:r>
      <w:proofErr w:type="spellEnd"/>
      <w:r w:rsidR="00CE2439" w:rsidRPr="00C06F1B">
        <w:rPr>
          <w:rFonts w:ascii="Times New Roman" w:hAnsi="Times New Roman"/>
          <w:sz w:val="22"/>
          <w:szCs w:val="22"/>
        </w:rPr>
        <w:t xml:space="preserve"> and </w:t>
      </w:r>
      <w:proofErr w:type="spellStart"/>
      <w:r w:rsidR="00CE2439" w:rsidRPr="00C06F1B">
        <w:rPr>
          <w:rFonts w:ascii="Times New Roman" w:hAnsi="Times New Roman"/>
          <w:sz w:val="22"/>
          <w:szCs w:val="22"/>
        </w:rPr>
        <w:t>Reshef</w:t>
      </w:r>
      <w:proofErr w:type="spellEnd"/>
      <w:r w:rsidR="00CE2439" w:rsidRPr="00C06F1B">
        <w:rPr>
          <w:rFonts w:ascii="Times New Roman" w:hAnsi="Times New Roman"/>
          <w:sz w:val="22"/>
          <w:szCs w:val="22"/>
        </w:rPr>
        <w:t>, 2009) find earnings premium in the financial sector</w:t>
      </w:r>
      <w:r w:rsidR="00886075" w:rsidRPr="00C06F1B">
        <w:rPr>
          <w:rFonts w:ascii="Times New Roman" w:hAnsi="Times New Roman"/>
          <w:sz w:val="22"/>
          <w:szCs w:val="22"/>
        </w:rPr>
        <w:t>.</w:t>
      </w:r>
    </w:p>
    <w:p w14:paraId="2E53626C" w14:textId="77777777" w:rsidR="00886075" w:rsidRPr="00C06F1B" w:rsidRDefault="00886075" w:rsidP="00E7515A">
      <w:pPr>
        <w:pStyle w:val="Default"/>
        <w:rPr>
          <w:rFonts w:ascii="Times New Roman" w:hAnsi="Times New Roman"/>
          <w:sz w:val="22"/>
          <w:szCs w:val="22"/>
        </w:rPr>
      </w:pPr>
    </w:p>
    <w:p w14:paraId="71DF2C85" w14:textId="36D8EF32" w:rsidR="00F05C16" w:rsidRPr="00C06F1B" w:rsidRDefault="008F22DF" w:rsidP="00A70059">
      <w:pPr>
        <w:pStyle w:val="CM25"/>
        <w:spacing w:after="402" w:line="403" w:lineRule="atLeast"/>
        <w:jc w:val="both"/>
        <w:rPr>
          <w:rFonts w:ascii="Times New Roman" w:hAnsi="Times New Roman"/>
          <w:b/>
          <w:bCs/>
          <w:i/>
          <w:sz w:val="22"/>
          <w:szCs w:val="22"/>
        </w:rPr>
      </w:pPr>
      <w:r w:rsidRPr="00C06F1B">
        <w:rPr>
          <w:rFonts w:ascii="Times New Roman" w:hAnsi="Times New Roman"/>
          <w:b/>
          <w:bCs/>
          <w:i/>
          <w:sz w:val="22"/>
          <w:szCs w:val="22"/>
        </w:rPr>
        <w:t>4</w:t>
      </w:r>
      <w:r w:rsidR="00F05C16" w:rsidRPr="00C06F1B">
        <w:rPr>
          <w:rFonts w:ascii="Times New Roman" w:hAnsi="Times New Roman"/>
          <w:b/>
          <w:bCs/>
          <w:i/>
          <w:sz w:val="22"/>
          <w:szCs w:val="22"/>
        </w:rPr>
        <w:t xml:space="preserve">. </w:t>
      </w:r>
      <w:r w:rsidR="00886075" w:rsidRPr="00C06F1B">
        <w:rPr>
          <w:rFonts w:ascii="Times New Roman" w:hAnsi="Times New Roman"/>
          <w:b/>
          <w:bCs/>
          <w:i/>
          <w:sz w:val="22"/>
          <w:szCs w:val="22"/>
        </w:rPr>
        <w:t>Financial Taxes</w:t>
      </w:r>
    </w:p>
    <w:p w14:paraId="56C7FD2B" w14:textId="536E4B0A" w:rsidR="0012588C" w:rsidRPr="00E7515A" w:rsidRDefault="00985245" w:rsidP="00E7515A">
      <w:pPr>
        <w:pStyle w:val="Default"/>
        <w:spacing w:line="360" w:lineRule="auto"/>
        <w:jc w:val="both"/>
        <w:rPr>
          <w:rFonts w:ascii="Times New Roman" w:hAnsi="Times New Roman"/>
          <w:sz w:val="22"/>
          <w:szCs w:val="22"/>
        </w:rPr>
      </w:pPr>
      <w:r w:rsidRPr="00E7515A">
        <w:rPr>
          <w:rFonts w:ascii="Times New Roman" w:hAnsi="Times New Roman"/>
          <w:sz w:val="22"/>
          <w:szCs w:val="22"/>
        </w:rPr>
        <w:t>The</w:t>
      </w:r>
      <w:r w:rsidR="00FF4F81" w:rsidRPr="00E7515A">
        <w:rPr>
          <w:rFonts w:ascii="Times New Roman" w:hAnsi="Times New Roman"/>
          <w:sz w:val="22"/>
          <w:szCs w:val="22"/>
        </w:rPr>
        <w:t xml:space="preserve"> </w:t>
      </w:r>
      <w:r w:rsidR="0012588C" w:rsidRPr="00E7515A">
        <w:rPr>
          <w:rFonts w:ascii="Times New Roman" w:hAnsi="Times New Roman"/>
          <w:sz w:val="22"/>
          <w:szCs w:val="22"/>
        </w:rPr>
        <w:t>IMF (2010) argues that there may be reasons to consider additional tax measures beyond a levy. This is because the large fiscal, economic, and social costs of financial crises may suggest a contribution of the financial sector to general revenues beyond covering the fiscal costs of direct support</w:t>
      </w:r>
      <w:r w:rsidR="00711D07" w:rsidRPr="00E7515A">
        <w:rPr>
          <w:rFonts w:ascii="Times New Roman" w:hAnsi="Times New Roman"/>
          <w:sz w:val="22"/>
          <w:szCs w:val="22"/>
        </w:rPr>
        <w:t xml:space="preserve"> (Keen, 2011)</w:t>
      </w:r>
      <w:r w:rsidR="0012588C" w:rsidRPr="00E7515A">
        <w:rPr>
          <w:rFonts w:ascii="Times New Roman" w:hAnsi="Times New Roman"/>
          <w:sz w:val="22"/>
          <w:szCs w:val="22"/>
        </w:rPr>
        <w:t xml:space="preserve">. Moreover, taxes might have a role in correcting adverse externalities arising from </w:t>
      </w:r>
      <w:r w:rsidR="00FF4F81" w:rsidRPr="00E7515A">
        <w:rPr>
          <w:rFonts w:ascii="Times New Roman" w:hAnsi="Times New Roman"/>
          <w:sz w:val="22"/>
          <w:szCs w:val="22"/>
        </w:rPr>
        <w:t xml:space="preserve">the </w:t>
      </w:r>
      <w:r w:rsidR="0012588C" w:rsidRPr="00E7515A">
        <w:rPr>
          <w:rFonts w:ascii="Times New Roman" w:hAnsi="Times New Roman"/>
          <w:sz w:val="22"/>
          <w:szCs w:val="22"/>
        </w:rPr>
        <w:t>financial sector, such as the creation of systemic risks and excessive risk taking. Specifically, proposals include taxes on short</w:t>
      </w:r>
      <w:r w:rsidR="00BE0545" w:rsidRPr="00E7515A">
        <w:rPr>
          <w:rFonts w:ascii="Times New Roman" w:hAnsi="Times New Roman" w:cs="Times New Roman"/>
          <w:sz w:val="22"/>
          <w:szCs w:val="22"/>
        </w:rPr>
        <w:t>-</w:t>
      </w:r>
      <w:r w:rsidR="0012588C" w:rsidRPr="00E7515A">
        <w:rPr>
          <w:rFonts w:ascii="Times New Roman" w:hAnsi="Times New Roman"/>
          <w:sz w:val="22"/>
          <w:szCs w:val="22"/>
        </w:rPr>
        <w:t>term and/or foreign exchange borrowing</w:t>
      </w:r>
      <w:r w:rsidR="00FF4F81" w:rsidRPr="00E7515A">
        <w:rPr>
          <w:rFonts w:ascii="Times New Roman" w:hAnsi="Times New Roman"/>
          <w:sz w:val="22"/>
          <w:szCs w:val="22"/>
        </w:rPr>
        <w:t>;</w:t>
      </w:r>
      <w:r w:rsidR="0012588C" w:rsidRPr="00E7515A">
        <w:rPr>
          <w:rFonts w:ascii="Times New Roman" w:hAnsi="Times New Roman"/>
          <w:sz w:val="22"/>
          <w:szCs w:val="22"/>
        </w:rPr>
        <w:t xml:space="preserve"> on high rates of return (to offset any tendency for decision takers to attach too little weight to downside outcomes)</w:t>
      </w:r>
      <w:r w:rsidR="00FF4F81" w:rsidRPr="00E7515A">
        <w:rPr>
          <w:rFonts w:ascii="Times New Roman" w:hAnsi="Times New Roman"/>
          <w:sz w:val="22"/>
          <w:szCs w:val="22"/>
        </w:rPr>
        <w:t>;</w:t>
      </w:r>
      <w:r w:rsidR="0012588C" w:rsidRPr="00E7515A">
        <w:rPr>
          <w:rFonts w:ascii="Times New Roman" w:hAnsi="Times New Roman"/>
          <w:sz w:val="22"/>
          <w:szCs w:val="22"/>
        </w:rPr>
        <w:t xml:space="preserve"> and for corrective taxes related to the notions of systemic risks and interconnectedness. The underlying belief or assumption is that receipts from these taxes would go to general revenue, although they need not </w:t>
      </w:r>
      <w:r w:rsidR="0012588C" w:rsidRPr="00E7515A">
        <w:rPr>
          <w:rFonts w:ascii="Times New Roman" w:hAnsi="Times New Roman"/>
          <w:sz w:val="22"/>
          <w:szCs w:val="22"/>
        </w:rPr>
        <w:lastRenderedPageBreak/>
        <w:t>equal the damage – however defined – that they seek to limit or avert</w:t>
      </w:r>
      <w:r w:rsidR="0012588C" w:rsidRPr="00E7515A">
        <w:rPr>
          <w:rFonts w:ascii="Times New Roman" w:hAnsi="Times New Roman"/>
          <w:sz w:val="22"/>
          <w:szCs w:val="22"/>
          <w:vertAlign w:val="superscript"/>
        </w:rPr>
        <w:footnoteReference w:id="5"/>
      </w:r>
      <w:r w:rsidR="0012588C" w:rsidRPr="00E7515A">
        <w:rPr>
          <w:rFonts w:ascii="Times New Roman" w:hAnsi="Times New Roman"/>
          <w:sz w:val="22"/>
          <w:szCs w:val="22"/>
        </w:rPr>
        <w:t xml:space="preserve">. </w:t>
      </w:r>
      <w:r w:rsidR="003A24EB" w:rsidRPr="00E7515A">
        <w:rPr>
          <w:rFonts w:ascii="Times New Roman" w:hAnsi="Times New Roman"/>
          <w:sz w:val="22"/>
          <w:szCs w:val="22"/>
        </w:rPr>
        <w:t>E</w:t>
      </w:r>
      <w:r w:rsidR="0012588C" w:rsidRPr="00E7515A">
        <w:rPr>
          <w:rFonts w:ascii="Times New Roman" w:hAnsi="Times New Roman"/>
          <w:sz w:val="22"/>
          <w:szCs w:val="22"/>
        </w:rPr>
        <w:t>xplicitly corrective taxes</w:t>
      </w:r>
      <w:r w:rsidR="003A24EB" w:rsidRPr="00E7515A">
        <w:rPr>
          <w:rFonts w:ascii="Times New Roman" w:hAnsi="Times New Roman"/>
          <w:sz w:val="22"/>
          <w:szCs w:val="22"/>
        </w:rPr>
        <w:t xml:space="preserve">, </w:t>
      </w:r>
      <w:r w:rsidR="0012588C" w:rsidRPr="00E7515A">
        <w:rPr>
          <w:rFonts w:ascii="Times New Roman" w:hAnsi="Times New Roman"/>
          <w:sz w:val="22"/>
          <w:szCs w:val="22"/>
        </w:rPr>
        <w:t>on systemic risk for instance</w:t>
      </w:r>
      <w:r w:rsidR="003A24EB" w:rsidRPr="00E7515A">
        <w:rPr>
          <w:rFonts w:ascii="Times New Roman" w:hAnsi="Times New Roman"/>
          <w:sz w:val="22"/>
          <w:szCs w:val="22"/>
        </w:rPr>
        <w:t>,</w:t>
      </w:r>
      <w:r w:rsidR="0012588C" w:rsidRPr="00E7515A">
        <w:rPr>
          <w:rFonts w:ascii="Times New Roman" w:hAnsi="Times New Roman"/>
          <w:sz w:val="22"/>
          <w:szCs w:val="22"/>
        </w:rPr>
        <w:t xml:space="preserve"> would need to be considered in close coordination with regulatory changes </w:t>
      </w:r>
      <w:r w:rsidR="003A24EB" w:rsidRPr="00E7515A">
        <w:rPr>
          <w:rFonts w:ascii="Times New Roman" w:hAnsi="Times New Roman"/>
          <w:sz w:val="22"/>
          <w:szCs w:val="22"/>
        </w:rPr>
        <w:t>to assure capital and liquidity adequacy.</w:t>
      </w:r>
      <w:r w:rsidR="0012588C" w:rsidRPr="00E7515A">
        <w:rPr>
          <w:rFonts w:ascii="Times New Roman" w:hAnsi="Times New Roman"/>
          <w:sz w:val="22"/>
          <w:szCs w:val="22"/>
        </w:rPr>
        <w:t xml:space="preserve"> </w:t>
      </w:r>
      <w:r w:rsidR="003A6B64" w:rsidRPr="00E7515A">
        <w:rPr>
          <w:rFonts w:ascii="Times New Roman" w:hAnsi="Times New Roman" w:cs="Times New Roman"/>
          <w:sz w:val="22"/>
          <w:szCs w:val="22"/>
        </w:rPr>
        <w:t>T</w:t>
      </w:r>
      <w:r w:rsidR="00FF4F81" w:rsidRPr="00E7515A">
        <w:rPr>
          <w:rFonts w:ascii="Times New Roman" w:hAnsi="Times New Roman" w:cs="Times New Roman"/>
          <w:sz w:val="22"/>
          <w:szCs w:val="22"/>
        </w:rPr>
        <w:t xml:space="preserve">he remainder </w:t>
      </w:r>
      <w:r w:rsidR="0012588C" w:rsidRPr="00E7515A">
        <w:rPr>
          <w:rFonts w:ascii="Times New Roman" w:hAnsi="Times New Roman" w:cs="Times New Roman"/>
          <w:sz w:val="22"/>
          <w:szCs w:val="22"/>
        </w:rPr>
        <w:t>of th</w:t>
      </w:r>
      <w:r w:rsidR="00FE6896" w:rsidRPr="00E7515A">
        <w:rPr>
          <w:rFonts w:ascii="Times New Roman" w:hAnsi="Times New Roman" w:cs="Times New Roman"/>
          <w:sz w:val="22"/>
          <w:szCs w:val="22"/>
        </w:rPr>
        <w:t>is</w:t>
      </w:r>
      <w:r w:rsidR="0012588C" w:rsidRPr="00E7515A">
        <w:rPr>
          <w:rFonts w:ascii="Times New Roman" w:hAnsi="Times New Roman" w:cs="Times New Roman"/>
          <w:sz w:val="22"/>
          <w:szCs w:val="22"/>
        </w:rPr>
        <w:t xml:space="preserve"> section focuses on t</w:t>
      </w:r>
      <w:r w:rsidR="00E36758" w:rsidRPr="00E7515A">
        <w:rPr>
          <w:rFonts w:ascii="Times New Roman" w:hAnsi="Times New Roman" w:cs="Times New Roman"/>
          <w:sz w:val="22"/>
          <w:szCs w:val="22"/>
        </w:rPr>
        <w:t>wo possible instruments directed</w:t>
      </w:r>
      <w:r w:rsidR="0012588C" w:rsidRPr="00E7515A">
        <w:rPr>
          <w:rFonts w:ascii="Times New Roman" w:hAnsi="Times New Roman" w:cs="Times New Roman"/>
          <w:sz w:val="22"/>
          <w:szCs w:val="22"/>
        </w:rPr>
        <w:t xml:space="preserve"> </w:t>
      </w:r>
      <w:r w:rsidR="003A6B64" w:rsidRPr="00E7515A">
        <w:rPr>
          <w:rFonts w:ascii="Times New Roman" w:hAnsi="Times New Roman" w:cs="Times New Roman"/>
          <w:sz w:val="22"/>
          <w:szCs w:val="22"/>
        </w:rPr>
        <w:t>primarily</w:t>
      </w:r>
      <w:r w:rsidR="0012588C" w:rsidRPr="00E7515A">
        <w:rPr>
          <w:rFonts w:ascii="Times New Roman" w:hAnsi="Times New Roman" w:cs="Times New Roman"/>
          <w:sz w:val="22"/>
          <w:szCs w:val="22"/>
        </w:rPr>
        <w:t xml:space="preserve"> to revenue</w:t>
      </w:r>
      <w:r w:rsidR="0012588C" w:rsidRPr="00E7515A">
        <w:rPr>
          <w:rFonts w:ascii="Times New Roman" w:hAnsi="Times New Roman" w:cs="Times New Roman"/>
          <w:sz w:val="22"/>
          <w:szCs w:val="22"/>
        </w:rPr>
        <w:softHyphen/>
        <w:t xml:space="preserve"> </w:t>
      </w:r>
      <w:proofErr w:type="gramStart"/>
      <w:r w:rsidRPr="00E7515A">
        <w:rPr>
          <w:rFonts w:ascii="Times New Roman" w:hAnsi="Times New Roman" w:cs="Times New Roman"/>
          <w:sz w:val="22"/>
          <w:szCs w:val="22"/>
        </w:rPr>
        <w:t>r</w:t>
      </w:r>
      <w:r w:rsidR="003A6B64" w:rsidRPr="00E7515A">
        <w:rPr>
          <w:rFonts w:ascii="Times New Roman" w:hAnsi="Times New Roman" w:cs="Times New Roman"/>
          <w:sz w:val="22"/>
          <w:szCs w:val="22"/>
        </w:rPr>
        <w:t>a</w:t>
      </w:r>
      <w:r w:rsidRPr="00E7515A">
        <w:rPr>
          <w:rFonts w:ascii="Times New Roman" w:hAnsi="Times New Roman" w:cs="Times New Roman"/>
          <w:sz w:val="22"/>
          <w:szCs w:val="22"/>
        </w:rPr>
        <w:t>ising</w:t>
      </w:r>
      <w:proofErr w:type="gramEnd"/>
      <w:r w:rsidR="00A93CF1" w:rsidRPr="00E7515A">
        <w:rPr>
          <w:rFonts w:ascii="Times New Roman" w:hAnsi="Times New Roman" w:cs="Times New Roman"/>
          <w:sz w:val="22"/>
          <w:szCs w:val="22"/>
        </w:rPr>
        <w:t>,</w:t>
      </w:r>
      <w:r w:rsidRPr="00E7515A">
        <w:rPr>
          <w:rFonts w:ascii="Times New Roman" w:hAnsi="Times New Roman" w:cs="Times New Roman"/>
          <w:sz w:val="22"/>
          <w:szCs w:val="22"/>
          <w:vertAlign w:val="superscript"/>
        </w:rPr>
        <w:footnoteReference w:id="6"/>
      </w:r>
      <w:r w:rsidR="0012588C" w:rsidRPr="00E7515A">
        <w:rPr>
          <w:rFonts w:ascii="Times New Roman" w:hAnsi="Times New Roman" w:cs="Times New Roman"/>
          <w:sz w:val="22"/>
          <w:szCs w:val="22"/>
        </w:rPr>
        <w:t xml:space="preserve"> </w:t>
      </w:r>
      <w:r w:rsidR="00FF4F81" w:rsidRPr="00E7515A">
        <w:rPr>
          <w:rFonts w:ascii="Times New Roman" w:hAnsi="Times New Roman" w:cs="Times New Roman"/>
          <w:sz w:val="22"/>
          <w:szCs w:val="22"/>
        </w:rPr>
        <w:t>al</w:t>
      </w:r>
      <w:r w:rsidR="0012588C" w:rsidRPr="00E7515A">
        <w:rPr>
          <w:rFonts w:ascii="Times New Roman" w:hAnsi="Times New Roman" w:cs="Times New Roman"/>
          <w:sz w:val="22"/>
          <w:szCs w:val="22"/>
        </w:rPr>
        <w:t>though in each case their behavioural</w:t>
      </w:r>
      <w:r w:rsidR="00FE6896" w:rsidRPr="00E7515A">
        <w:rPr>
          <w:rFonts w:ascii="Times New Roman" w:hAnsi="Times New Roman" w:cs="Times New Roman"/>
          <w:sz w:val="22"/>
          <w:szCs w:val="22"/>
        </w:rPr>
        <w:t>,</w:t>
      </w:r>
      <w:r w:rsidR="0012588C" w:rsidRPr="00E7515A">
        <w:rPr>
          <w:rFonts w:ascii="Times New Roman" w:hAnsi="Times New Roman" w:cs="Times New Roman"/>
          <w:sz w:val="22"/>
          <w:szCs w:val="22"/>
        </w:rPr>
        <w:t xml:space="preserve"> and hence potentially corrective</w:t>
      </w:r>
      <w:r w:rsidR="00FE6896" w:rsidRPr="00E7515A">
        <w:rPr>
          <w:rFonts w:ascii="Times New Roman" w:hAnsi="Times New Roman" w:cs="Times New Roman"/>
          <w:sz w:val="22"/>
          <w:szCs w:val="22"/>
        </w:rPr>
        <w:t>,</w:t>
      </w:r>
      <w:r w:rsidR="0012588C" w:rsidRPr="00E7515A">
        <w:rPr>
          <w:rFonts w:ascii="Times New Roman" w:hAnsi="Times New Roman" w:cs="Times New Roman"/>
          <w:sz w:val="22"/>
          <w:szCs w:val="22"/>
        </w:rPr>
        <w:t xml:space="preserve"> impact cannot be ignored. </w:t>
      </w:r>
    </w:p>
    <w:p w14:paraId="51482CE4" w14:textId="77777777" w:rsidR="005A590C" w:rsidRPr="00E7515A" w:rsidRDefault="005A590C" w:rsidP="005A590C">
      <w:pPr>
        <w:pStyle w:val="Default"/>
        <w:rPr>
          <w:rFonts w:ascii="Times New Roman" w:hAnsi="Times New Roman" w:cs="Times New Roman"/>
          <w:color w:val="auto"/>
          <w:sz w:val="22"/>
          <w:szCs w:val="22"/>
        </w:rPr>
      </w:pPr>
    </w:p>
    <w:p w14:paraId="14A03A33" w14:textId="77777777" w:rsidR="00E11E1F" w:rsidRPr="00E7515A" w:rsidRDefault="00E11E1F" w:rsidP="00E7515A">
      <w:pPr>
        <w:pStyle w:val="Default"/>
        <w:rPr>
          <w:rFonts w:ascii="Times New Roman" w:hAnsi="Times New Roman"/>
          <w:sz w:val="22"/>
          <w:szCs w:val="22"/>
        </w:rPr>
      </w:pPr>
    </w:p>
    <w:p w14:paraId="58EF119A" w14:textId="43266E0A" w:rsidR="0012588C" w:rsidRPr="00C06F1B" w:rsidRDefault="008F22DF" w:rsidP="00F05C16">
      <w:pPr>
        <w:pStyle w:val="CM20"/>
        <w:spacing w:after="195" w:line="403" w:lineRule="atLeast"/>
        <w:jc w:val="both"/>
        <w:rPr>
          <w:rFonts w:ascii="Times New Roman" w:hAnsi="Times New Roman"/>
          <w:b/>
          <w:i/>
          <w:sz w:val="22"/>
          <w:szCs w:val="22"/>
        </w:rPr>
      </w:pPr>
      <w:r w:rsidRPr="00C06F1B">
        <w:rPr>
          <w:rFonts w:ascii="Times New Roman" w:hAnsi="Times New Roman"/>
          <w:b/>
          <w:bCs/>
          <w:i/>
          <w:sz w:val="22"/>
          <w:szCs w:val="22"/>
        </w:rPr>
        <w:t>4</w:t>
      </w:r>
      <w:r w:rsidR="00F05C16" w:rsidRPr="00C06F1B">
        <w:rPr>
          <w:rFonts w:ascii="Times New Roman" w:hAnsi="Times New Roman"/>
          <w:b/>
          <w:bCs/>
          <w:i/>
          <w:sz w:val="22"/>
          <w:szCs w:val="22"/>
        </w:rPr>
        <w:t xml:space="preserve">.1 </w:t>
      </w:r>
      <w:r w:rsidR="0012588C" w:rsidRPr="00C06F1B">
        <w:rPr>
          <w:rFonts w:ascii="Times New Roman" w:hAnsi="Times New Roman"/>
          <w:b/>
          <w:i/>
          <w:sz w:val="22"/>
          <w:szCs w:val="22"/>
        </w:rPr>
        <w:t>Financia</w:t>
      </w:r>
      <w:r w:rsidR="0012588C" w:rsidRPr="00C06F1B">
        <w:rPr>
          <w:rFonts w:ascii="Times New Roman" w:hAnsi="Times New Roman"/>
          <w:b/>
          <w:bCs/>
          <w:i/>
          <w:sz w:val="22"/>
          <w:szCs w:val="22"/>
        </w:rPr>
        <w:t xml:space="preserve">l </w:t>
      </w:r>
      <w:r w:rsidR="0012588C" w:rsidRPr="00C06F1B">
        <w:rPr>
          <w:rFonts w:ascii="Times New Roman" w:hAnsi="Times New Roman"/>
          <w:b/>
          <w:i/>
          <w:sz w:val="22"/>
          <w:szCs w:val="22"/>
        </w:rPr>
        <w:t>Transaction</w:t>
      </w:r>
      <w:r w:rsidR="0012588C" w:rsidRPr="00C06F1B">
        <w:rPr>
          <w:rFonts w:ascii="Times New Roman" w:hAnsi="Times New Roman"/>
          <w:b/>
          <w:bCs/>
          <w:i/>
          <w:sz w:val="22"/>
          <w:szCs w:val="22"/>
        </w:rPr>
        <w:t xml:space="preserve">s </w:t>
      </w:r>
      <w:r w:rsidR="0012588C" w:rsidRPr="00C06F1B">
        <w:rPr>
          <w:rFonts w:ascii="Times New Roman" w:hAnsi="Times New Roman"/>
          <w:b/>
          <w:i/>
          <w:sz w:val="22"/>
          <w:szCs w:val="22"/>
        </w:rPr>
        <w:t>Ta</w:t>
      </w:r>
      <w:r w:rsidR="0012588C" w:rsidRPr="00C06F1B">
        <w:rPr>
          <w:rFonts w:ascii="Times New Roman" w:hAnsi="Times New Roman"/>
          <w:b/>
          <w:bCs/>
          <w:i/>
          <w:sz w:val="22"/>
          <w:szCs w:val="22"/>
        </w:rPr>
        <w:t xml:space="preserve">x </w:t>
      </w:r>
      <w:r w:rsidR="0012588C" w:rsidRPr="00C06F1B">
        <w:rPr>
          <w:rFonts w:ascii="Times New Roman" w:hAnsi="Times New Roman"/>
          <w:b/>
          <w:i/>
          <w:sz w:val="22"/>
          <w:szCs w:val="22"/>
        </w:rPr>
        <w:t>(FTT</w:t>
      </w:r>
      <w:r w:rsidR="0012588C" w:rsidRPr="00C06F1B">
        <w:rPr>
          <w:rFonts w:ascii="Times New Roman" w:hAnsi="Times New Roman"/>
          <w:b/>
          <w:bCs/>
          <w:i/>
          <w:sz w:val="22"/>
          <w:szCs w:val="22"/>
        </w:rPr>
        <w:t xml:space="preserve">) </w:t>
      </w:r>
    </w:p>
    <w:p w14:paraId="66831490" w14:textId="7E61B4F9" w:rsidR="00F05C16" w:rsidRPr="00C06F1B" w:rsidRDefault="001E6A6C" w:rsidP="00F05C16">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 xml:space="preserve">A Financial Transaction Tax (FTT) is a tax placed on financial transactions that has to be borne by the consumers. </w:t>
      </w:r>
      <w:r w:rsidR="0012588C" w:rsidRPr="00C06F1B">
        <w:rPr>
          <w:rFonts w:ascii="Times New Roman" w:hAnsi="Times New Roman"/>
          <w:sz w:val="22"/>
          <w:szCs w:val="22"/>
        </w:rPr>
        <w:t xml:space="preserve">From the beginning of the financial </w:t>
      </w:r>
      <w:r w:rsidR="00985245" w:rsidRPr="00C06F1B">
        <w:rPr>
          <w:rFonts w:ascii="Times New Roman" w:hAnsi="Times New Roman"/>
          <w:sz w:val="22"/>
          <w:szCs w:val="22"/>
        </w:rPr>
        <w:t>cris</w:t>
      </w:r>
      <w:r w:rsidR="003A6B64" w:rsidRPr="00C06F1B">
        <w:rPr>
          <w:rFonts w:ascii="Times New Roman" w:hAnsi="Times New Roman"/>
          <w:sz w:val="22"/>
          <w:szCs w:val="22"/>
        </w:rPr>
        <w:t>i</w:t>
      </w:r>
      <w:r w:rsidR="00985245" w:rsidRPr="00C06F1B">
        <w:rPr>
          <w:rFonts w:ascii="Times New Roman" w:hAnsi="Times New Roman"/>
          <w:sz w:val="22"/>
          <w:szCs w:val="22"/>
        </w:rPr>
        <w:t>s</w:t>
      </w:r>
      <w:r w:rsidR="0012588C" w:rsidRPr="00C06F1B">
        <w:rPr>
          <w:rFonts w:ascii="Times New Roman" w:hAnsi="Times New Roman"/>
          <w:sz w:val="22"/>
          <w:szCs w:val="22"/>
        </w:rPr>
        <w:t>, the design and impleme</w:t>
      </w:r>
      <w:r w:rsidR="00FD3E95" w:rsidRPr="00C06F1B">
        <w:rPr>
          <w:rFonts w:ascii="Times New Roman" w:hAnsi="Times New Roman"/>
          <w:sz w:val="22"/>
          <w:szCs w:val="22"/>
        </w:rPr>
        <w:t>ntation of a</w:t>
      </w:r>
      <w:r w:rsidR="007A48BD" w:rsidRPr="00C06F1B">
        <w:rPr>
          <w:rFonts w:ascii="Times New Roman" w:hAnsi="Times New Roman"/>
          <w:sz w:val="22"/>
          <w:szCs w:val="22"/>
        </w:rPr>
        <w:t>n</w:t>
      </w:r>
      <w:r w:rsidR="00FD3E95" w:rsidRPr="00C06F1B">
        <w:rPr>
          <w:rFonts w:ascii="Times New Roman" w:hAnsi="Times New Roman"/>
          <w:sz w:val="22"/>
          <w:szCs w:val="22"/>
        </w:rPr>
        <w:t xml:space="preserve"> FTT has received </w:t>
      </w:r>
      <w:r w:rsidR="00FF4F81" w:rsidRPr="00C06F1B">
        <w:rPr>
          <w:rFonts w:ascii="Times New Roman" w:hAnsi="Times New Roman"/>
          <w:sz w:val="22"/>
          <w:szCs w:val="22"/>
        </w:rPr>
        <w:t>much</w:t>
      </w:r>
      <w:r w:rsidR="00FD3E95" w:rsidRPr="00C06F1B">
        <w:rPr>
          <w:rFonts w:ascii="Times New Roman" w:hAnsi="Times New Roman"/>
          <w:sz w:val="22"/>
          <w:szCs w:val="22"/>
        </w:rPr>
        <w:t xml:space="preserve"> </w:t>
      </w:r>
      <w:r w:rsidR="0012588C" w:rsidRPr="00C06F1B">
        <w:rPr>
          <w:rFonts w:ascii="Times New Roman" w:hAnsi="Times New Roman"/>
          <w:sz w:val="22"/>
          <w:szCs w:val="22"/>
        </w:rPr>
        <w:t>attention</w:t>
      </w:r>
      <w:r w:rsidR="00F05C16" w:rsidRPr="00C06F1B">
        <w:rPr>
          <w:rFonts w:ascii="Times New Roman" w:hAnsi="Times New Roman"/>
          <w:sz w:val="22"/>
          <w:szCs w:val="22"/>
        </w:rPr>
        <w:t xml:space="preserve">. </w:t>
      </w:r>
      <w:r w:rsidR="0012588C" w:rsidRPr="00C06F1B">
        <w:rPr>
          <w:rFonts w:ascii="Times New Roman" w:hAnsi="Times New Roman"/>
          <w:sz w:val="22"/>
          <w:szCs w:val="22"/>
        </w:rPr>
        <w:t>According to the EC</w:t>
      </w:r>
      <w:r w:rsidR="00734DDF" w:rsidRPr="00C06F1B">
        <w:rPr>
          <w:rFonts w:ascii="Times New Roman" w:hAnsi="Times New Roman"/>
          <w:sz w:val="22"/>
          <w:szCs w:val="22"/>
        </w:rPr>
        <w:t xml:space="preserve"> </w:t>
      </w:r>
      <w:r w:rsidR="00985245" w:rsidRPr="00C06F1B">
        <w:rPr>
          <w:rFonts w:ascii="Times New Roman" w:hAnsi="Times New Roman"/>
          <w:sz w:val="22"/>
          <w:szCs w:val="22"/>
        </w:rPr>
        <w:t>(2010)</w:t>
      </w:r>
      <w:r w:rsidR="003A6B64" w:rsidRPr="00C06F1B">
        <w:rPr>
          <w:rFonts w:ascii="Times New Roman" w:hAnsi="Times New Roman"/>
          <w:sz w:val="22"/>
          <w:szCs w:val="22"/>
        </w:rPr>
        <w:t xml:space="preserve"> report</w:t>
      </w:r>
      <w:r w:rsidR="0012588C" w:rsidRPr="00C06F1B">
        <w:rPr>
          <w:rFonts w:ascii="Times New Roman" w:hAnsi="Times New Roman"/>
          <w:sz w:val="22"/>
          <w:szCs w:val="22"/>
        </w:rPr>
        <w:t xml:space="preserve">, </w:t>
      </w:r>
      <w:r w:rsidR="00FF4F81" w:rsidRPr="00C06F1B">
        <w:rPr>
          <w:rFonts w:ascii="Times New Roman" w:hAnsi="Times New Roman"/>
          <w:sz w:val="22"/>
          <w:szCs w:val="22"/>
        </w:rPr>
        <w:t xml:space="preserve">the </w:t>
      </w:r>
      <w:r w:rsidR="0012588C" w:rsidRPr="00C06F1B">
        <w:rPr>
          <w:rFonts w:ascii="Times New Roman" w:hAnsi="Times New Roman"/>
          <w:sz w:val="22"/>
          <w:szCs w:val="22"/>
        </w:rPr>
        <w:t>financial sector might be too la</w:t>
      </w:r>
      <w:r w:rsidR="00E36758" w:rsidRPr="00C06F1B">
        <w:rPr>
          <w:rFonts w:ascii="Times New Roman" w:hAnsi="Times New Roman"/>
          <w:sz w:val="22"/>
          <w:szCs w:val="22"/>
        </w:rPr>
        <w:t>rge and take</w:t>
      </w:r>
      <w:r w:rsidR="0012588C" w:rsidRPr="00C06F1B">
        <w:rPr>
          <w:rFonts w:ascii="Times New Roman" w:hAnsi="Times New Roman"/>
          <w:sz w:val="22"/>
          <w:szCs w:val="22"/>
        </w:rPr>
        <w:t xml:space="preserve"> excessive risks </w:t>
      </w:r>
      <w:r w:rsidR="00FF4F81" w:rsidRPr="00C06F1B">
        <w:rPr>
          <w:rFonts w:ascii="Times New Roman" w:hAnsi="Times New Roman"/>
          <w:sz w:val="22"/>
          <w:szCs w:val="22"/>
        </w:rPr>
        <w:t>because of</w:t>
      </w:r>
      <w:r w:rsidR="0012588C" w:rsidRPr="00C06F1B">
        <w:rPr>
          <w:rFonts w:ascii="Times New Roman" w:hAnsi="Times New Roman"/>
          <w:sz w:val="22"/>
          <w:szCs w:val="22"/>
        </w:rPr>
        <w:t xml:space="preserve"> actual or expected state support. As a result</w:t>
      </w:r>
      <w:r w:rsidR="00812EE3" w:rsidRPr="00C06F1B">
        <w:rPr>
          <w:rFonts w:ascii="Times New Roman" w:hAnsi="Times New Roman"/>
          <w:sz w:val="22"/>
          <w:szCs w:val="22"/>
        </w:rPr>
        <w:t xml:space="preserve"> this moral hazard problem</w:t>
      </w:r>
      <w:r w:rsidR="0012588C" w:rsidRPr="00C06F1B">
        <w:rPr>
          <w:rFonts w:ascii="Times New Roman" w:hAnsi="Times New Roman"/>
          <w:sz w:val="22"/>
          <w:szCs w:val="22"/>
        </w:rPr>
        <w:t>, the financial market is very volatile and this creates negative external effects for the rest of the economy. T</w:t>
      </w:r>
      <w:r w:rsidR="00FF4F81" w:rsidRPr="00C06F1B">
        <w:rPr>
          <w:rFonts w:ascii="Times New Roman" w:hAnsi="Times New Roman"/>
          <w:sz w:val="22"/>
          <w:szCs w:val="22"/>
        </w:rPr>
        <w:t xml:space="preserve">he </w:t>
      </w:r>
      <w:r w:rsidR="00812EE3" w:rsidRPr="00C06F1B">
        <w:rPr>
          <w:rFonts w:ascii="Times New Roman" w:hAnsi="Times New Roman"/>
          <w:sz w:val="22"/>
          <w:szCs w:val="22"/>
        </w:rPr>
        <w:t>E</w:t>
      </w:r>
      <w:r w:rsidR="00FF4F81" w:rsidRPr="00C06F1B">
        <w:rPr>
          <w:rFonts w:ascii="Times New Roman" w:hAnsi="Times New Roman"/>
          <w:sz w:val="22"/>
          <w:szCs w:val="22"/>
        </w:rPr>
        <w:t xml:space="preserve">C argues </w:t>
      </w:r>
      <w:r w:rsidR="0012588C" w:rsidRPr="00C06F1B">
        <w:rPr>
          <w:rFonts w:ascii="Times New Roman" w:hAnsi="Times New Roman"/>
          <w:sz w:val="22"/>
          <w:szCs w:val="22"/>
        </w:rPr>
        <w:t>that a</w:t>
      </w:r>
      <w:r w:rsidR="007A48BD" w:rsidRPr="00C06F1B">
        <w:rPr>
          <w:rFonts w:ascii="Times New Roman" w:hAnsi="Times New Roman"/>
          <w:sz w:val="22"/>
          <w:szCs w:val="22"/>
        </w:rPr>
        <w:t>n</w:t>
      </w:r>
      <w:r w:rsidR="0012588C" w:rsidRPr="00C06F1B">
        <w:rPr>
          <w:rFonts w:ascii="Times New Roman" w:hAnsi="Times New Roman"/>
          <w:sz w:val="22"/>
          <w:szCs w:val="22"/>
        </w:rPr>
        <w:t xml:space="preserve"> </w:t>
      </w:r>
      <w:r w:rsidR="003A6B64" w:rsidRPr="00C06F1B">
        <w:rPr>
          <w:rFonts w:ascii="Times New Roman" w:hAnsi="Times New Roman"/>
          <w:sz w:val="22"/>
          <w:szCs w:val="22"/>
        </w:rPr>
        <w:t>FTT</w:t>
      </w:r>
      <w:r w:rsidR="0012588C" w:rsidRPr="00C06F1B">
        <w:rPr>
          <w:rFonts w:ascii="Times New Roman" w:hAnsi="Times New Roman"/>
          <w:sz w:val="22"/>
          <w:szCs w:val="22"/>
        </w:rPr>
        <w:t xml:space="preserve"> might be used as a corrective tool for the existence of this </w:t>
      </w:r>
      <w:r w:rsidR="003A6B64" w:rsidRPr="00C06F1B">
        <w:rPr>
          <w:rFonts w:ascii="Times New Roman" w:hAnsi="Times New Roman"/>
          <w:sz w:val="22"/>
          <w:szCs w:val="22"/>
        </w:rPr>
        <w:t>moral hazard</w:t>
      </w:r>
      <w:r w:rsidR="00FF4F81" w:rsidRPr="00C06F1B">
        <w:rPr>
          <w:rFonts w:ascii="Times New Roman" w:hAnsi="Times New Roman"/>
          <w:sz w:val="22"/>
          <w:szCs w:val="22"/>
        </w:rPr>
        <w:t>,</w:t>
      </w:r>
      <w:r w:rsidR="0012588C" w:rsidRPr="00C06F1B">
        <w:rPr>
          <w:rFonts w:ascii="Times New Roman" w:hAnsi="Times New Roman"/>
          <w:sz w:val="22"/>
          <w:szCs w:val="22"/>
        </w:rPr>
        <w:t xml:space="preserve"> thereby enhancing the potential efficiency and stability of financial markets. </w:t>
      </w:r>
    </w:p>
    <w:p w14:paraId="45ADA4C4" w14:textId="70485861" w:rsidR="0012588C" w:rsidRPr="00C06F1B" w:rsidRDefault="0012588C" w:rsidP="00F05C16">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Tobin’s</w:t>
      </w:r>
      <w:r w:rsidR="00F6031C" w:rsidRPr="00C06F1B">
        <w:rPr>
          <w:rFonts w:ascii="Times New Roman" w:hAnsi="Times New Roman"/>
          <w:sz w:val="22"/>
          <w:szCs w:val="22"/>
        </w:rPr>
        <w:t xml:space="preserve"> </w:t>
      </w:r>
      <w:r w:rsidR="00610CB9" w:rsidRPr="00C06F1B">
        <w:rPr>
          <w:rFonts w:ascii="Times New Roman" w:hAnsi="Times New Roman"/>
          <w:sz w:val="22"/>
          <w:szCs w:val="22"/>
        </w:rPr>
        <w:t>tax (Tobin, 197</w:t>
      </w:r>
      <w:r w:rsidR="00F6031C" w:rsidRPr="00C06F1B">
        <w:rPr>
          <w:rFonts w:ascii="Times New Roman" w:hAnsi="Times New Roman"/>
          <w:sz w:val="22"/>
          <w:szCs w:val="22"/>
        </w:rPr>
        <w:t>8)</w:t>
      </w:r>
      <w:r w:rsidR="00610CB9" w:rsidRPr="00C06F1B">
        <w:rPr>
          <w:rFonts w:ascii="Times New Roman" w:hAnsi="Times New Roman"/>
          <w:sz w:val="22"/>
          <w:szCs w:val="22"/>
        </w:rPr>
        <w:t xml:space="preserve"> on foreign exchange tax is a particular form of an FTT, which is an internationally uniform tax on all spot conversion of one currency into another. The underlying presumption is that the tax would deter short-term financial ‘round trip’ currency transactions, or wasteful ‘over-trading’. Tobin’s </w:t>
      </w:r>
      <w:r w:rsidRPr="00C06F1B">
        <w:rPr>
          <w:rFonts w:ascii="Times New Roman" w:hAnsi="Times New Roman"/>
          <w:sz w:val="22"/>
          <w:szCs w:val="22"/>
        </w:rPr>
        <w:t xml:space="preserve">proposal on exchange rates and the efficiency of monetary policies </w:t>
      </w:r>
      <w:r w:rsidR="0058357D" w:rsidRPr="00C06F1B">
        <w:rPr>
          <w:rFonts w:ascii="Times New Roman" w:hAnsi="Times New Roman"/>
          <w:sz w:val="22"/>
          <w:szCs w:val="22"/>
        </w:rPr>
        <w:t>remains</w:t>
      </w:r>
      <w:r w:rsidRPr="00C06F1B">
        <w:rPr>
          <w:rFonts w:ascii="Times New Roman" w:hAnsi="Times New Roman"/>
          <w:sz w:val="22"/>
          <w:szCs w:val="22"/>
        </w:rPr>
        <w:t xml:space="preserve"> very informative for today’s debate on a general FTT</w:t>
      </w:r>
      <w:r w:rsidR="003F6F9A" w:rsidRPr="00C06F1B">
        <w:rPr>
          <w:rFonts w:ascii="Times New Roman" w:hAnsi="Times New Roman"/>
          <w:sz w:val="22"/>
          <w:szCs w:val="22"/>
        </w:rPr>
        <w:t>, and indeed Tobin (Tobin, 1984) extended the argument for applying FTT to the trading of financial instruments</w:t>
      </w:r>
      <w:r w:rsidR="00B830FB" w:rsidRPr="00C06F1B">
        <w:rPr>
          <w:rFonts w:ascii="Times New Roman" w:hAnsi="Times New Roman"/>
          <w:sz w:val="22"/>
          <w:szCs w:val="22"/>
        </w:rPr>
        <w:t>, and not just currencies</w:t>
      </w:r>
      <w:r w:rsidRPr="00C06F1B">
        <w:rPr>
          <w:rFonts w:ascii="Times New Roman" w:hAnsi="Times New Roman"/>
          <w:sz w:val="22"/>
          <w:szCs w:val="22"/>
        </w:rPr>
        <w:t xml:space="preserve">. As </w:t>
      </w:r>
      <w:r w:rsidR="00985245" w:rsidRPr="00C06F1B">
        <w:rPr>
          <w:rFonts w:ascii="Times New Roman" w:hAnsi="Times New Roman"/>
          <w:sz w:val="22"/>
          <w:szCs w:val="22"/>
        </w:rPr>
        <w:t>the</w:t>
      </w:r>
      <w:r w:rsidR="00FF4F81" w:rsidRPr="00C06F1B">
        <w:rPr>
          <w:rFonts w:ascii="Times New Roman" w:hAnsi="Times New Roman"/>
          <w:sz w:val="22"/>
          <w:szCs w:val="22"/>
        </w:rPr>
        <w:t xml:space="preserve"> </w:t>
      </w:r>
      <w:r w:rsidRPr="00C06F1B">
        <w:rPr>
          <w:rFonts w:ascii="Times New Roman" w:hAnsi="Times New Roman"/>
          <w:sz w:val="22"/>
          <w:szCs w:val="22"/>
        </w:rPr>
        <w:t xml:space="preserve">IMF (2010) states, the common feature focused on here is </w:t>
      </w:r>
      <w:r w:rsidR="00FF4F81" w:rsidRPr="00C06F1B">
        <w:rPr>
          <w:rFonts w:ascii="Times New Roman" w:hAnsi="Times New Roman"/>
          <w:sz w:val="22"/>
          <w:szCs w:val="22"/>
        </w:rPr>
        <w:t xml:space="preserve">the </w:t>
      </w:r>
      <w:r w:rsidRPr="00C06F1B">
        <w:rPr>
          <w:rFonts w:ascii="Times New Roman" w:hAnsi="Times New Roman"/>
          <w:sz w:val="22"/>
          <w:szCs w:val="22"/>
        </w:rPr>
        <w:t xml:space="preserve">applicability of the tax to a very wide range of transactions. Advocates of FTT argue that </w:t>
      </w:r>
      <w:r w:rsidR="00FF4F81" w:rsidRPr="00C06F1B">
        <w:rPr>
          <w:rFonts w:ascii="Times New Roman" w:hAnsi="Times New Roman"/>
          <w:sz w:val="22"/>
          <w:szCs w:val="22"/>
        </w:rPr>
        <w:t xml:space="preserve">its </w:t>
      </w:r>
      <w:r w:rsidRPr="00C06F1B">
        <w:rPr>
          <w:rFonts w:ascii="Times New Roman" w:hAnsi="Times New Roman"/>
          <w:sz w:val="22"/>
          <w:szCs w:val="22"/>
        </w:rPr>
        <w:t xml:space="preserve">implementation could raise substantial amounts: </w:t>
      </w:r>
      <w:r w:rsidR="00894279" w:rsidRPr="00C06F1B">
        <w:rPr>
          <w:rFonts w:ascii="Times New Roman" w:hAnsi="Times New Roman"/>
          <w:sz w:val="22"/>
          <w:szCs w:val="22"/>
        </w:rPr>
        <w:t xml:space="preserve">it has been estimated that </w:t>
      </w:r>
      <w:r w:rsidRPr="00C06F1B">
        <w:rPr>
          <w:rFonts w:ascii="Times New Roman" w:hAnsi="Times New Roman"/>
          <w:sz w:val="22"/>
          <w:szCs w:val="22"/>
        </w:rPr>
        <w:t xml:space="preserve">a tax of one basis point </w:t>
      </w:r>
      <w:r w:rsidR="00894279" w:rsidRPr="00C06F1B">
        <w:rPr>
          <w:rFonts w:ascii="Times New Roman" w:hAnsi="Times New Roman"/>
          <w:sz w:val="22"/>
          <w:szCs w:val="22"/>
        </w:rPr>
        <w:t>would</w:t>
      </w:r>
      <w:r w:rsidRPr="00C06F1B">
        <w:rPr>
          <w:rFonts w:ascii="Times New Roman" w:hAnsi="Times New Roman"/>
          <w:sz w:val="22"/>
          <w:szCs w:val="22"/>
        </w:rPr>
        <w:t xml:space="preserve"> raise over $200 billion annually if levied globally on stocks, bonds and derivative transactions, and a 0.5 basis point Tobin tax on spot and derivative transactions in the four major trading currencies </w:t>
      </w:r>
      <w:r w:rsidR="00FF4F81" w:rsidRPr="00C06F1B">
        <w:rPr>
          <w:rFonts w:ascii="Times New Roman" w:hAnsi="Times New Roman"/>
          <w:sz w:val="22"/>
          <w:szCs w:val="22"/>
        </w:rPr>
        <w:t xml:space="preserve">would </w:t>
      </w:r>
      <w:r w:rsidRPr="00C06F1B">
        <w:rPr>
          <w:rFonts w:ascii="Times New Roman" w:hAnsi="Times New Roman"/>
          <w:sz w:val="22"/>
          <w:szCs w:val="22"/>
        </w:rPr>
        <w:t>raise $20</w:t>
      </w:r>
      <w:r w:rsidR="00BE0545" w:rsidRPr="00E7515A">
        <w:rPr>
          <w:rFonts w:ascii="Times New Roman" w:hAnsi="Times New Roman"/>
          <w:sz w:val="22"/>
          <w:szCs w:val="22"/>
        </w:rPr>
        <w:t>-</w:t>
      </w:r>
      <w:r w:rsidRPr="00C06F1B">
        <w:rPr>
          <w:rFonts w:ascii="Times New Roman" w:hAnsi="Times New Roman"/>
          <w:sz w:val="22"/>
          <w:szCs w:val="22"/>
        </w:rPr>
        <w:t xml:space="preserve">$40 billion (IMF, 2010). Moreover, </w:t>
      </w:r>
      <w:proofErr w:type="spellStart"/>
      <w:r w:rsidRPr="00C06F1B">
        <w:rPr>
          <w:rFonts w:ascii="Times New Roman" w:hAnsi="Times New Roman"/>
          <w:sz w:val="22"/>
          <w:szCs w:val="22"/>
        </w:rPr>
        <w:t>Schulmeister</w:t>
      </w:r>
      <w:proofErr w:type="spellEnd"/>
      <w:r w:rsidRPr="00C06F1B">
        <w:rPr>
          <w:rFonts w:ascii="Times New Roman" w:hAnsi="Times New Roman"/>
          <w:sz w:val="22"/>
          <w:szCs w:val="22"/>
        </w:rPr>
        <w:t xml:space="preserve"> et al. (2008) estimate that the revenue of a global FTT would amount to 1.52</w:t>
      </w:r>
      <w:r w:rsidR="004B21E2" w:rsidRPr="00C06F1B">
        <w:rPr>
          <w:rFonts w:ascii="Times New Roman" w:hAnsi="Times New Roman"/>
          <w:sz w:val="22"/>
          <w:szCs w:val="22"/>
        </w:rPr>
        <w:t>%</w:t>
      </w:r>
      <w:r w:rsidRPr="00C06F1B">
        <w:rPr>
          <w:rFonts w:ascii="Times New Roman" w:hAnsi="Times New Roman"/>
          <w:sz w:val="22"/>
          <w:szCs w:val="22"/>
        </w:rPr>
        <w:t xml:space="preserve"> of world GDP at a tax rate of 0.1</w:t>
      </w:r>
      <w:r w:rsidR="004B21E2" w:rsidRPr="00C06F1B">
        <w:rPr>
          <w:rFonts w:ascii="Times New Roman" w:hAnsi="Times New Roman"/>
          <w:sz w:val="22"/>
          <w:szCs w:val="22"/>
        </w:rPr>
        <w:t>%</w:t>
      </w:r>
      <w:r w:rsidRPr="00C06F1B">
        <w:rPr>
          <w:rFonts w:ascii="Times New Roman" w:hAnsi="Times New Roman"/>
          <w:sz w:val="22"/>
          <w:szCs w:val="22"/>
        </w:rPr>
        <w:t xml:space="preserve">. On the other hand, </w:t>
      </w:r>
      <w:r w:rsidR="00894279" w:rsidRPr="00C06F1B">
        <w:rPr>
          <w:rFonts w:ascii="Times New Roman" w:hAnsi="Times New Roman"/>
          <w:sz w:val="22"/>
          <w:szCs w:val="22"/>
        </w:rPr>
        <w:t xml:space="preserve">it is estimated that </w:t>
      </w:r>
      <w:r w:rsidRPr="00C06F1B">
        <w:rPr>
          <w:rFonts w:ascii="Times New Roman" w:hAnsi="Times New Roman"/>
          <w:sz w:val="22"/>
          <w:szCs w:val="22"/>
        </w:rPr>
        <w:t xml:space="preserve">in Europe tax revenues </w:t>
      </w:r>
      <w:r w:rsidR="00894279" w:rsidRPr="00C06F1B">
        <w:rPr>
          <w:rFonts w:ascii="Times New Roman" w:hAnsi="Times New Roman"/>
          <w:sz w:val="22"/>
          <w:szCs w:val="22"/>
        </w:rPr>
        <w:t xml:space="preserve">would </w:t>
      </w:r>
      <w:r w:rsidRPr="00C06F1B">
        <w:rPr>
          <w:rFonts w:ascii="Times New Roman" w:hAnsi="Times New Roman"/>
          <w:sz w:val="22"/>
          <w:szCs w:val="22"/>
        </w:rPr>
        <w:t>be 2.1</w:t>
      </w:r>
      <w:r w:rsidR="004B21E2" w:rsidRPr="00C06F1B">
        <w:rPr>
          <w:rFonts w:ascii="Times New Roman" w:hAnsi="Times New Roman"/>
          <w:sz w:val="22"/>
          <w:szCs w:val="22"/>
        </w:rPr>
        <w:t>%</w:t>
      </w:r>
      <w:r w:rsidRPr="00C06F1B">
        <w:rPr>
          <w:rFonts w:ascii="Times New Roman" w:hAnsi="Times New Roman"/>
          <w:sz w:val="22"/>
          <w:szCs w:val="22"/>
        </w:rPr>
        <w:t xml:space="preserve"> of GDP if a similar tax </w:t>
      </w:r>
      <w:r w:rsidR="00FF4F81" w:rsidRPr="00C06F1B">
        <w:rPr>
          <w:rFonts w:ascii="Times New Roman" w:hAnsi="Times New Roman"/>
          <w:sz w:val="22"/>
          <w:szCs w:val="22"/>
        </w:rPr>
        <w:t>were</w:t>
      </w:r>
      <w:r w:rsidRPr="00C06F1B">
        <w:rPr>
          <w:rFonts w:ascii="Times New Roman" w:hAnsi="Times New Roman"/>
          <w:sz w:val="22"/>
          <w:szCs w:val="22"/>
        </w:rPr>
        <w:t xml:space="preserve"> imposed</w:t>
      </w:r>
      <w:r w:rsidR="0079534F" w:rsidRPr="00C06F1B">
        <w:rPr>
          <w:rFonts w:ascii="Times New Roman" w:hAnsi="Times New Roman"/>
          <w:sz w:val="22"/>
          <w:szCs w:val="22"/>
        </w:rPr>
        <w:t>.</w:t>
      </w:r>
      <w:r w:rsidRPr="00C06F1B">
        <w:rPr>
          <w:rStyle w:val="FootnoteReference"/>
          <w:rFonts w:ascii="Times New Roman" w:hAnsi="Times New Roman"/>
          <w:sz w:val="22"/>
          <w:szCs w:val="22"/>
        </w:rPr>
        <w:footnoteReference w:id="7"/>
      </w:r>
    </w:p>
    <w:p w14:paraId="5FEB9146" w14:textId="0A45C6AE" w:rsidR="00F74DE9" w:rsidRPr="00C06F1B" w:rsidRDefault="001C74D5" w:rsidP="00F05C16">
      <w:pPr>
        <w:pStyle w:val="CM22"/>
        <w:spacing w:after="600" w:line="403" w:lineRule="atLeast"/>
        <w:jc w:val="both"/>
        <w:rPr>
          <w:rFonts w:ascii="Times New Roman" w:hAnsi="Times New Roman"/>
          <w:sz w:val="22"/>
          <w:szCs w:val="22"/>
        </w:rPr>
      </w:pPr>
      <w:r w:rsidRPr="00C06F1B">
        <w:rPr>
          <w:rFonts w:ascii="Times New Roman" w:hAnsi="Times New Roman"/>
          <w:sz w:val="22"/>
          <w:szCs w:val="22"/>
        </w:rPr>
        <w:lastRenderedPageBreak/>
        <w:t>Furthermore</w:t>
      </w:r>
      <w:r w:rsidR="0012588C" w:rsidRPr="00C06F1B">
        <w:rPr>
          <w:rFonts w:ascii="Times New Roman" w:hAnsi="Times New Roman"/>
          <w:sz w:val="22"/>
          <w:szCs w:val="22"/>
        </w:rPr>
        <w:t xml:space="preserve">, FTT </w:t>
      </w:r>
      <w:r w:rsidRPr="00C06F1B">
        <w:rPr>
          <w:rFonts w:ascii="Times New Roman" w:hAnsi="Times New Roman"/>
          <w:sz w:val="22"/>
          <w:szCs w:val="22"/>
        </w:rPr>
        <w:t>can</w:t>
      </w:r>
      <w:r w:rsidR="0012588C" w:rsidRPr="00C06F1B">
        <w:rPr>
          <w:rFonts w:ascii="Times New Roman" w:hAnsi="Times New Roman"/>
          <w:sz w:val="22"/>
          <w:szCs w:val="22"/>
        </w:rPr>
        <w:t xml:space="preserve">not be dismissed on the grounds of administrative </w:t>
      </w:r>
      <w:r w:rsidRPr="00C06F1B">
        <w:rPr>
          <w:rFonts w:ascii="Times New Roman" w:hAnsi="Times New Roman"/>
          <w:sz w:val="22"/>
          <w:szCs w:val="22"/>
        </w:rPr>
        <w:t>im</w:t>
      </w:r>
      <w:r w:rsidR="0012588C" w:rsidRPr="00C06F1B">
        <w:rPr>
          <w:rFonts w:ascii="Times New Roman" w:hAnsi="Times New Roman"/>
          <w:sz w:val="22"/>
          <w:szCs w:val="22"/>
        </w:rPr>
        <w:t xml:space="preserve">practicality. In fact, as </w:t>
      </w:r>
      <w:r w:rsidR="00985245" w:rsidRPr="00C06F1B">
        <w:rPr>
          <w:rFonts w:ascii="Times New Roman" w:hAnsi="Times New Roman"/>
          <w:sz w:val="22"/>
          <w:szCs w:val="22"/>
        </w:rPr>
        <w:t>the</w:t>
      </w:r>
      <w:r w:rsidR="00FF4F81" w:rsidRPr="00C06F1B">
        <w:rPr>
          <w:rFonts w:ascii="Times New Roman" w:hAnsi="Times New Roman"/>
          <w:sz w:val="22"/>
          <w:szCs w:val="22"/>
        </w:rPr>
        <w:t xml:space="preserve"> </w:t>
      </w:r>
      <w:r w:rsidR="0012588C" w:rsidRPr="00C06F1B">
        <w:rPr>
          <w:rFonts w:ascii="Times New Roman" w:hAnsi="Times New Roman"/>
          <w:sz w:val="22"/>
          <w:szCs w:val="22"/>
        </w:rPr>
        <w:t>IMF (2010) notes</w:t>
      </w:r>
      <w:r w:rsidR="00FF4F81" w:rsidRPr="00C06F1B">
        <w:rPr>
          <w:rFonts w:ascii="Times New Roman" w:hAnsi="Times New Roman"/>
          <w:sz w:val="22"/>
          <w:szCs w:val="22"/>
        </w:rPr>
        <w:t>,</w:t>
      </w:r>
      <w:r w:rsidR="0012588C" w:rsidRPr="00C06F1B">
        <w:rPr>
          <w:rFonts w:ascii="Times New Roman" w:hAnsi="Times New Roman"/>
          <w:sz w:val="22"/>
          <w:szCs w:val="22"/>
        </w:rPr>
        <w:t xml:space="preserve"> most G20 countries</w:t>
      </w:r>
      <w:r w:rsidR="00F74DE9" w:rsidRPr="00C06F1B">
        <w:rPr>
          <w:rFonts w:ascii="Times New Roman" w:hAnsi="Times New Roman"/>
          <w:sz w:val="22"/>
          <w:szCs w:val="22"/>
        </w:rPr>
        <w:t>, including the UK,</w:t>
      </w:r>
      <w:r w:rsidR="0012588C" w:rsidRPr="00C06F1B">
        <w:rPr>
          <w:rFonts w:ascii="Times New Roman" w:hAnsi="Times New Roman"/>
          <w:sz w:val="22"/>
          <w:szCs w:val="22"/>
        </w:rPr>
        <w:t xml:space="preserve"> already tax some financial transactions. For instance, Argentina, which has the broadest coverage, taxes payments into and from current accounts, and in Turkey, all </w:t>
      </w:r>
      <w:r w:rsidR="00FF4F81" w:rsidRPr="00C06F1B">
        <w:rPr>
          <w:rFonts w:ascii="Times New Roman" w:hAnsi="Times New Roman"/>
          <w:sz w:val="22"/>
          <w:szCs w:val="22"/>
        </w:rPr>
        <w:t xml:space="preserve">the </w:t>
      </w:r>
      <w:r w:rsidR="0012588C" w:rsidRPr="00C06F1B">
        <w:rPr>
          <w:rFonts w:ascii="Times New Roman" w:hAnsi="Times New Roman"/>
          <w:sz w:val="22"/>
          <w:szCs w:val="22"/>
        </w:rPr>
        <w:t>receipts of banks and insurance companies are taxed. Other countries charge particular financial transactions</w:t>
      </w:r>
      <w:r w:rsidR="00472BAF" w:rsidRPr="00C06F1B">
        <w:rPr>
          <w:rFonts w:ascii="Times New Roman" w:hAnsi="Times New Roman"/>
          <w:sz w:val="22"/>
          <w:szCs w:val="22"/>
        </w:rPr>
        <w:t>,</w:t>
      </w:r>
      <w:r w:rsidR="0012588C" w:rsidRPr="00C06F1B">
        <w:rPr>
          <w:rFonts w:ascii="Times New Roman" w:hAnsi="Times New Roman"/>
          <w:sz w:val="22"/>
          <w:szCs w:val="22"/>
        </w:rPr>
        <w:t xml:space="preserve"> </w:t>
      </w:r>
      <w:r w:rsidR="00FF4F81" w:rsidRPr="00C06F1B">
        <w:rPr>
          <w:rFonts w:ascii="Times New Roman" w:hAnsi="Times New Roman"/>
          <w:sz w:val="22"/>
          <w:szCs w:val="22"/>
        </w:rPr>
        <w:t xml:space="preserve">such as </w:t>
      </w:r>
      <w:r w:rsidR="0012588C" w:rsidRPr="00C06F1B">
        <w:rPr>
          <w:rFonts w:ascii="Times New Roman" w:hAnsi="Times New Roman"/>
          <w:sz w:val="22"/>
          <w:szCs w:val="22"/>
        </w:rPr>
        <w:t>the 0.5</w:t>
      </w:r>
      <w:r w:rsidR="004B21E2" w:rsidRPr="00C06F1B">
        <w:rPr>
          <w:rFonts w:ascii="Times New Roman" w:hAnsi="Times New Roman"/>
          <w:sz w:val="22"/>
          <w:szCs w:val="22"/>
        </w:rPr>
        <w:t>%</w:t>
      </w:r>
      <w:r w:rsidR="0012588C" w:rsidRPr="00C06F1B">
        <w:rPr>
          <w:rFonts w:ascii="Times New Roman" w:hAnsi="Times New Roman"/>
          <w:sz w:val="22"/>
          <w:szCs w:val="22"/>
        </w:rPr>
        <w:t xml:space="preserve"> stamp duty on locally registered share</w:t>
      </w:r>
      <w:r w:rsidR="00F74DE9" w:rsidRPr="00C06F1B">
        <w:rPr>
          <w:rFonts w:ascii="Times New Roman" w:hAnsi="Times New Roman"/>
          <w:sz w:val="22"/>
          <w:szCs w:val="22"/>
        </w:rPr>
        <w:t xml:space="preserve"> purchases</w:t>
      </w:r>
      <w:r w:rsidR="0012588C" w:rsidRPr="00C06F1B">
        <w:rPr>
          <w:rFonts w:ascii="Times New Roman" w:hAnsi="Times New Roman"/>
          <w:sz w:val="22"/>
          <w:szCs w:val="22"/>
        </w:rPr>
        <w:t xml:space="preserve"> in the United Kingdom</w:t>
      </w:r>
      <w:r w:rsidR="00F74DE9" w:rsidRPr="00C06F1B">
        <w:rPr>
          <w:rFonts w:ascii="Times New Roman" w:hAnsi="Times New Roman"/>
          <w:sz w:val="22"/>
          <w:szCs w:val="22"/>
        </w:rPr>
        <w:t xml:space="preserve"> and there is also a stamp duty charge on house purchases</w:t>
      </w:r>
      <w:r w:rsidR="0012588C" w:rsidRPr="00C06F1B">
        <w:rPr>
          <w:rFonts w:ascii="Times New Roman" w:hAnsi="Times New Roman"/>
          <w:sz w:val="22"/>
          <w:szCs w:val="22"/>
        </w:rPr>
        <w:t xml:space="preserve">. As experience with UK stamp duty </w:t>
      </w:r>
      <w:r w:rsidR="00F74DE9" w:rsidRPr="00C06F1B">
        <w:rPr>
          <w:rFonts w:ascii="Times New Roman" w:hAnsi="Times New Roman"/>
          <w:sz w:val="22"/>
          <w:szCs w:val="22"/>
        </w:rPr>
        <w:t xml:space="preserve">on share purchases </w:t>
      </w:r>
      <w:r w:rsidR="0012588C" w:rsidRPr="00C06F1B">
        <w:rPr>
          <w:rFonts w:ascii="Times New Roman" w:hAnsi="Times New Roman"/>
          <w:sz w:val="22"/>
          <w:szCs w:val="22"/>
        </w:rPr>
        <w:t>shows, collecting taxes on a wide range of exchange</w:t>
      </w:r>
      <w:r w:rsidR="00BE0545" w:rsidRPr="00E7515A">
        <w:rPr>
          <w:rFonts w:ascii="Times New Roman" w:hAnsi="Times New Roman"/>
          <w:sz w:val="22"/>
          <w:szCs w:val="22"/>
        </w:rPr>
        <w:t>-</w:t>
      </w:r>
      <w:r w:rsidR="0012588C" w:rsidRPr="00C06F1B">
        <w:rPr>
          <w:rFonts w:ascii="Times New Roman" w:hAnsi="Times New Roman"/>
          <w:sz w:val="22"/>
          <w:szCs w:val="22"/>
        </w:rPr>
        <w:t>traded securities</w:t>
      </w:r>
      <w:r w:rsidR="00F74DE9" w:rsidRPr="00C06F1B">
        <w:rPr>
          <w:rFonts w:ascii="Times New Roman" w:hAnsi="Times New Roman"/>
          <w:sz w:val="22"/>
          <w:szCs w:val="22"/>
        </w:rPr>
        <w:t xml:space="preserve">, </w:t>
      </w:r>
      <w:r w:rsidR="0012588C" w:rsidRPr="00C06F1B">
        <w:rPr>
          <w:rFonts w:ascii="Times New Roman" w:hAnsi="Times New Roman"/>
          <w:sz w:val="22"/>
          <w:szCs w:val="22"/>
        </w:rPr>
        <w:t xml:space="preserve">and, possibly </w:t>
      </w:r>
      <w:r w:rsidR="00F74DE9" w:rsidRPr="00C06F1B">
        <w:rPr>
          <w:rFonts w:ascii="Times New Roman" w:hAnsi="Times New Roman"/>
          <w:sz w:val="22"/>
          <w:szCs w:val="22"/>
        </w:rPr>
        <w:t xml:space="preserve">also financial </w:t>
      </w:r>
      <w:r w:rsidR="0012588C" w:rsidRPr="00C06F1B">
        <w:rPr>
          <w:rFonts w:ascii="Times New Roman" w:hAnsi="Times New Roman"/>
          <w:sz w:val="22"/>
          <w:szCs w:val="22"/>
        </w:rPr>
        <w:t>derivatives</w:t>
      </w:r>
      <w:r w:rsidR="00F74DE9" w:rsidRPr="00C06F1B">
        <w:rPr>
          <w:rFonts w:ascii="Times New Roman" w:hAnsi="Times New Roman"/>
          <w:sz w:val="22"/>
          <w:szCs w:val="22"/>
        </w:rPr>
        <w:t>,</w:t>
      </w:r>
      <w:r w:rsidR="0012588C" w:rsidRPr="00C06F1B">
        <w:rPr>
          <w:rFonts w:ascii="Times New Roman" w:hAnsi="Times New Roman"/>
          <w:sz w:val="22"/>
          <w:szCs w:val="22"/>
        </w:rPr>
        <w:t xml:space="preserve"> could be straightforward and cheap if </w:t>
      </w:r>
      <w:r w:rsidR="0058357D" w:rsidRPr="00C06F1B">
        <w:rPr>
          <w:rFonts w:ascii="Times New Roman" w:hAnsi="Times New Roman"/>
          <w:sz w:val="22"/>
          <w:szCs w:val="22"/>
        </w:rPr>
        <w:t>levied</w:t>
      </w:r>
      <w:r w:rsidR="00FF4F81" w:rsidRPr="00C06F1B">
        <w:rPr>
          <w:rFonts w:ascii="Times New Roman" w:hAnsi="Times New Roman"/>
          <w:sz w:val="22"/>
          <w:szCs w:val="22"/>
        </w:rPr>
        <w:t xml:space="preserve"> </w:t>
      </w:r>
      <w:r w:rsidR="0012588C" w:rsidRPr="00C06F1B">
        <w:rPr>
          <w:rFonts w:ascii="Times New Roman" w:hAnsi="Times New Roman"/>
          <w:sz w:val="22"/>
          <w:szCs w:val="22"/>
        </w:rPr>
        <w:t xml:space="preserve">through central clearing mechanisms. </w:t>
      </w:r>
      <w:r w:rsidR="00C10642" w:rsidRPr="00C06F1B">
        <w:rPr>
          <w:rFonts w:ascii="Times New Roman" w:hAnsi="Times New Roman"/>
          <w:sz w:val="22"/>
          <w:szCs w:val="22"/>
        </w:rPr>
        <w:t xml:space="preserve">The </w:t>
      </w:r>
      <w:r w:rsidR="0025461E" w:rsidRPr="00C06F1B">
        <w:rPr>
          <w:rFonts w:ascii="Times New Roman" w:hAnsi="Times New Roman"/>
          <w:sz w:val="22"/>
          <w:szCs w:val="22"/>
        </w:rPr>
        <w:t>Table 3</w:t>
      </w:r>
      <w:r w:rsidR="00F33F33" w:rsidRPr="00C06F1B">
        <w:rPr>
          <w:rFonts w:ascii="Times New Roman" w:hAnsi="Times New Roman"/>
          <w:sz w:val="22"/>
          <w:szCs w:val="22"/>
        </w:rPr>
        <w:t xml:space="preserve"> in the Appendix </w:t>
      </w:r>
      <w:r w:rsidR="0025461E" w:rsidRPr="00C06F1B">
        <w:rPr>
          <w:rFonts w:ascii="Times New Roman" w:hAnsi="Times New Roman"/>
          <w:sz w:val="22"/>
          <w:szCs w:val="22"/>
        </w:rPr>
        <w:t xml:space="preserve">gives </w:t>
      </w:r>
      <w:r w:rsidR="00F33F33" w:rsidRPr="00C06F1B">
        <w:rPr>
          <w:rFonts w:ascii="Times New Roman" w:hAnsi="Times New Roman"/>
          <w:sz w:val="22"/>
          <w:szCs w:val="22"/>
        </w:rPr>
        <w:t>an overview of Securities Transaction Tax</w:t>
      </w:r>
      <w:r w:rsidR="0025461E" w:rsidRPr="00C06F1B">
        <w:rPr>
          <w:rFonts w:ascii="Times New Roman" w:hAnsi="Times New Roman"/>
          <w:sz w:val="22"/>
          <w:szCs w:val="22"/>
        </w:rPr>
        <w:t xml:space="preserve"> around the world</w:t>
      </w:r>
      <w:r w:rsidR="00F33F33" w:rsidRPr="00C06F1B">
        <w:rPr>
          <w:rFonts w:ascii="Times New Roman" w:hAnsi="Times New Roman"/>
          <w:sz w:val="22"/>
          <w:szCs w:val="22"/>
        </w:rPr>
        <w:t>.</w:t>
      </w:r>
    </w:p>
    <w:p w14:paraId="50DDABDA" w14:textId="1AA4AF43" w:rsidR="001D27C8" w:rsidRPr="00E7515A" w:rsidRDefault="0012588C" w:rsidP="00E7515A">
      <w:pPr>
        <w:pStyle w:val="CM22"/>
        <w:spacing w:after="600" w:line="403" w:lineRule="atLeast"/>
        <w:jc w:val="both"/>
        <w:rPr>
          <w:rFonts w:ascii="Times New Roman" w:hAnsi="Times New Roman"/>
          <w:sz w:val="22"/>
          <w:szCs w:val="22"/>
        </w:rPr>
      </w:pPr>
      <w:r w:rsidRPr="00E7515A">
        <w:rPr>
          <w:rFonts w:ascii="Times New Roman" w:hAnsi="Times New Roman"/>
          <w:sz w:val="22"/>
          <w:szCs w:val="22"/>
        </w:rPr>
        <w:t xml:space="preserve">Nevertheless, some important practical issues </w:t>
      </w:r>
      <w:r w:rsidR="00FF4F81" w:rsidRPr="00E7515A">
        <w:rPr>
          <w:rFonts w:ascii="Times New Roman" w:hAnsi="Times New Roman"/>
          <w:sz w:val="22"/>
          <w:szCs w:val="22"/>
        </w:rPr>
        <w:t xml:space="preserve">have </w:t>
      </w:r>
      <w:r w:rsidRPr="00E7515A">
        <w:rPr>
          <w:rFonts w:ascii="Times New Roman" w:hAnsi="Times New Roman"/>
          <w:sz w:val="22"/>
          <w:szCs w:val="22"/>
        </w:rPr>
        <w:t>not yet</w:t>
      </w:r>
      <w:r w:rsidR="00FF4F81" w:rsidRPr="00E7515A">
        <w:rPr>
          <w:rFonts w:ascii="Times New Roman" w:hAnsi="Times New Roman"/>
          <w:sz w:val="22"/>
          <w:szCs w:val="22"/>
        </w:rPr>
        <w:t xml:space="preserve"> been</w:t>
      </w:r>
      <w:r w:rsidRPr="00E7515A">
        <w:rPr>
          <w:rFonts w:ascii="Times New Roman" w:hAnsi="Times New Roman"/>
          <w:sz w:val="22"/>
          <w:szCs w:val="22"/>
        </w:rPr>
        <w:t xml:space="preserve"> fully resolved. For instance, </w:t>
      </w:r>
      <w:r w:rsidR="00D953F8" w:rsidRPr="00E7515A">
        <w:rPr>
          <w:rFonts w:ascii="Times New Roman" w:hAnsi="Times New Roman"/>
          <w:sz w:val="22"/>
          <w:szCs w:val="22"/>
        </w:rPr>
        <w:t xml:space="preserve">it might be expected that an FTT </w:t>
      </w:r>
      <w:r w:rsidRPr="00E7515A">
        <w:rPr>
          <w:rFonts w:ascii="Times New Roman" w:hAnsi="Times New Roman"/>
          <w:sz w:val="22"/>
          <w:szCs w:val="22"/>
        </w:rPr>
        <w:t>might drive transactions into less secure channels</w:t>
      </w:r>
      <w:r w:rsidR="00D953F8" w:rsidRPr="00E7515A">
        <w:rPr>
          <w:rFonts w:ascii="Times New Roman" w:hAnsi="Times New Roman"/>
          <w:sz w:val="22"/>
          <w:szCs w:val="22"/>
        </w:rPr>
        <w:t xml:space="preserve">; but there is a post crisis countervailing regulatory requirement to require more financial </w:t>
      </w:r>
      <w:r w:rsidR="009E5074" w:rsidRPr="00E7515A">
        <w:rPr>
          <w:rFonts w:ascii="Times New Roman" w:hAnsi="Times New Roman"/>
          <w:sz w:val="22"/>
          <w:szCs w:val="22"/>
        </w:rPr>
        <w:t>instrument transactions to be undertaken through exchanges with central counterparties and clearing.</w:t>
      </w:r>
      <w:r w:rsidRPr="00C06F1B">
        <w:rPr>
          <w:rFonts w:ascii="Times New Roman" w:hAnsi="Times New Roman"/>
          <w:sz w:val="22"/>
          <w:szCs w:val="22"/>
        </w:rPr>
        <w:t xml:space="preserve"> </w:t>
      </w:r>
      <w:r w:rsidRPr="00C06F1B">
        <w:rPr>
          <w:rFonts w:ascii="Times New Roman" w:hAnsi="Times New Roman"/>
        </w:rPr>
        <w:t xml:space="preserve">However, implementation difficulties are not unique to the FTT, and </w:t>
      </w:r>
      <w:r w:rsidR="007A48BD" w:rsidRPr="00C06F1B">
        <w:rPr>
          <w:rFonts w:ascii="Times New Roman" w:hAnsi="Times New Roman"/>
        </w:rPr>
        <w:t xml:space="preserve">a </w:t>
      </w:r>
      <w:r w:rsidRPr="00E7515A">
        <w:rPr>
          <w:rFonts w:ascii="Times New Roman" w:hAnsi="Times New Roman"/>
          <w:sz w:val="22"/>
          <w:szCs w:val="22"/>
        </w:rPr>
        <w:t xml:space="preserve">sufficient basis exists for practical implementation of at least some form of FTT to focus on the central question of whether </w:t>
      </w:r>
      <w:r w:rsidR="009E5074" w:rsidRPr="00E7515A">
        <w:rPr>
          <w:rFonts w:ascii="Times New Roman" w:hAnsi="Times New Roman"/>
          <w:sz w:val="22"/>
          <w:szCs w:val="22"/>
        </w:rPr>
        <w:t>there would be any substantial costs from implementing an FTT.</w:t>
      </w:r>
      <w:r w:rsidRPr="00E7515A">
        <w:rPr>
          <w:rFonts w:ascii="Times New Roman" w:hAnsi="Times New Roman"/>
          <w:sz w:val="22"/>
          <w:szCs w:val="22"/>
        </w:rPr>
        <w:t xml:space="preserve"> </w:t>
      </w:r>
    </w:p>
    <w:p w14:paraId="6FF6250D" w14:textId="169F1CE2" w:rsidR="009F7929" w:rsidRPr="00C06F1B" w:rsidRDefault="009F7929" w:rsidP="00E7515A">
      <w:pPr>
        <w:pStyle w:val="Default"/>
        <w:spacing w:line="360" w:lineRule="auto"/>
        <w:jc w:val="both"/>
        <w:rPr>
          <w:rFonts w:ascii="Times New Roman" w:hAnsi="Times New Roman"/>
          <w:sz w:val="22"/>
          <w:szCs w:val="22"/>
        </w:rPr>
      </w:pPr>
      <w:proofErr w:type="spellStart"/>
      <w:r w:rsidRPr="00C06F1B">
        <w:rPr>
          <w:rFonts w:ascii="Times New Roman" w:hAnsi="Times New Roman" w:cs="Times New Roman"/>
          <w:color w:val="auto"/>
          <w:sz w:val="22"/>
          <w:szCs w:val="22"/>
        </w:rPr>
        <w:t>Schamp</w:t>
      </w:r>
      <w:proofErr w:type="spellEnd"/>
      <w:r w:rsidRPr="00C06F1B">
        <w:rPr>
          <w:rFonts w:ascii="Times New Roman" w:hAnsi="Times New Roman" w:cs="Times New Roman"/>
          <w:color w:val="auto"/>
          <w:sz w:val="22"/>
          <w:szCs w:val="22"/>
        </w:rPr>
        <w:t xml:space="preserve"> (2011) notes that if the implementation of </w:t>
      </w:r>
      <w:r w:rsidRPr="00C06F1B">
        <w:rPr>
          <w:rFonts w:ascii="Times New Roman" w:hAnsi="Times New Roman" w:cs="Times New Roman"/>
          <w:sz w:val="22"/>
          <w:szCs w:val="22"/>
        </w:rPr>
        <w:t>the</w:t>
      </w:r>
      <w:r w:rsidRPr="00C06F1B">
        <w:rPr>
          <w:rFonts w:ascii="Times New Roman" w:hAnsi="Times New Roman" w:cs="Times New Roman"/>
          <w:color w:val="auto"/>
          <w:sz w:val="22"/>
          <w:szCs w:val="22"/>
        </w:rPr>
        <w:t xml:space="preserve"> FTT were limited to a few jurisdictions, it would be unlikely to raise the revenue sought</w:t>
      </w:r>
      <w:r w:rsidRPr="00C06F1B">
        <w:rPr>
          <w:rFonts w:ascii="Times New Roman" w:hAnsi="Times New Roman" w:cs="Times New Roman"/>
          <w:sz w:val="22"/>
          <w:szCs w:val="22"/>
        </w:rPr>
        <w:t xml:space="preserve">, because avoidance of the trading market subject to the transaction tax would result in a substantial decrease in the tax base. </w:t>
      </w:r>
      <w:r w:rsidRPr="00C06F1B">
        <w:rPr>
          <w:rFonts w:ascii="Times New Roman" w:hAnsi="Times New Roman" w:cs="Times New Roman"/>
          <w:color w:val="auto"/>
          <w:sz w:val="22"/>
          <w:szCs w:val="22"/>
        </w:rPr>
        <w:t>Nevertheless, the implementation of an FTT in all major financial centres would be sufficient to prevent avoidance, as liquidity and legal requirements are still decisive factors and in many tax havens transaction costs are much higher compared to industrialized countries</w:t>
      </w:r>
      <w:r w:rsidRPr="00C06F1B">
        <w:rPr>
          <w:rFonts w:ascii="Times New Roman" w:hAnsi="Times New Roman" w:cs="Times New Roman"/>
          <w:sz w:val="22"/>
          <w:szCs w:val="22"/>
        </w:rPr>
        <w:t xml:space="preserve"> (UN, 2010 and Cortez &amp; Vogel, 2011)</w:t>
      </w:r>
      <w:r w:rsidRPr="00C06F1B">
        <w:rPr>
          <w:rFonts w:ascii="Times New Roman" w:hAnsi="Times New Roman" w:cs="Times New Roman"/>
          <w:color w:val="auto"/>
          <w:sz w:val="22"/>
          <w:szCs w:val="22"/>
        </w:rPr>
        <w:t xml:space="preserve">. Besides, a global basis is needed to ensure a worldwide playing field for global financial players. </w:t>
      </w:r>
      <w:r w:rsidR="008B1ED3" w:rsidRPr="00C06F1B">
        <w:rPr>
          <w:rFonts w:ascii="Times New Roman" w:hAnsi="Times New Roman" w:cs="Times New Roman"/>
          <w:color w:val="auto"/>
          <w:sz w:val="22"/>
          <w:szCs w:val="22"/>
        </w:rPr>
        <w:t xml:space="preserve">Regarding tax avoidance or evasion, experience shows that financial transactions seem to be particularly vulnerable to avoidance or evasion. For instance, in the United Kingdom, ‘contracts in differences’ are used to avoid the tax. A ‘contract for difference’ is a financial product which reallocates the income associated with share of ownership, without changing the ownership itself. However, to mitigate the incentive for such </w:t>
      </w:r>
      <w:r w:rsidR="008B1ED3" w:rsidRPr="00C06F1B">
        <w:rPr>
          <w:rFonts w:ascii="Times New Roman" w:hAnsi="Times New Roman" w:cs="Times New Roman"/>
          <w:color w:val="auto"/>
          <w:sz w:val="22"/>
          <w:szCs w:val="22"/>
        </w:rPr>
        <w:lastRenderedPageBreak/>
        <w:t>engineering, the tax rate could be set lower than the avoidance costs and tax authorities could react precisely by incorporating new financial instruments in the tax base (</w:t>
      </w:r>
      <w:proofErr w:type="spellStart"/>
      <w:r w:rsidR="008B1ED3" w:rsidRPr="00C06F1B">
        <w:rPr>
          <w:rFonts w:ascii="Times New Roman" w:hAnsi="Times New Roman" w:cs="Times New Roman"/>
          <w:color w:val="auto"/>
          <w:sz w:val="22"/>
          <w:szCs w:val="22"/>
        </w:rPr>
        <w:t>Schamp</w:t>
      </w:r>
      <w:proofErr w:type="spellEnd"/>
      <w:r w:rsidR="008B1ED3" w:rsidRPr="00C06F1B">
        <w:rPr>
          <w:rFonts w:ascii="Times New Roman" w:hAnsi="Times New Roman" w:cs="Times New Roman"/>
          <w:color w:val="auto"/>
          <w:sz w:val="22"/>
          <w:szCs w:val="22"/>
        </w:rPr>
        <w:t xml:space="preserve">, 2011). </w:t>
      </w:r>
    </w:p>
    <w:p w14:paraId="7123C90A" w14:textId="77777777" w:rsidR="008B1ED3" w:rsidRPr="00C06F1B" w:rsidRDefault="008B1ED3" w:rsidP="00E7515A">
      <w:pPr>
        <w:pStyle w:val="Default"/>
        <w:spacing w:line="360" w:lineRule="auto"/>
        <w:jc w:val="both"/>
        <w:rPr>
          <w:rFonts w:ascii="Times New Roman" w:hAnsi="Times New Roman"/>
          <w:sz w:val="22"/>
          <w:szCs w:val="22"/>
        </w:rPr>
      </w:pPr>
    </w:p>
    <w:p w14:paraId="50F84906" w14:textId="698387FE" w:rsidR="009F7929" w:rsidRPr="00C06F1B" w:rsidRDefault="009F7929" w:rsidP="009F7929">
      <w:pPr>
        <w:pStyle w:val="CM25"/>
        <w:spacing w:after="402" w:line="403" w:lineRule="atLeast"/>
        <w:jc w:val="both"/>
        <w:rPr>
          <w:rFonts w:ascii="Times New Roman" w:hAnsi="Times New Roman"/>
          <w:sz w:val="22"/>
          <w:szCs w:val="22"/>
        </w:rPr>
      </w:pPr>
      <w:proofErr w:type="spellStart"/>
      <w:r w:rsidRPr="00C06F1B">
        <w:rPr>
          <w:rFonts w:ascii="Times New Roman" w:hAnsi="Times New Roman"/>
          <w:sz w:val="22"/>
          <w:szCs w:val="22"/>
        </w:rPr>
        <w:t>Schamp</w:t>
      </w:r>
      <w:proofErr w:type="spellEnd"/>
      <w:r w:rsidRPr="00C06F1B">
        <w:rPr>
          <w:rFonts w:ascii="Times New Roman" w:hAnsi="Times New Roman"/>
          <w:sz w:val="22"/>
          <w:szCs w:val="22"/>
        </w:rPr>
        <w:t xml:space="preserve"> (2011) argues that </w:t>
      </w:r>
      <w:r w:rsidR="008B1ED3" w:rsidRPr="00C06F1B">
        <w:rPr>
          <w:rFonts w:ascii="Times New Roman" w:hAnsi="Times New Roman"/>
          <w:sz w:val="22"/>
          <w:szCs w:val="22"/>
        </w:rPr>
        <w:t xml:space="preserve">FTT </w:t>
      </w:r>
      <w:r w:rsidRPr="00C06F1B">
        <w:rPr>
          <w:rFonts w:ascii="Times New Roman" w:hAnsi="Times New Roman"/>
          <w:sz w:val="22"/>
          <w:szCs w:val="22"/>
        </w:rPr>
        <w:t xml:space="preserve">is likely </w:t>
      </w:r>
      <w:r w:rsidR="008B1ED3" w:rsidRPr="00C06F1B">
        <w:rPr>
          <w:rFonts w:ascii="Times New Roman" w:hAnsi="Times New Roman"/>
          <w:sz w:val="22"/>
          <w:szCs w:val="22"/>
        </w:rPr>
        <w:t xml:space="preserve">to increase the cost of capital because </w:t>
      </w:r>
      <w:r w:rsidRPr="00C06F1B">
        <w:rPr>
          <w:rFonts w:ascii="Times New Roman" w:hAnsi="Times New Roman"/>
          <w:sz w:val="22"/>
          <w:szCs w:val="22"/>
        </w:rPr>
        <w:t xml:space="preserve">investors would demand a higher minimum rate of return on their investment, given the rise in transaction costs and hence the expectation of a decrease in </w:t>
      </w:r>
      <w:r w:rsidR="008B1ED3" w:rsidRPr="00C06F1B">
        <w:rPr>
          <w:rFonts w:ascii="Times New Roman" w:hAnsi="Times New Roman"/>
          <w:sz w:val="22"/>
          <w:szCs w:val="22"/>
        </w:rPr>
        <w:t>future profits</w:t>
      </w:r>
      <w:r w:rsidRPr="00C06F1B">
        <w:rPr>
          <w:rFonts w:ascii="Times New Roman" w:hAnsi="Times New Roman"/>
          <w:sz w:val="22"/>
          <w:szCs w:val="22"/>
        </w:rPr>
        <w:t>. For this scenario, Bond et al. (2004) find that after stamp duty in the UK was halved in 1986, share price increases depended on market turnover. As a consequence of the increased cost of capital, fewer investment projects will be profitable, and hence investment and economic growth in the economy will be hampered (</w:t>
      </w:r>
      <w:proofErr w:type="spellStart"/>
      <w:r w:rsidRPr="00C06F1B">
        <w:rPr>
          <w:rFonts w:ascii="Times New Roman" w:hAnsi="Times New Roman"/>
          <w:sz w:val="22"/>
          <w:szCs w:val="22"/>
        </w:rPr>
        <w:t>Schamp</w:t>
      </w:r>
      <w:proofErr w:type="spellEnd"/>
      <w:r w:rsidRPr="00C06F1B">
        <w:rPr>
          <w:rFonts w:ascii="Times New Roman" w:hAnsi="Times New Roman"/>
          <w:sz w:val="22"/>
          <w:szCs w:val="22"/>
        </w:rPr>
        <w:t>, 2011). However, Cortez &amp; Vogel (2011) argue that the increase in the cost of capital could be restricted if the government issued fewer bonds as a result of the additional revenue raised by the FTT. This in turn would increase the demand for non-government securities and consequently increase the rate of return on non-government securities.</w:t>
      </w:r>
    </w:p>
    <w:p w14:paraId="60165B32" w14:textId="1B4577C0" w:rsidR="009F7929" w:rsidRPr="00C06F1B" w:rsidRDefault="009F7929" w:rsidP="009F7929">
      <w:pPr>
        <w:pStyle w:val="CM26"/>
        <w:spacing w:after="492" w:line="403" w:lineRule="atLeast"/>
        <w:jc w:val="both"/>
        <w:rPr>
          <w:rFonts w:ascii="Times New Roman" w:hAnsi="Times New Roman"/>
          <w:sz w:val="22"/>
          <w:szCs w:val="22"/>
        </w:rPr>
      </w:pPr>
      <w:r w:rsidRPr="00C06F1B">
        <w:rPr>
          <w:rFonts w:ascii="Times New Roman" w:hAnsi="Times New Roman"/>
          <w:sz w:val="22"/>
          <w:szCs w:val="22"/>
        </w:rPr>
        <w:t>Most importantly, the real burden of an FTT may fall largely on final consumers rather than, as often seems to be supposed, earnings in the financial sector. Although, undoubtedly, some of the tax would be borne by the owners and managers of financial institutions, a large part of this burden may well be passed on to t</w:t>
      </w:r>
      <w:r w:rsidR="008B1ED3" w:rsidRPr="00C06F1B">
        <w:rPr>
          <w:rFonts w:ascii="Times New Roman" w:hAnsi="Times New Roman"/>
          <w:sz w:val="22"/>
          <w:szCs w:val="22"/>
        </w:rPr>
        <w:t>he users of financial services, both businesses and individuals,</w:t>
      </w:r>
      <w:r w:rsidRPr="00C06F1B">
        <w:rPr>
          <w:rFonts w:ascii="Times New Roman" w:hAnsi="Times New Roman"/>
          <w:sz w:val="22"/>
          <w:szCs w:val="22"/>
        </w:rPr>
        <w:t xml:space="preserve"> in the form of reduced returns on savings or higher costs of borrowing.</w:t>
      </w:r>
      <w:r w:rsidRPr="00C06F1B">
        <w:rPr>
          <w:rStyle w:val="FootnoteReference"/>
          <w:rFonts w:ascii="Times New Roman" w:hAnsi="Times New Roman"/>
          <w:sz w:val="22"/>
          <w:szCs w:val="22"/>
        </w:rPr>
        <w:footnoteReference w:id="8"/>
      </w:r>
      <w:r w:rsidRPr="00C06F1B">
        <w:rPr>
          <w:rFonts w:ascii="Times New Roman" w:hAnsi="Times New Roman"/>
          <w:sz w:val="22"/>
          <w:szCs w:val="22"/>
        </w:rPr>
        <w:t xml:space="preserve"> According to the IMF (2010), this is because an FTT is levied on every transaction, so the cumulative, ‘cascading’ effects of the tax, charged on values that reflect the payment of tax at earlier stages, can be significant and non-transparent. Moreover, it is not obvious that the incidence would fall mainly on either the better-off or financial sector rentiers.</w:t>
      </w:r>
      <w:r w:rsidRPr="00C06F1B">
        <w:rPr>
          <w:rStyle w:val="FootnoteReference"/>
          <w:rFonts w:ascii="Times New Roman" w:hAnsi="Times New Roman"/>
          <w:sz w:val="22"/>
          <w:szCs w:val="22"/>
        </w:rPr>
        <w:footnoteReference w:id="9"/>
      </w:r>
      <w:r w:rsidRPr="00C06F1B">
        <w:rPr>
          <w:rFonts w:ascii="Times New Roman" w:hAnsi="Times New Roman"/>
          <w:sz w:val="22"/>
          <w:szCs w:val="22"/>
        </w:rPr>
        <w:t xml:space="preserve"> In sum, since the incidence of an FTT remains unclear, it should not be thought of as a well-targeted way of taxing any rents earned in the financial sector. </w:t>
      </w:r>
    </w:p>
    <w:p w14:paraId="54B57C35" w14:textId="77777777" w:rsidR="009F7929" w:rsidRPr="00C06F1B" w:rsidRDefault="009F7929" w:rsidP="009F7929">
      <w:pPr>
        <w:pStyle w:val="CM25"/>
        <w:spacing w:after="402" w:line="403" w:lineRule="atLeast"/>
        <w:jc w:val="both"/>
        <w:rPr>
          <w:rFonts w:ascii="Times New Roman" w:hAnsi="Times New Roman"/>
          <w:sz w:val="22"/>
          <w:szCs w:val="22"/>
        </w:rPr>
      </w:pPr>
      <w:r w:rsidRPr="00C06F1B">
        <w:rPr>
          <w:rFonts w:ascii="Times New Roman" w:hAnsi="Times New Roman"/>
          <w:sz w:val="22"/>
          <w:szCs w:val="22"/>
        </w:rPr>
        <w:t>Further, the IMF (2010) argues that care should be taken in assessing the potential efficiency of an FTT in raising revenue, because</w:t>
      </w:r>
      <w:r w:rsidRPr="00C06F1B">
        <w:rPr>
          <w:rStyle w:val="FootnoteReference"/>
          <w:rFonts w:ascii="Times New Roman" w:hAnsi="Times New Roman"/>
          <w:sz w:val="22"/>
          <w:szCs w:val="22"/>
        </w:rPr>
        <w:footnoteReference w:id="10"/>
      </w:r>
      <w:r w:rsidRPr="00C06F1B">
        <w:rPr>
          <w:rFonts w:ascii="Times New Roman" w:hAnsi="Times New Roman"/>
          <w:sz w:val="22"/>
          <w:szCs w:val="22"/>
        </w:rPr>
        <w:t xml:space="preserve"> an FTT taxes transactions between businesses; including indirectly through the impact on the prices of non-financial products. The argument that an FTT would cause </w:t>
      </w:r>
      <w:r w:rsidRPr="00C06F1B">
        <w:rPr>
          <w:rFonts w:ascii="Times New Roman" w:hAnsi="Times New Roman"/>
          <w:sz w:val="22"/>
          <w:szCs w:val="22"/>
        </w:rPr>
        <w:lastRenderedPageBreak/>
        <w:t>little distortion because it would be levied at a very low rate on a very broad base is not very persuasive. In fact, a central principle of public finance is that if the sole policy objective is to raise revenue, then taxing transactions between businesses, which many financial transactions are, is unwise because distorting business decisions reduces total output; while taxing that output directly can raise more taxes. Technically, a tax levied on transactions at one stage ‘cascades’ into prices at all further stages of production. Hence, for instance, most countries have found that VAT, which effectively excludes transactions between businesses, is a more efficient revenue-raiser than turnover taxes.</w:t>
      </w:r>
      <w:r w:rsidRPr="00C06F1B">
        <w:rPr>
          <w:rStyle w:val="FootnoteReference"/>
          <w:rFonts w:ascii="Times New Roman" w:hAnsi="Times New Roman"/>
          <w:sz w:val="22"/>
          <w:szCs w:val="22"/>
        </w:rPr>
        <w:footnoteReference w:id="11"/>
      </w:r>
      <w:r w:rsidRPr="00C06F1B">
        <w:rPr>
          <w:rFonts w:ascii="Times New Roman" w:hAnsi="Times New Roman"/>
          <w:sz w:val="22"/>
          <w:szCs w:val="22"/>
        </w:rPr>
        <w:t xml:space="preserve"> For revenue-raising, there are more efficient instruments than an FTT. </w:t>
      </w:r>
    </w:p>
    <w:p w14:paraId="516ADE6F" w14:textId="77777777" w:rsidR="009F7929" w:rsidRPr="00C06F1B" w:rsidRDefault="009F7929" w:rsidP="009F7929">
      <w:pPr>
        <w:pStyle w:val="Default"/>
        <w:spacing w:line="360" w:lineRule="auto"/>
        <w:jc w:val="both"/>
        <w:rPr>
          <w:rFonts w:ascii="Times New Roman" w:hAnsi="Times New Roman" w:cs="Times New Roman"/>
          <w:color w:val="auto"/>
          <w:sz w:val="22"/>
          <w:szCs w:val="22"/>
        </w:rPr>
      </w:pPr>
    </w:p>
    <w:p w14:paraId="4B09AF86" w14:textId="77777777" w:rsidR="00057688" w:rsidRPr="00C06F1B" w:rsidRDefault="00057688" w:rsidP="00057688">
      <w:pPr>
        <w:pStyle w:val="CM22"/>
        <w:spacing w:after="600" w:line="403" w:lineRule="atLeast"/>
        <w:jc w:val="both"/>
        <w:rPr>
          <w:rFonts w:ascii="Times New Roman" w:hAnsi="Times New Roman"/>
          <w:sz w:val="22"/>
          <w:szCs w:val="22"/>
        </w:rPr>
      </w:pPr>
      <w:r w:rsidRPr="00C06F1B">
        <w:rPr>
          <w:rFonts w:ascii="Times New Roman" w:hAnsi="Times New Roman"/>
          <w:sz w:val="22"/>
          <w:szCs w:val="22"/>
        </w:rPr>
        <w:t>There is a general consensus in the empirical literature that FTT reduces in market volume and liquidity and increases market volatility and the cost of capital (</w:t>
      </w:r>
      <w:proofErr w:type="spellStart"/>
      <w:r w:rsidRPr="00C06F1B">
        <w:rPr>
          <w:rFonts w:ascii="Times New Roman" w:hAnsi="Times New Roman"/>
          <w:sz w:val="22"/>
          <w:szCs w:val="22"/>
        </w:rPr>
        <w:t>Amihud</w:t>
      </w:r>
      <w:proofErr w:type="spellEnd"/>
      <w:r w:rsidRPr="00C06F1B">
        <w:rPr>
          <w:rFonts w:ascii="Times New Roman" w:hAnsi="Times New Roman"/>
          <w:sz w:val="22"/>
          <w:szCs w:val="22"/>
        </w:rPr>
        <w:t xml:space="preserve"> &amp; Mendelson, 1992; </w:t>
      </w:r>
      <w:proofErr w:type="spellStart"/>
      <w:r w:rsidRPr="00C06F1B">
        <w:rPr>
          <w:rFonts w:ascii="Times New Roman" w:hAnsi="Times New Roman"/>
          <w:sz w:val="22"/>
          <w:szCs w:val="22"/>
        </w:rPr>
        <w:t>Umlauf</w:t>
      </w:r>
      <w:proofErr w:type="spellEnd"/>
      <w:r w:rsidRPr="00C06F1B">
        <w:rPr>
          <w:rFonts w:ascii="Times New Roman" w:hAnsi="Times New Roman"/>
          <w:sz w:val="22"/>
          <w:szCs w:val="22"/>
        </w:rPr>
        <w:t xml:space="preserve">, 1993; Jones &amp; Seguin, 1997; </w:t>
      </w:r>
      <w:proofErr w:type="spellStart"/>
      <w:r w:rsidRPr="00C06F1B">
        <w:rPr>
          <w:rFonts w:ascii="Times New Roman" w:hAnsi="Times New Roman"/>
          <w:sz w:val="22"/>
          <w:szCs w:val="22"/>
        </w:rPr>
        <w:t>Baltagi</w:t>
      </w:r>
      <w:proofErr w:type="spellEnd"/>
      <w:r w:rsidRPr="00C06F1B">
        <w:rPr>
          <w:rFonts w:ascii="Times New Roman" w:hAnsi="Times New Roman"/>
          <w:sz w:val="22"/>
          <w:szCs w:val="22"/>
        </w:rPr>
        <w:t xml:space="preserve"> et al. 2006; Bloomfield et al., 2009; </w:t>
      </w:r>
      <w:proofErr w:type="spellStart"/>
      <w:r w:rsidRPr="00C06F1B">
        <w:rPr>
          <w:rFonts w:ascii="Times New Roman" w:hAnsi="Times New Roman"/>
          <w:sz w:val="22"/>
          <w:szCs w:val="22"/>
        </w:rPr>
        <w:t>Pomeranets</w:t>
      </w:r>
      <w:proofErr w:type="spellEnd"/>
      <w:r w:rsidRPr="00C06F1B">
        <w:rPr>
          <w:rFonts w:ascii="Times New Roman" w:hAnsi="Times New Roman"/>
          <w:sz w:val="22"/>
          <w:szCs w:val="22"/>
        </w:rPr>
        <w:t xml:space="preserve"> &amp; Weaver, 2011). The study by </w:t>
      </w:r>
      <w:proofErr w:type="spellStart"/>
      <w:r w:rsidRPr="00C06F1B">
        <w:rPr>
          <w:rFonts w:ascii="Times New Roman" w:hAnsi="Times New Roman"/>
          <w:sz w:val="22"/>
          <w:szCs w:val="22"/>
        </w:rPr>
        <w:t>Pomeranets</w:t>
      </w:r>
      <w:proofErr w:type="spellEnd"/>
      <w:r w:rsidRPr="00C06F1B">
        <w:rPr>
          <w:rFonts w:ascii="Times New Roman" w:hAnsi="Times New Roman"/>
          <w:sz w:val="22"/>
          <w:szCs w:val="22"/>
        </w:rPr>
        <w:t xml:space="preserve"> &amp; Weaver (2011) examines changes in market quality associated with nine modifications to the New York State Securities Transaction Tax (STT) between 1932 and 1981. They find that the New York FTT increased individual stock volatility, widened bid-ask spreads, increased price impact, and decreased volume on the New York Stock Exchange. </w:t>
      </w:r>
    </w:p>
    <w:p w14:paraId="4DF8560A" w14:textId="3E9ECB85" w:rsidR="00057688" w:rsidRPr="00533502" w:rsidRDefault="00057688" w:rsidP="00E7515A">
      <w:pPr>
        <w:pStyle w:val="CM22"/>
        <w:spacing w:after="600" w:line="403" w:lineRule="atLeast"/>
        <w:jc w:val="both"/>
        <w:rPr>
          <w:rFonts w:ascii="Times New Roman" w:hAnsi="Times New Roman"/>
          <w:sz w:val="22"/>
          <w:szCs w:val="22"/>
        </w:rPr>
      </w:pPr>
      <w:r w:rsidRPr="00C06F1B">
        <w:rPr>
          <w:rFonts w:ascii="Times New Roman" w:hAnsi="Times New Roman"/>
          <w:sz w:val="22"/>
          <w:szCs w:val="22"/>
        </w:rPr>
        <w:t>There is also the notorious example of an FTT in Sweden in 1984, which introduced a 1% tax on equity transactions in 1984, which it increased to 2% in 1986</w:t>
      </w:r>
      <w:r w:rsidR="00EB2F8D" w:rsidRPr="00EB3837">
        <w:rPr>
          <w:rFonts w:ascii="Times New Roman" w:hAnsi="Times New Roman"/>
          <w:sz w:val="22"/>
          <w:szCs w:val="22"/>
        </w:rPr>
        <w:t xml:space="preserve"> (</w:t>
      </w:r>
      <w:proofErr w:type="spellStart"/>
      <w:r w:rsidR="00EB2F8D" w:rsidRPr="00EB3837">
        <w:rPr>
          <w:rFonts w:ascii="Times New Roman" w:hAnsi="Times New Roman"/>
          <w:sz w:val="22"/>
          <w:szCs w:val="22"/>
        </w:rPr>
        <w:t>Umlauf</w:t>
      </w:r>
      <w:proofErr w:type="spellEnd"/>
      <w:r w:rsidR="00EB2F8D" w:rsidRPr="00EB3837">
        <w:rPr>
          <w:rFonts w:ascii="Times New Roman" w:hAnsi="Times New Roman"/>
          <w:sz w:val="22"/>
          <w:szCs w:val="22"/>
        </w:rPr>
        <w:t>, 1993)</w:t>
      </w:r>
      <w:r w:rsidRPr="00EB3837">
        <w:rPr>
          <w:rFonts w:ascii="Times New Roman" w:hAnsi="Times New Roman"/>
          <w:sz w:val="22"/>
          <w:szCs w:val="22"/>
        </w:rPr>
        <w:t xml:space="preserve">. </w:t>
      </w:r>
      <w:r w:rsidR="00EB2F8D" w:rsidRPr="00C05F62">
        <w:rPr>
          <w:rFonts w:ascii="Times New Roman" w:hAnsi="Times New Roman"/>
          <w:sz w:val="22"/>
          <w:szCs w:val="22"/>
        </w:rPr>
        <w:t xml:space="preserve">He </w:t>
      </w:r>
      <w:r w:rsidRPr="00B3127F">
        <w:rPr>
          <w:rFonts w:ascii="Times New Roman" w:hAnsi="Times New Roman"/>
          <w:sz w:val="22"/>
          <w:szCs w:val="22"/>
        </w:rPr>
        <w:t xml:space="preserve">found that stock prices and turnover declined after an increase in the rate of FTT to 2% in 1986. Trading volume fell by 30%, and 60% of the 11 most traded shares migrated to London to avoid the tax. In 1989, the scope of the tax was broadened to include bonds, </w:t>
      </w:r>
      <w:r w:rsidRPr="00533502">
        <w:rPr>
          <w:rFonts w:ascii="Times New Roman" w:hAnsi="Times New Roman"/>
          <w:sz w:val="22"/>
          <w:szCs w:val="22"/>
        </w:rPr>
        <w:t>which led to 85% and 98% reductions in bond trading volume and bond derivatives trading volumes respectively. The tax reduced the liquidity of the market but did not reduce their volatility.</w:t>
      </w:r>
    </w:p>
    <w:p w14:paraId="5B087DF6" w14:textId="77777777" w:rsidR="00EA2BC3" w:rsidRPr="00C06F1B" w:rsidRDefault="00434D11" w:rsidP="00E7515A">
      <w:pPr>
        <w:widowControl w:val="0"/>
        <w:autoSpaceDE w:val="0"/>
        <w:autoSpaceDN w:val="0"/>
        <w:adjustRightInd w:val="0"/>
        <w:spacing w:after="0" w:line="360" w:lineRule="auto"/>
        <w:jc w:val="both"/>
        <w:rPr>
          <w:rFonts w:ascii="Times New Roman" w:hAnsi="Times New Roman"/>
        </w:rPr>
      </w:pPr>
      <w:r w:rsidRPr="00E7515A">
        <w:rPr>
          <w:rFonts w:ascii="Times New Roman" w:hAnsi="Times New Roman"/>
        </w:rPr>
        <w:t>Initial evidence</w:t>
      </w:r>
      <w:r w:rsidRPr="00E7515A">
        <w:rPr>
          <w:rStyle w:val="FootnoteReference"/>
          <w:rFonts w:ascii="Times New Roman" w:hAnsi="Times New Roman"/>
        </w:rPr>
        <w:footnoteReference w:id="12"/>
      </w:r>
      <w:r w:rsidRPr="00E7515A">
        <w:rPr>
          <w:rFonts w:ascii="Times New Roman" w:hAnsi="Times New Roman"/>
        </w:rPr>
        <w:t xml:space="preserve"> shows that the FTT in France and Italy has reduced volume and liquidity in the market. The French FTT has also failed to raise the expected revenue due to reduction in the volume of over-the-counter OTC transactions. In the available academic literature, there is consensus that the </w:t>
      </w:r>
      <w:r w:rsidRPr="00E7515A">
        <w:rPr>
          <w:rFonts w:ascii="Times New Roman" w:hAnsi="Times New Roman"/>
        </w:rPr>
        <w:lastRenderedPageBreak/>
        <w:t>French STT (Securities Transaction Tax) has reduced the traded values and turnover (</w:t>
      </w:r>
      <w:proofErr w:type="spellStart"/>
      <w:r w:rsidRPr="00E7515A">
        <w:rPr>
          <w:rFonts w:ascii="Times New Roman" w:hAnsi="Times New Roman"/>
        </w:rPr>
        <w:t>Capelle-Blancard</w:t>
      </w:r>
      <w:proofErr w:type="spellEnd"/>
      <w:r w:rsidRPr="00E7515A">
        <w:rPr>
          <w:rFonts w:ascii="Times New Roman" w:hAnsi="Times New Roman"/>
        </w:rPr>
        <w:t xml:space="preserve"> &amp; </w:t>
      </w:r>
      <w:proofErr w:type="spellStart"/>
      <w:r w:rsidRPr="00E7515A">
        <w:rPr>
          <w:rFonts w:ascii="Times New Roman" w:hAnsi="Times New Roman"/>
        </w:rPr>
        <w:t>Havrylchyk</w:t>
      </w:r>
      <w:proofErr w:type="spellEnd"/>
      <w:r w:rsidRPr="00E7515A">
        <w:rPr>
          <w:rFonts w:ascii="Times New Roman" w:hAnsi="Times New Roman"/>
        </w:rPr>
        <w:t xml:space="preserve">, 2013; </w:t>
      </w:r>
      <w:proofErr w:type="spellStart"/>
      <w:r w:rsidRPr="00E7515A">
        <w:rPr>
          <w:rFonts w:ascii="Times New Roman" w:hAnsi="Times New Roman"/>
        </w:rPr>
        <w:t>Colliard</w:t>
      </w:r>
      <w:proofErr w:type="spellEnd"/>
      <w:r w:rsidRPr="00E7515A">
        <w:rPr>
          <w:rFonts w:ascii="Times New Roman" w:hAnsi="Times New Roman"/>
        </w:rPr>
        <w:t xml:space="preserve"> &amp; Hoffman, 2013; Meyer et al., 2013; </w:t>
      </w:r>
      <w:proofErr w:type="spellStart"/>
      <w:r w:rsidRPr="00E7515A">
        <w:rPr>
          <w:rFonts w:ascii="Times New Roman" w:hAnsi="Times New Roman"/>
        </w:rPr>
        <w:t>Parwada</w:t>
      </w:r>
      <w:proofErr w:type="spellEnd"/>
      <w:r w:rsidRPr="00E7515A">
        <w:rPr>
          <w:rFonts w:ascii="Times New Roman" w:hAnsi="Times New Roman"/>
        </w:rPr>
        <w:t xml:space="preserve"> et al., 2013); however, the evidence on liquidity and volatility is mixed. </w:t>
      </w:r>
      <w:proofErr w:type="spellStart"/>
      <w:r w:rsidRPr="00E7515A">
        <w:rPr>
          <w:rFonts w:ascii="Times New Roman" w:hAnsi="Times New Roman"/>
        </w:rPr>
        <w:t>Parwada</w:t>
      </w:r>
      <w:proofErr w:type="spellEnd"/>
      <w:r w:rsidRPr="00E7515A">
        <w:rPr>
          <w:rFonts w:ascii="Times New Roman" w:hAnsi="Times New Roman"/>
        </w:rPr>
        <w:t xml:space="preserve"> et al. (2013) and </w:t>
      </w:r>
      <w:proofErr w:type="spellStart"/>
      <w:r w:rsidRPr="00E7515A">
        <w:rPr>
          <w:rFonts w:ascii="Times New Roman" w:hAnsi="Times New Roman"/>
        </w:rPr>
        <w:t>Haferkorn</w:t>
      </w:r>
      <w:proofErr w:type="spellEnd"/>
      <w:r w:rsidRPr="00E7515A">
        <w:rPr>
          <w:rFonts w:ascii="Times New Roman" w:hAnsi="Times New Roman"/>
        </w:rPr>
        <w:t xml:space="preserve"> &amp; Zimmermann (2013) give empirical evidence of reduction in liquidity while </w:t>
      </w:r>
      <w:proofErr w:type="spellStart"/>
      <w:r w:rsidRPr="00E7515A">
        <w:rPr>
          <w:rFonts w:ascii="Times New Roman" w:hAnsi="Times New Roman"/>
        </w:rPr>
        <w:t>Capelle-Blancard</w:t>
      </w:r>
      <w:proofErr w:type="spellEnd"/>
      <w:r w:rsidRPr="00E7515A">
        <w:rPr>
          <w:rFonts w:ascii="Times New Roman" w:hAnsi="Times New Roman"/>
        </w:rPr>
        <w:t xml:space="preserve"> &amp; </w:t>
      </w:r>
      <w:proofErr w:type="spellStart"/>
      <w:r w:rsidRPr="00E7515A">
        <w:rPr>
          <w:rFonts w:ascii="Times New Roman" w:hAnsi="Times New Roman"/>
        </w:rPr>
        <w:t>Havrylchyk</w:t>
      </w:r>
      <w:proofErr w:type="spellEnd"/>
      <w:r w:rsidRPr="00E7515A">
        <w:rPr>
          <w:rFonts w:ascii="Times New Roman" w:hAnsi="Times New Roman"/>
        </w:rPr>
        <w:t xml:space="preserve"> (2013) and Meyer et al. (2013) find no evidence of reduction in liquidity with the introduction of the French STT. The impact of STT is statistically insignificant in the studies by </w:t>
      </w:r>
      <w:proofErr w:type="spellStart"/>
      <w:r w:rsidRPr="00E7515A">
        <w:rPr>
          <w:rFonts w:ascii="Times New Roman" w:hAnsi="Times New Roman"/>
        </w:rPr>
        <w:t>Capelle-Blancard</w:t>
      </w:r>
      <w:proofErr w:type="spellEnd"/>
      <w:r w:rsidRPr="00E7515A">
        <w:rPr>
          <w:rFonts w:ascii="Times New Roman" w:hAnsi="Times New Roman"/>
        </w:rPr>
        <w:t xml:space="preserve"> &amp; </w:t>
      </w:r>
      <w:proofErr w:type="spellStart"/>
      <w:r w:rsidRPr="00E7515A">
        <w:rPr>
          <w:rFonts w:ascii="Times New Roman" w:hAnsi="Times New Roman"/>
        </w:rPr>
        <w:t>Havrylchyk</w:t>
      </w:r>
      <w:proofErr w:type="spellEnd"/>
      <w:r w:rsidRPr="00E7515A">
        <w:rPr>
          <w:rFonts w:ascii="Times New Roman" w:hAnsi="Times New Roman"/>
        </w:rPr>
        <w:t xml:space="preserve"> (2013), </w:t>
      </w:r>
      <w:proofErr w:type="spellStart"/>
      <w:r w:rsidRPr="00E7515A">
        <w:rPr>
          <w:rFonts w:ascii="Times New Roman" w:hAnsi="Times New Roman"/>
        </w:rPr>
        <w:t>Colliard</w:t>
      </w:r>
      <w:proofErr w:type="spellEnd"/>
      <w:r w:rsidRPr="00E7515A">
        <w:rPr>
          <w:rFonts w:ascii="Times New Roman" w:hAnsi="Times New Roman"/>
        </w:rPr>
        <w:t xml:space="preserve"> &amp; Hoffman (2013) and </w:t>
      </w:r>
      <w:proofErr w:type="spellStart"/>
      <w:r w:rsidRPr="00E7515A">
        <w:rPr>
          <w:rFonts w:ascii="Times New Roman" w:hAnsi="Times New Roman"/>
        </w:rPr>
        <w:t>Haferkorn</w:t>
      </w:r>
      <w:proofErr w:type="spellEnd"/>
      <w:r w:rsidRPr="00E7515A">
        <w:rPr>
          <w:rFonts w:ascii="Times New Roman" w:hAnsi="Times New Roman"/>
        </w:rPr>
        <w:t xml:space="preserve"> &amp; Zimmermann (2013) while </w:t>
      </w:r>
      <w:proofErr w:type="spellStart"/>
      <w:r w:rsidRPr="00E7515A">
        <w:rPr>
          <w:rFonts w:ascii="Times New Roman" w:hAnsi="Times New Roman"/>
        </w:rPr>
        <w:t>Becchetti</w:t>
      </w:r>
      <w:proofErr w:type="spellEnd"/>
      <w:r w:rsidRPr="00E7515A">
        <w:rPr>
          <w:rFonts w:ascii="Times New Roman" w:hAnsi="Times New Roman"/>
        </w:rPr>
        <w:t xml:space="preserve"> et al., (2013) give evidence of negative effect of STT on the volatility (see </w:t>
      </w:r>
      <w:proofErr w:type="spellStart"/>
      <w:r w:rsidRPr="00E7515A">
        <w:rPr>
          <w:rFonts w:ascii="Times New Roman" w:hAnsi="Times New Roman"/>
        </w:rPr>
        <w:t>Capelle-Blancard</w:t>
      </w:r>
      <w:proofErr w:type="spellEnd"/>
      <w:r w:rsidRPr="00E7515A">
        <w:rPr>
          <w:rFonts w:ascii="Times New Roman" w:hAnsi="Times New Roman"/>
        </w:rPr>
        <w:t xml:space="preserve">, 2014 for detail). </w:t>
      </w:r>
    </w:p>
    <w:p w14:paraId="627FF20A" w14:textId="77777777" w:rsidR="00EA2BC3" w:rsidRPr="00C06F1B" w:rsidRDefault="00EA2BC3" w:rsidP="00E7515A">
      <w:pPr>
        <w:widowControl w:val="0"/>
        <w:autoSpaceDE w:val="0"/>
        <w:autoSpaceDN w:val="0"/>
        <w:adjustRightInd w:val="0"/>
        <w:spacing w:after="0" w:line="360" w:lineRule="auto"/>
        <w:jc w:val="both"/>
        <w:rPr>
          <w:rFonts w:ascii="Times New Roman" w:hAnsi="Times New Roman"/>
        </w:rPr>
      </w:pPr>
    </w:p>
    <w:p w14:paraId="0980D71A" w14:textId="6FD53C87" w:rsidR="00434D11" w:rsidRPr="00E7515A" w:rsidRDefault="00434D11" w:rsidP="00E7515A">
      <w:pPr>
        <w:widowControl w:val="0"/>
        <w:autoSpaceDE w:val="0"/>
        <w:autoSpaceDN w:val="0"/>
        <w:adjustRightInd w:val="0"/>
        <w:spacing w:after="0" w:line="360" w:lineRule="auto"/>
        <w:jc w:val="both"/>
        <w:rPr>
          <w:rFonts w:ascii="Times New Roman" w:hAnsi="Times New Roman"/>
        </w:rPr>
      </w:pPr>
      <w:r w:rsidRPr="00E7515A">
        <w:rPr>
          <w:rFonts w:ascii="Times New Roman" w:hAnsi="Times New Roman"/>
        </w:rPr>
        <w:t xml:space="preserve">The originally proposed EU FTT is broader, than UK, French and Italian stamp duty, in the sense that it taxes cash and derivatives across all asset classes, with the exception of spot foreign exchange. The EU FTT proposal was to levy 0.1% on stock and bond trades and 0.01% on derivatives. It was to be applicable on any transaction involving one financial institution with its headquarters in the tax area, or trading on behalf of a client based in the tax area. However, to date (October 22, 2014) the participating member states are struggling to make much progress despite the expression of their desire to see real progress with the proposed EU FTT earlier this year. The differences are on the scope and on the revenue allocation. For the scope, it is not clear whether it will have a narrow scope similar to existing French and Italian FTTs or a broad scope as advocated by the German Government. Next, whether the residence or issuance principle should prevail as far as the implementation scope of the tax is concerned. Under residence principle, the FTT will be applicable to transactions entered into by a financial institutions resident the FTT area, even if the subject assets are not from the FTT area while issuance principle is much like UK stamp duty or the French and Italian FTTs where the FTT will be applicable to transactions on assets issued by a financial institution in the FTT area. Regarding the revenue allocation, no agreement has been reached on alternative allocation models and potential sharing of models. </w:t>
      </w:r>
    </w:p>
    <w:p w14:paraId="13F9BDF0" w14:textId="0DFC6DD6" w:rsidR="00434D11" w:rsidRPr="00C06F1B" w:rsidRDefault="00434D11" w:rsidP="00270E4E">
      <w:pPr>
        <w:widowControl w:val="0"/>
        <w:autoSpaceDE w:val="0"/>
        <w:autoSpaceDN w:val="0"/>
        <w:adjustRightInd w:val="0"/>
        <w:spacing w:after="0" w:line="360" w:lineRule="auto"/>
        <w:jc w:val="both"/>
        <w:rPr>
          <w:rFonts w:ascii="Times New Roman" w:hAnsi="Times New Roman"/>
        </w:rPr>
      </w:pPr>
    </w:p>
    <w:p w14:paraId="33FE9DC4" w14:textId="77777777" w:rsidR="00434D11" w:rsidRPr="00E7515A" w:rsidRDefault="00434D11" w:rsidP="00E7515A">
      <w:pPr>
        <w:widowControl w:val="0"/>
        <w:autoSpaceDE w:val="0"/>
        <w:autoSpaceDN w:val="0"/>
        <w:adjustRightInd w:val="0"/>
        <w:spacing w:after="0" w:line="360" w:lineRule="auto"/>
        <w:rPr>
          <w:rFonts w:ascii="Times New Roman" w:hAnsi="Times New Roman"/>
        </w:rPr>
      </w:pPr>
      <w:r w:rsidRPr="00E7515A">
        <w:rPr>
          <w:rFonts w:ascii="Times New Roman" w:hAnsi="Times New Roman"/>
        </w:rPr>
        <w:t xml:space="preserve">Critics were of the view that such a generally applied FFT would damage the repo market, which is important for interbank financing and as a conduit for central bank monetary policy implementation, because it taxes on both buy and sell legs of repo, and reverse repo, trades. Repo trades also play an important role clearing of activities, collateralization of payments between banks, and provision of market liquidity for smaller currency areas. </w:t>
      </w:r>
    </w:p>
    <w:p w14:paraId="776061BD" w14:textId="77777777" w:rsidR="00C04B70" w:rsidRPr="00E7515A" w:rsidRDefault="00C04B70" w:rsidP="00E7515A">
      <w:pPr>
        <w:pStyle w:val="Default"/>
        <w:spacing w:line="360" w:lineRule="auto"/>
        <w:rPr>
          <w:rFonts w:ascii="Times New Roman" w:hAnsi="Times New Roman" w:cs="Times New Roman"/>
          <w:color w:val="auto"/>
          <w:sz w:val="22"/>
          <w:szCs w:val="22"/>
        </w:rPr>
      </w:pPr>
    </w:p>
    <w:p w14:paraId="47927FD4" w14:textId="77777777" w:rsidR="00C04B70" w:rsidRPr="00E7515A" w:rsidRDefault="00C04B70" w:rsidP="00C04B70">
      <w:pPr>
        <w:pStyle w:val="Default"/>
        <w:rPr>
          <w:rFonts w:ascii="Times New Roman" w:hAnsi="Times New Roman" w:cs="Times New Roman"/>
          <w:color w:val="auto"/>
          <w:sz w:val="22"/>
          <w:szCs w:val="22"/>
        </w:rPr>
      </w:pPr>
    </w:p>
    <w:p w14:paraId="39FA93CC" w14:textId="02824340" w:rsidR="002B0FF9" w:rsidRPr="00C06F1B" w:rsidRDefault="008F22DF" w:rsidP="00721E23">
      <w:pPr>
        <w:pStyle w:val="CM25"/>
        <w:spacing w:after="120" w:line="403" w:lineRule="atLeast"/>
        <w:jc w:val="both"/>
        <w:rPr>
          <w:rFonts w:ascii="Times New Roman" w:hAnsi="Times New Roman"/>
          <w:b/>
          <w:bCs/>
          <w:i/>
          <w:sz w:val="22"/>
          <w:szCs w:val="22"/>
        </w:rPr>
      </w:pPr>
      <w:r w:rsidRPr="00E7515A">
        <w:rPr>
          <w:rFonts w:ascii="Times New Roman" w:hAnsi="Times New Roman"/>
          <w:b/>
          <w:bCs/>
          <w:i/>
          <w:sz w:val="22"/>
          <w:szCs w:val="22"/>
        </w:rPr>
        <w:t>4</w:t>
      </w:r>
      <w:r w:rsidR="002B0FF9" w:rsidRPr="00E7515A">
        <w:rPr>
          <w:rFonts w:ascii="Times New Roman" w:hAnsi="Times New Roman"/>
          <w:b/>
          <w:bCs/>
          <w:i/>
          <w:sz w:val="22"/>
          <w:szCs w:val="22"/>
        </w:rPr>
        <w:t>.</w:t>
      </w:r>
      <w:r w:rsidR="00861C69" w:rsidRPr="00C06F1B">
        <w:rPr>
          <w:rFonts w:ascii="Times New Roman" w:hAnsi="Times New Roman"/>
          <w:b/>
          <w:bCs/>
          <w:i/>
          <w:sz w:val="22"/>
          <w:szCs w:val="22"/>
        </w:rPr>
        <w:t>2</w:t>
      </w:r>
      <w:r w:rsidR="002B0FF9" w:rsidRPr="00E7515A">
        <w:rPr>
          <w:rFonts w:ascii="Times New Roman" w:hAnsi="Times New Roman"/>
          <w:b/>
          <w:bCs/>
          <w:i/>
          <w:sz w:val="22"/>
          <w:szCs w:val="22"/>
        </w:rPr>
        <w:t>. Value Added Tax</w:t>
      </w:r>
      <w:r w:rsidR="00526D50" w:rsidRPr="00E7515A">
        <w:rPr>
          <w:rFonts w:ascii="Times New Roman" w:hAnsi="Times New Roman"/>
          <w:b/>
          <w:bCs/>
          <w:i/>
          <w:sz w:val="22"/>
          <w:szCs w:val="22"/>
        </w:rPr>
        <w:t xml:space="preserve"> (VAT)</w:t>
      </w:r>
    </w:p>
    <w:p w14:paraId="5D04D38C" w14:textId="0D83B3D3" w:rsidR="002B0FF9" w:rsidRPr="00C06F1B" w:rsidRDefault="002B0FF9" w:rsidP="00721E23">
      <w:pPr>
        <w:pStyle w:val="CM20"/>
        <w:spacing w:after="120" w:line="403" w:lineRule="atLeast"/>
        <w:jc w:val="both"/>
        <w:rPr>
          <w:rFonts w:ascii="Times New Roman" w:hAnsi="Times New Roman"/>
          <w:sz w:val="22"/>
          <w:szCs w:val="22"/>
        </w:rPr>
      </w:pPr>
      <w:r w:rsidRPr="00E7515A">
        <w:rPr>
          <w:rFonts w:ascii="Times New Roman" w:hAnsi="Times New Roman"/>
          <w:sz w:val="22"/>
          <w:szCs w:val="22"/>
        </w:rPr>
        <w:t xml:space="preserve">A </w:t>
      </w:r>
      <w:r w:rsidR="00526D50" w:rsidRPr="00E7515A">
        <w:rPr>
          <w:rFonts w:ascii="Times New Roman" w:hAnsi="Times New Roman"/>
          <w:sz w:val="22"/>
          <w:szCs w:val="22"/>
        </w:rPr>
        <w:t xml:space="preserve">VAT </w:t>
      </w:r>
      <w:r w:rsidRPr="00E7515A">
        <w:rPr>
          <w:rFonts w:ascii="Times New Roman" w:hAnsi="Times New Roman"/>
          <w:sz w:val="22"/>
          <w:szCs w:val="22"/>
        </w:rPr>
        <w:t xml:space="preserve">is a consumption tax that is collected on the value added at each stage of production. This is </w:t>
      </w:r>
      <w:r w:rsidR="00C37DEF" w:rsidRPr="00E7515A">
        <w:rPr>
          <w:rFonts w:ascii="Times New Roman" w:hAnsi="Times New Roman"/>
          <w:sz w:val="22"/>
          <w:szCs w:val="22"/>
        </w:rPr>
        <w:lastRenderedPageBreak/>
        <w:t xml:space="preserve">different </w:t>
      </w:r>
      <w:r w:rsidRPr="00E7515A">
        <w:rPr>
          <w:rFonts w:ascii="Times New Roman" w:hAnsi="Times New Roman"/>
          <w:sz w:val="22"/>
          <w:szCs w:val="22"/>
        </w:rPr>
        <w:t xml:space="preserve">to </w:t>
      </w:r>
      <w:r w:rsidR="00C37DEF" w:rsidRPr="00E7515A">
        <w:rPr>
          <w:rFonts w:ascii="Times New Roman" w:hAnsi="Times New Roman"/>
          <w:sz w:val="22"/>
          <w:szCs w:val="22"/>
        </w:rPr>
        <w:t xml:space="preserve">a </w:t>
      </w:r>
      <w:r w:rsidRPr="00E7515A">
        <w:rPr>
          <w:rFonts w:ascii="Times New Roman" w:hAnsi="Times New Roman"/>
          <w:sz w:val="22"/>
          <w:szCs w:val="22"/>
        </w:rPr>
        <w:t>retail sales tax (RST)</w:t>
      </w:r>
      <w:r w:rsidR="00C37DEF" w:rsidRPr="00E7515A">
        <w:rPr>
          <w:rFonts w:ascii="Times New Roman" w:hAnsi="Times New Roman"/>
          <w:sz w:val="22"/>
          <w:szCs w:val="22"/>
        </w:rPr>
        <w:t>,</w:t>
      </w:r>
      <w:r w:rsidRPr="00E7515A">
        <w:rPr>
          <w:rFonts w:ascii="Times New Roman" w:hAnsi="Times New Roman"/>
          <w:sz w:val="22"/>
          <w:szCs w:val="22"/>
        </w:rPr>
        <w:t xml:space="preserve"> </w:t>
      </w:r>
      <w:r w:rsidR="00C37DEF" w:rsidRPr="00E7515A">
        <w:rPr>
          <w:rFonts w:ascii="Times New Roman" w:hAnsi="Times New Roman"/>
          <w:sz w:val="22"/>
          <w:szCs w:val="22"/>
        </w:rPr>
        <w:t xml:space="preserve">which </w:t>
      </w:r>
      <w:r w:rsidRPr="00E7515A">
        <w:rPr>
          <w:rFonts w:ascii="Times New Roman" w:hAnsi="Times New Roman"/>
          <w:sz w:val="22"/>
          <w:szCs w:val="22"/>
        </w:rPr>
        <w:t xml:space="preserve">is charged on sales to final consumers. In order to understand </w:t>
      </w:r>
      <w:r w:rsidR="00526D50" w:rsidRPr="00E7515A">
        <w:rPr>
          <w:rFonts w:ascii="Times New Roman" w:hAnsi="Times New Roman"/>
          <w:sz w:val="22"/>
          <w:szCs w:val="22"/>
        </w:rPr>
        <w:t>a</w:t>
      </w:r>
      <w:r w:rsidRPr="00E7515A">
        <w:rPr>
          <w:rFonts w:ascii="Times New Roman" w:hAnsi="Times New Roman"/>
          <w:sz w:val="22"/>
          <w:szCs w:val="22"/>
        </w:rPr>
        <w:t xml:space="preserve"> VAT </w:t>
      </w:r>
      <w:r w:rsidR="00526D50" w:rsidRPr="00E7515A">
        <w:rPr>
          <w:rFonts w:ascii="Times New Roman" w:hAnsi="Times New Roman"/>
          <w:sz w:val="22"/>
          <w:szCs w:val="22"/>
        </w:rPr>
        <w:t>(</w:t>
      </w:r>
      <w:r w:rsidRPr="00E7515A">
        <w:rPr>
          <w:rFonts w:ascii="Times New Roman" w:hAnsi="Times New Roman"/>
          <w:sz w:val="22"/>
          <w:szCs w:val="22"/>
        </w:rPr>
        <w:t xml:space="preserve">or </w:t>
      </w:r>
      <w:r w:rsidR="00526D50" w:rsidRPr="00E7515A">
        <w:rPr>
          <w:rFonts w:ascii="Times New Roman" w:hAnsi="Times New Roman"/>
          <w:sz w:val="22"/>
          <w:szCs w:val="22"/>
        </w:rPr>
        <w:t xml:space="preserve">Government Sales Tax, </w:t>
      </w:r>
      <w:r w:rsidRPr="00E7515A">
        <w:rPr>
          <w:rFonts w:ascii="Times New Roman" w:hAnsi="Times New Roman"/>
          <w:sz w:val="22"/>
          <w:szCs w:val="22"/>
        </w:rPr>
        <w:t>GST</w:t>
      </w:r>
      <w:r w:rsidR="00526D50" w:rsidRPr="00E7515A">
        <w:rPr>
          <w:rFonts w:ascii="Times New Roman" w:hAnsi="Times New Roman"/>
          <w:sz w:val="22"/>
          <w:szCs w:val="22"/>
        </w:rPr>
        <w:t>)</w:t>
      </w:r>
      <w:r w:rsidRPr="00E7515A">
        <w:rPr>
          <w:rFonts w:ascii="Times New Roman" w:hAnsi="Times New Roman"/>
          <w:sz w:val="22"/>
          <w:szCs w:val="22"/>
        </w:rPr>
        <w:t xml:space="preserve"> on financial services, it is important to distinguish between the purchase of financial services by businesses and consumers. The literature </w:t>
      </w:r>
      <w:r w:rsidR="004566C5" w:rsidRPr="00C06F1B">
        <w:rPr>
          <w:rFonts w:ascii="Times New Roman" w:hAnsi="Times New Roman"/>
          <w:sz w:val="22"/>
          <w:szCs w:val="22"/>
        </w:rPr>
        <w:t>concludes (Firth &amp; McKenzie, 2012)</w:t>
      </w:r>
      <w:r w:rsidRPr="00E7515A">
        <w:rPr>
          <w:rFonts w:ascii="Times New Roman" w:hAnsi="Times New Roman"/>
          <w:sz w:val="22"/>
          <w:szCs w:val="22"/>
        </w:rPr>
        <w:t xml:space="preserve"> that purchases of financial services by businesses should not be subject to GST</w:t>
      </w:r>
      <w:r w:rsidR="00C37DEF" w:rsidRPr="00E7515A">
        <w:rPr>
          <w:rFonts w:ascii="Times New Roman" w:hAnsi="Times New Roman"/>
          <w:sz w:val="22"/>
          <w:szCs w:val="22"/>
        </w:rPr>
        <w:t>,</w:t>
      </w:r>
      <w:r w:rsidRPr="00E7515A">
        <w:rPr>
          <w:rFonts w:ascii="Times New Roman" w:hAnsi="Times New Roman"/>
          <w:sz w:val="22"/>
          <w:szCs w:val="22"/>
        </w:rPr>
        <w:t xml:space="preserve"> whereas for purchases by consumers the answer is not </w:t>
      </w:r>
      <w:r w:rsidR="00C37DEF" w:rsidRPr="00E7515A">
        <w:rPr>
          <w:rFonts w:ascii="Times New Roman" w:hAnsi="Times New Roman"/>
          <w:sz w:val="22"/>
          <w:szCs w:val="22"/>
        </w:rPr>
        <w:t xml:space="preserve">so </w:t>
      </w:r>
      <w:r w:rsidRPr="00E7515A">
        <w:rPr>
          <w:rFonts w:ascii="Times New Roman" w:hAnsi="Times New Roman"/>
          <w:sz w:val="22"/>
          <w:szCs w:val="22"/>
        </w:rPr>
        <w:t xml:space="preserve">clear. Firth </w:t>
      </w:r>
      <w:r w:rsidR="00ED1C84" w:rsidRPr="00E7515A">
        <w:rPr>
          <w:rFonts w:ascii="Times New Roman" w:hAnsi="Times New Roman"/>
          <w:sz w:val="22"/>
          <w:szCs w:val="22"/>
        </w:rPr>
        <w:t>&amp;</w:t>
      </w:r>
      <w:r w:rsidRPr="00E7515A">
        <w:rPr>
          <w:rFonts w:ascii="Times New Roman" w:hAnsi="Times New Roman"/>
          <w:sz w:val="22"/>
          <w:szCs w:val="22"/>
        </w:rPr>
        <w:t xml:space="preserve"> McKenzie (2012) </w:t>
      </w:r>
      <w:r w:rsidR="00526D50" w:rsidRPr="00E7515A">
        <w:rPr>
          <w:rFonts w:ascii="Times New Roman" w:hAnsi="Times New Roman"/>
          <w:sz w:val="22"/>
          <w:szCs w:val="22"/>
        </w:rPr>
        <w:t>observe</w:t>
      </w:r>
      <w:r w:rsidRPr="00E7515A">
        <w:rPr>
          <w:rFonts w:ascii="Times New Roman" w:hAnsi="Times New Roman"/>
          <w:sz w:val="22"/>
          <w:szCs w:val="22"/>
        </w:rPr>
        <w:t xml:space="preserve"> that the non-taxation of intermediate financial transactions with businesses can be achieved in two fundamental ways. If GST is levied on the purchase of a financial service, regardless of whether or not the underlying price is explicit or implicit by way of the margin (and ignoring measurement issues with regard to the latter for now; this issue will be discussed below), the business should </w:t>
      </w:r>
      <w:r w:rsidR="00C37DEF" w:rsidRPr="00E7515A">
        <w:rPr>
          <w:rFonts w:ascii="Times New Roman" w:hAnsi="Times New Roman"/>
          <w:sz w:val="22"/>
          <w:szCs w:val="22"/>
        </w:rPr>
        <w:t xml:space="preserve">obtain </w:t>
      </w:r>
      <w:r w:rsidRPr="00E7515A">
        <w:rPr>
          <w:rFonts w:ascii="Times New Roman" w:hAnsi="Times New Roman"/>
          <w:sz w:val="22"/>
          <w:szCs w:val="22"/>
        </w:rPr>
        <w:t xml:space="preserve">a full input credit for the GST paid on the service, and the financial institution providing the service should </w:t>
      </w:r>
      <w:r w:rsidR="00C37DEF" w:rsidRPr="00E7515A">
        <w:rPr>
          <w:rFonts w:ascii="Times New Roman" w:hAnsi="Times New Roman"/>
          <w:sz w:val="22"/>
          <w:szCs w:val="22"/>
        </w:rPr>
        <w:t>obtain</w:t>
      </w:r>
      <w:r w:rsidRPr="00E7515A">
        <w:rPr>
          <w:rFonts w:ascii="Times New Roman" w:hAnsi="Times New Roman"/>
          <w:sz w:val="22"/>
          <w:szCs w:val="22"/>
        </w:rPr>
        <w:t xml:space="preserve"> full credit for the GST paid on the inputs purchased to produce the service. If no GST is levied on the transaction, then the GST levied on the inputs used by the financial intermediary to provide the service to businesses should still be fully credited on the part of the financial intermediary,</w:t>
      </w:r>
      <w:r w:rsidR="004566C5" w:rsidRPr="00C06F1B">
        <w:rPr>
          <w:rFonts w:ascii="Times New Roman" w:hAnsi="Times New Roman"/>
          <w:sz w:val="22"/>
          <w:szCs w:val="22"/>
        </w:rPr>
        <w:t xml:space="preserve"> </w:t>
      </w:r>
      <w:proofErr w:type="gramStart"/>
      <w:r w:rsidR="004566C5" w:rsidRPr="00C06F1B">
        <w:rPr>
          <w:rFonts w:ascii="Times New Roman" w:hAnsi="Times New Roman"/>
          <w:sz w:val="22"/>
          <w:szCs w:val="22"/>
        </w:rPr>
        <w:t>achieving</w:t>
      </w:r>
      <w:r w:rsidRPr="00E7515A">
        <w:rPr>
          <w:rFonts w:ascii="Times New Roman" w:hAnsi="Times New Roman"/>
          <w:sz w:val="22"/>
          <w:szCs w:val="22"/>
        </w:rPr>
        <w:t xml:space="preserve"> </w:t>
      </w:r>
      <w:r w:rsidR="004566C5" w:rsidRPr="00C06F1B">
        <w:rPr>
          <w:rFonts w:ascii="Times New Roman" w:hAnsi="Times New Roman"/>
          <w:sz w:val="22"/>
          <w:szCs w:val="22"/>
        </w:rPr>
        <w:t xml:space="preserve"> ‘</w:t>
      </w:r>
      <w:r w:rsidRPr="00E7515A">
        <w:rPr>
          <w:rFonts w:ascii="Times New Roman" w:hAnsi="Times New Roman"/>
          <w:sz w:val="22"/>
          <w:szCs w:val="22"/>
        </w:rPr>
        <w:t>zero</w:t>
      </w:r>
      <w:proofErr w:type="gramEnd"/>
      <w:r w:rsidRPr="00E7515A">
        <w:rPr>
          <w:rFonts w:ascii="Times New Roman" w:hAnsi="Times New Roman"/>
          <w:sz w:val="22"/>
          <w:szCs w:val="22"/>
        </w:rPr>
        <w:t>-rating</w:t>
      </w:r>
      <w:r w:rsidR="004566C5" w:rsidRPr="00C06F1B">
        <w:rPr>
          <w:rFonts w:ascii="Times New Roman" w:hAnsi="Times New Roman"/>
          <w:sz w:val="22"/>
          <w:szCs w:val="22"/>
        </w:rPr>
        <w:t>’</w:t>
      </w:r>
      <w:r w:rsidRPr="00E7515A">
        <w:rPr>
          <w:rFonts w:ascii="Times New Roman" w:hAnsi="Times New Roman"/>
          <w:sz w:val="22"/>
          <w:szCs w:val="22"/>
        </w:rPr>
        <w:t>.</w:t>
      </w:r>
    </w:p>
    <w:p w14:paraId="1D3484EB" w14:textId="6582E512" w:rsidR="002B0FF9" w:rsidRPr="00C06F1B" w:rsidRDefault="002B0FF9" w:rsidP="002B0FF9">
      <w:pPr>
        <w:pStyle w:val="CM25"/>
        <w:spacing w:after="402" w:line="403" w:lineRule="atLeast"/>
        <w:jc w:val="both"/>
        <w:rPr>
          <w:rFonts w:ascii="Times New Roman" w:hAnsi="Times New Roman"/>
          <w:sz w:val="22"/>
          <w:szCs w:val="22"/>
        </w:rPr>
      </w:pPr>
      <w:r w:rsidRPr="00E7515A">
        <w:rPr>
          <w:rFonts w:ascii="Times New Roman" w:hAnsi="Times New Roman"/>
          <w:sz w:val="22"/>
          <w:szCs w:val="22"/>
        </w:rPr>
        <w:t>It is important to note that it is a very common practi</w:t>
      </w:r>
      <w:r w:rsidR="00C37DEF" w:rsidRPr="00E7515A">
        <w:rPr>
          <w:rFonts w:ascii="Times New Roman" w:hAnsi="Times New Roman"/>
          <w:sz w:val="22"/>
          <w:szCs w:val="22"/>
        </w:rPr>
        <w:t>c</w:t>
      </w:r>
      <w:r w:rsidRPr="00E7515A">
        <w:rPr>
          <w:rFonts w:ascii="Times New Roman" w:hAnsi="Times New Roman"/>
          <w:sz w:val="22"/>
          <w:szCs w:val="22"/>
        </w:rPr>
        <w:t>e to exempt financial</w:t>
      </w:r>
      <w:r w:rsidR="00717A7D" w:rsidRPr="00C06F1B">
        <w:rPr>
          <w:rFonts w:ascii="Times New Roman" w:hAnsi="Times New Roman"/>
          <w:sz w:val="22"/>
          <w:szCs w:val="22"/>
        </w:rPr>
        <w:t xml:space="preserve"> products and</w:t>
      </w:r>
      <w:r w:rsidRPr="00E7515A">
        <w:rPr>
          <w:rFonts w:ascii="Times New Roman" w:hAnsi="Times New Roman"/>
          <w:sz w:val="22"/>
          <w:szCs w:val="22"/>
        </w:rPr>
        <w:t xml:space="preserve"> services</w:t>
      </w:r>
      <w:r w:rsidR="00C37DEF" w:rsidRPr="00E7515A">
        <w:rPr>
          <w:rFonts w:ascii="Times New Roman" w:hAnsi="Times New Roman"/>
          <w:sz w:val="22"/>
          <w:szCs w:val="22"/>
        </w:rPr>
        <w:t xml:space="preserve"> from</w:t>
      </w:r>
      <w:r w:rsidRPr="00E7515A">
        <w:rPr>
          <w:rFonts w:ascii="Times New Roman" w:hAnsi="Times New Roman"/>
          <w:sz w:val="22"/>
          <w:szCs w:val="22"/>
        </w:rPr>
        <w:t xml:space="preserve"> VAT, meaning that the tax is not charged to the </w:t>
      </w:r>
      <w:r w:rsidR="00717A7D" w:rsidRPr="00C06F1B">
        <w:rPr>
          <w:rFonts w:ascii="Times New Roman" w:hAnsi="Times New Roman"/>
          <w:sz w:val="22"/>
          <w:szCs w:val="22"/>
        </w:rPr>
        <w:t>consumer</w:t>
      </w:r>
      <w:r w:rsidR="00F13878" w:rsidRPr="00E7515A">
        <w:rPr>
          <w:rFonts w:ascii="Times New Roman" w:hAnsi="Times New Roman"/>
          <w:sz w:val="22"/>
          <w:szCs w:val="22"/>
        </w:rPr>
        <w:t>,</w:t>
      </w:r>
      <w:r w:rsidRPr="00E7515A">
        <w:rPr>
          <w:rFonts w:ascii="Times New Roman" w:hAnsi="Times New Roman"/>
          <w:sz w:val="22"/>
          <w:szCs w:val="22"/>
        </w:rPr>
        <w:t xml:space="preserve"> but tax paid on related inputs is not recovered. Therefore</w:t>
      </w:r>
      <w:r w:rsidR="00717A7D" w:rsidRPr="00C06F1B">
        <w:rPr>
          <w:rFonts w:ascii="Times New Roman" w:hAnsi="Times New Roman"/>
          <w:sz w:val="22"/>
          <w:szCs w:val="22"/>
        </w:rPr>
        <w:t xml:space="preserve">, </w:t>
      </w:r>
      <w:r w:rsidRPr="00E7515A">
        <w:rPr>
          <w:rFonts w:ascii="Times New Roman" w:hAnsi="Times New Roman"/>
          <w:sz w:val="22"/>
          <w:szCs w:val="22"/>
        </w:rPr>
        <w:t xml:space="preserve">financial services are </w:t>
      </w:r>
      <w:r w:rsidR="00717A7D" w:rsidRPr="00C06F1B">
        <w:rPr>
          <w:rFonts w:ascii="Times New Roman" w:hAnsi="Times New Roman"/>
          <w:sz w:val="22"/>
          <w:szCs w:val="22"/>
        </w:rPr>
        <w:t xml:space="preserve">effectively </w:t>
      </w:r>
      <w:r w:rsidRPr="00E7515A">
        <w:rPr>
          <w:rFonts w:ascii="Times New Roman" w:hAnsi="Times New Roman"/>
          <w:sz w:val="22"/>
          <w:szCs w:val="22"/>
        </w:rPr>
        <w:t>‘input</w:t>
      </w:r>
      <w:r w:rsidR="005A474E" w:rsidRPr="00E7515A">
        <w:rPr>
          <w:rFonts w:ascii="Times New Roman" w:hAnsi="Times New Roman"/>
          <w:sz w:val="22"/>
          <w:szCs w:val="22"/>
        </w:rPr>
        <w:t>-</w:t>
      </w:r>
      <w:r w:rsidRPr="00C06F1B">
        <w:rPr>
          <w:rFonts w:ascii="Times New Roman" w:hAnsi="Times New Roman"/>
          <w:sz w:val="22"/>
          <w:szCs w:val="22"/>
        </w:rPr>
        <w:t>taxed’. On one hand, the reason behind the implementation of VAT exemption on financial services lies in the conceptual difficulty that arises when payment for service is i</w:t>
      </w:r>
      <w:r w:rsidRPr="00E7515A">
        <w:rPr>
          <w:rFonts w:ascii="Times New Roman" w:hAnsi="Times New Roman"/>
          <w:sz w:val="22"/>
          <w:szCs w:val="22"/>
        </w:rPr>
        <w:t>mplicit in a</w:t>
      </w:r>
      <w:r w:rsidR="00717A7D" w:rsidRPr="00E7515A">
        <w:rPr>
          <w:rFonts w:ascii="Times New Roman" w:hAnsi="Times New Roman"/>
          <w:sz w:val="22"/>
          <w:szCs w:val="22"/>
        </w:rPr>
        <w:t>n interest rate</w:t>
      </w:r>
      <w:r w:rsidRPr="00E7515A">
        <w:rPr>
          <w:rFonts w:ascii="Times New Roman" w:hAnsi="Times New Roman"/>
          <w:sz w:val="22"/>
          <w:szCs w:val="22"/>
        </w:rPr>
        <w:t xml:space="preserve"> spread</w:t>
      </w:r>
      <w:r w:rsidR="00717A7D" w:rsidRPr="00E7515A">
        <w:rPr>
          <w:rFonts w:ascii="Times New Roman" w:hAnsi="Times New Roman"/>
          <w:sz w:val="22"/>
          <w:szCs w:val="22"/>
        </w:rPr>
        <w:t xml:space="preserve">, </w:t>
      </w:r>
      <w:r w:rsidRPr="00E7515A">
        <w:rPr>
          <w:rFonts w:ascii="Times New Roman" w:hAnsi="Times New Roman"/>
          <w:sz w:val="22"/>
          <w:szCs w:val="22"/>
        </w:rPr>
        <w:t>between borrowing and lending rates, for instance</w:t>
      </w:r>
      <w:r w:rsidR="00717A7D" w:rsidRPr="00E7515A">
        <w:rPr>
          <w:rFonts w:ascii="Times New Roman" w:hAnsi="Times New Roman"/>
          <w:sz w:val="22"/>
          <w:szCs w:val="22"/>
        </w:rPr>
        <w:t>. T</w:t>
      </w:r>
      <w:r w:rsidRPr="00E7515A">
        <w:rPr>
          <w:rFonts w:ascii="Times New Roman" w:hAnsi="Times New Roman"/>
          <w:sz w:val="22"/>
          <w:szCs w:val="22"/>
        </w:rPr>
        <w:t>axing the overall spread may be easy, but proper operation of the VAT requires some way of allocating that tax between the two sides of the transaction so as to ensure that registered businesses receive a credit</w:t>
      </w:r>
      <w:r w:rsidR="00DE4A41" w:rsidRPr="00E7515A">
        <w:rPr>
          <w:rFonts w:ascii="Times New Roman" w:hAnsi="Times New Roman"/>
          <w:sz w:val="22"/>
          <w:szCs w:val="22"/>
        </w:rPr>
        <w:t>,</w:t>
      </w:r>
      <w:r w:rsidRPr="00E7515A">
        <w:rPr>
          <w:rFonts w:ascii="Times New Roman" w:hAnsi="Times New Roman"/>
          <w:sz w:val="22"/>
          <w:szCs w:val="22"/>
        </w:rPr>
        <w:t xml:space="preserve"> but final consumers do not. </w:t>
      </w:r>
    </w:p>
    <w:p w14:paraId="02DBE3CC" w14:textId="0D99A399" w:rsidR="002B0FF9" w:rsidRPr="00C06F1B" w:rsidRDefault="00DE4A41" w:rsidP="002B0FF9">
      <w:pPr>
        <w:pStyle w:val="CM25"/>
        <w:spacing w:after="402" w:line="403" w:lineRule="atLeast"/>
        <w:jc w:val="both"/>
        <w:rPr>
          <w:rFonts w:ascii="Times New Roman" w:hAnsi="Times New Roman"/>
          <w:sz w:val="22"/>
          <w:szCs w:val="22"/>
        </w:rPr>
      </w:pPr>
      <w:r w:rsidRPr="00E7515A">
        <w:rPr>
          <w:rFonts w:ascii="Times New Roman" w:hAnsi="Times New Roman"/>
          <w:sz w:val="22"/>
          <w:szCs w:val="22"/>
        </w:rPr>
        <w:t>E</w:t>
      </w:r>
      <w:r w:rsidR="002B0FF9" w:rsidRPr="00E7515A">
        <w:rPr>
          <w:rFonts w:ascii="Times New Roman" w:hAnsi="Times New Roman"/>
          <w:sz w:val="22"/>
          <w:szCs w:val="22"/>
        </w:rPr>
        <w:t>xemption means that business use of financial services tends to be over</w:t>
      </w:r>
      <w:r w:rsidR="001C2B81" w:rsidRPr="00E7515A">
        <w:rPr>
          <w:rFonts w:ascii="Times New Roman" w:hAnsi="Times New Roman"/>
          <w:sz w:val="22"/>
          <w:szCs w:val="22"/>
        </w:rPr>
        <w:t>-</w:t>
      </w:r>
      <w:r w:rsidR="002B0FF9" w:rsidRPr="00E7515A">
        <w:rPr>
          <w:rFonts w:ascii="Times New Roman" w:hAnsi="Times New Roman"/>
          <w:sz w:val="22"/>
          <w:szCs w:val="22"/>
        </w:rPr>
        <w:t>taxed, but use by final consumers is under</w:t>
      </w:r>
      <w:r w:rsidR="001C2B81" w:rsidRPr="00E7515A">
        <w:rPr>
          <w:rFonts w:ascii="Times New Roman" w:hAnsi="Times New Roman"/>
          <w:sz w:val="22"/>
          <w:szCs w:val="22"/>
        </w:rPr>
        <w:t>-</w:t>
      </w:r>
      <w:r w:rsidR="002B0FF9" w:rsidRPr="00C06F1B">
        <w:rPr>
          <w:rFonts w:ascii="Times New Roman" w:hAnsi="Times New Roman"/>
          <w:sz w:val="22"/>
          <w:szCs w:val="22"/>
        </w:rPr>
        <w:t xml:space="preserve">taxed. </w:t>
      </w:r>
      <w:r w:rsidRPr="00C06F1B">
        <w:rPr>
          <w:rFonts w:ascii="Times New Roman" w:hAnsi="Times New Roman"/>
          <w:sz w:val="22"/>
          <w:szCs w:val="22"/>
        </w:rPr>
        <w:t xml:space="preserve">Hence, </w:t>
      </w:r>
      <w:r w:rsidR="002B0FF9" w:rsidRPr="00E7515A">
        <w:rPr>
          <w:rFonts w:ascii="Times New Roman" w:hAnsi="Times New Roman"/>
          <w:sz w:val="22"/>
          <w:szCs w:val="22"/>
        </w:rPr>
        <w:t xml:space="preserve">prices charged by the financial institutions </w:t>
      </w:r>
      <w:r w:rsidR="006E40CB" w:rsidRPr="00E7515A">
        <w:rPr>
          <w:rFonts w:ascii="Times New Roman" w:hAnsi="Times New Roman"/>
          <w:sz w:val="22"/>
          <w:szCs w:val="22"/>
        </w:rPr>
        <w:t xml:space="preserve">are </w:t>
      </w:r>
      <w:r w:rsidR="002B0FF9" w:rsidRPr="00E7515A">
        <w:rPr>
          <w:rFonts w:ascii="Times New Roman" w:hAnsi="Times New Roman"/>
          <w:sz w:val="22"/>
          <w:szCs w:val="22"/>
        </w:rPr>
        <w:t>likely</w:t>
      </w:r>
      <w:r w:rsidR="006E40CB" w:rsidRPr="00E7515A">
        <w:rPr>
          <w:rFonts w:ascii="Times New Roman" w:hAnsi="Times New Roman"/>
          <w:sz w:val="22"/>
          <w:szCs w:val="22"/>
        </w:rPr>
        <w:t xml:space="preserve"> to</w:t>
      </w:r>
      <w:r w:rsidR="002B0FF9" w:rsidRPr="00E7515A">
        <w:rPr>
          <w:rFonts w:ascii="Times New Roman" w:hAnsi="Times New Roman"/>
          <w:sz w:val="22"/>
          <w:szCs w:val="22"/>
        </w:rPr>
        <w:t xml:space="preserve"> reflect the unrecovered VAT charged on their inputs, so that business users will pay more than they would have in the absence of the VAT. Generally, the credit mechanism of the VAT ensures that </w:t>
      </w:r>
      <w:r w:rsidR="00E653E4" w:rsidRPr="00E7515A">
        <w:rPr>
          <w:rFonts w:ascii="Times New Roman" w:hAnsi="Times New Roman"/>
          <w:sz w:val="22"/>
          <w:szCs w:val="22"/>
        </w:rPr>
        <w:t>it</w:t>
      </w:r>
      <w:r w:rsidR="002B0FF9" w:rsidRPr="00E7515A">
        <w:rPr>
          <w:rFonts w:ascii="Times New Roman" w:hAnsi="Times New Roman"/>
          <w:sz w:val="22"/>
          <w:szCs w:val="22"/>
        </w:rPr>
        <w:t xml:space="preserve"> does not affect prices paid by registered users on their purchase.</w:t>
      </w:r>
      <w:r w:rsidRPr="00E7515A">
        <w:rPr>
          <w:rFonts w:ascii="Times New Roman" w:hAnsi="Times New Roman"/>
          <w:sz w:val="22"/>
          <w:szCs w:val="22"/>
        </w:rPr>
        <w:t xml:space="preserve"> But</w:t>
      </w:r>
      <w:r w:rsidR="002B0FF9" w:rsidRPr="00E7515A">
        <w:rPr>
          <w:rFonts w:ascii="Times New Roman" w:hAnsi="Times New Roman"/>
          <w:sz w:val="22"/>
          <w:szCs w:val="22"/>
        </w:rPr>
        <w:t>, exemption means that this is not so</w:t>
      </w:r>
      <w:r w:rsidR="00E653E4" w:rsidRPr="00E7515A">
        <w:rPr>
          <w:rFonts w:ascii="Times New Roman" w:hAnsi="Times New Roman"/>
          <w:sz w:val="22"/>
          <w:szCs w:val="22"/>
        </w:rPr>
        <w:t>,</w:t>
      </w:r>
      <w:r w:rsidR="002B0FF9" w:rsidRPr="00E7515A">
        <w:rPr>
          <w:rFonts w:ascii="Times New Roman" w:hAnsi="Times New Roman"/>
          <w:sz w:val="22"/>
          <w:szCs w:val="22"/>
        </w:rPr>
        <w:t xml:space="preserve"> either for financial institutions themselves, or their customers </w:t>
      </w:r>
      <w:r w:rsidRPr="00C06F1B">
        <w:rPr>
          <w:rFonts w:ascii="Times New Roman" w:hAnsi="Times New Roman"/>
          <w:sz w:val="22"/>
          <w:szCs w:val="22"/>
        </w:rPr>
        <w:t>and</w:t>
      </w:r>
      <w:r w:rsidR="002B0FF9" w:rsidRPr="00E7515A">
        <w:rPr>
          <w:rFonts w:ascii="Times New Roman" w:hAnsi="Times New Roman"/>
          <w:sz w:val="22"/>
          <w:szCs w:val="22"/>
        </w:rPr>
        <w:t xml:space="preserve">, through further cascading, the customers of their customers. Of course, this runs counter to the principle underlying the VAT, </w:t>
      </w:r>
      <w:r w:rsidR="00E653E4" w:rsidRPr="00E7515A">
        <w:rPr>
          <w:rFonts w:ascii="Times New Roman" w:hAnsi="Times New Roman"/>
          <w:sz w:val="22"/>
          <w:szCs w:val="22"/>
        </w:rPr>
        <w:t xml:space="preserve">that </w:t>
      </w:r>
      <w:r w:rsidR="002B0FF9" w:rsidRPr="00E7515A">
        <w:rPr>
          <w:rFonts w:ascii="Times New Roman" w:hAnsi="Times New Roman"/>
          <w:sz w:val="22"/>
          <w:szCs w:val="22"/>
        </w:rPr>
        <w:t>transactions between businesses should not be taxed unless doing so addresses some clear market failure.</w:t>
      </w:r>
      <w:r w:rsidR="00F13878" w:rsidRPr="00E7515A">
        <w:rPr>
          <w:rFonts w:ascii="Times New Roman" w:hAnsi="Times New Roman"/>
          <w:sz w:val="22"/>
          <w:szCs w:val="22"/>
        </w:rPr>
        <w:t xml:space="preserve"> </w:t>
      </w:r>
      <w:r w:rsidR="00E653E4" w:rsidRPr="00E7515A">
        <w:rPr>
          <w:rFonts w:ascii="Times New Roman" w:hAnsi="Times New Roman"/>
          <w:sz w:val="22"/>
          <w:szCs w:val="22"/>
        </w:rPr>
        <w:t>Moreover</w:t>
      </w:r>
      <w:r w:rsidR="002B0FF9" w:rsidRPr="00E7515A">
        <w:rPr>
          <w:rFonts w:ascii="Times New Roman" w:hAnsi="Times New Roman"/>
          <w:sz w:val="22"/>
          <w:szCs w:val="22"/>
        </w:rPr>
        <w:t>, exemption</w:t>
      </w:r>
      <w:r w:rsidR="00F13878" w:rsidRPr="00E7515A">
        <w:rPr>
          <w:rFonts w:ascii="Times New Roman" w:hAnsi="Times New Roman"/>
          <w:sz w:val="22"/>
          <w:szCs w:val="22"/>
        </w:rPr>
        <w:t xml:space="preserve"> </w:t>
      </w:r>
      <w:r w:rsidR="002B0FF9" w:rsidRPr="00E7515A">
        <w:rPr>
          <w:rFonts w:ascii="Times New Roman" w:hAnsi="Times New Roman"/>
          <w:sz w:val="22"/>
          <w:szCs w:val="22"/>
        </w:rPr>
        <w:t xml:space="preserve">for final consumers </w:t>
      </w:r>
      <w:r w:rsidR="00E653E4" w:rsidRPr="00E7515A">
        <w:rPr>
          <w:rFonts w:ascii="Times New Roman" w:hAnsi="Times New Roman"/>
          <w:sz w:val="22"/>
          <w:szCs w:val="22"/>
        </w:rPr>
        <w:t xml:space="preserve">is </w:t>
      </w:r>
      <w:r w:rsidR="002B0FF9" w:rsidRPr="00E7515A">
        <w:rPr>
          <w:rFonts w:ascii="Times New Roman" w:hAnsi="Times New Roman"/>
          <w:sz w:val="22"/>
          <w:szCs w:val="22"/>
        </w:rPr>
        <w:t>likely</w:t>
      </w:r>
      <w:r w:rsidR="00E653E4" w:rsidRPr="00E7515A">
        <w:rPr>
          <w:rFonts w:ascii="Times New Roman" w:hAnsi="Times New Roman"/>
          <w:sz w:val="22"/>
          <w:szCs w:val="22"/>
        </w:rPr>
        <w:t xml:space="preserve"> to</w:t>
      </w:r>
      <w:r w:rsidR="002B0FF9" w:rsidRPr="00E7515A">
        <w:rPr>
          <w:rFonts w:ascii="Times New Roman" w:hAnsi="Times New Roman"/>
          <w:sz w:val="22"/>
          <w:szCs w:val="22"/>
        </w:rPr>
        <w:t xml:space="preserve"> mean under</w:t>
      </w:r>
      <w:r w:rsidR="001C2B81" w:rsidRPr="00E7515A">
        <w:rPr>
          <w:rFonts w:ascii="Times New Roman" w:hAnsi="Times New Roman"/>
          <w:sz w:val="22"/>
          <w:szCs w:val="22"/>
        </w:rPr>
        <w:t>-</w:t>
      </w:r>
      <w:r w:rsidR="002B0FF9" w:rsidRPr="00E7515A">
        <w:rPr>
          <w:rFonts w:ascii="Times New Roman" w:hAnsi="Times New Roman"/>
          <w:sz w:val="22"/>
          <w:szCs w:val="22"/>
        </w:rPr>
        <w:t>taxation, since the price they pay do</w:t>
      </w:r>
      <w:r w:rsidR="00E653E4" w:rsidRPr="00E7515A">
        <w:rPr>
          <w:rFonts w:ascii="Times New Roman" w:hAnsi="Times New Roman"/>
          <w:sz w:val="22"/>
          <w:szCs w:val="22"/>
        </w:rPr>
        <w:t>es</w:t>
      </w:r>
      <w:r w:rsidR="002B0FF9" w:rsidRPr="00E7515A">
        <w:rPr>
          <w:rFonts w:ascii="Times New Roman" w:hAnsi="Times New Roman"/>
          <w:sz w:val="22"/>
          <w:szCs w:val="22"/>
        </w:rPr>
        <w:t xml:space="preserve"> not reflect the full value added by financial service providers, but only their use of taxable inputs</w:t>
      </w:r>
      <w:r w:rsidR="00F13878" w:rsidRPr="00E7515A">
        <w:rPr>
          <w:rFonts w:ascii="Times New Roman" w:hAnsi="Times New Roman"/>
          <w:sz w:val="22"/>
          <w:szCs w:val="22"/>
        </w:rPr>
        <w:t xml:space="preserve">. </w:t>
      </w:r>
      <w:r w:rsidR="00E8522D" w:rsidRPr="00C06F1B">
        <w:rPr>
          <w:rFonts w:ascii="Times New Roman" w:hAnsi="Times New Roman"/>
          <w:sz w:val="22"/>
          <w:szCs w:val="22"/>
        </w:rPr>
        <w:t xml:space="preserve">Further, cheaper financial services may encourage over consumption of them. </w:t>
      </w:r>
      <w:r w:rsidR="00F13878" w:rsidRPr="00E7515A">
        <w:rPr>
          <w:rFonts w:ascii="Times New Roman" w:hAnsi="Times New Roman"/>
          <w:sz w:val="22"/>
          <w:szCs w:val="22"/>
        </w:rPr>
        <w:t>Why</w:t>
      </w:r>
      <w:r w:rsidR="00E653E4" w:rsidRPr="00E7515A">
        <w:rPr>
          <w:rFonts w:ascii="Times New Roman" w:hAnsi="Times New Roman"/>
          <w:sz w:val="22"/>
          <w:szCs w:val="22"/>
        </w:rPr>
        <w:t xml:space="preserve"> should </w:t>
      </w:r>
      <w:r w:rsidR="00F13878" w:rsidRPr="00E7515A">
        <w:rPr>
          <w:rFonts w:ascii="Times New Roman" w:hAnsi="Times New Roman"/>
          <w:sz w:val="22"/>
          <w:szCs w:val="22"/>
        </w:rPr>
        <w:lastRenderedPageBreak/>
        <w:t xml:space="preserve">there </w:t>
      </w:r>
      <w:r w:rsidR="00E653E4" w:rsidRPr="00E7515A">
        <w:rPr>
          <w:rFonts w:ascii="Times New Roman" w:hAnsi="Times New Roman"/>
          <w:sz w:val="22"/>
          <w:szCs w:val="22"/>
        </w:rPr>
        <w:t>be</w:t>
      </w:r>
      <w:r w:rsidR="00985245" w:rsidRPr="00E7515A">
        <w:rPr>
          <w:rFonts w:ascii="Times New Roman" w:hAnsi="Times New Roman"/>
          <w:sz w:val="22"/>
          <w:szCs w:val="22"/>
        </w:rPr>
        <w:t xml:space="preserve"> a low rate </w:t>
      </w:r>
      <w:r w:rsidR="00F13878" w:rsidRPr="00E7515A">
        <w:rPr>
          <w:rFonts w:ascii="Times New Roman" w:hAnsi="Times New Roman"/>
          <w:sz w:val="22"/>
          <w:szCs w:val="22"/>
        </w:rPr>
        <w:t xml:space="preserve">of VAT </w:t>
      </w:r>
      <w:r w:rsidR="00985245" w:rsidRPr="00E7515A">
        <w:rPr>
          <w:rFonts w:ascii="Times New Roman" w:hAnsi="Times New Roman"/>
          <w:sz w:val="22"/>
          <w:szCs w:val="22"/>
        </w:rPr>
        <w:t>on the use of financial services</w:t>
      </w:r>
      <w:r w:rsidR="006E40CB" w:rsidRPr="00E7515A">
        <w:rPr>
          <w:rFonts w:ascii="Times New Roman" w:hAnsi="Times New Roman"/>
          <w:sz w:val="22"/>
          <w:szCs w:val="22"/>
        </w:rPr>
        <w:t>?</w:t>
      </w:r>
      <w:r w:rsidR="00E8522D" w:rsidRPr="00C06F1B">
        <w:rPr>
          <w:rFonts w:ascii="Times New Roman" w:hAnsi="Times New Roman"/>
          <w:sz w:val="22"/>
          <w:szCs w:val="22"/>
        </w:rPr>
        <w:t xml:space="preserve"> </w:t>
      </w:r>
      <w:r w:rsidR="00A80FAF" w:rsidRPr="00E7515A">
        <w:rPr>
          <w:rFonts w:ascii="Times New Roman" w:hAnsi="Times New Roman"/>
          <w:sz w:val="22"/>
          <w:szCs w:val="22"/>
        </w:rPr>
        <w:t xml:space="preserve">Atkinson </w:t>
      </w:r>
      <w:r w:rsidR="00ED1C84" w:rsidRPr="00E7515A">
        <w:rPr>
          <w:rFonts w:ascii="Times New Roman" w:hAnsi="Times New Roman"/>
          <w:sz w:val="22"/>
          <w:szCs w:val="22"/>
        </w:rPr>
        <w:t>&amp;</w:t>
      </w:r>
      <w:r w:rsidR="00A80FAF" w:rsidRPr="00E7515A">
        <w:rPr>
          <w:rFonts w:ascii="Times New Roman" w:hAnsi="Times New Roman"/>
          <w:sz w:val="22"/>
          <w:szCs w:val="22"/>
        </w:rPr>
        <w:t xml:space="preserve"> Stiglitz </w:t>
      </w:r>
      <w:r w:rsidR="00E8522D" w:rsidRPr="00C06F1B">
        <w:rPr>
          <w:rFonts w:ascii="Times New Roman" w:hAnsi="Times New Roman"/>
          <w:sz w:val="22"/>
          <w:szCs w:val="22"/>
        </w:rPr>
        <w:t>(</w:t>
      </w:r>
      <w:r w:rsidR="00A80FAF" w:rsidRPr="00E7515A">
        <w:rPr>
          <w:rFonts w:ascii="Times New Roman" w:hAnsi="Times New Roman"/>
          <w:sz w:val="22"/>
          <w:szCs w:val="22"/>
        </w:rPr>
        <w:t>1976</w:t>
      </w:r>
      <w:r w:rsidR="00E8522D" w:rsidRPr="00C06F1B">
        <w:rPr>
          <w:rFonts w:ascii="Times New Roman" w:hAnsi="Times New Roman"/>
          <w:sz w:val="22"/>
          <w:szCs w:val="22"/>
        </w:rPr>
        <w:t>) and</w:t>
      </w:r>
      <w:r w:rsidR="004314DA" w:rsidRPr="00E7515A">
        <w:rPr>
          <w:rFonts w:ascii="Times New Roman" w:hAnsi="Times New Roman"/>
          <w:sz w:val="22"/>
          <w:szCs w:val="22"/>
        </w:rPr>
        <w:t xml:space="preserve"> </w:t>
      </w:r>
      <w:proofErr w:type="spellStart"/>
      <w:r w:rsidR="004314DA" w:rsidRPr="00E7515A">
        <w:rPr>
          <w:rFonts w:ascii="Times New Roman" w:hAnsi="Times New Roman"/>
          <w:sz w:val="22"/>
          <w:szCs w:val="22"/>
        </w:rPr>
        <w:t>Mirrlee</w:t>
      </w:r>
      <w:r w:rsidR="00A80FAF" w:rsidRPr="00E7515A">
        <w:rPr>
          <w:rFonts w:ascii="Times New Roman" w:hAnsi="Times New Roman"/>
          <w:sz w:val="22"/>
          <w:szCs w:val="22"/>
        </w:rPr>
        <w:t>s</w:t>
      </w:r>
      <w:proofErr w:type="spellEnd"/>
      <w:r w:rsidR="00A80FAF" w:rsidRPr="00E7515A">
        <w:rPr>
          <w:rFonts w:ascii="Times New Roman" w:hAnsi="Times New Roman"/>
          <w:sz w:val="22"/>
          <w:szCs w:val="22"/>
        </w:rPr>
        <w:t xml:space="preserve"> et al</w:t>
      </w:r>
      <w:r w:rsidR="004314DA" w:rsidRPr="00E7515A">
        <w:rPr>
          <w:rFonts w:ascii="Times New Roman" w:hAnsi="Times New Roman"/>
          <w:sz w:val="22"/>
          <w:szCs w:val="22"/>
        </w:rPr>
        <w:t xml:space="preserve">., </w:t>
      </w:r>
      <w:r w:rsidR="00E8522D" w:rsidRPr="00C06F1B">
        <w:rPr>
          <w:rFonts w:ascii="Times New Roman" w:hAnsi="Times New Roman"/>
          <w:sz w:val="22"/>
          <w:szCs w:val="22"/>
        </w:rPr>
        <w:t>(</w:t>
      </w:r>
      <w:r w:rsidR="004314DA" w:rsidRPr="00E7515A">
        <w:rPr>
          <w:rFonts w:ascii="Times New Roman" w:hAnsi="Times New Roman"/>
          <w:sz w:val="22"/>
          <w:szCs w:val="22"/>
        </w:rPr>
        <w:t>201</w:t>
      </w:r>
      <w:r w:rsidR="00754C96">
        <w:rPr>
          <w:rFonts w:ascii="Times New Roman" w:hAnsi="Times New Roman"/>
          <w:sz w:val="22"/>
          <w:szCs w:val="22"/>
        </w:rPr>
        <w:t>1</w:t>
      </w:r>
      <w:r w:rsidR="00E8522D" w:rsidRPr="00C06F1B">
        <w:rPr>
          <w:rFonts w:ascii="Times New Roman" w:hAnsi="Times New Roman"/>
          <w:sz w:val="22"/>
          <w:szCs w:val="22"/>
        </w:rPr>
        <w:t>), C</w:t>
      </w:r>
      <w:r w:rsidR="004314DA" w:rsidRPr="00E7515A">
        <w:rPr>
          <w:rFonts w:ascii="Times New Roman" w:hAnsi="Times New Roman"/>
          <w:sz w:val="22"/>
          <w:szCs w:val="22"/>
        </w:rPr>
        <w:t>hapter 6</w:t>
      </w:r>
      <w:r w:rsidR="00F13878" w:rsidRPr="00E7515A">
        <w:rPr>
          <w:rFonts w:ascii="Times New Roman" w:hAnsi="Times New Roman"/>
          <w:sz w:val="22"/>
          <w:szCs w:val="22"/>
        </w:rPr>
        <w:t xml:space="preserve">) </w:t>
      </w:r>
      <w:r w:rsidR="002B0FF9" w:rsidRPr="00E7515A">
        <w:rPr>
          <w:rFonts w:ascii="Times New Roman" w:hAnsi="Times New Roman"/>
          <w:sz w:val="22"/>
          <w:szCs w:val="22"/>
        </w:rPr>
        <w:t>argue for taxation of financial services at a relatively low</w:t>
      </w:r>
      <w:r w:rsidR="00E36758" w:rsidRPr="00E7515A">
        <w:rPr>
          <w:rFonts w:ascii="Times New Roman" w:hAnsi="Times New Roman"/>
          <w:sz w:val="22"/>
          <w:szCs w:val="22"/>
        </w:rPr>
        <w:t xml:space="preserve"> rate because </w:t>
      </w:r>
      <w:r w:rsidR="00213701" w:rsidRPr="00E7515A">
        <w:rPr>
          <w:rFonts w:ascii="Times New Roman" w:hAnsi="Times New Roman"/>
          <w:sz w:val="22"/>
          <w:szCs w:val="22"/>
        </w:rPr>
        <w:t xml:space="preserve">of </w:t>
      </w:r>
      <w:r w:rsidR="00E36758" w:rsidRPr="00E7515A">
        <w:rPr>
          <w:rFonts w:ascii="Times New Roman" w:hAnsi="Times New Roman"/>
          <w:sz w:val="22"/>
          <w:szCs w:val="22"/>
        </w:rPr>
        <w:t>their use of free</w:t>
      </w:r>
      <w:r w:rsidR="002B0FF9" w:rsidRPr="00E7515A">
        <w:rPr>
          <w:rFonts w:ascii="Times New Roman" w:hAnsi="Times New Roman"/>
          <w:sz w:val="22"/>
          <w:szCs w:val="22"/>
        </w:rPr>
        <w:t xml:space="preserve"> time for paid wor</w:t>
      </w:r>
      <w:r w:rsidR="00213701" w:rsidRPr="00E7515A">
        <w:rPr>
          <w:rFonts w:ascii="Times New Roman" w:hAnsi="Times New Roman"/>
          <w:sz w:val="22"/>
          <w:szCs w:val="22"/>
        </w:rPr>
        <w:t>k, so that favourable treatment</w:t>
      </w:r>
      <w:r w:rsidR="002B0FF9" w:rsidRPr="00E7515A">
        <w:rPr>
          <w:rFonts w:ascii="Times New Roman" w:hAnsi="Times New Roman"/>
          <w:sz w:val="22"/>
          <w:szCs w:val="22"/>
        </w:rPr>
        <w:t xml:space="preserve"> helps counteract the general tendency of taxation to discourage work effort. Since the adoption of</w:t>
      </w:r>
      <w:r w:rsidR="00E653E4" w:rsidRPr="00E7515A">
        <w:rPr>
          <w:rFonts w:ascii="Times New Roman" w:hAnsi="Times New Roman"/>
          <w:sz w:val="22"/>
          <w:szCs w:val="22"/>
        </w:rPr>
        <w:t xml:space="preserve"> the</w:t>
      </w:r>
      <w:r w:rsidR="002B0FF9" w:rsidRPr="00E7515A">
        <w:rPr>
          <w:rFonts w:ascii="Times New Roman" w:hAnsi="Times New Roman"/>
          <w:sz w:val="22"/>
          <w:szCs w:val="22"/>
        </w:rPr>
        <w:t xml:space="preserve"> Sixth VAT Directive in 1977 (Article 135 (1) of the VAT Directive), the EU’s common value added tax system has generally exempted mainstream financial services</w:t>
      </w:r>
      <w:r w:rsidR="00E653E4" w:rsidRPr="00E7515A">
        <w:rPr>
          <w:rFonts w:ascii="Times New Roman" w:hAnsi="Times New Roman"/>
          <w:sz w:val="22"/>
          <w:szCs w:val="22"/>
        </w:rPr>
        <w:t>,</w:t>
      </w:r>
      <w:r w:rsidR="002B0FF9" w:rsidRPr="00E7515A">
        <w:rPr>
          <w:rFonts w:ascii="Times New Roman" w:hAnsi="Times New Roman"/>
          <w:sz w:val="22"/>
          <w:szCs w:val="22"/>
        </w:rPr>
        <w:t xml:space="preserve"> including insurance and investment funds. </w:t>
      </w:r>
    </w:p>
    <w:p w14:paraId="570B070A" w14:textId="54247419" w:rsidR="002B0FF9" w:rsidRPr="00C06F1B" w:rsidRDefault="002B0FF9" w:rsidP="000517CC">
      <w:pPr>
        <w:spacing w:line="360" w:lineRule="auto"/>
        <w:jc w:val="both"/>
        <w:rPr>
          <w:rFonts w:ascii="Times New Roman" w:hAnsi="Times New Roman"/>
        </w:rPr>
      </w:pPr>
      <w:r w:rsidRPr="00E7515A">
        <w:rPr>
          <w:rFonts w:ascii="Times New Roman" w:hAnsi="Times New Roman"/>
        </w:rPr>
        <w:t>The Directive reflects an uncertain approach</w:t>
      </w:r>
      <w:r w:rsidR="00E653E4" w:rsidRPr="00E7515A">
        <w:rPr>
          <w:rFonts w:ascii="Times New Roman" w:hAnsi="Times New Roman"/>
        </w:rPr>
        <w:t>,</w:t>
      </w:r>
      <w:r w:rsidRPr="00E7515A">
        <w:rPr>
          <w:rFonts w:ascii="Times New Roman" w:hAnsi="Times New Roman"/>
        </w:rPr>
        <w:t xml:space="preserve"> in that it allows EU </w:t>
      </w:r>
      <w:r w:rsidR="00E653E4" w:rsidRPr="00E7515A">
        <w:rPr>
          <w:rFonts w:ascii="Times New Roman" w:hAnsi="Times New Roman"/>
        </w:rPr>
        <w:t>m</w:t>
      </w:r>
      <w:r w:rsidRPr="00E7515A">
        <w:rPr>
          <w:rFonts w:ascii="Times New Roman" w:hAnsi="Times New Roman"/>
        </w:rPr>
        <w:t xml:space="preserve">ember </w:t>
      </w:r>
      <w:r w:rsidR="00E653E4" w:rsidRPr="00E7515A">
        <w:rPr>
          <w:rFonts w:ascii="Times New Roman" w:hAnsi="Times New Roman"/>
        </w:rPr>
        <w:t>s</w:t>
      </w:r>
      <w:r w:rsidRPr="00E7515A">
        <w:rPr>
          <w:rFonts w:ascii="Times New Roman" w:hAnsi="Times New Roman"/>
        </w:rPr>
        <w:t xml:space="preserve">tates the option of taxing financial services. However, the difficulty arises </w:t>
      </w:r>
      <w:r w:rsidR="00E653E4" w:rsidRPr="00E7515A">
        <w:rPr>
          <w:rFonts w:ascii="Times New Roman" w:hAnsi="Times New Roman"/>
        </w:rPr>
        <w:t>of</w:t>
      </w:r>
      <w:r w:rsidRPr="00E7515A">
        <w:rPr>
          <w:rFonts w:ascii="Times New Roman" w:hAnsi="Times New Roman"/>
        </w:rPr>
        <w:t xml:space="preserve"> technically defin</w:t>
      </w:r>
      <w:r w:rsidR="00E653E4" w:rsidRPr="00E7515A">
        <w:rPr>
          <w:rFonts w:ascii="Times New Roman" w:hAnsi="Times New Roman"/>
        </w:rPr>
        <w:t>ing</w:t>
      </w:r>
      <w:r w:rsidRPr="00E7515A">
        <w:rPr>
          <w:rFonts w:ascii="Times New Roman" w:hAnsi="Times New Roman"/>
        </w:rPr>
        <w:t xml:space="preserve"> the price for specific financial operations. Studies such as</w:t>
      </w:r>
      <w:r w:rsidR="00E653E4" w:rsidRPr="00E7515A">
        <w:rPr>
          <w:rFonts w:ascii="Times New Roman" w:hAnsi="Times New Roman"/>
        </w:rPr>
        <w:t xml:space="preserve"> those by</w:t>
      </w:r>
      <w:r w:rsidRPr="00E7515A">
        <w:rPr>
          <w:rFonts w:ascii="Times New Roman" w:hAnsi="Times New Roman"/>
        </w:rPr>
        <w:t xml:space="preserve"> Kerrigan (20</w:t>
      </w:r>
      <w:r w:rsidR="00F92EF5" w:rsidRPr="00E7515A">
        <w:rPr>
          <w:rFonts w:ascii="Times New Roman" w:hAnsi="Times New Roman"/>
        </w:rPr>
        <w:t>10</w:t>
      </w:r>
      <w:r w:rsidRPr="00E7515A">
        <w:rPr>
          <w:rFonts w:ascii="Times New Roman" w:hAnsi="Times New Roman"/>
        </w:rPr>
        <w:t xml:space="preserve">) and </w:t>
      </w:r>
      <w:proofErr w:type="spellStart"/>
      <w:r w:rsidRPr="00E7515A">
        <w:rPr>
          <w:rFonts w:ascii="Times New Roman" w:hAnsi="Times New Roman"/>
        </w:rPr>
        <w:t>Mirrle</w:t>
      </w:r>
      <w:r w:rsidR="004314DA" w:rsidRPr="00E7515A">
        <w:rPr>
          <w:rFonts w:ascii="Times New Roman" w:hAnsi="Times New Roman"/>
        </w:rPr>
        <w:t>e</w:t>
      </w:r>
      <w:r w:rsidRPr="00E7515A">
        <w:rPr>
          <w:rFonts w:ascii="Times New Roman" w:hAnsi="Times New Roman"/>
        </w:rPr>
        <w:t>s</w:t>
      </w:r>
      <w:proofErr w:type="spellEnd"/>
      <w:r w:rsidRPr="00E7515A">
        <w:rPr>
          <w:rFonts w:ascii="Times New Roman" w:hAnsi="Times New Roman"/>
        </w:rPr>
        <w:t xml:space="preserve"> et al. (201</w:t>
      </w:r>
      <w:r w:rsidR="00754C96">
        <w:rPr>
          <w:rFonts w:ascii="Times New Roman" w:hAnsi="Times New Roman"/>
        </w:rPr>
        <w:t>1</w:t>
      </w:r>
      <w:r w:rsidR="008F0D3F" w:rsidRPr="00C06F1B">
        <w:rPr>
          <w:rFonts w:ascii="Times New Roman" w:hAnsi="Times New Roman"/>
        </w:rPr>
        <w:t xml:space="preserve">, </w:t>
      </w:r>
      <w:r w:rsidRPr="00E7515A">
        <w:rPr>
          <w:rFonts w:ascii="Times New Roman" w:hAnsi="Times New Roman"/>
        </w:rPr>
        <w:t>Chapter 8) provide a detail</w:t>
      </w:r>
      <w:r w:rsidR="00E653E4" w:rsidRPr="00E7515A">
        <w:rPr>
          <w:rFonts w:ascii="Times New Roman" w:hAnsi="Times New Roman"/>
        </w:rPr>
        <w:t>ed</w:t>
      </w:r>
      <w:r w:rsidRPr="00E7515A">
        <w:rPr>
          <w:rFonts w:ascii="Times New Roman" w:hAnsi="Times New Roman"/>
        </w:rPr>
        <w:t xml:space="preserve"> discussion o</w:t>
      </w:r>
      <w:r w:rsidR="00E653E4" w:rsidRPr="00E7515A">
        <w:rPr>
          <w:rFonts w:ascii="Times New Roman" w:hAnsi="Times New Roman"/>
        </w:rPr>
        <w:t>f</w:t>
      </w:r>
      <w:r w:rsidRPr="00E7515A">
        <w:rPr>
          <w:rFonts w:ascii="Times New Roman" w:hAnsi="Times New Roman"/>
        </w:rPr>
        <w:t xml:space="preserve"> the problem of VAT on financial services</w:t>
      </w:r>
      <w:r w:rsidR="00E653E4" w:rsidRPr="00E7515A">
        <w:rPr>
          <w:rFonts w:ascii="Times New Roman" w:hAnsi="Times New Roman"/>
        </w:rPr>
        <w:t>,</w:t>
      </w:r>
      <w:r w:rsidRPr="00E7515A">
        <w:rPr>
          <w:rFonts w:ascii="Times New Roman" w:hAnsi="Times New Roman"/>
        </w:rPr>
        <w:t xml:space="preserve"> arguing that around two</w:t>
      </w:r>
      <w:r w:rsidR="001C2B81" w:rsidRPr="00E7515A">
        <w:rPr>
          <w:rFonts w:ascii="Times New Roman" w:hAnsi="Times New Roman"/>
        </w:rPr>
        <w:t>-</w:t>
      </w:r>
      <w:r w:rsidRPr="00E7515A">
        <w:rPr>
          <w:rFonts w:ascii="Times New Roman" w:hAnsi="Times New Roman"/>
        </w:rPr>
        <w:t>thirds of all financial services are margin</w:t>
      </w:r>
      <w:r w:rsidR="00E653E4" w:rsidRPr="00E7515A">
        <w:rPr>
          <w:rFonts w:ascii="Times New Roman" w:hAnsi="Times New Roman"/>
        </w:rPr>
        <w:t>-</w:t>
      </w:r>
      <w:r w:rsidRPr="00E7515A">
        <w:rPr>
          <w:rFonts w:ascii="Times New Roman" w:hAnsi="Times New Roman"/>
        </w:rPr>
        <w:t>based</w:t>
      </w:r>
      <w:r w:rsidR="00E653E4" w:rsidRPr="00E7515A">
        <w:rPr>
          <w:rFonts w:ascii="Times New Roman" w:hAnsi="Times New Roman"/>
        </w:rPr>
        <w:t>,</w:t>
      </w:r>
      <w:r w:rsidRPr="00E7515A">
        <w:rPr>
          <w:rFonts w:ascii="Times New Roman" w:hAnsi="Times New Roman"/>
        </w:rPr>
        <w:t xml:space="preserve"> which makes the implementation of the invoice</w:t>
      </w:r>
      <w:r w:rsidR="001C2B81" w:rsidRPr="00E7515A">
        <w:rPr>
          <w:rFonts w:ascii="Times New Roman" w:hAnsi="Times New Roman"/>
        </w:rPr>
        <w:t>-</w:t>
      </w:r>
      <w:r w:rsidRPr="00E7515A">
        <w:rPr>
          <w:rFonts w:ascii="Times New Roman" w:hAnsi="Times New Roman"/>
        </w:rPr>
        <w:t xml:space="preserve">credit VAT system very difficult in this respect. Nevertheless, this difficulty seems to be surmountable. For instance, in Germany, </w:t>
      </w:r>
      <w:r w:rsidR="006E40CB" w:rsidRPr="00E7515A">
        <w:rPr>
          <w:rFonts w:ascii="Times New Roman" w:hAnsi="Times New Roman"/>
        </w:rPr>
        <w:t>where</w:t>
      </w:r>
      <w:r w:rsidRPr="00E7515A">
        <w:rPr>
          <w:rFonts w:ascii="Times New Roman" w:hAnsi="Times New Roman"/>
        </w:rPr>
        <w:t xml:space="preserve"> the granting of loans is subject to VAT under the option to tax, an acceptable methodology seems to have been found to tax these margin</w:t>
      </w:r>
      <w:r w:rsidR="001C2B81" w:rsidRPr="00E7515A">
        <w:rPr>
          <w:rFonts w:ascii="Times New Roman" w:hAnsi="Times New Roman"/>
        </w:rPr>
        <w:t>-</w:t>
      </w:r>
      <w:r w:rsidRPr="00E7515A">
        <w:rPr>
          <w:rFonts w:ascii="Times New Roman" w:hAnsi="Times New Roman"/>
        </w:rPr>
        <w:t>based operations</w:t>
      </w:r>
      <w:r w:rsidR="00D1089E" w:rsidRPr="00E7515A">
        <w:rPr>
          <w:rFonts w:ascii="Times New Roman" w:hAnsi="Times New Roman"/>
        </w:rPr>
        <w:t>.</w:t>
      </w:r>
      <w:r w:rsidR="00213701" w:rsidRPr="00C06F1B">
        <w:rPr>
          <w:rStyle w:val="FootnoteReference"/>
          <w:rFonts w:ascii="Times New Roman" w:hAnsi="Times New Roman"/>
        </w:rPr>
        <w:footnoteReference w:id="13"/>
      </w:r>
      <w:r w:rsidRPr="00C06F1B">
        <w:rPr>
          <w:rFonts w:ascii="Times New Roman" w:hAnsi="Times New Roman"/>
        </w:rPr>
        <w:t xml:space="preserve"> Yet, the extent to which applying VAT to the financial sector (and its clients) would raise additional tax revenues and</w:t>
      </w:r>
      <w:r w:rsidR="00E653E4" w:rsidRPr="00E7515A">
        <w:rPr>
          <w:rFonts w:ascii="Times New Roman" w:hAnsi="Times New Roman"/>
        </w:rPr>
        <w:t xml:space="preserve">, </w:t>
      </w:r>
      <w:r w:rsidRPr="00E7515A">
        <w:rPr>
          <w:rFonts w:ascii="Times New Roman" w:hAnsi="Times New Roman"/>
        </w:rPr>
        <w:t>consequently</w:t>
      </w:r>
      <w:r w:rsidR="00E653E4" w:rsidRPr="00E7515A">
        <w:rPr>
          <w:rFonts w:ascii="Times New Roman" w:hAnsi="Times New Roman"/>
        </w:rPr>
        <w:t xml:space="preserve">, </w:t>
      </w:r>
      <w:r w:rsidRPr="00E7515A">
        <w:rPr>
          <w:rFonts w:ascii="Times New Roman" w:hAnsi="Times New Roman"/>
        </w:rPr>
        <w:t>the extent to which the exemption constitutes a tax advantage for the financial sector remains an unsettled empirical question. Known as the ‘irrecoverable VAT problem</w:t>
      </w:r>
      <w:r w:rsidR="00E653E4" w:rsidRPr="00E7515A">
        <w:rPr>
          <w:rFonts w:ascii="Times New Roman" w:hAnsi="Times New Roman"/>
        </w:rPr>
        <w:t>’</w:t>
      </w:r>
      <w:r w:rsidRPr="00E7515A">
        <w:rPr>
          <w:rFonts w:ascii="Times New Roman" w:hAnsi="Times New Roman"/>
        </w:rPr>
        <w:t xml:space="preserve">, the exemption means that the financial sector does not charge VAT on most of its output, </w:t>
      </w:r>
      <w:r w:rsidR="00985245" w:rsidRPr="00E7515A">
        <w:rPr>
          <w:rFonts w:ascii="Times New Roman" w:hAnsi="Times New Roman"/>
        </w:rPr>
        <w:t>so</w:t>
      </w:r>
      <w:r w:rsidR="00E653E4" w:rsidRPr="00E7515A">
        <w:rPr>
          <w:rFonts w:ascii="Times New Roman" w:hAnsi="Times New Roman"/>
        </w:rPr>
        <w:t xml:space="preserve"> </w:t>
      </w:r>
      <w:r w:rsidRPr="00E7515A">
        <w:rPr>
          <w:rFonts w:ascii="Times New Roman" w:hAnsi="Times New Roman"/>
        </w:rPr>
        <w:t xml:space="preserve">it cannot deduct the VAT charged on its input. </w:t>
      </w:r>
      <w:r w:rsidR="000517CC" w:rsidRPr="00C06F1B">
        <w:rPr>
          <w:rFonts w:ascii="Times New Roman" w:hAnsi="Times New Roman"/>
        </w:rPr>
        <w:t xml:space="preserve">Estimates by </w:t>
      </w:r>
      <w:proofErr w:type="spellStart"/>
      <w:r w:rsidR="000517CC" w:rsidRPr="00C06F1B">
        <w:rPr>
          <w:rFonts w:ascii="Times New Roman" w:hAnsi="Times New Roman"/>
        </w:rPr>
        <w:t>Genser</w:t>
      </w:r>
      <w:proofErr w:type="spellEnd"/>
      <w:r w:rsidR="000517CC" w:rsidRPr="00C06F1B">
        <w:rPr>
          <w:rFonts w:ascii="Times New Roman" w:hAnsi="Times New Roman"/>
        </w:rPr>
        <w:t xml:space="preserve"> &amp; Winker (1997) and EC (2011) </w:t>
      </w:r>
      <w:r w:rsidRPr="00E7515A">
        <w:rPr>
          <w:rFonts w:ascii="Times New Roman" w:hAnsi="Times New Roman"/>
        </w:rPr>
        <w:t>indicate that</w:t>
      </w:r>
      <w:r w:rsidR="00AF427C" w:rsidRPr="00E7515A">
        <w:rPr>
          <w:rFonts w:ascii="Times New Roman" w:hAnsi="Times New Roman"/>
        </w:rPr>
        <w:t xml:space="preserve"> </w:t>
      </w:r>
      <w:r w:rsidRPr="00E7515A">
        <w:rPr>
          <w:rFonts w:ascii="Times New Roman" w:hAnsi="Times New Roman"/>
        </w:rPr>
        <w:t xml:space="preserve">the VAT exemption of financial services </w:t>
      </w:r>
      <w:r w:rsidR="000517CC" w:rsidRPr="00C06F1B">
        <w:rPr>
          <w:rFonts w:ascii="Times New Roman" w:hAnsi="Times New Roman"/>
        </w:rPr>
        <w:t>will</w:t>
      </w:r>
      <w:r w:rsidRPr="00E7515A">
        <w:rPr>
          <w:rFonts w:ascii="Times New Roman" w:hAnsi="Times New Roman"/>
        </w:rPr>
        <w:t xml:space="preserve"> be an advantage for the financial sector</w:t>
      </w:r>
      <w:r w:rsidR="0017236A" w:rsidRPr="00E7515A">
        <w:rPr>
          <w:rFonts w:ascii="Times New Roman" w:hAnsi="Times New Roman"/>
        </w:rPr>
        <w:t xml:space="preserve">. </w:t>
      </w:r>
      <w:r w:rsidR="00985245" w:rsidRPr="00E7515A">
        <w:rPr>
          <w:rFonts w:ascii="Times New Roman" w:hAnsi="Times New Roman"/>
        </w:rPr>
        <w:t>The</w:t>
      </w:r>
      <w:r w:rsidR="00E653E4" w:rsidRPr="00E7515A">
        <w:rPr>
          <w:rFonts w:ascii="Times New Roman" w:hAnsi="Times New Roman"/>
        </w:rPr>
        <w:t xml:space="preserve"> </w:t>
      </w:r>
      <w:r w:rsidRPr="00E7515A">
        <w:rPr>
          <w:rFonts w:ascii="Times New Roman" w:hAnsi="Times New Roman"/>
        </w:rPr>
        <w:t>E</w:t>
      </w:r>
      <w:r w:rsidR="0020479F" w:rsidRPr="00E7515A">
        <w:rPr>
          <w:rFonts w:ascii="Times New Roman" w:hAnsi="Times New Roman"/>
        </w:rPr>
        <w:t>C</w:t>
      </w:r>
      <w:r w:rsidRPr="00E7515A">
        <w:rPr>
          <w:rFonts w:ascii="Times New Roman" w:hAnsi="Times New Roman"/>
        </w:rPr>
        <w:t xml:space="preserve"> (2011) </w:t>
      </w:r>
      <w:r w:rsidR="00F13878" w:rsidRPr="00E7515A">
        <w:rPr>
          <w:rFonts w:ascii="Times New Roman" w:hAnsi="Times New Roman"/>
        </w:rPr>
        <w:t xml:space="preserve">report </w:t>
      </w:r>
      <w:r w:rsidRPr="00E7515A">
        <w:rPr>
          <w:rFonts w:ascii="Times New Roman" w:hAnsi="Times New Roman"/>
        </w:rPr>
        <w:t>note</w:t>
      </w:r>
      <w:r w:rsidR="00E653E4" w:rsidRPr="00E7515A">
        <w:rPr>
          <w:rFonts w:ascii="Times New Roman" w:hAnsi="Times New Roman"/>
        </w:rPr>
        <w:t>s</w:t>
      </w:r>
      <w:r w:rsidRPr="00E7515A">
        <w:rPr>
          <w:rFonts w:ascii="Times New Roman" w:hAnsi="Times New Roman"/>
        </w:rPr>
        <w:t xml:space="preserve"> that the results do not change significantly when other estimates for the irrecoverable VAT based on sector account data are used. </w:t>
      </w:r>
      <w:r w:rsidR="00D21582" w:rsidRPr="00C06F1B">
        <w:rPr>
          <w:rFonts w:ascii="Times New Roman" w:hAnsi="Times New Roman"/>
        </w:rPr>
        <w:t>See Table</w:t>
      </w:r>
      <w:r w:rsidR="003D1469" w:rsidRPr="00E7515A">
        <w:rPr>
          <w:rFonts w:ascii="Times New Roman" w:hAnsi="Times New Roman"/>
        </w:rPr>
        <w:t xml:space="preserve"> </w:t>
      </w:r>
      <w:r w:rsidR="00D21582" w:rsidRPr="00E7515A">
        <w:rPr>
          <w:rFonts w:ascii="Times New Roman" w:hAnsi="Times New Roman"/>
        </w:rPr>
        <w:t xml:space="preserve">4 </w:t>
      </w:r>
      <w:r w:rsidR="003D1469" w:rsidRPr="00E7515A">
        <w:rPr>
          <w:rFonts w:ascii="Times New Roman" w:hAnsi="Times New Roman"/>
        </w:rPr>
        <w:t>in the Appendix for detail.</w:t>
      </w:r>
    </w:p>
    <w:p w14:paraId="45088B82" w14:textId="72E4847E" w:rsidR="002B0FF9" w:rsidRPr="00C06F1B" w:rsidRDefault="002B0FF9" w:rsidP="002B0FF9">
      <w:pPr>
        <w:spacing w:line="360" w:lineRule="auto"/>
        <w:jc w:val="both"/>
        <w:rPr>
          <w:rFonts w:ascii="Times New Roman" w:hAnsi="Times New Roman"/>
        </w:rPr>
      </w:pPr>
      <w:r w:rsidRPr="00E7515A">
        <w:rPr>
          <w:rFonts w:ascii="Times New Roman" w:hAnsi="Times New Roman"/>
        </w:rPr>
        <w:t xml:space="preserve">Although the inclusion of the financial sector in VAT would indeed lead to price changes, such changes should be seen as the correction to an existing distortion rather than a new distortion. The reason </w:t>
      </w:r>
      <w:r w:rsidR="005940C8" w:rsidRPr="00E7515A">
        <w:rPr>
          <w:rFonts w:ascii="Times New Roman" w:hAnsi="Times New Roman"/>
        </w:rPr>
        <w:t xml:space="preserve">is </w:t>
      </w:r>
      <w:r w:rsidRPr="00E7515A">
        <w:rPr>
          <w:rFonts w:ascii="Times New Roman" w:hAnsi="Times New Roman"/>
        </w:rPr>
        <w:t xml:space="preserve">that next to the question of whether VAT on financial services would raise revenues, there is an economic distortion arising from the current VAT exemption. While services provided to households are too cheap, services to businesses are more expensive, leading to a misallocation of the consumption of financial services. Moreover, it can be deduced (following IMF, 2010), that the net impact of exemption is likely to be less tax revenue and a larger financial sector. Evidence suggests that revenue would be increased by </w:t>
      </w:r>
      <w:r w:rsidR="005940C8" w:rsidRPr="00E7515A">
        <w:rPr>
          <w:rFonts w:ascii="Times New Roman" w:hAnsi="Times New Roman"/>
        </w:rPr>
        <w:t>only taxing</w:t>
      </w:r>
      <w:r w:rsidR="00F13878" w:rsidRPr="00E7515A">
        <w:rPr>
          <w:rFonts w:ascii="Times New Roman" w:hAnsi="Times New Roman"/>
        </w:rPr>
        <w:t xml:space="preserve"> the</w:t>
      </w:r>
      <w:r w:rsidRPr="00E7515A">
        <w:rPr>
          <w:rFonts w:ascii="Times New Roman" w:hAnsi="Times New Roman"/>
        </w:rPr>
        <w:t xml:space="preserve"> final use of financial services at the standard VAT rate (Huizinga, 2002; </w:t>
      </w:r>
      <w:proofErr w:type="spellStart"/>
      <w:r w:rsidRPr="00E7515A">
        <w:rPr>
          <w:rFonts w:ascii="Times New Roman" w:hAnsi="Times New Roman"/>
        </w:rPr>
        <w:t>Genser</w:t>
      </w:r>
      <w:proofErr w:type="spellEnd"/>
      <w:r w:rsidRPr="00E7515A">
        <w:rPr>
          <w:rFonts w:ascii="Times New Roman" w:hAnsi="Times New Roman"/>
        </w:rPr>
        <w:t xml:space="preserve"> </w:t>
      </w:r>
      <w:r w:rsidR="0020479F" w:rsidRPr="00E7515A">
        <w:rPr>
          <w:rFonts w:ascii="Times New Roman" w:hAnsi="Times New Roman"/>
        </w:rPr>
        <w:t>&amp;</w:t>
      </w:r>
      <w:r w:rsidRPr="00E7515A">
        <w:rPr>
          <w:rFonts w:ascii="Times New Roman" w:hAnsi="Times New Roman"/>
        </w:rPr>
        <w:t xml:space="preserve"> Winkler, 1997).</w:t>
      </w:r>
      <w:r w:rsidR="00F13878" w:rsidRPr="00E7515A">
        <w:rPr>
          <w:rFonts w:ascii="Times New Roman" w:hAnsi="Times New Roman"/>
        </w:rPr>
        <w:t xml:space="preserve"> </w:t>
      </w:r>
      <w:r w:rsidR="005940C8" w:rsidRPr="00E7515A">
        <w:rPr>
          <w:rFonts w:ascii="Times New Roman" w:hAnsi="Times New Roman"/>
        </w:rPr>
        <w:t>At the same time</w:t>
      </w:r>
      <w:r w:rsidRPr="00E7515A">
        <w:rPr>
          <w:rFonts w:ascii="Times New Roman" w:hAnsi="Times New Roman"/>
        </w:rPr>
        <w:t xml:space="preserve">, the effect on the size of the sector </w:t>
      </w:r>
      <w:r w:rsidRPr="00E7515A">
        <w:rPr>
          <w:rFonts w:ascii="Times New Roman" w:hAnsi="Times New Roman"/>
        </w:rPr>
        <w:lastRenderedPageBreak/>
        <w:t xml:space="preserve">depends on </w:t>
      </w:r>
      <w:r w:rsidR="005940C8" w:rsidRPr="00E7515A">
        <w:rPr>
          <w:rFonts w:ascii="Times New Roman" w:hAnsi="Times New Roman"/>
        </w:rPr>
        <w:t xml:space="preserve">the </w:t>
      </w:r>
      <w:r w:rsidRPr="00E7515A">
        <w:rPr>
          <w:rFonts w:ascii="Times New Roman" w:hAnsi="Times New Roman"/>
        </w:rPr>
        <w:t>relative price sensitivities of business and final use, even though the same evidence creates some presumption that the exemption of many financial services under current VAT result</w:t>
      </w:r>
      <w:r w:rsidR="005940C8" w:rsidRPr="00E7515A">
        <w:rPr>
          <w:rFonts w:ascii="Times New Roman" w:hAnsi="Times New Roman"/>
        </w:rPr>
        <w:t>s</w:t>
      </w:r>
      <w:r w:rsidRPr="00E7515A">
        <w:rPr>
          <w:rFonts w:ascii="Times New Roman" w:hAnsi="Times New Roman"/>
        </w:rPr>
        <w:t xml:space="preserve"> in the financial sector being larger than it would be under a perfectly functioning, single</w:t>
      </w:r>
      <w:r w:rsidR="001C2B81" w:rsidRPr="00E7515A">
        <w:rPr>
          <w:rFonts w:ascii="Times New Roman" w:hAnsi="Times New Roman"/>
        </w:rPr>
        <w:t xml:space="preserve"> </w:t>
      </w:r>
      <w:r w:rsidRPr="00C06F1B">
        <w:rPr>
          <w:rFonts w:ascii="Times New Roman" w:hAnsi="Times New Roman"/>
        </w:rPr>
        <w:t xml:space="preserve">rate VAT. </w:t>
      </w:r>
    </w:p>
    <w:p w14:paraId="73DCDC28" w14:textId="21A3321B" w:rsidR="002B0FF9" w:rsidRPr="00C06F1B" w:rsidRDefault="003D1469" w:rsidP="002B0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r w:rsidRPr="00C06F1B">
        <w:rPr>
          <w:rFonts w:ascii="Times New Roman" w:hAnsi="Times New Roman"/>
        </w:rPr>
        <w:t xml:space="preserve">However, </w:t>
      </w:r>
      <w:proofErr w:type="spellStart"/>
      <w:r w:rsidR="002B0FF9" w:rsidRPr="00E7515A">
        <w:rPr>
          <w:rFonts w:ascii="Times New Roman" w:hAnsi="Times New Roman"/>
        </w:rPr>
        <w:t>Grubert</w:t>
      </w:r>
      <w:proofErr w:type="spellEnd"/>
      <w:r w:rsidR="002B0FF9" w:rsidRPr="00E7515A">
        <w:rPr>
          <w:rFonts w:ascii="Times New Roman" w:hAnsi="Times New Roman"/>
        </w:rPr>
        <w:t xml:space="preserve"> </w:t>
      </w:r>
      <w:r w:rsidR="0020479F" w:rsidRPr="00E7515A">
        <w:rPr>
          <w:rFonts w:ascii="Times New Roman" w:hAnsi="Times New Roman"/>
        </w:rPr>
        <w:t>&amp;</w:t>
      </w:r>
      <w:r w:rsidR="002B0FF9" w:rsidRPr="00E7515A">
        <w:rPr>
          <w:rFonts w:ascii="Times New Roman" w:hAnsi="Times New Roman"/>
        </w:rPr>
        <w:t xml:space="preserve"> Mackie (2000) argue that financial services are not purchased for their consumption value, but rather to facilitate final consumption and should not be taxed. </w:t>
      </w:r>
      <w:proofErr w:type="spellStart"/>
      <w:r w:rsidR="002B0FF9" w:rsidRPr="00E7515A">
        <w:rPr>
          <w:rFonts w:ascii="Times New Roman" w:hAnsi="Times New Roman"/>
        </w:rPr>
        <w:t>Boadway</w:t>
      </w:r>
      <w:proofErr w:type="spellEnd"/>
      <w:r w:rsidR="002B0FF9" w:rsidRPr="00E7515A">
        <w:rPr>
          <w:rFonts w:ascii="Times New Roman" w:hAnsi="Times New Roman"/>
        </w:rPr>
        <w:t xml:space="preserve"> </w:t>
      </w:r>
      <w:r w:rsidR="0020479F" w:rsidRPr="00E7515A">
        <w:rPr>
          <w:rFonts w:ascii="Times New Roman" w:hAnsi="Times New Roman"/>
        </w:rPr>
        <w:t>&amp;</w:t>
      </w:r>
      <w:r w:rsidR="002B0FF9" w:rsidRPr="00E7515A">
        <w:rPr>
          <w:rFonts w:ascii="Times New Roman" w:hAnsi="Times New Roman"/>
        </w:rPr>
        <w:t xml:space="preserve"> Keen (2003) argue that </w:t>
      </w:r>
      <w:r w:rsidR="00F028E3" w:rsidRPr="00E7515A">
        <w:rPr>
          <w:rFonts w:ascii="Times New Roman" w:hAnsi="Times New Roman"/>
        </w:rPr>
        <w:t xml:space="preserve">many goods </w:t>
      </w:r>
      <w:r w:rsidR="0017236A" w:rsidRPr="00E7515A">
        <w:rPr>
          <w:rFonts w:ascii="Times New Roman" w:hAnsi="Times New Roman"/>
        </w:rPr>
        <w:t xml:space="preserve">and services </w:t>
      </w:r>
      <w:r w:rsidR="00F028E3" w:rsidRPr="00E7515A">
        <w:rPr>
          <w:rFonts w:ascii="Times New Roman" w:hAnsi="Times New Roman"/>
        </w:rPr>
        <w:t>that one would question</w:t>
      </w:r>
      <w:r w:rsidR="002B0FF9" w:rsidRPr="00E7515A">
        <w:rPr>
          <w:rFonts w:ascii="Times New Roman" w:hAnsi="Times New Roman"/>
        </w:rPr>
        <w:t xml:space="preserve"> should be taxed </w:t>
      </w:r>
      <w:r w:rsidR="00F13878" w:rsidRPr="00E7515A">
        <w:rPr>
          <w:rFonts w:ascii="Times New Roman" w:hAnsi="Times New Roman"/>
        </w:rPr>
        <w:t>usin</w:t>
      </w:r>
      <w:r w:rsidR="00386AD1" w:rsidRPr="00E7515A">
        <w:rPr>
          <w:rFonts w:ascii="Times New Roman" w:hAnsi="Times New Roman"/>
        </w:rPr>
        <w:t>g</w:t>
      </w:r>
      <w:r w:rsidR="002B0FF9" w:rsidRPr="00E7515A">
        <w:rPr>
          <w:rFonts w:ascii="Times New Roman" w:hAnsi="Times New Roman"/>
        </w:rPr>
        <w:t xml:space="preserve"> a GST</w:t>
      </w:r>
      <w:r w:rsidR="00386AD1" w:rsidRPr="00E7515A">
        <w:rPr>
          <w:rFonts w:ascii="Times New Roman" w:hAnsi="Times New Roman"/>
        </w:rPr>
        <w:t>. They</w:t>
      </w:r>
      <w:r w:rsidR="00985245" w:rsidRPr="00E7515A">
        <w:rPr>
          <w:rFonts w:ascii="Times New Roman" w:hAnsi="Times New Roman"/>
        </w:rPr>
        <w:t xml:space="preserve"> have a similar characteristic</w:t>
      </w:r>
      <w:r w:rsidR="00386AD1" w:rsidRPr="00E7515A">
        <w:rPr>
          <w:rFonts w:ascii="Times New Roman" w:hAnsi="Times New Roman"/>
        </w:rPr>
        <w:t xml:space="preserve"> </w:t>
      </w:r>
      <w:r w:rsidR="0017236A" w:rsidRPr="00E7515A">
        <w:rPr>
          <w:rFonts w:ascii="Times New Roman" w:hAnsi="Times New Roman"/>
        </w:rPr>
        <w:t xml:space="preserve">because </w:t>
      </w:r>
      <w:r w:rsidR="00985245" w:rsidRPr="00E7515A">
        <w:rPr>
          <w:rFonts w:ascii="Times New Roman" w:hAnsi="Times New Roman"/>
        </w:rPr>
        <w:t>they are a means to an end rather than ends in themselves, and are therefore intermediate transactions.</w:t>
      </w:r>
      <w:r w:rsidR="002B0FF9" w:rsidRPr="00E7515A">
        <w:rPr>
          <w:rFonts w:ascii="Times New Roman" w:hAnsi="Times New Roman"/>
        </w:rPr>
        <w:t xml:space="preserve"> Indeed, virtually every good may be thought of in those terms, in the sense that they are inputs into some notion of well-being</w:t>
      </w:r>
      <w:r w:rsidR="00386AD1" w:rsidRPr="00E7515A">
        <w:rPr>
          <w:rFonts w:ascii="Times New Roman" w:hAnsi="Times New Roman"/>
        </w:rPr>
        <w:t xml:space="preserve"> or production process, but the idea of VAT is to concentrate on the value added</w:t>
      </w:r>
      <w:r w:rsidR="002B0FF9" w:rsidRPr="00E7515A">
        <w:rPr>
          <w:rFonts w:ascii="Times New Roman" w:hAnsi="Times New Roman"/>
        </w:rPr>
        <w:t xml:space="preserve">. As per </w:t>
      </w:r>
      <w:r w:rsidR="00AB2122" w:rsidRPr="00E7515A">
        <w:rPr>
          <w:rFonts w:ascii="Times New Roman" w:hAnsi="Times New Roman"/>
        </w:rPr>
        <w:t xml:space="preserve">the </w:t>
      </w:r>
      <w:proofErr w:type="spellStart"/>
      <w:r w:rsidR="002B0FF9" w:rsidRPr="00E7515A">
        <w:rPr>
          <w:rFonts w:ascii="Times New Roman" w:hAnsi="Times New Roman"/>
        </w:rPr>
        <w:t>Corlett</w:t>
      </w:r>
      <w:proofErr w:type="spellEnd"/>
      <w:r w:rsidR="002B0FF9" w:rsidRPr="00E7515A">
        <w:rPr>
          <w:rFonts w:ascii="Times New Roman" w:hAnsi="Times New Roman"/>
        </w:rPr>
        <w:t xml:space="preserve">-Hague (1953) </w:t>
      </w:r>
      <w:r w:rsidR="00386AD1" w:rsidRPr="00E7515A">
        <w:rPr>
          <w:rFonts w:ascii="Times New Roman" w:hAnsi="Times New Roman"/>
        </w:rPr>
        <w:t>r</w:t>
      </w:r>
      <w:r w:rsidR="002B0FF9" w:rsidRPr="00E7515A">
        <w:rPr>
          <w:rFonts w:ascii="Times New Roman" w:hAnsi="Times New Roman"/>
        </w:rPr>
        <w:t>ule, to minimize the costs of distortions caused by the tax system, goods that are more complementary with the consumption of leisure</w:t>
      </w:r>
      <w:r w:rsidRPr="00C06F1B">
        <w:rPr>
          <w:rFonts w:ascii="Times New Roman" w:hAnsi="Times New Roman"/>
        </w:rPr>
        <w:t>,</w:t>
      </w:r>
      <w:r w:rsidR="002B0FF9" w:rsidRPr="00E7515A">
        <w:rPr>
          <w:rFonts w:ascii="Times New Roman" w:hAnsi="Times New Roman"/>
        </w:rPr>
        <w:t xml:space="preserve"> which is generally viewed as being non-taxable</w:t>
      </w:r>
      <w:r w:rsidRPr="00C06F1B">
        <w:rPr>
          <w:rFonts w:ascii="Times New Roman" w:hAnsi="Times New Roman"/>
        </w:rPr>
        <w:t>,</w:t>
      </w:r>
      <w:r w:rsidR="002B0FF9" w:rsidRPr="00E7515A">
        <w:rPr>
          <w:rFonts w:ascii="Times New Roman" w:hAnsi="Times New Roman"/>
        </w:rPr>
        <w:t xml:space="preserve"> should be taxed at higher rates. Since financial s</w:t>
      </w:r>
      <w:r w:rsidR="00E36758" w:rsidRPr="00E7515A">
        <w:rPr>
          <w:rFonts w:ascii="Times New Roman" w:hAnsi="Times New Roman"/>
        </w:rPr>
        <w:t>ervices are exempt from VAT, they</w:t>
      </w:r>
      <w:r w:rsidR="002B0FF9" w:rsidRPr="00E7515A">
        <w:rPr>
          <w:rFonts w:ascii="Times New Roman" w:hAnsi="Times New Roman"/>
        </w:rPr>
        <w:t xml:space="preserve"> are </w:t>
      </w:r>
      <w:r w:rsidR="00386AD1" w:rsidRPr="00E7515A">
        <w:rPr>
          <w:rFonts w:ascii="Times New Roman" w:hAnsi="Times New Roman"/>
        </w:rPr>
        <w:t xml:space="preserve">implicitly </w:t>
      </w:r>
      <w:r w:rsidR="002B0FF9" w:rsidRPr="00E7515A">
        <w:rPr>
          <w:rFonts w:ascii="Times New Roman" w:hAnsi="Times New Roman"/>
        </w:rPr>
        <w:t>considered equivalent to a necessity</w:t>
      </w:r>
      <w:r w:rsidR="00A67296" w:rsidRPr="00E7515A">
        <w:rPr>
          <w:rFonts w:ascii="Times New Roman" w:hAnsi="Times New Roman"/>
        </w:rPr>
        <w:t>,</w:t>
      </w:r>
      <w:r w:rsidR="002B0FF9" w:rsidRPr="00E7515A">
        <w:rPr>
          <w:rFonts w:ascii="Times New Roman" w:hAnsi="Times New Roman"/>
        </w:rPr>
        <w:t xml:space="preserve"> </w:t>
      </w:r>
      <w:r w:rsidR="0017236A" w:rsidRPr="00E7515A">
        <w:rPr>
          <w:rFonts w:ascii="Times New Roman" w:hAnsi="Times New Roman"/>
        </w:rPr>
        <w:t xml:space="preserve">with a view not to pass on </w:t>
      </w:r>
      <w:r w:rsidR="00985245" w:rsidRPr="00E7515A">
        <w:rPr>
          <w:rFonts w:ascii="Times New Roman" w:hAnsi="Times New Roman"/>
        </w:rPr>
        <w:t xml:space="preserve">the tax burden </w:t>
      </w:r>
      <w:r w:rsidR="0017236A" w:rsidRPr="00E7515A">
        <w:rPr>
          <w:rFonts w:ascii="Times New Roman" w:hAnsi="Times New Roman"/>
        </w:rPr>
        <w:t>t</w:t>
      </w:r>
      <w:r w:rsidR="002B0FF9" w:rsidRPr="00E7515A">
        <w:rPr>
          <w:rFonts w:ascii="Times New Roman" w:hAnsi="Times New Roman"/>
        </w:rPr>
        <w:t xml:space="preserve">o the final consumers. In sum, VAT exemption results in </w:t>
      </w:r>
      <w:r w:rsidR="00AB2122" w:rsidRPr="00E7515A">
        <w:rPr>
          <w:rFonts w:ascii="Times New Roman" w:hAnsi="Times New Roman"/>
        </w:rPr>
        <w:t>the</w:t>
      </w:r>
      <w:r w:rsidR="002B0FF9" w:rsidRPr="00E7515A">
        <w:rPr>
          <w:rFonts w:ascii="Times New Roman" w:hAnsi="Times New Roman"/>
        </w:rPr>
        <w:t xml:space="preserve"> preferential treatment of the financial sector compared with other sectors of the economy</w:t>
      </w:r>
      <w:r w:rsidR="00AB2122" w:rsidRPr="00E7515A">
        <w:rPr>
          <w:rFonts w:ascii="Times New Roman" w:hAnsi="Times New Roman"/>
        </w:rPr>
        <w:t>,</w:t>
      </w:r>
      <w:r w:rsidR="002B0FF9" w:rsidRPr="00E7515A">
        <w:rPr>
          <w:rFonts w:ascii="Times New Roman" w:hAnsi="Times New Roman"/>
        </w:rPr>
        <w:t xml:space="preserve"> as well as in distortions of prices.</w:t>
      </w:r>
    </w:p>
    <w:p w14:paraId="7AF6D3E1" w14:textId="77777777" w:rsidR="006204EF" w:rsidRPr="00C06F1B" w:rsidRDefault="006204EF" w:rsidP="002B0F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p>
    <w:p w14:paraId="6A2B4790" w14:textId="204D4BF9" w:rsidR="002B0FF9" w:rsidRPr="00C06F1B" w:rsidRDefault="002B0FF9" w:rsidP="002B0FF9">
      <w:pPr>
        <w:pStyle w:val="CM25"/>
        <w:spacing w:after="402" w:line="403" w:lineRule="atLeast"/>
        <w:jc w:val="both"/>
        <w:rPr>
          <w:rFonts w:ascii="Times New Roman" w:hAnsi="Times New Roman"/>
          <w:sz w:val="22"/>
          <w:szCs w:val="22"/>
        </w:rPr>
      </w:pPr>
      <w:r w:rsidRPr="00E7515A">
        <w:rPr>
          <w:rFonts w:ascii="Times New Roman" w:hAnsi="Times New Roman"/>
          <w:sz w:val="22"/>
          <w:szCs w:val="22"/>
        </w:rPr>
        <w:t xml:space="preserve">New Zealand and Australia have been put </w:t>
      </w:r>
      <w:r w:rsidR="00AB2122" w:rsidRPr="00E7515A">
        <w:rPr>
          <w:rFonts w:ascii="Times New Roman" w:hAnsi="Times New Roman"/>
          <w:sz w:val="22"/>
          <w:szCs w:val="22"/>
        </w:rPr>
        <w:t>forward as</w:t>
      </w:r>
      <w:r w:rsidRPr="00E7515A">
        <w:rPr>
          <w:rFonts w:ascii="Times New Roman" w:hAnsi="Times New Roman"/>
          <w:sz w:val="22"/>
          <w:szCs w:val="22"/>
        </w:rPr>
        <w:t xml:space="preserve"> </w:t>
      </w:r>
      <w:r w:rsidR="00AB2122" w:rsidRPr="00E7515A">
        <w:rPr>
          <w:rFonts w:ascii="Times New Roman" w:hAnsi="Times New Roman"/>
          <w:sz w:val="22"/>
          <w:szCs w:val="22"/>
        </w:rPr>
        <w:t xml:space="preserve">a </w:t>
      </w:r>
      <w:r w:rsidRPr="00E7515A">
        <w:rPr>
          <w:rFonts w:ascii="Times New Roman" w:hAnsi="Times New Roman"/>
          <w:sz w:val="22"/>
          <w:szCs w:val="22"/>
        </w:rPr>
        <w:t>more efficient and a fair model</w:t>
      </w:r>
      <w:r w:rsidR="003D1469" w:rsidRPr="00C06F1B">
        <w:rPr>
          <w:rFonts w:ascii="Times New Roman" w:hAnsi="Times New Roman"/>
          <w:sz w:val="22"/>
          <w:szCs w:val="22"/>
        </w:rPr>
        <w:t xml:space="preserve"> that</w:t>
      </w:r>
      <w:r w:rsidRPr="00E7515A">
        <w:rPr>
          <w:rFonts w:ascii="Times New Roman" w:hAnsi="Times New Roman"/>
          <w:sz w:val="22"/>
          <w:szCs w:val="22"/>
        </w:rPr>
        <w:t xml:space="preserve"> seem</w:t>
      </w:r>
      <w:r w:rsidR="00AB2122" w:rsidRPr="00E7515A">
        <w:rPr>
          <w:rFonts w:ascii="Times New Roman" w:hAnsi="Times New Roman"/>
          <w:sz w:val="22"/>
          <w:szCs w:val="22"/>
        </w:rPr>
        <w:t>s</w:t>
      </w:r>
      <w:r w:rsidRPr="00E7515A">
        <w:rPr>
          <w:rFonts w:ascii="Times New Roman" w:hAnsi="Times New Roman"/>
          <w:sz w:val="22"/>
          <w:szCs w:val="22"/>
        </w:rPr>
        <w:t xml:space="preserve"> to avoid some of the potential distortive impacts of the implementation of VAT. New Zealand introduced a uniform GST in 1986 </w:t>
      </w:r>
      <w:r w:rsidR="00C90D6B" w:rsidRPr="00E7515A">
        <w:rPr>
          <w:rFonts w:ascii="Times New Roman" w:hAnsi="Times New Roman"/>
          <w:sz w:val="22"/>
          <w:szCs w:val="22"/>
        </w:rPr>
        <w:t xml:space="preserve">(VAT is called GST in New Zealand) </w:t>
      </w:r>
      <w:r w:rsidRPr="00E7515A">
        <w:rPr>
          <w:rFonts w:ascii="Times New Roman" w:hAnsi="Times New Roman"/>
          <w:sz w:val="22"/>
          <w:szCs w:val="22"/>
        </w:rPr>
        <w:t xml:space="preserve">and considered it efficient </w:t>
      </w:r>
      <w:r w:rsidR="00FA36E5" w:rsidRPr="00E7515A">
        <w:rPr>
          <w:rFonts w:ascii="Times New Roman" w:hAnsi="Times New Roman"/>
          <w:sz w:val="22"/>
          <w:szCs w:val="22"/>
        </w:rPr>
        <w:t xml:space="preserve">because of relatively fewer exemptions </w:t>
      </w:r>
      <w:r w:rsidR="00AB2122" w:rsidRPr="00E7515A">
        <w:rPr>
          <w:rFonts w:ascii="Times New Roman" w:hAnsi="Times New Roman"/>
          <w:sz w:val="22"/>
          <w:szCs w:val="22"/>
        </w:rPr>
        <w:t>than</w:t>
      </w:r>
      <w:r w:rsidRPr="00E7515A">
        <w:rPr>
          <w:rFonts w:ascii="Times New Roman" w:hAnsi="Times New Roman"/>
          <w:sz w:val="22"/>
          <w:szCs w:val="22"/>
        </w:rPr>
        <w:t xml:space="preserve"> in the UK and the EU. Dickson </w:t>
      </w:r>
      <w:r w:rsidR="0020479F" w:rsidRPr="00E7515A">
        <w:rPr>
          <w:rFonts w:ascii="Times New Roman" w:hAnsi="Times New Roman"/>
          <w:sz w:val="22"/>
          <w:szCs w:val="22"/>
        </w:rPr>
        <w:t>&amp;</w:t>
      </w:r>
      <w:r w:rsidRPr="00E7515A">
        <w:rPr>
          <w:rFonts w:ascii="Times New Roman" w:hAnsi="Times New Roman"/>
          <w:sz w:val="22"/>
          <w:szCs w:val="22"/>
        </w:rPr>
        <w:t xml:space="preserve"> White (2012) describe the compliance and administrative costs of GST </w:t>
      </w:r>
      <w:r w:rsidR="00AB2122" w:rsidRPr="00E7515A">
        <w:rPr>
          <w:rFonts w:ascii="Times New Roman" w:hAnsi="Times New Roman"/>
          <w:sz w:val="22"/>
          <w:szCs w:val="22"/>
        </w:rPr>
        <w:t xml:space="preserve">as </w:t>
      </w:r>
      <w:r w:rsidRPr="00E7515A">
        <w:rPr>
          <w:rFonts w:ascii="Times New Roman" w:hAnsi="Times New Roman"/>
          <w:sz w:val="22"/>
          <w:szCs w:val="22"/>
        </w:rPr>
        <w:t>regressive</w:t>
      </w:r>
      <w:r w:rsidR="00AB2122" w:rsidRPr="00E7515A">
        <w:rPr>
          <w:rFonts w:ascii="Times New Roman" w:hAnsi="Times New Roman"/>
          <w:sz w:val="22"/>
          <w:szCs w:val="22"/>
        </w:rPr>
        <w:t>;</w:t>
      </w:r>
      <w:r w:rsidRPr="00E7515A">
        <w:rPr>
          <w:rFonts w:ascii="Times New Roman" w:hAnsi="Times New Roman"/>
          <w:sz w:val="22"/>
          <w:szCs w:val="22"/>
        </w:rPr>
        <w:t xml:space="preserve"> however, relief to the poor strata of society </w:t>
      </w:r>
      <w:r w:rsidR="00AB2122" w:rsidRPr="00E7515A">
        <w:rPr>
          <w:rFonts w:ascii="Times New Roman" w:hAnsi="Times New Roman"/>
          <w:sz w:val="22"/>
          <w:szCs w:val="22"/>
        </w:rPr>
        <w:t xml:space="preserve">is </w:t>
      </w:r>
      <w:r w:rsidRPr="00E7515A">
        <w:rPr>
          <w:rFonts w:ascii="Times New Roman" w:hAnsi="Times New Roman"/>
          <w:sz w:val="22"/>
          <w:szCs w:val="22"/>
        </w:rPr>
        <w:t xml:space="preserve">provided via the income tax and social welfare systems. As reported by </w:t>
      </w:r>
      <w:proofErr w:type="spellStart"/>
      <w:r w:rsidR="003D1469" w:rsidRPr="00C06F1B">
        <w:rPr>
          <w:rFonts w:ascii="Times New Roman" w:hAnsi="Times New Roman"/>
          <w:sz w:val="22"/>
          <w:szCs w:val="22"/>
        </w:rPr>
        <w:t>PriceWaterHouseCoopers</w:t>
      </w:r>
      <w:proofErr w:type="spellEnd"/>
      <w:r w:rsidR="003D1469" w:rsidRPr="00C06F1B">
        <w:rPr>
          <w:rFonts w:ascii="Times New Roman" w:hAnsi="Times New Roman"/>
          <w:sz w:val="22"/>
          <w:szCs w:val="22"/>
        </w:rPr>
        <w:t xml:space="preserve"> (</w:t>
      </w:r>
      <w:r w:rsidRPr="00E7515A">
        <w:rPr>
          <w:rFonts w:ascii="Times New Roman" w:hAnsi="Times New Roman"/>
          <w:sz w:val="22"/>
          <w:szCs w:val="22"/>
        </w:rPr>
        <w:t>PWC</w:t>
      </w:r>
      <w:r w:rsidR="003D1469" w:rsidRPr="00C06F1B">
        <w:rPr>
          <w:rFonts w:ascii="Times New Roman" w:hAnsi="Times New Roman"/>
          <w:sz w:val="22"/>
          <w:szCs w:val="22"/>
        </w:rPr>
        <w:t>, 2006)</w:t>
      </w:r>
      <w:r w:rsidRPr="00E7515A">
        <w:rPr>
          <w:rFonts w:ascii="Times New Roman" w:hAnsi="Times New Roman"/>
          <w:sz w:val="22"/>
          <w:szCs w:val="22"/>
        </w:rPr>
        <w:t xml:space="preserve">, in New Zealand, although exemption is afforded </w:t>
      </w:r>
      <w:proofErr w:type="gramStart"/>
      <w:r w:rsidRPr="00E7515A">
        <w:rPr>
          <w:rFonts w:ascii="Times New Roman" w:hAnsi="Times New Roman"/>
          <w:sz w:val="22"/>
          <w:szCs w:val="22"/>
        </w:rPr>
        <w:t>to</w:t>
      </w:r>
      <w:proofErr w:type="gramEnd"/>
      <w:r w:rsidRPr="00E7515A">
        <w:rPr>
          <w:rFonts w:ascii="Times New Roman" w:hAnsi="Times New Roman"/>
          <w:sz w:val="22"/>
          <w:szCs w:val="22"/>
        </w:rPr>
        <w:t xml:space="preserve"> many supplies of financial services, these supplies can be zero rated (at the option of the supplier) when made to principally taxable persons</w:t>
      </w:r>
      <w:r w:rsidR="00D1089E" w:rsidRPr="00E7515A">
        <w:rPr>
          <w:rFonts w:ascii="Times New Roman" w:hAnsi="Times New Roman"/>
          <w:sz w:val="22"/>
          <w:szCs w:val="22"/>
        </w:rPr>
        <w:t>.</w:t>
      </w:r>
      <w:r w:rsidRPr="00C06F1B">
        <w:rPr>
          <w:rStyle w:val="FootnoteReference"/>
          <w:rFonts w:ascii="Times New Roman" w:hAnsi="Times New Roman"/>
          <w:sz w:val="22"/>
          <w:szCs w:val="22"/>
        </w:rPr>
        <w:footnoteReference w:id="14"/>
      </w:r>
      <w:r w:rsidRPr="00C06F1B">
        <w:rPr>
          <w:rFonts w:ascii="Times New Roman" w:hAnsi="Times New Roman"/>
          <w:sz w:val="22"/>
          <w:szCs w:val="22"/>
        </w:rPr>
        <w:t xml:space="preserve"> This guarantees that financial service providers can recover a substantial or significant GST incurred on inputs purchased from third</w:t>
      </w:r>
      <w:r w:rsidR="005A474E" w:rsidRPr="00E7515A">
        <w:rPr>
          <w:rFonts w:ascii="Times New Roman" w:hAnsi="Times New Roman"/>
          <w:sz w:val="22"/>
          <w:szCs w:val="22"/>
        </w:rPr>
        <w:t>-</w:t>
      </w:r>
      <w:r w:rsidRPr="00C06F1B">
        <w:rPr>
          <w:rFonts w:ascii="Times New Roman" w:hAnsi="Times New Roman"/>
          <w:sz w:val="22"/>
          <w:szCs w:val="22"/>
        </w:rPr>
        <w:t xml:space="preserve">party suppliers. </w:t>
      </w:r>
    </w:p>
    <w:p w14:paraId="19653DA6" w14:textId="50684973" w:rsidR="002B0FF9" w:rsidRPr="00C06F1B" w:rsidRDefault="002B0FF9" w:rsidP="005A590C">
      <w:pPr>
        <w:pStyle w:val="CM25"/>
        <w:spacing w:after="402" w:line="403" w:lineRule="atLeast"/>
        <w:jc w:val="both"/>
        <w:rPr>
          <w:rFonts w:ascii="Times New Roman" w:hAnsi="Times New Roman"/>
          <w:sz w:val="22"/>
          <w:szCs w:val="22"/>
        </w:rPr>
      </w:pPr>
      <w:r w:rsidRPr="00C06F1B">
        <w:rPr>
          <w:rFonts w:ascii="Times New Roman" w:hAnsi="Times New Roman"/>
          <w:sz w:val="22"/>
          <w:szCs w:val="22"/>
        </w:rPr>
        <w:t xml:space="preserve">In addition, </w:t>
      </w:r>
      <w:r w:rsidRPr="00E7515A">
        <w:rPr>
          <w:rFonts w:ascii="Times New Roman" w:hAnsi="Times New Roman"/>
          <w:sz w:val="22"/>
          <w:szCs w:val="22"/>
        </w:rPr>
        <w:t>in New Zealan</w:t>
      </w:r>
      <w:r w:rsidR="00FA36E5" w:rsidRPr="00E7515A">
        <w:rPr>
          <w:rFonts w:ascii="Times New Roman" w:hAnsi="Times New Roman"/>
          <w:sz w:val="22"/>
          <w:szCs w:val="22"/>
        </w:rPr>
        <w:t>d</w:t>
      </w:r>
      <w:r w:rsidR="00BD36CF" w:rsidRPr="00E7515A">
        <w:rPr>
          <w:rFonts w:ascii="Times New Roman" w:hAnsi="Times New Roman"/>
          <w:sz w:val="22"/>
          <w:szCs w:val="22"/>
        </w:rPr>
        <w:t>,</w:t>
      </w:r>
      <w:r w:rsidR="00AB2122" w:rsidRPr="00E7515A">
        <w:rPr>
          <w:rFonts w:ascii="Times New Roman" w:hAnsi="Times New Roman"/>
          <w:sz w:val="22"/>
          <w:szCs w:val="22"/>
        </w:rPr>
        <w:t xml:space="preserve"> </w:t>
      </w:r>
      <w:r w:rsidR="00FA36E5" w:rsidRPr="00E7515A">
        <w:rPr>
          <w:rFonts w:ascii="Times New Roman" w:hAnsi="Times New Roman"/>
          <w:sz w:val="22"/>
          <w:szCs w:val="22"/>
        </w:rPr>
        <w:t xml:space="preserve">GST exemption does not include non-life insurance, provision of advisory services, equipment leasing, creditor protection policies and some other financial intermediation services. However, </w:t>
      </w:r>
      <w:r w:rsidR="00B57B22" w:rsidRPr="00E7515A">
        <w:rPr>
          <w:rFonts w:ascii="Times New Roman" w:hAnsi="Times New Roman"/>
          <w:sz w:val="22"/>
          <w:szCs w:val="22"/>
        </w:rPr>
        <w:t>transactions dealing with money, issuance of securities, provision of credit and loans and provision of life insurance are still exempted (</w:t>
      </w:r>
      <w:proofErr w:type="spellStart"/>
      <w:r w:rsidR="00B57B22" w:rsidRPr="00E7515A">
        <w:rPr>
          <w:rFonts w:ascii="Times New Roman" w:hAnsi="Times New Roman"/>
          <w:sz w:val="22"/>
          <w:szCs w:val="22"/>
        </w:rPr>
        <w:t>Poddar</w:t>
      </w:r>
      <w:proofErr w:type="spellEnd"/>
      <w:r w:rsidR="00B57B22" w:rsidRPr="00E7515A">
        <w:rPr>
          <w:rFonts w:ascii="Times New Roman" w:hAnsi="Times New Roman"/>
          <w:sz w:val="22"/>
          <w:szCs w:val="22"/>
        </w:rPr>
        <w:t xml:space="preserve"> </w:t>
      </w:r>
      <w:r w:rsidR="0020479F" w:rsidRPr="00E7515A">
        <w:rPr>
          <w:rFonts w:ascii="Times New Roman" w:hAnsi="Times New Roman"/>
          <w:sz w:val="22"/>
          <w:szCs w:val="22"/>
        </w:rPr>
        <w:t>&amp;</w:t>
      </w:r>
      <w:r w:rsidR="00B57B22" w:rsidRPr="00E7515A">
        <w:rPr>
          <w:rFonts w:ascii="Times New Roman" w:hAnsi="Times New Roman"/>
          <w:sz w:val="22"/>
          <w:szCs w:val="22"/>
        </w:rPr>
        <w:t xml:space="preserve"> </w:t>
      </w:r>
      <w:proofErr w:type="spellStart"/>
      <w:r w:rsidR="00B57B22" w:rsidRPr="00E7515A">
        <w:rPr>
          <w:rFonts w:ascii="Times New Roman" w:hAnsi="Times New Roman"/>
          <w:sz w:val="22"/>
          <w:szCs w:val="22"/>
        </w:rPr>
        <w:t>Kalita</w:t>
      </w:r>
      <w:proofErr w:type="spellEnd"/>
      <w:r w:rsidR="00B57B22" w:rsidRPr="00E7515A">
        <w:rPr>
          <w:rFonts w:ascii="Times New Roman" w:hAnsi="Times New Roman"/>
          <w:sz w:val="22"/>
          <w:szCs w:val="22"/>
        </w:rPr>
        <w:t>, 2008). T</w:t>
      </w:r>
      <w:r w:rsidRPr="00E7515A">
        <w:rPr>
          <w:rFonts w:ascii="Times New Roman" w:hAnsi="Times New Roman"/>
          <w:sz w:val="22"/>
          <w:szCs w:val="22"/>
        </w:rPr>
        <w:t>he New Zealand system of taxation of non</w:t>
      </w:r>
      <w:r w:rsidR="005A474E" w:rsidRPr="00E7515A">
        <w:rPr>
          <w:rFonts w:ascii="Times New Roman" w:hAnsi="Times New Roman"/>
          <w:sz w:val="22"/>
          <w:szCs w:val="22"/>
        </w:rPr>
        <w:t>-</w:t>
      </w:r>
      <w:r w:rsidRPr="00C06F1B">
        <w:rPr>
          <w:rFonts w:ascii="Times New Roman" w:hAnsi="Times New Roman"/>
          <w:sz w:val="22"/>
          <w:szCs w:val="22"/>
        </w:rPr>
        <w:t xml:space="preserve">life insurance would seem to have been followed in a number </w:t>
      </w:r>
      <w:r w:rsidRPr="00C06F1B">
        <w:rPr>
          <w:rFonts w:ascii="Times New Roman" w:hAnsi="Times New Roman"/>
          <w:sz w:val="22"/>
          <w:szCs w:val="22"/>
        </w:rPr>
        <w:lastRenderedPageBreak/>
        <w:t>of other countries</w:t>
      </w:r>
      <w:r w:rsidR="00AB2122" w:rsidRPr="00C06F1B">
        <w:rPr>
          <w:rFonts w:ascii="Times New Roman" w:hAnsi="Times New Roman"/>
          <w:sz w:val="22"/>
          <w:szCs w:val="22"/>
        </w:rPr>
        <w:t>,</w:t>
      </w:r>
      <w:r w:rsidRPr="00C06F1B">
        <w:rPr>
          <w:rFonts w:ascii="Times New Roman" w:hAnsi="Times New Roman"/>
          <w:sz w:val="22"/>
          <w:szCs w:val="22"/>
        </w:rPr>
        <w:t xml:space="preserve"> including South Africa and Au</w:t>
      </w:r>
      <w:r w:rsidRPr="00E7515A">
        <w:rPr>
          <w:rFonts w:ascii="Times New Roman" w:hAnsi="Times New Roman"/>
          <w:sz w:val="22"/>
          <w:szCs w:val="22"/>
        </w:rPr>
        <w:t>stralia</w:t>
      </w:r>
      <w:r w:rsidR="00D1089E" w:rsidRPr="00E7515A">
        <w:rPr>
          <w:rFonts w:ascii="Times New Roman" w:hAnsi="Times New Roman"/>
          <w:sz w:val="22"/>
          <w:szCs w:val="22"/>
        </w:rPr>
        <w:t>,</w:t>
      </w:r>
      <w:r w:rsidRPr="00E7515A">
        <w:rPr>
          <w:rStyle w:val="FootnoteReference"/>
          <w:rFonts w:ascii="Times New Roman" w:hAnsi="Times New Roman"/>
          <w:sz w:val="22"/>
          <w:szCs w:val="22"/>
        </w:rPr>
        <w:footnoteReference w:id="15"/>
      </w:r>
      <w:r w:rsidRPr="00E7515A">
        <w:rPr>
          <w:rFonts w:ascii="Times New Roman" w:hAnsi="Times New Roman"/>
          <w:sz w:val="22"/>
          <w:szCs w:val="22"/>
        </w:rPr>
        <w:t xml:space="preserve"> and very broadly </w:t>
      </w:r>
      <w:r w:rsidR="004E7168" w:rsidRPr="00E7515A">
        <w:rPr>
          <w:rFonts w:ascii="Times New Roman" w:hAnsi="Times New Roman"/>
          <w:sz w:val="22"/>
          <w:szCs w:val="22"/>
        </w:rPr>
        <w:t xml:space="preserve">it </w:t>
      </w:r>
      <w:r w:rsidRPr="00E7515A">
        <w:rPr>
          <w:rFonts w:ascii="Times New Roman" w:hAnsi="Times New Roman"/>
          <w:sz w:val="22"/>
          <w:szCs w:val="22"/>
        </w:rPr>
        <w:t>taxes gross premiums but gives insurers the ability to reclaim deemed input tax on indemnification of payments, whether or not made to GST</w:t>
      </w:r>
      <w:r w:rsidR="00322E59" w:rsidRPr="00E7515A">
        <w:rPr>
          <w:rFonts w:ascii="Times New Roman" w:hAnsi="Times New Roman"/>
          <w:sz w:val="22"/>
          <w:szCs w:val="22"/>
        </w:rPr>
        <w:t>-</w:t>
      </w:r>
      <w:r w:rsidRPr="00C06F1B">
        <w:rPr>
          <w:rFonts w:ascii="Times New Roman" w:hAnsi="Times New Roman"/>
          <w:sz w:val="22"/>
          <w:szCs w:val="22"/>
        </w:rPr>
        <w:t xml:space="preserve">registered insured parties. In this case, the model </w:t>
      </w:r>
      <w:r w:rsidR="00985245" w:rsidRPr="00C06F1B">
        <w:rPr>
          <w:rFonts w:ascii="Times New Roman" w:hAnsi="Times New Roman"/>
          <w:sz w:val="22"/>
          <w:szCs w:val="22"/>
        </w:rPr>
        <w:t>use</w:t>
      </w:r>
      <w:r w:rsidR="004E7168" w:rsidRPr="00E7515A">
        <w:rPr>
          <w:rFonts w:ascii="Times New Roman" w:hAnsi="Times New Roman"/>
          <w:sz w:val="22"/>
          <w:szCs w:val="22"/>
        </w:rPr>
        <w:t>s</w:t>
      </w:r>
      <w:r w:rsidR="00985245" w:rsidRPr="00E7515A">
        <w:rPr>
          <w:rFonts w:ascii="Times New Roman" w:hAnsi="Times New Roman"/>
          <w:sz w:val="22"/>
          <w:szCs w:val="22"/>
        </w:rPr>
        <w:t xml:space="preserve"> taxes </w:t>
      </w:r>
      <w:r w:rsidR="00386AD1" w:rsidRPr="00E7515A">
        <w:rPr>
          <w:rFonts w:ascii="Times New Roman" w:hAnsi="Times New Roman"/>
          <w:sz w:val="22"/>
          <w:szCs w:val="22"/>
        </w:rPr>
        <w:t>o</w:t>
      </w:r>
      <w:r w:rsidR="00985245" w:rsidRPr="00E7515A">
        <w:rPr>
          <w:rFonts w:ascii="Times New Roman" w:hAnsi="Times New Roman"/>
          <w:sz w:val="22"/>
          <w:szCs w:val="22"/>
        </w:rPr>
        <w:t>n insurers</w:t>
      </w:r>
      <w:r w:rsidR="004E7168" w:rsidRPr="00E7515A">
        <w:rPr>
          <w:rFonts w:ascii="Times New Roman" w:hAnsi="Times New Roman"/>
          <w:sz w:val="22"/>
          <w:szCs w:val="22"/>
        </w:rPr>
        <w:t>’</w:t>
      </w:r>
      <w:r w:rsidR="00985245" w:rsidRPr="00E7515A">
        <w:rPr>
          <w:rFonts w:ascii="Times New Roman" w:hAnsi="Times New Roman"/>
          <w:sz w:val="22"/>
          <w:szCs w:val="22"/>
        </w:rPr>
        <w:t xml:space="preserve"> cash flows</w:t>
      </w:r>
      <w:r w:rsidRPr="00E7515A">
        <w:rPr>
          <w:rFonts w:ascii="Times New Roman" w:hAnsi="Times New Roman"/>
          <w:sz w:val="22"/>
          <w:szCs w:val="22"/>
        </w:rPr>
        <w:t xml:space="preserve"> as a surrogate for value added. </w:t>
      </w:r>
    </w:p>
    <w:p w14:paraId="409ECFC4" w14:textId="77777777" w:rsidR="00022DB5" w:rsidRPr="00C06F1B" w:rsidDel="00022DB5" w:rsidRDefault="002B0FF9" w:rsidP="00022DB5">
      <w:pPr>
        <w:pStyle w:val="CM25"/>
        <w:spacing w:after="402" w:line="403" w:lineRule="atLeast"/>
        <w:jc w:val="both"/>
        <w:rPr>
          <w:rFonts w:ascii="Times New Roman" w:hAnsi="Times New Roman"/>
          <w:sz w:val="22"/>
          <w:szCs w:val="22"/>
        </w:rPr>
      </w:pPr>
      <w:r w:rsidRPr="00E7515A">
        <w:rPr>
          <w:rFonts w:ascii="Times New Roman" w:hAnsi="Times New Roman"/>
          <w:sz w:val="22"/>
          <w:szCs w:val="22"/>
          <w:lang w:val="en-US"/>
        </w:rPr>
        <w:t xml:space="preserve">The narrow definition of financial services, in the form of </w:t>
      </w:r>
      <w:r w:rsidR="00BD36CF" w:rsidRPr="00E7515A">
        <w:rPr>
          <w:rFonts w:ascii="Times New Roman" w:hAnsi="Times New Roman"/>
          <w:sz w:val="22"/>
          <w:szCs w:val="22"/>
          <w:lang w:val="en-US"/>
        </w:rPr>
        <w:t>Business to Business (</w:t>
      </w:r>
      <w:r w:rsidRPr="00E7515A">
        <w:rPr>
          <w:rFonts w:ascii="Times New Roman" w:hAnsi="Times New Roman"/>
          <w:sz w:val="22"/>
          <w:szCs w:val="22"/>
          <w:lang w:val="en-US"/>
        </w:rPr>
        <w:t>BTB</w:t>
      </w:r>
      <w:r w:rsidR="00BD36CF" w:rsidRPr="00E7515A">
        <w:rPr>
          <w:rFonts w:ascii="Times New Roman" w:hAnsi="Times New Roman"/>
          <w:sz w:val="22"/>
          <w:szCs w:val="22"/>
          <w:lang w:val="en-US"/>
        </w:rPr>
        <w:t>)</w:t>
      </w:r>
      <w:r w:rsidRPr="00E7515A">
        <w:rPr>
          <w:rFonts w:ascii="Times New Roman" w:hAnsi="Times New Roman"/>
          <w:sz w:val="22"/>
          <w:szCs w:val="22"/>
          <w:lang w:val="en-US"/>
        </w:rPr>
        <w:t xml:space="preserve"> or </w:t>
      </w:r>
      <w:r w:rsidR="00BD36CF" w:rsidRPr="00E7515A">
        <w:rPr>
          <w:rFonts w:ascii="Times New Roman" w:hAnsi="Times New Roman"/>
          <w:sz w:val="22"/>
          <w:szCs w:val="22"/>
          <w:lang w:val="en-US"/>
        </w:rPr>
        <w:t>Business to Consumer (</w:t>
      </w:r>
      <w:r w:rsidRPr="00E7515A">
        <w:rPr>
          <w:rFonts w:ascii="Times New Roman" w:hAnsi="Times New Roman"/>
          <w:sz w:val="22"/>
          <w:szCs w:val="22"/>
          <w:lang w:val="en-US"/>
        </w:rPr>
        <w:t>BTC</w:t>
      </w:r>
      <w:r w:rsidR="00BD36CF" w:rsidRPr="00E7515A">
        <w:rPr>
          <w:rFonts w:ascii="Times New Roman" w:hAnsi="Times New Roman"/>
          <w:sz w:val="22"/>
          <w:szCs w:val="22"/>
          <w:lang w:val="en-US"/>
        </w:rPr>
        <w:t>)</w:t>
      </w:r>
      <w:r w:rsidRPr="00E7515A">
        <w:rPr>
          <w:rFonts w:ascii="Times New Roman" w:hAnsi="Times New Roman"/>
          <w:sz w:val="22"/>
          <w:szCs w:val="22"/>
          <w:lang w:val="en-US"/>
        </w:rPr>
        <w:t xml:space="preserve"> transactions, ha</w:t>
      </w:r>
      <w:r w:rsidR="003671BE" w:rsidRPr="00E7515A">
        <w:rPr>
          <w:rFonts w:ascii="Times New Roman" w:hAnsi="Times New Roman"/>
          <w:sz w:val="22"/>
          <w:szCs w:val="22"/>
          <w:lang w:val="en-US"/>
        </w:rPr>
        <w:t>s</w:t>
      </w:r>
      <w:r w:rsidRPr="00E7515A">
        <w:rPr>
          <w:rFonts w:ascii="Times New Roman" w:hAnsi="Times New Roman"/>
          <w:sz w:val="22"/>
          <w:szCs w:val="22"/>
          <w:lang w:val="en-US"/>
        </w:rPr>
        <w:t xml:space="preserve"> made many </w:t>
      </w:r>
      <w:r w:rsidR="004E7168" w:rsidRPr="00E7515A">
        <w:rPr>
          <w:rFonts w:ascii="Times New Roman" w:hAnsi="Times New Roman"/>
          <w:sz w:val="22"/>
          <w:szCs w:val="22"/>
          <w:lang w:val="en-US"/>
        </w:rPr>
        <w:t>of them</w:t>
      </w:r>
      <w:r w:rsidRPr="00E7515A">
        <w:rPr>
          <w:rFonts w:ascii="Times New Roman" w:hAnsi="Times New Roman"/>
          <w:sz w:val="22"/>
          <w:szCs w:val="22"/>
          <w:lang w:val="en-US"/>
        </w:rPr>
        <w:t xml:space="preserve"> taxable</w:t>
      </w:r>
      <w:r w:rsidR="004E7168" w:rsidRPr="00E7515A">
        <w:rPr>
          <w:rFonts w:ascii="Times New Roman" w:hAnsi="Times New Roman"/>
          <w:sz w:val="22"/>
          <w:szCs w:val="22"/>
          <w:lang w:val="en-US"/>
        </w:rPr>
        <w:t>,</w:t>
      </w:r>
      <w:r w:rsidRPr="00E7515A">
        <w:rPr>
          <w:rFonts w:ascii="Times New Roman" w:hAnsi="Times New Roman"/>
          <w:sz w:val="22"/>
          <w:szCs w:val="22"/>
          <w:lang w:val="en-US"/>
        </w:rPr>
        <w:t xml:space="preserve"> </w:t>
      </w:r>
      <w:r w:rsidR="003671BE" w:rsidRPr="00E7515A">
        <w:rPr>
          <w:rFonts w:ascii="Times New Roman" w:hAnsi="Times New Roman"/>
          <w:sz w:val="22"/>
          <w:szCs w:val="22"/>
          <w:lang w:val="en-US"/>
        </w:rPr>
        <w:t xml:space="preserve">which </w:t>
      </w:r>
      <w:r w:rsidRPr="00E7515A">
        <w:rPr>
          <w:rFonts w:ascii="Times New Roman" w:hAnsi="Times New Roman"/>
          <w:sz w:val="22"/>
          <w:szCs w:val="22"/>
          <w:lang w:val="en-US"/>
        </w:rPr>
        <w:t xml:space="preserve">otherwise would </w:t>
      </w:r>
      <w:r w:rsidR="003671BE" w:rsidRPr="00E7515A">
        <w:rPr>
          <w:rFonts w:ascii="Times New Roman" w:hAnsi="Times New Roman"/>
          <w:sz w:val="22"/>
          <w:szCs w:val="22"/>
          <w:lang w:val="en-US"/>
        </w:rPr>
        <w:t xml:space="preserve">have </w:t>
      </w:r>
      <w:r w:rsidRPr="00E7515A">
        <w:rPr>
          <w:rFonts w:ascii="Times New Roman" w:hAnsi="Times New Roman"/>
          <w:sz w:val="22"/>
          <w:szCs w:val="22"/>
          <w:lang w:val="en-US"/>
        </w:rPr>
        <w:t>be</w:t>
      </w:r>
      <w:r w:rsidR="003671BE" w:rsidRPr="00E7515A">
        <w:rPr>
          <w:rFonts w:ascii="Times New Roman" w:hAnsi="Times New Roman"/>
          <w:sz w:val="22"/>
          <w:szCs w:val="22"/>
          <w:lang w:val="en-US"/>
        </w:rPr>
        <w:t>en</w:t>
      </w:r>
      <w:r w:rsidRPr="00E7515A">
        <w:rPr>
          <w:rFonts w:ascii="Times New Roman" w:hAnsi="Times New Roman"/>
          <w:sz w:val="22"/>
          <w:szCs w:val="22"/>
          <w:lang w:val="en-US"/>
        </w:rPr>
        <w:t xml:space="preserve"> exempt. The exemption does not apply to brokering and facilitating services; it includes only borrowing and lending. </w:t>
      </w:r>
      <w:r w:rsidRPr="00E7515A">
        <w:rPr>
          <w:rFonts w:ascii="Times New Roman" w:hAnsi="Times New Roman"/>
          <w:sz w:val="22"/>
          <w:szCs w:val="22"/>
        </w:rPr>
        <w:t xml:space="preserve">With respect to Australia, the exemption approach to financial services applies in principle so that a denial of input credit entitlement arises for GST incurred on related costs. In spite of this, the distortive impact of the input credit provision is mitigated by what is termed the Reduced Input Tax Credit (RITC) scheme. This scheme, a unique feature of the Australian GST code, allows suppliers of financial services to recover 75% of tax paid on specified inputs. </w:t>
      </w:r>
      <w:r w:rsidR="00985245" w:rsidRPr="00E7515A">
        <w:rPr>
          <w:rFonts w:ascii="Times New Roman" w:hAnsi="Times New Roman"/>
          <w:sz w:val="22"/>
          <w:szCs w:val="22"/>
        </w:rPr>
        <w:t xml:space="preserve">A relative of </w:t>
      </w:r>
      <w:r w:rsidR="00386AD1" w:rsidRPr="00E7515A">
        <w:rPr>
          <w:rFonts w:ascii="Times New Roman" w:hAnsi="Times New Roman"/>
          <w:sz w:val="22"/>
          <w:szCs w:val="22"/>
        </w:rPr>
        <w:t xml:space="preserve">a </w:t>
      </w:r>
      <w:r w:rsidR="00985245" w:rsidRPr="00E7515A">
        <w:rPr>
          <w:rFonts w:ascii="Times New Roman" w:hAnsi="Times New Roman"/>
          <w:sz w:val="22"/>
          <w:szCs w:val="22"/>
        </w:rPr>
        <w:t>RITC</w:t>
      </w:r>
      <w:r w:rsidRPr="00E7515A">
        <w:rPr>
          <w:rFonts w:ascii="Times New Roman" w:hAnsi="Times New Roman"/>
          <w:sz w:val="22"/>
          <w:szCs w:val="22"/>
        </w:rPr>
        <w:t xml:space="preserve"> was chosen because of the significant proportion of labour costs typically incurred in providing the RITC services. The main objective of the RITC scheme is to eliminate the bias to vertical integration (self</w:t>
      </w:r>
      <w:r w:rsidR="005A474E" w:rsidRPr="00E7515A">
        <w:rPr>
          <w:rFonts w:ascii="Times New Roman" w:hAnsi="Times New Roman"/>
          <w:sz w:val="22"/>
          <w:szCs w:val="22"/>
        </w:rPr>
        <w:t>-</w:t>
      </w:r>
      <w:r w:rsidRPr="00C06F1B">
        <w:rPr>
          <w:rFonts w:ascii="Times New Roman" w:hAnsi="Times New Roman"/>
          <w:sz w:val="22"/>
          <w:szCs w:val="22"/>
        </w:rPr>
        <w:t>supplying inputs) and to facilitate outsourcing</w:t>
      </w:r>
      <w:r w:rsidR="003671BE" w:rsidRPr="00C06F1B">
        <w:rPr>
          <w:rFonts w:ascii="Times New Roman" w:hAnsi="Times New Roman"/>
          <w:sz w:val="22"/>
          <w:szCs w:val="22"/>
        </w:rPr>
        <w:t>,</w:t>
      </w:r>
      <w:r w:rsidRPr="00E7515A">
        <w:rPr>
          <w:rFonts w:ascii="Times New Roman" w:hAnsi="Times New Roman"/>
          <w:sz w:val="22"/>
          <w:szCs w:val="22"/>
        </w:rPr>
        <w:t xml:space="preserve"> presumably from a cost efficiency perspective.</w:t>
      </w:r>
      <w:r w:rsidR="00431E1C" w:rsidRPr="00E7515A">
        <w:rPr>
          <w:rStyle w:val="FootnoteReference"/>
          <w:rFonts w:ascii="Times New Roman" w:hAnsi="Times New Roman"/>
          <w:sz w:val="22"/>
          <w:szCs w:val="22"/>
        </w:rPr>
        <w:footnoteReference w:id="16"/>
      </w:r>
      <w:r w:rsidRPr="00E7515A">
        <w:rPr>
          <w:rFonts w:ascii="Times New Roman" w:hAnsi="Times New Roman"/>
          <w:sz w:val="22"/>
          <w:szCs w:val="22"/>
        </w:rPr>
        <w:t xml:space="preserve"> </w:t>
      </w:r>
    </w:p>
    <w:p w14:paraId="3B5DDDB7" w14:textId="77777777" w:rsidR="002B0FF9" w:rsidRPr="00C06F1B" w:rsidRDefault="002B0FF9" w:rsidP="002B0FF9">
      <w:pPr>
        <w:pStyle w:val="CM25"/>
        <w:spacing w:after="402" w:line="403" w:lineRule="atLeast"/>
        <w:jc w:val="both"/>
        <w:rPr>
          <w:rFonts w:ascii="Times New Roman" w:hAnsi="Times New Roman"/>
          <w:sz w:val="22"/>
          <w:szCs w:val="22"/>
        </w:rPr>
      </w:pPr>
      <w:r w:rsidRPr="00E7515A">
        <w:rPr>
          <w:rFonts w:ascii="Times New Roman" w:hAnsi="Times New Roman"/>
          <w:sz w:val="22"/>
          <w:szCs w:val="22"/>
        </w:rPr>
        <w:t>Financial services are also exempt from VAT in the EU and banks do not charge any VAT on their financial services</w:t>
      </w:r>
      <w:r w:rsidR="003671BE" w:rsidRPr="00E7515A">
        <w:rPr>
          <w:rFonts w:ascii="Times New Roman" w:hAnsi="Times New Roman"/>
          <w:sz w:val="22"/>
          <w:szCs w:val="22"/>
        </w:rPr>
        <w:t>,</w:t>
      </w:r>
      <w:r w:rsidRPr="00E7515A">
        <w:rPr>
          <w:rFonts w:ascii="Times New Roman" w:hAnsi="Times New Roman"/>
          <w:sz w:val="22"/>
          <w:szCs w:val="22"/>
        </w:rPr>
        <w:t xml:space="preserve"> </w:t>
      </w:r>
      <w:r w:rsidR="003671BE" w:rsidRPr="00E7515A">
        <w:rPr>
          <w:rFonts w:ascii="Times New Roman" w:hAnsi="Times New Roman"/>
          <w:sz w:val="22"/>
          <w:szCs w:val="22"/>
        </w:rPr>
        <w:t>nor</w:t>
      </w:r>
      <w:r w:rsidRPr="00E7515A">
        <w:rPr>
          <w:rFonts w:ascii="Times New Roman" w:hAnsi="Times New Roman"/>
          <w:sz w:val="22"/>
          <w:szCs w:val="22"/>
        </w:rPr>
        <w:t xml:space="preserve"> do</w:t>
      </w:r>
      <w:r w:rsidR="003671BE" w:rsidRPr="00E7515A">
        <w:rPr>
          <w:rFonts w:ascii="Times New Roman" w:hAnsi="Times New Roman"/>
          <w:sz w:val="22"/>
          <w:szCs w:val="22"/>
        </w:rPr>
        <w:t xml:space="preserve"> they</w:t>
      </w:r>
      <w:r w:rsidRPr="00E7515A">
        <w:rPr>
          <w:rFonts w:ascii="Times New Roman" w:hAnsi="Times New Roman"/>
          <w:sz w:val="22"/>
          <w:szCs w:val="22"/>
        </w:rPr>
        <w:t xml:space="preserve"> not recover VAT paid on their business inputs. However, there are some exceptions of specified fee-based services</w:t>
      </w:r>
      <w:r w:rsidR="003671BE" w:rsidRPr="00E7515A">
        <w:rPr>
          <w:rFonts w:ascii="Times New Roman" w:hAnsi="Times New Roman"/>
          <w:sz w:val="22"/>
          <w:szCs w:val="22"/>
        </w:rPr>
        <w:t>,</w:t>
      </w:r>
      <w:r w:rsidRPr="00E7515A">
        <w:rPr>
          <w:rFonts w:ascii="Times New Roman" w:hAnsi="Times New Roman"/>
          <w:sz w:val="22"/>
          <w:szCs w:val="22"/>
        </w:rPr>
        <w:t xml:space="preserve"> </w:t>
      </w:r>
      <w:r w:rsidR="003671BE" w:rsidRPr="00E7515A">
        <w:rPr>
          <w:rFonts w:ascii="Times New Roman" w:hAnsi="Times New Roman"/>
          <w:sz w:val="22"/>
          <w:szCs w:val="22"/>
        </w:rPr>
        <w:t xml:space="preserve">such as </w:t>
      </w:r>
      <w:r w:rsidRPr="00E7515A">
        <w:rPr>
          <w:rFonts w:ascii="Times New Roman" w:hAnsi="Times New Roman"/>
          <w:sz w:val="22"/>
          <w:szCs w:val="22"/>
        </w:rPr>
        <w:t>safety deposit box fees</w:t>
      </w:r>
      <w:r w:rsidR="003671BE" w:rsidRPr="00E7515A">
        <w:rPr>
          <w:rFonts w:ascii="Times New Roman" w:hAnsi="Times New Roman"/>
          <w:sz w:val="22"/>
          <w:szCs w:val="22"/>
        </w:rPr>
        <w:t xml:space="preserve">, </w:t>
      </w:r>
      <w:r w:rsidRPr="00E7515A">
        <w:rPr>
          <w:rFonts w:ascii="Times New Roman" w:hAnsi="Times New Roman"/>
          <w:sz w:val="22"/>
          <w:szCs w:val="22"/>
        </w:rPr>
        <w:t xml:space="preserve">financial advisory services and the zero rating of exported financial services. The Canadian Goods and Services Tax </w:t>
      </w:r>
      <w:proofErr w:type="gramStart"/>
      <w:r w:rsidRPr="00E7515A">
        <w:rPr>
          <w:rFonts w:ascii="Times New Roman" w:hAnsi="Times New Roman"/>
          <w:sz w:val="22"/>
          <w:szCs w:val="22"/>
        </w:rPr>
        <w:t>is</w:t>
      </w:r>
      <w:proofErr w:type="gramEnd"/>
      <w:r w:rsidRPr="00E7515A">
        <w:rPr>
          <w:rFonts w:ascii="Times New Roman" w:hAnsi="Times New Roman"/>
          <w:sz w:val="22"/>
          <w:szCs w:val="22"/>
        </w:rPr>
        <w:t xml:space="preserve"> generally similar to the European one with regard to exemption of financial services. However, there is a list of fee-based services that </w:t>
      </w:r>
      <w:r w:rsidR="003671BE" w:rsidRPr="00E7515A">
        <w:rPr>
          <w:rFonts w:ascii="Times New Roman" w:hAnsi="Times New Roman"/>
          <w:sz w:val="22"/>
          <w:szCs w:val="22"/>
        </w:rPr>
        <w:t>are</w:t>
      </w:r>
      <w:r w:rsidRPr="00E7515A">
        <w:rPr>
          <w:rFonts w:ascii="Times New Roman" w:hAnsi="Times New Roman"/>
          <w:sz w:val="22"/>
          <w:szCs w:val="22"/>
        </w:rPr>
        <w:t xml:space="preserve"> taxed</w:t>
      </w:r>
      <w:r w:rsidRPr="00C06F1B">
        <w:rPr>
          <w:rStyle w:val="FootnoteReference"/>
          <w:rFonts w:ascii="Times New Roman" w:hAnsi="Times New Roman"/>
          <w:sz w:val="22"/>
          <w:szCs w:val="22"/>
        </w:rPr>
        <w:footnoteReference w:id="17"/>
      </w:r>
      <w:r w:rsidRPr="00C06F1B">
        <w:rPr>
          <w:rFonts w:ascii="Times New Roman" w:hAnsi="Times New Roman"/>
          <w:sz w:val="22"/>
          <w:szCs w:val="22"/>
        </w:rPr>
        <w:t>. The GST is a credit-invoice tax rather than a subtraction method tax, which was once proposed in Canada (Schenk, 2010</w:t>
      </w:r>
      <w:r w:rsidRPr="00E7515A">
        <w:rPr>
          <w:rFonts w:ascii="Times New Roman" w:hAnsi="Times New Roman"/>
          <w:sz w:val="22"/>
          <w:szCs w:val="22"/>
        </w:rPr>
        <w:t xml:space="preserve">). </w:t>
      </w:r>
    </w:p>
    <w:p w14:paraId="1B0F9385" w14:textId="77777777" w:rsidR="00972ED5" w:rsidRPr="00C06F1B" w:rsidRDefault="00972ED5" w:rsidP="00972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r w:rsidRPr="00E7515A">
        <w:rPr>
          <w:rFonts w:ascii="Times New Roman" w:hAnsi="Times New Roman"/>
        </w:rPr>
        <w:t>The case</w:t>
      </w:r>
      <w:r w:rsidR="00DA2AF9" w:rsidRPr="00E7515A">
        <w:rPr>
          <w:rFonts w:ascii="Times New Roman" w:hAnsi="Times New Roman"/>
        </w:rPr>
        <w:t>s</w:t>
      </w:r>
      <w:r w:rsidRPr="00E7515A">
        <w:rPr>
          <w:rFonts w:ascii="Times New Roman" w:hAnsi="Times New Roman"/>
        </w:rPr>
        <w:t xml:space="preserve"> of Israel and Argentina </w:t>
      </w:r>
      <w:r w:rsidR="00DA2AF9" w:rsidRPr="00E7515A">
        <w:rPr>
          <w:rFonts w:ascii="Times New Roman" w:hAnsi="Times New Roman"/>
        </w:rPr>
        <w:t>are</w:t>
      </w:r>
      <w:r w:rsidRPr="00E7515A">
        <w:rPr>
          <w:rFonts w:ascii="Times New Roman" w:hAnsi="Times New Roman"/>
        </w:rPr>
        <w:t xml:space="preserve"> severe</w:t>
      </w:r>
      <w:r w:rsidR="00DA2AF9" w:rsidRPr="00E7515A">
        <w:rPr>
          <w:rFonts w:ascii="Times New Roman" w:hAnsi="Times New Roman"/>
        </w:rPr>
        <w:t>,</w:t>
      </w:r>
      <w:r w:rsidRPr="00E7515A">
        <w:rPr>
          <w:rFonts w:ascii="Times New Roman" w:hAnsi="Times New Roman"/>
        </w:rPr>
        <w:t xml:space="preserve"> in the sense that they overtax many financial services. Firstly, financial services are exempt from VAT</w:t>
      </w:r>
      <w:r w:rsidR="00DA2AF9" w:rsidRPr="00E7515A">
        <w:rPr>
          <w:rFonts w:ascii="Times New Roman" w:hAnsi="Times New Roman"/>
        </w:rPr>
        <w:t>,</w:t>
      </w:r>
      <w:r w:rsidRPr="00E7515A">
        <w:rPr>
          <w:rFonts w:ascii="Times New Roman" w:hAnsi="Times New Roman"/>
        </w:rPr>
        <w:t xml:space="preserve"> meaning that they cannot recover </w:t>
      </w:r>
      <w:r w:rsidR="00DA2AF9" w:rsidRPr="00E7515A">
        <w:rPr>
          <w:rFonts w:ascii="Times New Roman" w:hAnsi="Times New Roman"/>
        </w:rPr>
        <w:t xml:space="preserve">the tax </w:t>
      </w:r>
      <w:r w:rsidRPr="00E7515A">
        <w:rPr>
          <w:rFonts w:ascii="Times New Roman" w:hAnsi="Times New Roman"/>
        </w:rPr>
        <w:t xml:space="preserve">on their </w:t>
      </w:r>
      <w:r w:rsidRPr="00E7515A">
        <w:rPr>
          <w:rFonts w:ascii="Times New Roman" w:hAnsi="Times New Roman"/>
        </w:rPr>
        <w:lastRenderedPageBreak/>
        <w:t xml:space="preserve">purchases and secondly, banks are required to pay tax on the </w:t>
      </w:r>
      <w:r w:rsidR="00C53B2D" w:rsidRPr="00E7515A">
        <w:rPr>
          <w:rFonts w:ascii="Times New Roman" w:hAnsi="Times New Roman"/>
        </w:rPr>
        <w:t>aggregate</w:t>
      </w:r>
      <w:r w:rsidRPr="00E7515A">
        <w:rPr>
          <w:rFonts w:ascii="Times New Roman" w:hAnsi="Times New Roman"/>
        </w:rPr>
        <w:t xml:space="preserve"> of their wages and profits (Schenk </w:t>
      </w:r>
      <w:r w:rsidR="0020479F" w:rsidRPr="00E7515A">
        <w:rPr>
          <w:rFonts w:ascii="Times New Roman" w:hAnsi="Times New Roman"/>
        </w:rPr>
        <w:t>&amp;</w:t>
      </w:r>
      <w:r w:rsidRPr="00E7515A">
        <w:rPr>
          <w:rFonts w:ascii="Times New Roman" w:hAnsi="Times New Roman"/>
        </w:rPr>
        <w:t xml:space="preserve"> Oldman, 2007). In order to contain inflationary pressures</w:t>
      </w:r>
      <w:r w:rsidR="00DA2AF9" w:rsidRPr="00E7515A">
        <w:rPr>
          <w:rFonts w:ascii="Times New Roman" w:hAnsi="Times New Roman"/>
        </w:rPr>
        <w:t>,</w:t>
      </w:r>
      <w:r w:rsidRPr="00E7515A">
        <w:rPr>
          <w:rFonts w:ascii="Times New Roman" w:hAnsi="Times New Roman"/>
        </w:rPr>
        <w:t xml:space="preserve"> or for that matter to reduce the wasteful use of financial services, Argentina taxes gross interest on loans under a VAT at different rates. The VAT on these loans to registered businesses is creditable (Schenk </w:t>
      </w:r>
      <w:r w:rsidR="0020479F" w:rsidRPr="00E7515A">
        <w:rPr>
          <w:rFonts w:ascii="Times New Roman" w:hAnsi="Times New Roman"/>
        </w:rPr>
        <w:t>&amp;</w:t>
      </w:r>
      <w:r w:rsidRPr="00E7515A">
        <w:rPr>
          <w:rFonts w:ascii="Times New Roman" w:hAnsi="Times New Roman"/>
        </w:rPr>
        <w:t xml:space="preserve"> Oldman, 2007).</w:t>
      </w:r>
    </w:p>
    <w:p w14:paraId="3F9B0738" w14:textId="77777777" w:rsidR="00972ED5" w:rsidRPr="00C06F1B" w:rsidRDefault="00972ED5" w:rsidP="00972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p>
    <w:p w14:paraId="3970C822" w14:textId="77777777" w:rsidR="00972ED5" w:rsidRPr="00C06F1B" w:rsidRDefault="00972ED5" w:rsidP="00972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rPr>
      </w:pPr>
      <w:r w:rsidRPr="00E7515A">
        <w:rPr>
          <w:rFonts w:ascii="Times New Roman" w:hAnsi="Times New Roman"/>
        </w:rPr>
        <w:t xml:space="preserve">Virtually all fee-based financial services are taxable or zero-rated under VAT in South Africa. However, margin-based services are still exempted. The banks can reclaim input VAT for fee-based services. In Singapore, financial services rendered to taxable customers are zero rated because financial institutions can claim input credits for VAT. For input VAT that is not attributable to taxable supplies or to exempt supplies, a financial service provider must allocate the input tax in proportion to the ratio of taxable supplies to total supplies (Schenk </w:t>
      </w:r>
      <w:r w:rsidR="0020479F" w:rsidRPr="00E7515A">
        <w:rPr>
          <w:rFonts w:ascii="Times New Roman" w:hAnsi="Times New Roman"/>
        </w:rPr>
        <w:t>&amp;</w:t>
      </w:r>
      <w:r w:rsidRPr="00E7515A">
        <w:rPr>
          <w:rFonts w:ascii="Times New Roman" w:hAnsi="Times New Roman"/>
        </w:rPr>
        <w:t xml:space="preserve"> Oldman, 2007). </w:t>
      </w:r>
    </w:p>
    <w:p w14:paraId="36BAA38F" w14:textId="77777777" w:rsidR="002B0FF9" w:rsidRPr="00C06F1B" w:rsidRDefault="002B0FF9" w:rsidP="002B0FF9">
      <w:pPr>
        <w:pStyle w:val="Default"/>
        <w:rPr>
          <w:rFonts w:ascii="Times New Roman" w:hAnsi="Times New Roman" w:cs="Times New Roman"/>
          <w:b/>
          <w:i/>
          <w:color w:val="auto"/>
          <w:sz w:val="22"/>
          <w:szCs w:val="22"/>
        </w:rPr>
      </w:pPr>
    </w:p>
    <w:p w14:paraId="31216B4F" w14:textId="77777777" w:rsidR="00972ED5" w:rsidRPr="00C06F1B" w:rsidRDefault="00972ED5" w:rsidP="002B0FF9">
      <w:pPr>
        <w:pStyle w:val="Default"/>
        <w:rPr>
          <w:rFonts w:ascii="Times New Roman" w:hAnsi="Times New Roman" w:cs="Times New Roman"/>
          <w:b/>
          <w:i/>
          <w:color w:val="auto"/>
          <w:sz w:val="22"/>
          <w:szCs w:val="22"/>
        </w:rPr>
      </w:pPr>
    </w:p>
    <w:p w14:paraId="6A1E7EAD" w14:textId="77777777" w:rsidR="00972ED5" w:rsidRPr="00C06F1B" w:rsidRDefault="00972ED5" w:rsidP="002B0FF9">
      <w:pPr>
        <w:pStyle w:val="Default"/>
        <w:rPr>
          <w:rFonts w:ascii="Times New Roman" w:hAnsi="Times New Roman" w:cs="Times New Roman"/>
          <w:b/>
          <w:i/>
          <w:color w:val="auto"/>
          <w:sz w:val="22"/>
          <w:szCs w:val="22"/>
        </w:rPr>
      </w:pPr>
    </w:p>
    <w:p w14:paraId="2EEEAFE8" w14:textId="7EF5F516" w:rsidR="002B0FF9" w:rsidRPr="00C06F1B" w:rsidRDefault="008F22DF" w:rsidP="004C1557">
      <w:pPr>
        <w:pStyle w:val="Default"/>
        <w:spacing w:after="120" w:line="360" w:lineRule="auto"/>
        <w:jc w:val="both"/>
        <w:rPr>
          <w:rFonts w:ascii="Times New Roman" w:hAnsi="Times New Roman" w:cs="Times New Roman"/>
          <w:b/>
          <w:i/>
          <w:color w:val="auto"/>
          <w:sz w:val="22"/>
          <w:szCs w:val="22"/>
        </w:rPr>
      </w:pPr>
      <w:r w:rsidRPr="00C06F1B">
        <w:rPr>
          <w:rFonts w:ascii="Times New Roman" w:hAnsi="Times New Roman" w:cs="Times New Roman"/>
          <w:b/>
          <w:i/>
          <w:color w:val="auto"/>
          <w:sz w:val="22"/>
          <w:szCs w:val="22"/>
        </w:rPr>
        <w:t>4</w:t>
      </w:r>
      <w:r w:rsidR="002B0FF9" w:rsidRPr="00C06F1B">
        <w:rPr>
          <w:rFonts w:ascii="Times New Roman" w:hAnsi="Times New Roman" w:cs="Times New Roman"/>
          <w:b/>
          <w:i/>
          <w:color w:val="auto"/>
          <w:sz w:val="22"/>
          <w:szCs w:val="22"/>
        </w:rPr>
        <w:t>.</w:t>
      </w:r>
      <w:r w:rsidR="00CD324D" w:rsidRPr="00C06F1B">
        <w:rPr>
          <w:rFonts w:ascii="Times New Roman" w:hAnsi="Times New Roman" w:cs="Times New Roman"/>
          <w:b/>
          <w:i/>
          <w:color w:val="auto"/>
          <w:sz w:val="22"/>
          <w:szCs w:val="22"/>
        </w:rPr>
        <w:t>2</w:t>
      </w:r>
      <w:r w:rsidR="002B0FF9" w:rsidRPr="00C06F1B">
        <w:rPr>
          <w:rFonts w:ascii="Times New Roman" w:hAnsi="Times New Roman" w:cs="Times New Roman"/>
          <w:b/>
          <w:i/>
          <w:color w:val="auto"/>
          <w:sz w:val="22"/>
          <w:szCs w:val="22"/>
        </w:rPr>
        <w:t>.1. Effects of Removing VAT exemption on Financial Services</w:t>
      </w:r>
    </w:p>
    <w:p w14:paraId="15DF10D4" w14:textId="0D40DB3E" w:rsidR="002B0FF9" w:rsidRPr="00C06F1B" w:rsidRDefault="002B0FF9" w:rsidP="004C1557">
      <w:pPr>
        <w:pStyle w:val="Default"/>
        <w:spacing w:after="120"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As noted in </w:t>
      </w:r>
      <w:proofErr w:type="spellStart"/>
      <w:r w:rsidR="00985245" w:rsidRPr="00C06F1B">
        <w:rPr>
          <w:rFonts w:ascii="Times New Roman" w:hAnsi="Times New Roman" w:cs="Times New Roman"/>
          <w:color w:val="auto"/>
          <w:sz w:val="22"/>
          <w:szCs w:val="22"/>
        </w:rPr>
        <w:t>Mirrlees</w:t>
      </w:r>
      <w:proofErr w:type="spellEnd"/>
      <w:r w:rsidR="00985245" w:rsidRPr="00C06F1B">
        <w:rPr>
          <w:rFonts w:ascii="Times New Roman" w:hAnsi="Times New Roman" w:cs="Times New Roman"/>
          <w:color w:val="auto"/>
          <w:sz w:val="22"/>
          <w:szCs w:val="22"/>
        </w:rPr>
        <w:t xml:space="preserve"> </w:t>
      </w:r>
      <w:r w:rsidR="00C53B2D" w:rsidRPr="00C06F1B">
        <w:rPr>
          <w:rFonts w:ascii="Times New Roman" w:hAnsi="Times New Roman" w:cs="Times New Roman"/>
          <w:color w:val="auto"/>
          <w:sz w:val="22"/>
          <w:szCs w:val="22"/>
        </w:rPr>
        <w:t>(</w:t>
      </w:r>
      <w:r w:rsidR="00D30AA0" w:rsidRPr="00C06F1B">
        <w:rPr>
          <w:rFonts w:ascii="Times New Roman" w:hAnsi="Times New Roman" w:cs="Times New Roman"/>
          <w:color w:val="auto"/>
          <w:sz w:val="22"/>
          <w:szCs w:val="22"/>
        </w:rPr>
        <w:t>201</w:t>
      </w:r>
      <w:r w:rsidR="00754C96">
        <w:rPr>
          <w:rFonts w:ascii="Times New Roman" w:hAnsi="Times New Roman" w:cs="Times New Roman"/>
          <w:color w:val="auto"/>
          <w:sz w:val="22"/>
          <w:szCs w:val="22"/>
        </w:rPr>
        <w:t>1</w:t>
      </w:r>
      <w:r w:rsidR="00C53B2D" w:rsidRPr="00C06F1B">
        <w:rPr>
          <w:rFonts w:ascii="Times New Roman" w:hAnsi="Times New Roman" w:cs="Times New Roman"/>
          <w:color w:val="auto"/>
          <w:sz w:val="22"/>
          <w:szCs w:val="22"/>
        </w:rPr>
        <w:t xml:space="preserve">) </w:t>
      </w:r>
      <w:r w:rsidR="00985245" w:rsidRPr="00C06F1B">
        <w:rPr>
          <w:rFonts w:ascii="Times New Roman" w:hAnsi="Times New Roman" w:cs="Times New Roman"/>
          <w:color w:val="auto"/>
          <w:sz w:val="22"/>
          <w:szCs w:val="22"/>
        </w:rPr>
        <w:t>review</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exemption </w:t>
      </w:r>
      <w:r w:rsidR="00F75532" w:rsidRPr="00C06F1B">
        <w:rPr>
          <w:rFonts w:ascii="Times New Roman" w:hAnsi="Times New Roman" w:cs="Times New Roman"/>
          <w:color w:val="auto"/>
          <w:sz w:val="22"/>
          <w:szCs w:val="22"/>
        </w:rPr>
        <w:t>from</w:t>
      </w:r>
      <w:r w:rsidRPr="00C06F1B">
        <w:rPr>
          <w:rFonts w:ascii="Times New Roman" w:hAnsi="Times New Roman" w:cs="Times New Roman"/>
          <w:color w:val="auto"/>
          <w:sz w:val="22"/>
          <w:szCs w:val="22"/>
        </w:rPr>
        <w:t xml:space="preserve"> VAT is against the logic of </w:t>
      </w:r>
      <w:r w:rsidR="00F75532" w:rsidRPr="00C06F1B">
        <w:rPr>
          <w:rFonts w:ascii="Times New Roman" w:hAnsi="Times New Roman" w:cs="Times New Roman"/>
          <w:color w:val="auto"/>
          <w:sz w:val="22"/>
          <w:szCs w:val="22"/>
        </w:rPr>
        <w:t xml:space="preserve">the tax </w:t>
      </w:r>
      <w:r w:rsidRPr="00C06F1B">
        <w:rPr>
          <w:rFonts w:ascii="Times New Roman" w:hAnsi="Times New Roman" w:cs="Times New Roman"/>
          <w:color w:val="auto"/>
          <w:sz w:val="22"/>
          <w:szCs w:val="22"/>
        </w:rPr>
        <w:t>as it breaks down the chain, leaving financial institutions</w:t>
      </w:r>
      <w:r w:rsidR="002125C8" w:rsidRPr="00C06F1B">
        <w:rPr>
          <w:rFonts w:ascii="Times New Roman" w:hAnsi="Times New Roman" w:cs="Times New Roman"/>
          <w:color w:val="auto"/>
          <w:sz w:val="22"/>
          <w:szCs w:val="22"/>
        </w:rPr>
        <w:t xml:space="preserve"> unable </w:t>
      </w:r>
      <w:r w:rsidRPr="00C06F1B">
        <w:rPr>
          <w:rFonts w:ascii="Times New Roman" w:hAnsi="Times New Roman" w:cs="Times New Roman"/>
          <w:color w:val="auto"/>
          <w:sz w:val="22"/>
          <w:szCs w:val="22"/>
        </w:rPr>
        <w:t>to reclaim the input tax. It is clearly distortionary</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as exemption makes VAT a production tax. </w:t>
      </w:r>
      <w:r w:rsidR="00C53B2D" w:rsidRPr="00C06F1B">
        <w:rPr>
          <w:rFonts w:ascii="Times New Roman" w:hAnsi="Times New Roman" w:cs="Times New Roman"/>
          <w:color w:val="auto"/>
          <w:sz w:val="22"/>
          <w:szCs w:val="22"/>
        </w:rPr>
        <w:t>P</w:t>
      </w:r>
      <w:r w:rsidR="00985245" w:rsidRPr="00C06F1B">
        <w:rPr>
          <w:rFonts w:ascii="Times New Roman" w:hAnsi="Times New Roman" w:cs="Times New Roman"/>
          <w:color w:val="auto"/>
          <w:sz w:val="22"/>
          <w:szCs w:val="22"/>
        </w:rPr>
        <w:t>erhaps the biggest distortion</w:t>
      </w:r>
      <w:r w:rsidRPr="00C06F1B">
        <w:rPr>
          <w:rFonts w:ascii="Times New Roman" w:hAnsi="Times New Roman" w:cs="Times New Roman"/>
          <w:color w:val="auto"/>
          <w:sz w:val="22"/>
          <w:szCs w:val="22"/>
        </w:rPr>
        <w:t xml:space="preserve"> </w:t>
      </w:r>
      <w:r w:rsidR="005571E4" w:rsidRPr="00C06F1B">
        <w:rPr>
          <w:rFonts w:ascii="Times New Roman" w:hAnsi="Times New Roman" w:cs="Times New Roman"/>
          <w:color w:val="auto"/>
          <w:sz w:val="22"/>
          <w:szCs w:val="22"/>
        </w:rPr>
        <w:t xml:space="preserve">is that it </w:t>
      </w:r>
      <w:r w:rsidR="002125C8" w:rsidRPr="00C06F1B">
        <w:rPr>
          <w:rFonts w:ascii="Times New Roman" w:hAnsi="Times New Roman" w:cs="Times New Roman"/>
          <w:color w:val="auto"/>
          <w:sz w:val="22"/>
          <w:szCs w:val="22"/>
        </w:rPr>
        <w:t>encourag</w:t>
      </w:r>
      <w:r w:rsidRPr="00C06F1B">
        <w:rPr>
          <w:rFonts w:ascii="Times New Roman" w:hAnsi="Times New Roman" w:cs="Times New Roman"/>
          <w:color w:val="auto"/>
          <w:sz w:val="22"/>
          <w:szCs w:val="22"/>
        </w:rPr>
        <w:t xml:space="preserve">es financial institutions to </w:t>
      </w:r>
      <w:r w:rsidR="005571E4" w:rsidRPr="00C06F1B">
        <w:rPr>
          <w:rFonts w:ascii="Times New Roman" w:hAnsi="Times New Roman" w:cs="Times New Roman"/>
          <w:color w:val="auto"/>
          <w:sz w:val="22"/>
          <w:szCs w:val="22"/>
        </w:rPr>
        <w:t>produce</w:t>
      </w:r>
      <w:r w:rsidRPr="00C06F1B">
        <w:rPr>
          <w:rFonts w:ascii="Times New Roman" w:hAnsi="Times New Roman" w:cs="Times New Roman"/>
          <w:color w:val="auto"/>
          <w:sz w:val="22"/>
          <w:szCs w:val="22"/>
        </w:rPr>
        <w:t xml:space="preserve"> inputs in-house</w:t>
      </w:r>
      <w:r w:rsidR="00322E59" w:rsidRPr="00C06F1B">
        <w:rPr>
          <w:rFonts w:ascii="Times New Roman" w:hAnsi="Times New Roman" w:cs="Times New Roman"/>
          <w:color w:val="auto"/>
          <w:sz w:val="22"/>
          <w:szCs w:val="22"/>
        </w:rPr>
        <w:t xml:space="preserve"> and </w:t>
      </w:r>
      <w:r w:rsidR="002125C8" w:rsidRPr="00C06F1B">
        <w:rPr>
          <w:rFonts w:ascii="Times New Roman" w:hAnsi="Times New Roman" w:cs="Times New Roman"/>
          <w:color w:val="auto"/>
          <w:sz w:val="22"/>
          <w:szCs w:val="22"/>
        </w:rPr>
        <w:t xml:space="preserve">thus to </w:t>
      </w:r>
      <w:r w:rsidR="00322E59" w:rsidRPr="00C06F1B">
        <w:rPr>
          <w:rFonts w:ascii="Times New Roman" w:hAnsi="Times New Roman" w:cs="Times New Roman"/>
          <w:color w:val="auto"/>
          <w:sz w:val="22"/>
          <w:szCs w:val="22"/>
        </w:rPr>
        <w:t>integrate vertically</w:t>
      </w:r>
      <w:r w:rsidR="002125C8" w:rsidRPr="00C06F1B">
        <w:rPr>
          <w:rFonts w:ascii="Times New Roman" w:hAnsi="Times New Roman" w:cs="Times New Roman"/>
          <w:color w:val="auto"/>
          <w:sz w:val="22"/>
          <w:szCs w:val="22"/>
        </w:rPr>
        <w:t xml:space="preserve"> in order to</w:t>
      </w:r>
      <w:r w:rsidR="00322E59" w:rsidRPr="00C06F1B">
        <w:rPr>
          <w:rFonts w:ascii="Times New Roman" w:hAnsi="Times New Roman" w:cs="Times New Roman"/>
          <w:color w:val="auto"/>
          <w:sz w:val="22"/>
          <w:szCs w:val="22"/>
        </w:rPr>
        <w:t xml:space="preserve"> reduce input VAT that is not creditable for financial institutions. </w:t>
      </w:r>
      <w:r w:rsidRPr="00C06F1B">
        <w:rPr>
          <w:rFonts w:ascii="Times New Roman" w:hAnsi="Times New Roman" w:cs="Times New Roman"/>
          <w:color w:val="auto"/>
          <w:sz w:val="22"/>
          <w:szCs w:val="22"/>
        </w:rPr>
        <w:t xml:space="preserve"> </w:t>
      </w:r>
      <w:r w:rsidR="00AA02FA" w:rsidRPr="00C06F1B">
        <w:rPr>
          <w:rFonts w:ascii="Times New Roman" w:hAnsi="Times New Roman" w:cs="Times New Roman"/>
          <w:color w:val="auto"/>
          <w:sz w:val="22"/>
          <w:szCs w:val="22"/>
        </w:rPr>
        <w:t xml:space="preserve">In addition to the discrimination against outside suppliers, vertical integration </w:t>
      </w:r>
      <w:r w:rsidRPr="00C06F1B">
        <w:rPr>
          <w:rFonts w:ascii="Times New Roman" w:hAnsi="Times New Roman" w:cs="Times New Roman"/>
          <w:color w:val="auto"/>
          <w:sz w:val="22"/>
          <w:szCs w:val="22"/>
        </w:rPr>
        <w:t xml:space="preserve">could perhaps be the reason </w:t>
      </w:r>
      <w:r w:rsidR="002125C8" w:rsidRPr="00C06F1B">
        <w:rPr>
          <w:rFonts w:ascii="Times New Roman" w:hAnsi="Times New Roman" w:cs="Times New Roman"/>
          <w:color w:val="auto"/>
          <w:sz w:val="22"/>
          <w:szCs w:val="22"/>
        </w:rPr>
        <w:t>that</w:t>
      </w:r>
      <w:r w:rsidR="000C7BC7" w:rsidRPr="00C06F1B">
        <w:rPr>
          <w:rFonts w:ascii="Times New Roman" w:hAnsi="Times New Roman" w:cs="Times New Roman"/>
          <w:color w:val="auto"/>
          <w:sz w:val="22"/>
          <w:szCs w:val="22"/>
        </w:rPr>
        <w:t xml:space="preserve"> </w:t>
      </w:r>
      <w:r w:rsidRPr="00C06F1B">
        <w:rPr>
          <w:rFonts w:ascii="Times New Roman" w:hAnsi="Times New Roman" w:cs="Times New Roman"/>
          <w:color w:val="auto"/>
          <w:sz w:val="22"/>
          <w:szCs w:val="22"/>
        </w:rPr>
        <w:t>financial institutions take the shape of conglomerates</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making them ‘too big to fail’. </w:t>
      </w:r>
      <w:r w:rsidR="002125C8" w:rsidRPr="00C06F1B">
        <w:rPr>
          <w:rFonts w:ascii="Times New Roman" w:hAnsi="Times New Roman" w:cs="Times New Roman"/>
          <w:color w:val="auto"/>
          <w:sz w:val="22"/>
          <w:szCs w:val="22"/>
        </w:rPr>
        <w:t>Because</w:t>
      </w:r>
      <w:r w:rsidRPr="00C06F1B">
        <w:rPr>
          <w:rFonts w:ascii="Times New Roman" w:hAnsi="Times New Roman" w:cs="Times New Roman"/>
          <w:color w:val="auto"/>
          <w:sz w:val="22"/>
          <w:szCs w:val="22"/>
        </w:rPr>
        <w:t xml:space="preserve"> financial institutions across the EU face different input costs</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exemption creates another distortion</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leaving the financial institutions with higher input costs uncompetitive. </w:t>
      </w:r>
    </w:p>
    <w:p w14:paraId="29955BAD" w14:textId="77777777" w:rsidR="00DF3F88" w:rsidRPr="00C06F1B" w:rsidRDefault="002B0FF9" w:rsidP="002B0FF9">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 </w:t>
      </w:r>
    </w:p>
    <w:p w14:paraId="61EABA56" w14:textId="4BBDDB04" w:rsidR="00347A8B" w:rsidRPr="00C06F1B" w:rsidRDefault="00DF3F88" w:rsidP="002B0FF9">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Another distortion identified by Schenk </w:t>
      </w:r>
      <w:r w:rsidR="0020479F" w:rsidRPr="00C06F1B">
        <w:rPr>
          <w:rFonts w:ascii="Times New Roman" w:hAnsi="Times New Roman" w:cs="Times New Roman"/>
          <w:color w:val="auto"/>
          <w:sz w:val="22"/>
          <w:szCs w:val="22"/>
        </w:rPr>
        <w:t>&amp;</w:t>
      </w:r>
      <w:r w:rsidRPr="00C06F1B">
        <w:rPr>
          <w:rFonts w:ascii="Times New Roman" w:hAnsi="Times New Roman" w:cs="Times New Roman"/>
          <w:color w:val="auto"/>
          <w:sz w:val="22"/>
          <w:szCs w:val="22"/>
        </w:rPr>
        <w:t xml:space="preserve"> Oldman (2007)</w:t>
      </w:r>
      <w:r w:rsidR="00F75532" w:rsidRPr="00C06F1B">
        <w:rPr>
          <w:rFonts w:ascii="Times New Roman" w:hAnsi="Times New Roman" w:cs="Times New Roman"/>
          <w:color w:val="auto"/>
          <w:sz w:val="22"/>
          <w:szCs w:val="22"/>
        </w:rPr>
        <w:t xml:space="preserve"> is</w:t>
      </w:r>
      <w:r w:rsidRPr="00C06F1B">
        <w:rPr>
          <w:rFonts w:ascii="Times New Roman" w:hAnsi="Times New Roman" w:cs="Times New Roman"/>
          <w:color w:val="auto"/>
          <w:sz w:val="22"/>
          <w:szCs w:val="22"/>
        </w:rPr>
        <w:t xml:space="preserve"> that exemption of financial services may encourage financial institutions to outsourc</w:t>
      </w:r>
      <w:r w:rsidR="00F75532" w:rsidRPr="00C06F1B">
        <w:rPr>
          <w:rFonts w:ascii="Times New Roman" w:hAnsi="Times New Roman" w:cs="Times New Roman"/>
          <w:color w:val="auto"/>
          <w:sz w:val="22"/>
          <w:szCs w:val="22"/>
        </w:rPr>
        <w:t>e</w:t>
      </w:r>
      <w:r w:rsidR="004B2CBF" w:rsidRPr="00C06F1B">
        <w:rPr>
          <w:rFonts w:ascii="Times New Roman" w:hAnsi="Times New Roman" w:cs="Times New Roman"/>
          <w:color w:val="auto"/>
          <w:sz w:val="22"/>
          <w:szCs w:val="22"/>
        </w:rPr>
        <w:t xml:space="preserve"> overseas</w:t>
      </w:r>
      <w:r w:rsidRPr="00C06F1B">
        <w:rPr>
          <w:rFonts w:ascii="Times New Roman" w:hAnsi="Times New Roman" w:cs="Times New Roman"/>
          <w:color w:val="auto"/>
          <w:sz w:val="22"/>
          <w:szCs w:val="22"/>
        </w:rPr>
        <w:t>, which is discrimination against domestic suppliers. They explain that if a financial institution obtains an exempted service within the EU, the cost may include some disallowed input VAT</w:t>
      </w:r>
      <w:r w:rsidR="00347A8B" w:rsidRPr="00C06F1B">
        <w:rPr>
          <w:rFonts w:ascii="Times New Roman" w:hAnsi="Times New Roman" w:cs="Times New Roman"/>
          <w:color w:val="auto"/>
          <w:sz w:val="22"/>
          <w:szCs w:val="22"/>
        </w:rPr>
        <w:t xml:space="preserve">. However, this is not the case if a service is imported from a country with zero-rating on the export of that service. </w:t>
      </w:r>
    </w:p>
    <w:p w14:paraId="04FB61D1" w14:textId="77777777" w:rsidR="00347A8B" w:rsidRPr="00C06F1B" w:rsidRDefault="00347A8B" w:rsidP="002B0FF9">
      <w:pPr>
        <w:pStyle w:val="Default"/>
        <w:spacing w:line="360" w:lineRule="auto"/>
        <w:jc w:val="both"/>
        <w:rPr>
          <w:rFonts w:ascii="Times New Roman" w:hAnsi="Times New Roman" w:cs="Times New Roman"/>
          <w:color w:val="auto"/>
          <w:sz w:val="22"/>
          <w:szCs w:val="22"/>
        </w:rPr>
      </w:pPr>
    </w:p>
    <w:p w14:paraId="3AE449F8" w14:textId="7EFD8981" w:rsidR="002B0FF9" w:rsidRPr="00C06F1B" w:rsidRDefault="002B0FF9" w:rsidP="002B0FF9">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One of the problems in taxing financial services identified by Benedict (2011) is the valuation issue. Apart from some technical problems involved in it, one factor that is desirable from </w:t>
      </w:r>
      <w:r w:rsidR="00F75532" w:rsidRPr="00C06F1B">
        <w:rPr>
          <w:rFonts w:ascii="Times New Roman" w:hAnsi="Times New Roman" w:cs="Times New Roman"/>
          <w:color w:val="auto"/>
          <w:sz w:val="22"/>
          <w:szCs w:val="22"/>
        </w:rPr>
        <w:t xml:space="preserve">the </w:t>
      </w:r>
      <w:r w:rsidRPr="00C06F1B">
        <w:rPr>
          <w:rFonts w:ascii="Times New Roman" w:hAnsi="Times New Roman" w:cs="Times New Roman"/>
          <w:color w:val="auto"/>
          <w:sz w:val="22"/>
          <w:szCs w:val="22"/>
        </w:rPr>
        <w:t xml:space="preserve">risk management point of view is the transparency of banks’ earnings. It is generally argued that the tax can be imposed on the interest rate spread and apportioned between </w:t>
      </w:r>
      <w:proofErr w:type="spellStart"/>
      <w:r w:rsidRPr="00C06F1B">
        <w:rPr>
          <w:rFonts w:ascii="Times New Roman" w:hAnsi="Times New Roman" w:cs="Times New Roman"/>
          <w:color w:val="auto"/>
          <w:sz w:val="22"/>
          <w:szCs w:val="22"/>
        </w:rPr>
        <w:t>transactors</w:t>
      </w:r>
      <w:proofErr w:type="spellEnd"/>
      <w:r w:rsidRPr="00C06F1B">
        <w:rPr>
          <w:rFonts w:ascii="Times New Roman" w:hAnsi="Times New Roman" w:cs="Times New Roman"/>
          <w:color w:val="auto"/>
          <w:sz w:val="22"/>
          <w:szCs w:val="22"/>
        </w:rPr>
        <w:t xml:space="preserve"> (customers of lending and borrowing). This valuation process would result in a transparency of the margins</w:t>
      </w:r>
      <w:r w:rsidR="00F75532"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not only for the revenue authorities </w:t>
      </w:r>
      <w:r w:rsidR="000C7BC7" w:rsidRPr="00C06F1B">
        <w:rPr>
          <w:rFonts w:ascii="Times New Roman" w:hAnsi="Times New Roman" w:cs="Times New Roman"/>
          <w:color w:val="auto"/>
          <w:sz w:val="22"/>
          <w:szCs w:val="22"/>
        </w:rPr>
        <w:t xml:space="preserve">but </w:t>
      </w:r>
      <w:r w:rsidRPr="00C06F1B">
        <w:rPr>
          <w:rFonts w:ascii="Times New Roman" w:hAnsi="Times New Roman" w:cs="Times New Roman"/>
          <w:color w:val="auto"/>
          <w:sz w:val="22"/>
          <w:szCs w:val="22"/>
        </w:rPr>
        <w:t xml:space="preserve">also </w:t>
      </w:r>
      <w:r w:rsidR="00F75532" w:rsidRPr="00C06F1B">
        <w:rPr>
          <w:rFonts w:ascii="Times New Roman" w:hAnsi="Times New Roman" w:cs="Times New Roman"/>
          <w:color w:val="auto"/>
          <w:sz w:val="22"/>
          <w:szCs w:val="22"/>
        </w:rPr>
        <w:t>for</w:t>
      </w:r>
      <w:r w:rsidRPr="00C06F1B">
        <w:rPr>
          <w:rFonts w:ascii="Times New Roman" w:hAnsi="Times New Roman" w:cs="Times New Roman"/>
          <w:color w:val="auto"/>
          <w:sz w:val="22"/>
          <w:szCs w:val="22"/>
        </w:rPr>
        <w:t xml:space="preserve"> the public at large. This </w:t>
      </w:r>
      <w:r w:rsidR="00F75532" w:rsidRPr="00C06F1B">
        <w:rPr>
          <w:rFonts w:ascii="Times New Roman" w:hAnsi="Times New Roman" w:cs="Times New Roman"/>
          <w:color w:val="auto"/>
          <w:sz w:val="22"/>
          <w:szCs w:val="22"/>
        </w:rPr>
        <w:t xml:space="preserve">would </w:t>
      </w:r>
      <w:r w:rsidRPr="00C06F1B">
        <w:rPr>
          <w:rFonts w:ascii="Times New Roman" w:hAnsi="Times New Roman" w:cs="Times New Roman"/>
          <w:color w:val="auto"/>
          <w:sz w:val="22"/>
          <w:szCs w:val="22"/>
        </w:rPr>
        <w:t xml:space="preserve">reduce the information asymmetries, </w:t>
      </w:r>
      <w:r w:rsidRPr="00C06F1B">
        <w:rPr>
          <w:rFonts w:ascii="Times New Roman" w:hAnsi="Times New Roman" w:cs="Times New Roman"/>
          <w:color w:val="auto"/>
          <w:sz w:val="22"/>
          <w:szCs w:val="22"/>
        </w:rPr>
        <w:lastRenderedPageBreak/>
        <w:t xml:space="preserve">which </w:t>
      </w:r>
      <w:r w:rsidR="00F75532" w:rsidRPr="00C06F1B">
        <w:rPr>
          <w:rFonts w:ascii="Times New Roman" w:hAnsi="Times New Roman" w:cs="Times New Roman"/>
          <w:color w:val="auto"/>
          <w:sz w:val="22"/>
          <w:szCs w:val="22"/>
        </w:rPr>
        <w:t>are</w:t>
      </w:r>
      <w:r w:rsidRPr="00C06F1B">
        <w:rPr>
          <w:rFonts w:ascii="Times New Roman" w:hAnsi="Times New Roman" w:cs="Times New Roman"/>
          <w:color w:val="auto"/>
          <w:sz w:val="22"/>
          <w:szCs w:val="22"/>
        </w:rPr>
        <w:t xml:space="preserve"> considered</w:t>
      </w:r>
      <w:r w:rsidR="00F75532" w:rsidRPr="00C06F1B">
        <w:rPr>
          <w:rFonts w:ascii="Times New Roman" w:hAnsi="Times New Roman" w:cs="Times New Roman"/>
          <w:color w:val="auto"/>
          <w:sz w:val="22"/>
          <w:szCs w:val="22"/>
        </w:rPr>
        <w:t xml:space="preserve"> to have been</w:t>
      </w:r>
      <w:r w:rsidRPr="00C06F1B">
        <w:rPr>
          <w:rFonts w:ascii="Times New Roman" w:hAnsi="Times New Roman" w:cs="Times New Roman"/>
          <w:color w:val="auto"/>
          <w:sz w:val="22"/>
          <w:szCs w:val="22"/>
        </w:rPr>
        <w:t xml:space="preserve"> one of the causes of the crisis. </w:t>
      </w:r>
    </w:p>
    <w:p w14:paraId="2C83A418" w14:textId="77777777" w:rsidR="002B0FF9" w:rsidRPr="00E7515A" w:rsidRDefault="002B0FF9" w:rsidP="002B0FF9">
      <w:pPr>
        <w:pStyle w:val="Default"/>
        <w:spacing w:line="360" w:lineRule="auto"/>
        <w:jc w:val="both"/>
        <w:rPr>
          <w:rFonts w:ascii="Times New Roman" w:hAnsi="Times New Roman" w:cs="Times New Roman"/>
          <w:color w:val="auto"/>
          <w:sz w:val="22"/>
          <w:szCs w:val="22"/>
        </w:rPr>
      </w:pPr>
    </w:p>
    <w:p w14:paraId="2E5A2F3F" w14:textId="147E538B" w:rsidR="002B0FF9" w:rsidRPr="00C06F1B" w:rsidRDefault="002B0FF9" w:rsidP="002B0FF9">
      <w:pPr>
        <w:pStyle w:val="Default"/>
        <w:spacing w:line="360" w:lineRule="auto"/>
        <w:jc w:val="both"/>
        <w:rPr>
          <w:rFonts w:ascii="Times New Roman" w:hAnsi="Times New Roman" w:cs="Times New Roman"/>
          <w:color w:val="auto"/>
          <w:sz w:val="22"/>
          <w:szCs w:val="22"/>
        </w:rPr>
      </w:pPr>
      <w:bookmarkStart w:id="1" w:name="OLE_LINK1"/>
      <w:bookmarkStart w:id="2" w:name="OLE_LINK2"/>
      <w:r w:rsidRPr="00C06F1B">
        <w:rPr>
          <w:rFonts w:ascii="Times New Roman" w:hAnsi="Times New Roman" w:cs="Times New Roman"/>
          <w:color w:val="auto"/>
          <w:sz w:val="22"/>
          <w:szCs w:val="22"/>
        </w:rPr>
        <w:t xml:space="preserve">The removal of exemption on financial services </w:t>
      </w:r>
      <w:r w:rsidR="00C3436F" w:rsidRPr="00C06F1B">
        <w:rPr>
          <w:rFonts w:ascii="Times New Roman" w:hAnsi="Times New Roman" w:cs="Times New Roman"/>
          <w:color w:val="auto"/>
          <w:sz w:val="22"/>
          <w:szCs w:val="22"/>
        </w:rPr>
        <w:t xml:space="preserve">would </w:t>
      </w:r>
      <w:r w:rsidRPr="00C06F1B">
        <w:rPr>
          <w:rFonts w:ascii="Times New Roman" w:hAnsi="Times New Roman" w:cs="Times New Roman"/>
          <w:color w:val="auto"/>
          <w:sz w:val="22"/>
          <w:szCs w:val="22"/>
        </w:rPr>
        <w:t>mean that banks</w:t>
      </w:r>
      <w:r w:rsidR="006B53E0"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20% (in </w:t>
      </w:r>
      <w:r w:rsidR="006B53E0" w:rsidRPr="00C06F1B">
        <w:rPr>
          <w:rFonts w:ascii="Times New Roman" w:hAnsi="Times New Roman" w:cs="Times New Roman"/>
          <w:color w:val="auto"/>
          <w:sz w:val="22"/>
          <w:szCs w:val="22"/>
        </w:rPr>
        <w:t xml:space="preserve">the </w:t>
      </w:r>
      <w:r w:rsidRPr="00C06F1B">
        <w:rPr>
          <w:rFonts w:ascii="Times New Roman" w:hAnsi="Times New Roman" w:cs="Times New Roman"/>
          <w:color w:val="auto"/>
          <w:sz w:val="22"/>
          <w:szCs w:val="22"/>
        </w:rPr>
        <w:t xml:space="preserve">case of </w:t>
      </w:r>
      <w:r w:rsidR="006B53E0" w:rsidRPr="00C06F1B">
        <w:rPr>
          <w:rFonts w:ascii="Times New Roman" w:hAnsi="Times New Roman" w:cs="Times New Roman"/>
          <w:color w:val="auto"/>
          <w:sz w:val="22"/>
          <w:szCs w:val="22"/>
        </w:rPr>
        <w:t xml:space="preserve">the </w:t>
      </w:r>
      <w:r w:rsidRPr="00C06F1B">
        <w:rPr>
          <w:rFonts w:ascii="Times New Roman" w:hAnsi="Times New Roman" w:cs="Times New Roman"/>
          <w:color w:val="auto"/>
          <w:sz w:val="22"/>
          <w:szCs w:val="22"/>
        </w:rPr>
        <w:t xml:space="preserve">UK) tax on financial products and services </w:t>
      </w:r>
      <w:r w:rsidR="00C3436F" w:rsidRPr="00C06F1B">
        <w:rPr>
          <w:rFonts w:ascii="Times New Roman" w:hAnsi="Times New Roman" w:cs="Times New Roman"/>
          <w:color w:val="auto"/>
          <w:sz w:val="22"/>
          <w:szCs w:val="22"/>
        </w:rPr>
        <w:t xml:space="preserve">would </w:t>
      </w:r>
      <w:r w:rsidRPr="00C06F1B">
        <w:rPr>
          <w:rFonts w:ascii="Times New Roman" w:hAnsi="Times New Roman" w:cs="Times New Roman"/>
          <w:color w:val="auto"/>
          <w:sz w:val="22"/>
          <w:szCs w:val="22"/>
        </w:rPr>
        <w:t xml:space="preserve">be paid by consumers, and banks would be allowed to reclaim VAT on inputs, </w:t>
      </w:r>
      <w:r w:rsidR="00C3436F" w:rsidRPr="00C06F1B">
        <w:rPr>
          <w:rFonts w:ascii="Times New Roman" w:hAnsi="Times New Roman" w:cs="Times New Roman"/>
          <w:color w:val="auto"/>
          <w:sz w:val="22"/>
          <w:szCs w:val="22"/>
        </w:rPr>
        <w:t>which</w:t>
      </w:r>
      <w:r w:rsidRPr="00C06F1B">
        <w:rPr>
          <w:rFonts w:ascii="Times New Roman" w:hAnsi="Times New Roman" w:cs="Times New Roman"/>
          <w:color w:val="auto"/>
          <w:sz w:val="22"/>
          <w:szCs w:val="22"/>
        </w:rPr>
        <w:t xml:space="preserve"> would reduce their costs. </w:t>
      </w:r>
      <w:r w:rsidR="00C3436F" w:rsidRPr="00C06F1B">
        <w:rPr>
          <w:rFonts w:ascii="Times New Roman" w:hAnsi="Times New Roman" w:cs="Times New Roman"/>
          <w:color w:val="auto"/>
          <w:sz w:val="22"/>
          <w:szCs w:val="22"/>
        </w:rPr>
        <w:t xml:space="preserve">It </w:t>
      </w:r>
      <w:r w:rsidRPr="00C06F1B">
        <w:rPr>
          <w:rFonts w:ascii="Times New Roman" w:hAnsi="Times New Roman" w:cs="Times New Roman"/>
          <w:color w:val="auto"/>
          <w:sz w:val="22"/>
          <w:szCs w:val="22"/>
        </w:rPr>
        <w:t xml:space="preserve">would also increase revenue for the government. The only affected party in </w:t>
      </w:r>
      <w:r w:rsidR="00C3436F" w:rsidRPr="00C06F1B">
        <w:rPr>
          <w:rFonts w:ascii="Times New Roman" w:hAnsi="Times New Roman" w:cs="Times New Roman"/>
          <w:color w:val="auto"/>
          <w:sz w:val="22"/>
          <w:szCs w:val="22"/>
        </w:rPr>
        <w:t xml:space="preserve">the </w:t>
      </w:r>
      <w:r w:rsidRPr="00C06F1B">
        <w:rPr>
          <w:rFonts w:ascii="Times New Roman" w:hAnsi="Times New Roman" w:cs="Times New Roman"/>
          <w:color w:val="auto"/>
          <w:sz w:val="22"/>
          <w:szCs w:val="22"/>
        </w:rPr>
        <w:t xml:space="preserve">case of removal of exemption </w:t>
      </w:r>
      <w:r w:rsidR="00C3436F" w:rsidRPr="00C06F1B">
        <w:rPr>
          <w:rFonts w:ascii="Times New Roman" w:hAnsi="Times New Roman" w:cs="Times New Roman"/>
          <w:color w:val="auto"/>
          <w:sz w:val="22"/>
          <w:szCs w:val="22"/>
        </w:rPr>
        <w:t>from</w:t>
      </w:r>
      <w:r w:rsidRPr="00C06F1B">
        <w:rPr>
          <w:rFonts w:ascii="Times New Roman" w:hAnsi="Times New Roman" w:cs="Times New Roman"/>
          <w:color w:val="auto"/>
          <w:sz w:val="22"/>
          <w:szCs w:val="22"/>
        </w:rPr>
        <w:t xml:space="preserve"> VAT </w:t>
      </w:r>
      <w:r w:rsidR="00C3436F" w:rsidRPr="00C06F1B">
        <w:rPr>
          <w:rFonts w:ascii="Times New Roman" w:hAnsi="Times New Roman" w:cs="Times New Roman"/>
          <w:color w:val="auto"/>
          <w:sz w:val="22"/>
          <w:szCs w:val="22"/>
        </w:rPr>
        <w:t xml:space="preserve">would be </w:t>
      </w:r>
      <w:r w:rsidRPr="00C06F1B">
        <w:rPr>
          <w:rFonts w:ascii="Times New Roman" w:hAnsi="Times New Roman" w:cs="Times New Roman"/>
          <w:color w:val="auto"/>
          <w:sz w:val="22"/>
          <w:szCs w:val="22"/>
        </w:rPr>
        <w:t>the consumers. It might</w:t>
      </w:r>
      <w:r w:rsidR="003B2F2B" w:rsidRPr="00C06F1B">
        <w:rPr>
          <w:rFonts w:ascii="Times New Roman" w:hAnsi="Times New Roman" w:cs="Times New Roman"/>
          <w:color w:val="auto"/>
          <w:sz w:val="22"/>
          <w:szCs w:val="22"/>
        </w:rPr>
        <w:t xml:space="preserve"> </w:t>
      </w:r>
      <w:r w:rsidRPr="00C06F1B">
        <w:rPr>
          <w:rFonts w:ascii="Times New Roman" w:hAnsi="Times New Roman" w:cs="Times New Roman"/>
          <w:color w:val="auto"/>
          <w:sz w:val="22"/>
          <w:szCs w:val="22"/>
        </w:rPr>
        <w:t xml:space="preserve">also improve efficiency because consumers </w:t>
      </w:r>
      <w:r w:rsidR="00C3436F" w:rsidRPr="00C06F1B">
        <w:rPr>
          <w:rFonts w:ascii="Times New Roman" w:hAnsi="Times New Roman" w:cs="Times New Roman"/>
          <w:color w:val="auto"/>
          <w:sz w:val="22"/>
          <w:szCs w:val="22"/>
        </w:rPr>
        <w:t xml:space="preserve">would </w:t>
      </w:r>
      <w:r w:rsidR="00517B8A" w:rsidRPr="00C06F1B">
        <w:rPr>
          <w:rFonts w:ascii="Times New Roman" w:hAnsi="Times New Roman" w:cs="Times New Roman"/>
          <w:color w:val="auto"/>
          <w:sz w:val="22"/>
          <w:szCs w:val="22"/>
        </w:rPr>
        <w:t>be discouraged from over-consuming</w:t>
      </w:r>
      <w:r w:rsidRPr="00C06F1B">
        <w:rPr>
          <w:rFonts w:ascii="Times New Roman" w:hAnsi="Times New Roman" w:cs="Times New Roman"/>
          <w:color w:val="auto"/>
          <w:sz w:val="22"/>
          <w:szCs w:val="22"/>
        </w:rPr>
        <w:t xml:space="preserve"> financial services. </w:t>
      </w:r>
      <w:r w:rsidR="00517B8A" w:rsidRPr="00C06F1B">
        <w:rPr>
          <w:rFonts w:ascii="Times New Roman" w:hAnsi="Times New Roman" w:cs="Times New Roman"/>
          <w:color w:val="auto"/>
          <w:sz w:val="22"/>
          <w:szCs w:val="22"/>
        </w:rPr>
        <w:t>Z</w:t>
      </w:r>
      <w:r w:rsidRPr="00C06F1B">
        <w:rPr>
          <w:rFonts w:ascii="Times New Roman" w:hAnsi="Times New Roman" w:cs="Times New Roman"/>
          <w:color w:val="auto"/>
          <w:sz w:val="22"/>
          <w:szCs w:val="22"/>
        </w:rPr>
        <w:t>ero rating of financial services</w:t>
      </w:r>
      <w:r w:rsidR="00517B8A" w:rsidRPr="00C06F1B">
        <w:rPr>
          <w:rFonts w:ascii="Times New Roman" w:hAnsi="Times New Roman" w:cs="Times New Roman"/>
          <w:color w:val="auto"/>
          <w:sz w:val="22"/>
          <w:szCs w:val="22"/>
        </w:rPr>
        <w:t xml:space="preserve"> reduces VAT revenue, but there will be some compensation from increased tax revenue from increased profitability of the banks.</w:t>
      </w:r>
      <w:r w:rsidR="002335A8" w:rsidRPr="00C06F1B">
        <w:rPr>
          <w:rFonts w:ascii="Times New Roman" w:hAnsi="Times New Roman" w:cs="Times New Roman"/>
          <w:color w:val="auto"/>
          <w:sz w:val="22"/>
          <w:szCs w:val="22"/>
        </w:rPr>
        <w:t xml:space="preserve"> </w:t>
      </w:r>
    </w:p>
    <w:p w14:paraId="54D352EF" w14:textId="77777777" w:rsidR="002B0FF9" w:rsidRPr="00C06F1B" w:rsidRDefault="002B0FF9" w:rsidP="002B0FF9">
      <w:pPr>
        <w:pStyle w:val="Default"/>
        <w:spacing w:line="360" w:lineRule="auto"/>
        <w:jc w:val="both"/>
        <w:rPr>
          <w:rFonts w:ascii="Times New Roman" w:hAnsi="Times New Roman" w:cs="Times New Roman"/>
          <w:color w:val="auto"/>
          <w:sz w:val="22"/>
          <w:szCs w:val="22"/>
        </w:rPr>
      </w:pPr>
    </w:p>
    <w:p w14:paraId="4A218CDD" w14:textId="13DAA57D" w:rsidR="002B0FF9" w:rsidRPr="00C06F1B" w:rsidRDefault="002B0FF9" w:rsidP="002B0FF9">
      <w:pPr>
        <w:pStyle w:val="Default"/>
        <w:spacing w:line="360" w:lineRule="auto"/>
        <w:jc w:val="both"/>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It is important to segregate financial services into fee-based services and margin-based services </w:t>
      </w:r>
      <w:r w:rsidR="00C3436F" w:rsidRPr="00C06F1B">
        <w:rPr>
          <w:rFonts w:ascii="Times New Roman" w:hAnsi="Times New Roman" w:cs="Times New Roman"/>
          <w:color w:val="auto"/>
          <w:sz w:val="22"/>
          <w:szCs w:val="22"/>
        </w:rPr>
        <w:t xml:space="preserve">when </w:t>
      </w:r>
      <w:r w:rsidRPr="00C06F1B">
        <w:rPr>
          <w:rFonts w:ascii="Times New Roman" w:hAnsi="Times New Roman" w:cs="Times New Roman"/>
          <w:color w:val="auto"/>
          <w:sz w:val="22"/>
          <w:szCs w:val="22"/>
        </w:rPr>
        <w:t xml:space="preserve">removing VAT exemption on </w:t>
      </w:r>
      <w:r w:rsidR="00526701" w:rsidRPr="00C06F1B">
        <w:rPr>
          <w:rFonts w:ascii="Times New Roman" w:hAnsi="Times New Roman" w:cs="Times New Roman"/>
          <w:color w:val="auto"/>
          <w:sz w:val="22"/>
          <w:szCs w:val="22"/>
        </w:rPr>
        <w:t>them</w:t>
      </w:r>
      <w:r w:rsidRPr="00C06F1B">
        <w:rPr>
          <w:rFonts w:ascii="Times New Roman" w:hAnsi="Times New Roman" w:cs="Times New Roman"/>
          <w:color w:val="auto"/>
          <w:sz w:val="22"/>
          <w:szCs w:val="22"/>
        </w:rPr>
        <w:t>. Fee-based services can be categorized as a luxury</w:t>
      </w:r>
      <w:r w:rsidR="00C3436F"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w:t>
      </w:r>
      <w:r w:rsidR="00C3436F" w:rsidRPr="00C06F1B">
        <w:rPr>
          <w:rFonts w:ascii="Times New Roman" w:hAnsi="Times New Roman" w:cs="Times New Roman"/>
          <w:color w:val="auto"/>
          <w:sz w:val="22"/>
          <w:szCs w:val="22"/>
        </w:rPr>
        <w:t xml:space="preserve">with </w:t>
      </w:r>
      <w:r w:rsidRPr="00C06F1B">
        <w:rPr>
          <w:rFonts w:ascii="Times New Roman" w:hAnsi="Times New Roman" w:cs="Times New Roman"/>
          <w:color w:val="auto"/>
          <w:sz w:val="22"/>
          <w:szCs w:val="22"/>
        </w:rPr>
        <w:t xml:space="preserve">margin-based services as a necessity. </w:t>
      </w:r>
      <w:r w:rsidR="00C3436F" w:rsidRPr="00C06F1B">
        <w:rPr>
          <w:rFonts w:ascii="Times New Roman" w:hAnsi="Times New Roman" w:cs="Times New Roman"/>
          <w:color w:val="auto"/>
          <w:sz w:val="22"/>
          <w:szCs w:val="22"/>
        </w:rPr>
        <w:t>Therefore</w:t>
      </w:r>
      <w:r w:rsidRPr="00C06F1B">
        <w:rPr>
          <w:rFonts w:ascii="Times New Roman" w:hAnsi="Times New Roman" w:cs="Times New Roman"/>
          <w:color w:val="auto"/>
          <w:sz w:val="22"/>
          <w:szCs w:val="22"/>
        </w:rPr>
        <w:t>, tax on such services should be levied based on their elasticity of demand. We argued above</w:t>
      </w:r>
      <w:r w:rsidR="00C3436F" w:rsidRPr="00C06F1B">
        <w:rPr>
          <w:rFonts w:ascii="Times New Roman" w:hAnsi="Times New Roman" w:cs="Times New Roman"/>
          <w:color w:val="auto"/>
          <w:sz w:val="22"/>
          <w:szCs w:val="22"/>
        </w:rPr>
        <w:t xml:space="preserve"> that</w:t>
      </w:r>
      <w:r w:rsidRPr="00C06F1B">
        <w:rPr>
          <w:rFonts w:ascii="Times New Roman" w:hAnsi="Times New Roman" w:cs="Times New Roman"/>
          <w:color w:val="auto"/>
          <w:sz w:val="22"/>
          <w:szCs w:val="22"/>
        </w:rPr>
        <w:t xml:space="preserve"> </w:t>
      </w:r>
      <w:r w:rsidR="0044532C" w:rsidRPr="00C06F1B">
        <w:rPr>
          <w:rFonts w:ascii="Times New Roman" w:hAnsi="Times New Roman" w:cs="Times New Roman"/>
          <w:color w:val="auto"/>
          <w:sz w:val="22"/>
          <w:szCs w:val="22"/>
        </w:rPr>
        <w:t>raising e</w:t>
      </w:r>
      <w:r w:rsidRPr="00C06F1B">
        <w:rPr>
          <w:rFonts w:ascii="Times New Roman" w:hAnsi="Times New Roman" w:cs="Times New Roman"/>
          <w:color w:val="auto"/>
          <w:sz w:val="22"/>
          <w:szCs w:val="22"/>
        </w:rPr>
        <w:t>quity w</w:t>
      </w:r>
      <w:r w:rsidR="0044532C" w:rsidRPr="00C06F1B">
        <w:rPr>
          <w:rFonts w:ascii="Times New Roman" w:hAnsi="Times New Roman" w:cs="Times New Roman"/>
          <w:color w:val="auto"/>
          <w:sz w:val="22"/>
          <w:szCs w:val="22"/>
        </w:rPr>
        <w:t>ould</w:t>
      </w:r>
      <w:r w:rsidRPr="00C06F1B">
        <w:rPr>
          <w:rFonts w:ascii="Times New Roman" w:hAnsi="Times New Roman" w:cs="Times New Roman"/>
          <w:color w:val="auto"/>
          <w:sz w:val="22"/>
          <w:szCs w:val="22"/>
        </w:rPr>
        <w:t xml:space="preserve"> increase the cost of lending </w:t>
      </w:r>
      <w:r w:rsidR="0044532C" w:rsidRPr="00C06F1B">
        <w:rPr>
          <w:rFonts w:ascii="Times New Roman" w:hAnsi="Times New Roman" w:cs="Times New Roman"/>
          <w:color w:val="auto"/>
          <w:sz w:val="22"/>
          <w:szCs w:val="22"/>
        </w:rPr>
        <w:t xml:space="preserve">for smaller banks </w:t>
      </w:r>
      <w:r w:rsidRPr="00C06F1B">
        <w:rPr>
          <w:rFonts w:ascii="Times New Roman" w:hAnsi="Times New Roman" w:cs="Times New Roman"/>
          <w:color w:val="auto"/>
          <w:sz w:val="22"/>
          <w:szCs w:val="22"/>
        </w:rPr>
        <w:t>and hence will unfavourably impact the</w:t>
      </w:r>
      <w:r w:rsidR="0044532C" w:rsidRPr="00C06F1B">
        <w:rPr>
          <w:rFonts w:ascii="Times New Roman" w:hAnsi="Times New Roman" w:cs="Times New Roman"/>
          <w:color w:val="auto"/>
          <w:sz w:val="22"/>
          <w:szCs w:val="22"/>
        </w:rPr>
        <w:t xml:space="preserve">m and </w:t>
      </w:r>
      <w:r w:rsidRPr="00C06F1B">
        <w:rPr>
          <w:rFonts w:ascii="Times New Roman" w:hAnsi="Times New Roman" w:cs="Times New Roman"/>
          <w:color w:val="auto"/>
          <w:sz w:val="22"/>
          <w:szCs w:val="22"/>
        </w:rPr>
        <w:t>leaving the</w:t>
      </w:r>
      <w:r w:rsidR="0044532C" w:rsidRPr="00C06F1B">
        <w:rPr>
          <w:rFonts w:ascii="Times New Roman" w:hAnsi="Times New Roman" w:cs="Times New Roman"/>
          <w:color w:val="auto"/>
          <w:sz w:val="22"/>
          <w:szCs w:val="22"/>
        </w:rPr>
        <w:t>m</w:t>
      </w:r>
      <w:r w:rsidRPr="00C06F1B">
        <w:rPr>
          <w:rFonts w:ascii="Times New Roman" w:hAnsi="Times New Roman" w:cs="Times New Roman"/>
          <w:color w:val="auto"/>
          <w:sz w:val="22"/>
          <w:szCs w:val="22"/>
        </w:rPr>
        <w:t xml:space="preserve"> </w:t>
      </w:r>
      <w:r w:rsidR="0044532C" w:rsidRPr="00C06F1B">
        <w:rPr>
          <w:rFonts w:ascii="Times New Roman" w:hAnsi="Times New Roman" w:cs="Times New Roman"/>
          <w:color w:val="auto"/>
          <w:sz w:val="22"/>
          <w:szCs w:val="22"/>
        </w:rPr>
        <w:t>a</w:t>
      </w:r>
      <w:r w:rsidRPr="00C06F1B">
        <w:rPr>
          <w:rFonts w:ascii="Times New Roman" w:hAnsi="Times New Roman" w:cs="Times New Roman"/>
          <w:color w:val="auto"/>
          <w:sz w:val="22"/>
          <w:szCs w:val="22"/>
        </w:rPr>
        <w:t>t</w:t>
      </w:r>
      <w:r w:rsidR="00526701" w:rsidRPr="00C06F1B">
        <w:rPr>
          <w:rFonts w:ascii="Times New Roman" w:hAnsi="Times New Roman" w:cs="Times New Roman"/>
          <w:color w:val="auto"/>
          <w:sz w:val="22"/>
          <w:szCs w:val="22"/>
        </w:rPr>
        <w:t xml:space="preserve"> </w:t>
      </w:r>
      <w:r w:rsidRPr="00C06F1B">
        <w:rPr>
          <w:rFonts w:ascii="Times New Roman" w:hAnsi="Times New Roman" w:cs="Times New Roman"/>
          <w:color w:val="auto"/>
          <w:sz w:val="22"/>
          <w:szCs w:val="22"/>
        </w:rPr>
        <w:t xml:space="preserve">disadvantage. However, the removal of exemption of VAT </w:t>
      </w:r>
      <w:r w:rsidR="00C3436F" w:rsidRPr="00C06F1B">
        <w:rPr>
          <w:rFonts w:ascii="Times New Roman" w:hAnsi="Times New Roman" w:cs="Times New Roman"/>
          <w:color w:val="auto"/>
          <w:sz w:val="22"/>
          <w:szCs w:val="22"/>
        </w:rPr>
        <w:t xml:space="preserve">would </w:t>
      </w:r>
      <w:r w:rsidRPr="00C06F1B">
        <w:rPr>
          <w:rFonts w:ascii="Times New Roman" w:hAnsi="Times New Roman" w:cs="Times New Roman"/>
          <w:color w:val="auto"/>
          <w:sz w:val="22"/>
          <w:szCs w:val="22"/>
        </w:rPr>
        <w:t>decrease the undue pressure on banks and give them a level playing field</w:t>
      </w:r>
      <w:r w:rsidR="00C3436F"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similar to other companies. </w:t>
      </w:r>
      <w:r w:rsidR="00E0081D" w:rsidRPr="00C06F1B">
        <w:rPr>
          <w:rFonts w:ascii="Times New Roman" w:hAnsi="Times New Roman" w:cs="Times New Roman"/>
          <w:color w:val="auto"/>
          <w:sz w:val="22"/>
          <w:szCs w:val="22"/>
        </w:rPr>
        <w:t xml:space="preserve">As highlighted by </w:t>
      </w:r>
      <w:proofErr w:type="spellStart"/>
      <w:r w:rsidR="008703AA" w:rsidRPr="00C06F1B">
        <w:rPr>
          <w:rFonts w:ascii="Times New Roman" w:hAnsi="Times New Roman" w:cs="Times New Roman"/>
          <w:color w:val="auto"/>
          <w:sz w:val="22"/>
          <w:szCs w:val="22"/>
        </w:rPr>
        <w:t>Mishkin</w:t>
      </w:r>
      <w:proofErr w:type="spellEnd"/>
      <w:r w:rsidR="008703AA" w:rsidRPr="00C06F1B">
        <w:rPr>
          <w:rFonts w:ascii="Times New Roman" w:hAnsi="Times New Roman" w:cs="Times New Roman"/>
          <w:color w:val="auto"/>
          <w:sz w:val="22"/>
          <w:szCs w:val="22"/>
        </w:rPr>
        <w:t xml:space="preserve"> (2012)</w:t>
      </w:r>
      <w:r w:rsidR="00C3436F" w:rsidRPr="00C06F1B">
        <w:rPr>
          <w:rFonts w:ascii="Times New Roman" w:hAnsi="Times New Roman" w:cs="Times New Roman"/>
          <w:color w:val="auto"/>
          <w:sz w:val="22"/>
          <w:szCs w:val="22"/>
        </w:rPr>
        <w:t>,</w:t>
      </w:r>
      <w:r w:rsidR="00E0081D" w:rsidRPr="00C06F1B">
        <w:rPr>
          <w:rFonts w:ascii="Times New Roman" w:hAnsi="Times New Roman" w:cs="Times New Roman"/>
          <w:color w:val="auto"/>
          <w:sz w:val="22"/>
          <w:szCs w:val="22"/>
        </w:rPr>
        <w:t xml:space="preserve"> </w:t>
      </w:r>
      <w:r w:rsidR="008703AA" w:rsidRPr="00C06F1B">
        <w:rPr>
          <w:rFonts w:ascii="Times New Roman" w:hAnsi="Times New Roman" w:cs="Times New Roman"/>
          <w:color w:val="auto"/>
          <w:sz w:val="22"/>
          <w:szCs w:val="22"/>
        </w:rPr>
        <w:t xml:space="preserve">increased competition, resulting from </w:t>
      </w:r>
      <w:r w:rsidR="00C3436F" w:rsidRPr="00C06F1B">
        <w:rPr>
          <w:rFonts w:ascii="Times New Roman" w:hAnsi="Times New Roman" w:cs="Times New Roman"/>
          <w:color w:val="auto"/>
          <w:sz w:val="22"/>
          <w:szCs w:val="22"/>
        </w:rPr>
        <w:t xml:space="preserve">the </w:t>
      </w:r>
      <w:r w:rsidR="008703AA" w:rsidRPr="00C06F1B">
        <w:rPr>
          <w:rFonts w:ascii="Times New Roman" w:hAnsi="Times New Roman" w:cs="Times New Roman"/>
          <w:color w:val="auto"/>
          <w:sz w:val="22"/>
          <w:szCs w:val="22"/>
        </w:rPr>
        <w:t xml:space="preserve">financial innovation that decreased the profitability of banks, </w:t>
      </w:r>
      <w:r w:rsidR="00124516" w:rsidRPr="00C06F1B">
        <w:rPr>
          <w:rFonts w:ascii="Times New Roman" w:hAnsi="Times New Roman" w:cs="Times New Roman"/>
          <w:color w:val="auto"/>
          <w:sz w:val="22"/>
          <w:szCs w:val="22"/>
        </w:rPr>
        <w:t xml:space="preserve">may have encouraged the </w:t>
      </w:r>
      <w:r w:rsidR="008703AA" w:rsidRPr="00C06F1B">
        <w:rPr>
          <w:rFonts w:ascii="Times New Roman" w:hAnsi="Times New Roman" w:cs="Times New Roman"/>
          <w:color w:val="auto"/>
          <w:sz w:val="22"/>
          <w:szCs w:val="22"/>
        </w:rPr>
        <w:t xml:space="preserve">excessive risk taking by banks </w:t>
      </w:r>
      <w:r w:rsidR="00C3436F" w:rsidRPr="00C06F1B">
        <w:rPr>
          <w:rFonts w:ascii="Times New Roman" w:hAnsi="Times New Roman" w:cs="Times New Roman"/>
          <w:color w:val="auto"/>
          <w:sz w:val="22"/>
          <w:szCs w:val="22"/>
        </w:rPr>
        <w:t xml:space="preserve">which </w:t>
      </w:r>
      <w:r w:rsidR="008703AA" w:rsidRPr="00C06F1B">
        <w:rPr>
          <w:rFonts w:ascii="Times New Roman" w:hAnsi="Times New Roman" w:cs="Times New Roman"/>
          <w:color w:val="auto"/>
          <w:sz w:val="22"/>
          <w:szCs w:val="22"/>
        </w:rPr>
        <w:t>le</w:t>
      </w:r>
      <w:r w:rsidR="00C3436F" w:rsidRPr="00C06F1B">
        <w:rPr>
          <w:rFonts w:ascii="Times New Roman" w:hAnsi="Times New Roman" w:cs="Times New Roman"/>
          <w:color w:val="auto"/>
          <w:sz w:val="22"/>
          <w:szCs w:val="22"/>
        </w:rPr>
        <w:t>d</w:t>
      </w:r>
      <w:r w:rsidR="008703AA" w:rsidRPr="00C06F1B">
        <w:rPr>
          <w:rFonts w:ascii="Times New Roman" w:hAnsi="Times New Roman" w:cs="Times New Roman"/>
          <w:color w:val="auto"/>
          <w:sz w:val="22"/>
          <w:szCs w:val="22"/>
        </w:rPr>
        <w:t xml:space="preserve"> to the crisis. </w:t>
      </w:r>
      <w:r w:rsidRPr="00C06F1B">
        <w:rPr>
          <w:rFonts w:ascii="Times New Roman" w:hAnsi="Times New Roman" w:cs="Times New Roman"/>
          <w:color w:val="auto"/>
          <w:sz w:val="22"/>
          <w:szCs w:val="22"/>
        </w:rPr>
        <w:t>We therefore support</w:t>
      </w:r>
      <w:r w:rsidR="007946CC" w:rsidRPr="00C06F1B">
        <w:rPr>
          <w:rFonts w:ascii="Times New Roman" w:hAnsi="Times New Roman" w:cs="Times New Roman"/>
          <w:color w:val="auto"/>
          <w:sz w:val="22"/>
          <w:szCs w:val="22"/>
        </w:rPr>
        <w:t xml:space="preserve"> a combination of both approaches</w:t>
      </w:r>
      <w:r w:rsidR="001070D2" w:rsidRPr="00C06F1B">
        <w:rPr>
          <w:rFonts w:ascii="Times New Roman" w:hAnsi="Times New Roman" w:cs="Times New Roman"/>
          <w:color w:val="auto"/>
          <w:sz w:val="22"/>
          <w:szCs w:val="22"/>
        </w:rPr>
        <w:t xml:space="preserve"> of imposing taxation and new </w:t>
      </w:r>
      <w:proofErr w:type="gramStart"/>
      <w:r w:rsidR="001070D2" w:rsidRPr="00C06F1B">
        <w:rPr>
          <w:rFonts w:ascii="Times New Roman" w:hAnsi="Times New Roman" w:cs="Times New Roman"/>
          <w:color w:val="auto"/>
          <w:sz w:val="22"/>
          <w:szCs w:val="22"/>
        </w:rPr>
        <w:t>regulations</w:t>
      </w:r>
      <w:r w:rsidR="00192F2E" w:rsidRPr="00C06F1B">
        <w:rPr>
          <w:rFonts w:ascii="Times New Roman" w:hAnsi="Times New Roman" w:cs="Times New Roman"/>
          <w:color w:val="auto"/>
          <w:sz w:val="22"/>
          <w:szCs w:val="22"/>
        </w:rPr>
        <w:t>,</w:t>
      </w:r>
      <w:proofErr w:type="gramEnd"/>
      <w:r w:rsidR="00192F2E" w:rsidRPr="00C06F1B">
        <w:rPr>
          <w:rFonts w:ascii="Times New Roman" w:hAnsi="Times New Roman" w:cs="Times New Roman"/>
          <w:color w:val="auto"/>
          <w:sz w:val="22"/>
          <w:szCs w:val="22"/>
        </w:rPr>
        <w:t xml:space="preserve"> </w:t>
      </w:r>
      <w:r w:rsidRPr="00C06F1B">
        <w:rPr>
          <w:rFonts w:ascii="Times New Roman" w:hAnsi="Times New Roman" w:cs="Times New Roman"/>
          <w:color w:val="auto"/>
          <w:sz w:val="22"/>
          <w:szCs w:val="22"/>
        </w:rPr>
        <w:t xml:space="preserve">so that the banks </w:t>
      </w:r>
      <w:r w:rsidR="007946CC" w:rsidRPr="00C06F1B">
        <w:rPr>
          <w:rFonts w:ascii="Times New Roman" w:hAnsi="Times New Roman" w:cs="Times New Roman"/>
          <w:color w:val="auto"/>
          <w:sz w:val="22"/>
          <w:szCs w:val="22"/>
        </w:rPr>
        <w:t xml:space="preserve">would </w:t>
      </w:r>
      <w:r w:rsidRPr="00C06F1B">
        <w:rPr>
          <w:rFonts w:ascii="Times New Roman" w:hAnsi="Times New Roman" w:cs="Times New Roman"/>
          <w:color w:val="auto"/>
          <w:sz w:val="22"/>
          <w:szCs w:val="22"/>
        </w:rPr>
        <w:t xml:space="preserve">not be adversely affected by very strict </w:t>
      </w:r>
      <w:r w:rsidR="00E36758" w:rsidRPr="00C06F1B">
        <w:rPr>
          <w:rFonts w:ascii="Times New Roman" w:hAnsi="Times New Roman" w:cs="Times New Roman"/>
          <w:color w:val="auto"/>
          <w:sz w:val="22"/>
          <w:szCs w:val="22"/>
        </w:rPr>
        <w:t xml:space="preserve">policies, keeping in mind the tax and regulation heterogeneity that exists across countries and regions. </w:t>
      </w:r>
    </w:p>
    <w:bookmarkEnd w:id="1"/>
    <w:bookmarkEnd w:id="2"/>
    <w:p w14:paraId="0425E5A9" w14:textId="77777777" w:rsidR="008B2A9B" w:rsidRPr="00E7515A" w:rsidRDefault="008B2A9B" w:rsidP="002B0FF9">
      <w:pPr>
        <w:pStyle w:val="Default"/>
        <w:rPr>
          <w:rFonts w:ascii="Times New Roman" w:hAnsi="Times New Roman" w:cs="Times New Roman"/>
          <w:color w:val="auto"/>
          <w:sz w:val="22"/>
          <w:szCs w:val="22"/>
        </w:rPr>
      </w:pPr>
    </w:p>
    <w:p w14:paraId="3CE84309" w14:textId="77777777" w:rsidR="008B2A9B" w:rsidRPr="00E7515A" w:rsidRDefault="008B2A9B" w:rsidP="008B2A9B">
      <w:pPr>
        <w:pStyle w:val="Default"/>
        <w:rPr>
          <w:rFonts w:ascii="Times New Roman" w:hAnsi="Times New Roman" w:cs="Times New Roman"/>
          <w:color w:val="auto"/>
          <w:sz w:val="22"/>
          <w:szCs w:val="22"/>
        </w:rPr>
      </w:pPr>
    </w:p>
    <w:p w14:paraId="46D429A2" w14:textId="77777777" w:rsidR="005B78AD" w:rsidRPr="00E7515A" w:rsidRDefault="005B78AD" w:rsidP="008B2A9B">
      <w:pPr>
        <w:pStyle w:val="Default"/>
        <w:rPr>
          <w:rFonts w:ascii="Times New Roman" w:hAnsi="Times New Roman" w:cs="Times New Roman"/>
          <w:color w:val="auto"/>
          <w:sz w:val="22"/>
          <w:szCs w:val="22"/>
        </w:rPr>
      </w:pPr>
    </w:p>
    <w:p w14:paraId="343472B8" w14:textId="7C66EDEA" w:rsidR="00003617" w:rsidRPr="00C06F1B" w:rsidRDefault="00CD324D" w:rsidP="00003617">
      <w:pPr>
        <w:pStyle w:val="CM11"/>
        <w:spacing w:after="120"/>
        <w:jc w:val="both"/>
        <w:rPr>
          <w:rFonts w:ascii="Times New Roman" w:hAnsi="Times New Roman"/>
          <w:i/>
          <w:sz w:val="22"/>
          <w:szCs w:val="22"/>
        </w:rPr>
      </w:pPr>
      <w:r w:rsidRPr="00C06F1B">
        <w:rPr>
          <w:rFonts w:ascii="Times New Roman" w:hAnsi="Times New Roman"/>
          <w:b/>
          <w:bCs/>
          <w:i/>
          <w:iCs/>
          <w:sz w:val="22"/>
          <w:szCs w:val="22"/>
        </w:rPr>
        <w:t>4.3</w:t>
      </w:r>
      <w:r w:rsidR="00003617" w:rsidRPr="00C06F1B">
        <w:rPr>
          <w:rFonts w:ascii="Times New Roman" w:hAnsi="Times New Roman"/>
          <w:b/>
          <w:bCs/>
          <w:i/>
          <w:iCs/>
          <w:sz w:val="22"/>
          <w:szCs w:val="22"/>
        </w:rPr>
        <w:t xml:space="preserve">. A </w:t>
      </w:r>
      <w:r w:rsidR="00003617" w:rsidRPr="00E7515A">
        <w:rPr>
          <w:rFonts w:ascii="Times New Roman" w:hAnsi="Times New Roman"/>
          <w:b/>
          <w:i/>
          <w:sz w:val="22"/>
          <w:szCs w:val="22"/>
        </w:rPr>
        <w:t>Ban</w:t>
      </w:r>
      <w:r w:rsidR="00003617" w:rsidRPr="00E7515A">
        <w:rPr>
          <w:rFonts w:ascii="Times New Roman" w:hAnsi="Times New Roman"/>
          <w:b/>
          <w:bCs/>
          <w:i/>
          <w:iCs/>
          <w:sz w:val="22"/>
          <w:szCs w:val="22"/>
        </w:rPr>
        <w:t xml:space="preserve">k </w:t>
      </w:r>
      <w:r w:rsidR="00003617" w:rsidRPr="00E7515A">
        <w:rPr>
          <w:rFonts w:ascii="Times New Roman" w:hAnsi="Times New Roman"/>
          <w:b/>
          <w:i/>
          <w:sz w:val="22"/>
          <w:szCs w:val="22"/>
        </w:rPr>
        <w:t>Lev</w:t>
      </w:r>
      <w:r w:rsidR="00003617" w:rsidRPr="00E7515A">
        <w:rPr>
          <w:rFonts w:ascii="Times New Roman" w:hAnsi="Times New Roman"/>
          <w:b/>
          <w:bCs/>
          <w:i/>
          <w:iCs/>
          <w:sz w:val="22"/>
          <w:szCs w:val="22"/>
        </w:rPr>
        <w:t xml:space="preserve">y </w:t>
      </w:r>
    </w:p>
    <w:p w14:paraId="5B21C85F" w14:textId="77777777" w:rsidR="00003617" w:rsidRPr="00C06F1B" w:rsidRDefault="00003617" w:rsidP="00003617">
      <w:pPr>
        <w:pStyle w:val="CM11"/>
        <w:spacing w:after="120"/>
        <w:jc w:val="both"/>
        <w:rPr>
          <w:rFonts w:ascii="Times New Roman" w:hAnsi="Times New Roman"/>
          <w:sz w:val="22"/>
          <w:szCs w:val="22"/>
        </w:rPr>
      </w:pPr>
      <w:r w:rsidRPr="00E7515A">
        <w:rPr>
          <w:rFonts w:ascii="Times New Roman" w:hAnsi="Times New Roman"/>
          <w:sz w:val="22"/>
          <w:szCs w:val="22"/>
        </w:rPr>
        <w:t xml:space="preserve">A bank levy, or tax, is as an additional duty imposed on financial institutions, predominantly banks, to discourage risky activities and to build some fund that can be drawn upon for bailing out. The UK Bank Levy (HM Treasury, </w:t>
      </w:r>
      <w:r w:rsidRPr="00E7515A">
        <w:rPr>
          <w:rFonts w:ascii="Times New Roman" w:hAnsi="Times New Roman"/>
          <w:b/>
          <w:sz w:val="22"/>
          <w:szCs w:val="22"/>
        </w:rPr>
        <w:t>2010</w:t>
      </w:r>
      <w:r w:rsidRPr="00E7515A">
        <w:rPr>
          <w:rFonts w:ascii="Times New Roman" w:hAnsi="Times New Roman"/>
          <w:sz w:val="22"/>
          <w:szCs w:val="22"/>
        </w:rPr>
        <w:t xml:space="preserve">) was initially designed to discourage reliance on wholesale money market funding in favour of retail deposits taking, but has increasingly been used to hit revenue-raising targets. The EU is also planning to introduce a bank levy to create a bank resolution fund. Several countries have already taken legislative initiatives in this respect to introduce levies on banks that are considered to pose a systemic risk to the economy. Such bank levies are not applied to the profits of the bank (as the case of CIT), but are in principle levied on its (relevant) assets, liabilities or capital. For example, countries which chose to apply a levy on liabilities broadly speaking include Austria, </w:t>
      </w:r>
      <w:proofErr w:type="spellStart"/>
      <w:r w:rsidRPr="00E7515A">
        <w:rPr>
          <w:rFonts w:ascii="Times New Roman" w:hAnsi="Times New Roman"/>
          <w:sz w:val="22"/>
          <w:szCs w:val="22"/>
        </w:rPr>
        <w:t>Belgium</w:t>
      </w:r>
      <w:proofErr w:type="gramStart"/>
      <w:r w:rsidRPr="00E7515A">
        <w:rPr>
          <w:rFonts w:ascii="Times New Roman" w:hAnsi="Times New Roman"/>
          <w:sz w:val="22"/>
          <w:szCs w:val="22"/>
        </w:rPr>
        <w:t>,Cyprus</w:t>
      </w:r>
      <w:proofErr w:type="spellEnd"/>
      <w:proofErr w:type="gramEnd"/>
      <w:r w:rsidRPr="00E7515A">
        <w:rPr>
          <w:rFonts w:ascii="Times New Roman" w:hAnsi="Times New Roman"/>
          <w:sz w:val="22"/>
          <w:szCs w:val="22"/>
        </w:rPr>
        <w:t xml:space="preserve">, Germany, Hungary, Iceland Portugal, Romania, Slovakia, Sweden, the </w:t>
      </w:r>
      <w:r w:rsidRPr="00E7515A">
        <w:rPr>
          <w:rFonts w:ascii="Times New Roman" w:hAnsi="Times New Roman"/>
          <w:sz w:val="22"/>
          <w:szCs w:val="22"/>
        </w:rPr>
        <w:lastRenderedPageBreak/>
        <w:t xml:space="preserve">Netherlands, the UK and the US. On the other hand, the base of the French bank levy is regulatory capital, while that of Slovenia is total assets. Although these bases are clearly related, it shows the focus of the bank tax. </w:t>
      </w:r>
    </w:p>
    <w:p w14:paraId="3A10C1F3" w14:textId="77777777" w:rsidR="00003617" w:rsidRPr="00E7515A" w:rsidRDefault="00003617" w:rsidP="00003617">
      <w:pPr>
        <w:pStyle w:val="Default"/>
        <w:rPr>
          <w:rFonts w:ascii="Times New Roman" w:hAnsi="Times New Roman" w:cs="Times New Roman"/>
          <w:color w:val="auto"/>
          <w:sz w:val="22"/>
          <w:szCs w:val="22"/>
        </w:rPr>
      </w:pPr>
    </w:p>
    <w:p w14:paraId="2FED4E29" w14:textId="1B7B2185" w:rsidR="00003617" w:rsidRPr="00C06F1B" w:rsidRDefault="00003617" w:rsidP="00003617">
      <w:pPr>
        <w:widowControl w:val="0"/>
        <w:autoSpaceDE w:val="0"/>
        <w:autoSpaceDN w:val="0"/>
        <w:adjustRightInd w:val="0"/>
        <w:spacing w:after="0" w:line="360" w:lineRule="auto"/>
        <w:jc w:val="both"/>
        <w:rPr>
          <w:rFonts w:ascii="Times New Roman" w:hAnsi="Times New Roman"/>
        </w:rPr>
      </w:pPr>
      <w:r w:rsidRPr="00C06F1B">
        <w:rPr>
          <w:rFonts w:ascii="Times New Roman" w:hAnsi="Times New Roman"/>
        </w:rPr>
        <w:t xml:space="preserve">A few countries such as The Netherlands, the UK and the US seem to tax only bigger banks and liabilities if they are beyond a certain threshold. The bank tax in most countries (e.g., Austria, Hungary, France, Iceland, Portugal, Slovakia, Slovenia, the Netherlands and </w:t>
      </w:r>
      <w:r w:rsidRPr="00E7515A">
        <w:rPr>
          <w:rFonts w:ascii="Times New Roman" w:hAnsi="Times New Roman"/>
        </w:rPr>
        <w:t>the United Kingdom) contributes to the general reserve; however, there is a dedicated resolution fund to draw upon in case of a crisis in some other countries (e.g., Cyprus, Germany, Korea, Romania and Sweden). In the US, the purpose of the bank tax called the ‘Financial Crisis Responsibility fee’ is different, in the sense that it is ex-post and is aimed at recovering any direct costs incurred by the failure of financial institutions under the Troubled Asset Relief Program (TARP). Belgium has three different kinds of bank taxes: one similar to the usual bank levies calculated on total liabilities, which contributes to the Resolution Fund; and a new bank levy which uses regulated savings deposits as the basis for calculating the tax due, contributing to the deposit protection fund and the financial stability contribution. Finally, there is a contribution to the Special Protection Fund for the deposits, life insurances and capital of recognised cooperative companies, which is calculated taking into account</w:t>
      </w:r>
      <w:r w:rsidR="001228D4" w:rsidRPr="00C06F1B">
        <w:rPr>
          <w:rFonts w:ascii="Times New Roman" w:hAnsi="Times New Roman"/>
        </w:rPr>
        <w:t xml:space="preserve"> certain risk factors. </w:t>
      </w:r>
      <w:r w:rsidR="005B76A0" w:rsidRPr="00C06F1B">
        <w:rPr>
          <w:rFonts w:ascii="Times New Roman" w:hAnsi="Times New Roman"/>
        </w:rPr>
        <w:t xml:space="preserve">The </w:t>
      </w:r>
      <w:r w:rsidR="001228D4" w:rsidRPr="00E7515A">
        <w:rPr>
          <w:rFonts w:ascii="Times New Roman" w:hAnsi="Times New Roman"/>
        </w:rPr>
        <w:t>Table 5</w:t>
      </w:r>
      <w:r w:rsidRPr="00E7515A">
        <w:rPr>
          <w:rFonts w:ascii="Times New Roman" w:hAnsi="Times New Roman"/>
        </w:rPr>
        <w:t xml:space="preserve"> in the Appendix provides an overview of Bank Levies around the world.</w:t>
      </w:r>
    </w:p>
    <w:p w14:paraId="3DDC4E4A" w14:textId="77777777" w:rsidR="00003617" w:rsidRPr="00C06F1B" w:rsidRDefault="00003617" w:rsidP="00003617">
      <w:pPr>
        <w:pStyle w:val="Default"/>
        <w:rPr>
          <w:rFonts w:ascii="Times New Roman" w:hAnsi="Times New Roman" w:cs="Times New Roman"/>
          <w:color w:val="auto"/>
          <w:sz w:val="22"/>
          <w:szCs w:val="22"/>
        </w:rPr>
      </w:pPr>
    </w:p>
    <w:p w14:paraId="47B44D17" w14:textId="77777777" w:rsidR="00003617" w:rsidRPr="00C06F1B" w:rsidRDefault="00003617" w:rsidP="00003617">
      <w:pPr>
        <w:widowControl w:val="0"/>
        <w:autoSpaceDE w:val="0"/>
        <w:autoSpaceDN w:val="0"/>
        <w:adjustRightInd w:val="0"/>
        <w:spacing w:after="0" w:line="360" w:lineRule="auto"/>
        <w:jc w:val="both"/>
        <w:rPr>
          <w:rFonts w:ascii="Times New Roman" w:hAnsi="Times New Roman"/>
        </w:rPr>
      </w:pPr>
      <w:r w:rsidRPr="00E7515A">
        <w:rPr>
          <w:rFonts w:ascii="Times New Roman" w:hAnsi="Times New Roman"/>
        </w:rPr>
        <w:t xml:space="preserve">Because the bank levy is not being taxed under standard tax treaties, there is a risk of double taxation. In order to avoid this, the UK, German and French authorities are entering into a ‘double taxation agreement’, which will allow a proportion of the levy in one country to be credited against the levy in the other. This agreement has been enacted in the UK with respect to France from 1 January 2011, which allows a proportion of the French levy to be credited against the UK one. </w:t>
      </w:r>
    </w:p>
    <w:p w14:paraId="6AFE4DE2" w14:textId="77777777" w:rsidR="00003617" w:rsidRPr="00C06F1B" w:rsidRDefault="00003617" w:rsidP="00003617">
      <w:pPr>
        <w:widowControl w:val="0"/>
        <w:autoSpaceDE w:val="0"/>
        <w:autoSpaceDN w:val="0"/>
        <w:adjustRightInd w:val="0"/>
        <w:spacing w:after="0" w:line="360" w:lineRule="auto"/>
        <w:jc w:val="both"/>
        <w:rPr>
          <w:rFonts w:ascii="Times New Roman" w:hAnsi="Times New Roman"/>
        </w:rPr>
      </w:pPr>
    </w:p>
    <w:p w14:paraId="38FED1D6" w14:textId="77777777" w:rsidR="00003617" w:rsidRPr="00C06F1B" w:rsidRDefault="00003617" w:rsidP="00003617">
      <w:pPr>
        <w:pStyle w:val="Default"/>
        <w:rPr>
          <w:rFonts w:ascii="Times New Roman" w:hAnsi="Times New Roman" w:cs="Times New Roman"/>
          <w:color w:val="auto"/>
          <w:sz w:val="22"/>
          <w:szCs w:val="22"/>
        </w:rPr>
      </w:pPr>
    </w:p>
    <w:p w14:paraId="22C4C69A" w14:textId="77777777" w:rsidR="00003617" w:rsidRPr="00C06F1B" w:rsidRDefault="00003617" w:rsidP="00003617">
      <w:pPr>
        <w:widowControl w:val="0"/>
        <w:autoSpaceDE w:val="0"/>
        <w:autoSpaceDN w:val="0"/>
        <w:adjustRightInd w:val="0"/>
        <w:spacing w:after="0" w:line="360" w:lineRule="auto"/>
        <w:jc w:val="both"/>
        <w:rPr>
          <w:rFonts w:ascii="Times New Roman" w:hAnsi="Times New Roman"/>
        </w:rPr>
      </w:pPr>
      <w:r w:rsidRPr="00E7515A">
        <w:rPr>
          <w:rFonts w:ascii="Times New Roman" w:hAnsi="Times New Roman"/>
        </w:rPr>
        <w:t xml:space="preserve">In the UK, the treasury secretary has increased the bank levy from 0.105% to 0.13% to 0.142% with effect from 1 January 2014. This is the sixth increase in the levy since it was introduced in 2010.  The Government has lowered the corporate tax rate from 28% to 24% and then to 22%, which will further decrease to 21% from April 2014. The bank levy was increased in order to take away the benefit of this reduction from the banking sector and with a view to raise revenue from it. In the UK, the levy is applicable to global consolidated balance sheet liabilities less tier 1 capital, protected deposits, sovereign repo liabilities and derivatives on a net basis. Therefore, an increase in bank levy means that the treasury secretary is aiming to tax the unsecured borrowings of the banking sector. There seems to be an overlap between the increase in the bank levy and the proposed Basel III Liquidity Coverage Ratio (LCR) and Net Stable Funding Ratio (NSFR). LCR and NSFR incentivize banks to </w:t>
      </w:r>
      <w:r w:rsidRPr="00E7515A">
        <w:rPr>
          <w:rFonts w:ascii="Times New Roman" w:hAnsi="Times New Roman"/>
        </w:rPr>
        <w:lastRenderedPageBreak/>
        <w:t xml:space="preserve">use more stable funding sources by reducing the reliance on short-term ones. </w:t>
      </w:r>
    </w:p>
    <w:p w14:paraId="7203BCD6" w14:textId="77777777" w:rsidR="00003617" w:rsidRPr="00E7515A" w:rsidRDefault="00003617" w:rsidP="00003617">
      <w:pPr>
        <w:pStyle w:val="Default"/>
        <w:rPr>
          <w:rFonts w:ascii="Times New Roman" w:hAnsi="Times New Roman" w:cs="Times New Roman"/>
          <w:color w:val="auto"/>
          <w:sz w:val="22"/>
          <w:szCs w:val="22"/>
        </w:rPr>
      </w:pPr>
    </w:p>
    <w:p w14:paraId="1470551B" w14:textId="1C21DCA0" w:rsidR="00003617" w:rsidRPr="00C06F1B" w:rsidRDefault="00CD324D" w:rsidP="00003617">
      <w:pPr>
        <w:pStyle w:val="CM25"/>
        <w:spacing w:after="120" w:line="403" w:lineRule="atLeast"/>
        <w:jc w:val="both"/>
        <w:rPr>
          <w:rFonts w:ascii="Times New Roman" w:hAnsi="Times New Roman"/>
          <w:b/>
          <w:bCs/>
          <w:i/>
          <w:sz w:val="22"/>
          <w:szCs w:val="22"/>
        </w:rPr>
      </w:pPr>
      <w:r w:rsidRPr="00C06F1B">
        <w:rPr>
          <w:rFonts w:ascii="Times New Roman" w:hAnsi="Times New Roman"/>
          <w:b/>
          <w:bCs/>
          <w:i/>
          <w:sz w:val="22"/>
          <w:szCs w:val="22"/>
        </w:rPr>
        <w:t>4.4</w:t>
      </w:r>
      <w:r w:rsidR="00003617" w:rsidRPr="00C06F1B">
        <w:rPr>
          <w:rFonts w:ascii="Times New Roman" w:hAnsi="Times New Roman"/>
          <w:b/>
          <w:bCs/>
          <w:i/>
          <w:sz w:val="22"/>
          <w:szCs w:val="22"/>
        </w:rPr>
        <w:t>. Financial Activities Tax (FAT)</w:t>
      </w:r>
    </w:p>
    <w:p w14:paraId="347DADEC" w14:textId="77777777" w:rsidR="00003617" w:rsidRPr="00E7515A" w:rsidRDefault="00003617" w:rsidP="00003617">
      <w:pPr>
        <w:pStyle w:val="Default"/>
        <w:rPr>
          <w:rFonts w:ascii="Times New Roman" w:hAnsi="Times New Roman" w:cs="Times New Roman"/>
          <w:color w:val="3F3F3F"/>
          <w:sz w:val="22"/>
          <w:szCs w:val="22"/>
          <w:lang w:val="en-US"/>
        </w:rPr>
      </w:pPr>
    </w:p>
    <w:p w14:paraId="54860AA7" w14:textId="77777777" w:rsidR="00003617" w:rsidRPr="00C06F1B" w:rsidRDefault="00003617" w:rsidP="00003617">
      <w:pPr>
        <w:pStyle w:val="Default"/>
        <w:spacing w:line="360" w:lineRule="auto"/>
        <w:rPr>
          <w:rFonts w:ascii="Times New Roman" w:hAnsi="Times New Roman" w:cs="Times New Roman"/>
          <w:color w:val="auto"/>
          <w:sz w:val="22"/>
          <w:szCs w:val="22"/>
        </w:rPr>
      </w:pPr>
      <w:proofErr w:type="gramStart"/>
      <w:r w:rsidRPr="00C06F1B">
        <w:rPr>
          <w:rFonts w:ascii="Times New Roman" w:hAnsi="Times New Roman" w:cs="Times New Roman"/>
          <w:color w:val="auto"/>
          <w:sz w:val="22"/>
          <w:szCs w:val="22"/>
        </w:rPr>
        <w:t>Another tax that can generate revenue and reduce excessive risk-taking but broader in its scope than a banks tax is FAT.</w:t>
      </w:r>
      <w:proofErr w:type="gramEnd"/>
      <w:r w:rsidRPr="00C06F1B">
        <w:rPr>
          <w:rFonts w:ascii="Times New Roman" w:hAnsi="Times New Roman" w:cs="Times New Roman"/>
          <w:color w:val="auto"/>
          <w:sz w:val="22"/>
          <w:szCs w:val="22"/>
        </w:rPr>
        <w:t xml:space="preserve"> FAT is applied to the sum of an institution’s profits and remuneration.</w:t>
      </w:r>
    </w:p>
    <w:p w14:paraId="3553934B" w14:textId="77777777" w:rsidR="00003617" w:rsidRPr="00E7515A" w:rsidRDefault="00003617" w:rsidP="00003617">
      <w:pPr>
        <w:pStyle w:val="Default"/>
        <w:rPr>
          <w:rFonts w:ascii="Times New Roman" w:hAnsi="Times New Roman" w:cs="Times New Roman"/>
          <w:sz w:val="22"/>
          <w:szCs w:val="22"/>
        </w:rPr>
      </w:pPr>
    </w:p>
    <w:p w14:paraId="51009B7C" w14:textId="5EB83258" w:rsidR="00003617" w:rsidRPr="00C06F1B" w:rsidRDefault="00003617" w:rsidP="00E7515A">
      <w:pPr>
        <w:pStyle w:val="CM11"/>
        <w:spacing w:after="120" w:line="360" w:lineRule="auto"/>
        <w:jc w:val="both"/>
        <w:rPr>
          <w:rFonts w:ascii="Times New Roman" w:hAnsi="Times New Roman"/>
          <w:sz w:val="22"/>
          <w:szCs w:val="22"/>
        </w:rPr>
      </w:pPr>
      <w:r w:rsidRPr="00C06F1B">
        <w:rPr>
          <w:rFonts w:ascii="Times New Roman" w:hAnsi="Times New Roman"/>
          <w:sz w:val="22"/>
          <w:szCs w:val="22"/>
        </w:rPr>
        <w:t>As an alternative to an FTT, the IMF (2010) proposes the implementation of a FAT levied on the sum of profits and remuner</w:t>
      </w:r>
      <w:r w:rsidR="003511D7" w:rsidRPr="00C06F1B">
        <w:rPr>
          <w:rFonts w:ascii="Times New Roman" w:hAnsi="Times New Roman"/>
          <w:sz w:val="22"/>
          <w:szCs w:val="22"/>
        </w:rPr>
        <w:t>ation of financial institutions, although the two taxes are not mutually exclusive.</w:t>
      </w:r>
      <w:r w:rsidRPr="00C06F1B">
        <w:rPr>
          <w:rFonts w:ascii="Times New Roman" w:hAnsi="Times New Roman"/>
          <w:sz w:val="22"/>
          <w:szCs w:val="22"/>
        </w:rPr>
        <w:t xml:space="preserve"> </w:t>
      </w:r>
      <w:r w:rsidR="003511D7" w:rsidRPr="00C06F1B">
        <w:rPr>
          <w:rFonts w:ascii="Times New Roman" w:hAnsi="Times New Roman"/>
          <w:sz w:val="22"/>
          <w:szCs w:val="22"/>
        </w:rPr>
        <w:t xml:space="preserve">Since aggregate value added is the sum of profits and remuneration, a FAT in effect taxes the net transactions of financial institutions, whereas an FTT taxes gross transactions. </w:t>
      </w:r>
      <w:r w:rsidRPr="00C06F1B">
        <w:rPr>
          <w:rFonts w:ascii="Times New Roman" w:hAnsi="Times New Roman"/>
          <w:sz w:val="22"/>
          <w:szCs w:val="22"/>
        </w:rPr>
        <w:t>However, like an FTT, a FAT would, in the absence of special arrangements, tax business transactions because no credit would be given to their customers for a FAT paid by financial institutions. Alternative definitions of profits and remuneration for inclusion in the base of a FAT would enable it to pursue a range of objectives.</w:t>
      </w:r>
      <w:r w:rsidRPr="00C06F1B">
        <w:rPr>
          <w:rStyle w:val="FootnoteReference"/>
          <w:rFonts w:ascii="Times New Roman" w:hAnsi="Times New Roman"/>
          <w:sz w:val="22"/>
          <w:szCs w:val="22"/>
        </w:rPr>
        <w:footnoteReference w:id="18"/>
      </w:r>
      <w:r w:rsidRPr="00C06F1B">
        <w:rPr>
          <w:rFonts w:ascii="Times New Roman" w:hAnsi="Times New Roman"/>
          <w:sz w:val="22"/>
          <w:szCs w:val="22"/>
        </w:rPr>
        <w:t xml:space="preserve"> For instance, with the inclusion of all remuneration, the IMF (2010) argues that a FAT would effectively be a tax on value added, and so would partially offset the risk of the financial sector becoming unduly large because of its favourable treatment unde</w:t>
      </w:r>
      <w:r w:rsidR="008611DF" w:rsidRPr="00C06F1B">
        <w:rPr>
          <w:rFonts w:ascii="Times New Roman" w:hAnsi="Times New Roman"/>
          <w:sz w:val="22"/>
          <w:szCs w:val="22"/>
        </w:rPr>
        <w:t>r existing VAT arrangements, where financial services are exempt.</w:t>
      </w:r>
      <w:r w:rsidRPr="00C06F1B">
        <w:rPr>
          <w:rFonts w:ascii="Times New Roman" w:hAnsi="Times New Roman"/>
          <w:sz w:val="22"/>
          <w:szCs w:val="22"/>
        </w:rPr>
        <w:t xml:space="preserve"> Moreover, to avoid worsening distortions, the tax rate would need to be below current standard VAT rates</w:t>
      </w:r>
      <w:r w:rsidR="008611DF" w:rsidRPr="00C06F1B">
        <w:rPr>
          <w:rFonts w:ascii="Times New Roman" w:hAnsi="Times New Roman"/>
          <w:sz w:val="22"/>
          <w:szCs w:val="22"/>
        </w:rPr>
        <w:t xml:space="preserve">. Because </w:t>
      </w:r>
      <w:r w:rsidRPr="00C06F1B">
        <w:rPr>
          <w:rFonts w:ascii="Times New Roman" w:hAnsi="Times New Roman"/>
          <w:sz w:val="22"/>
          <w:szCs w:val="22"/>
        </w:rPr>
        <w:t>financial services are commonly VAT-exempt, the financial sector may be under-tax</w:t>
      </w:r>
      <w:r w:rsidR="008611DF" w:rsidRPr="00C06F1B">
        <w:rPr>
          <w:rFonts w:ascii="Times New Roman" w:hAnsi="Times New Roman"/>
          <w:sz w:val="22"/>
          <w:szCs w:val="22"/>
        </w:rPr>
        <w:t>ed and hence perhaps ‘too big’, relative to other sectors.</w:t>
      </w:r>
      <w:r w:rsidRPr="00C06F1B">
        <w:rPr>
          <w:rFonts w:ascii="Times New Roman" w:hAnsi="Times New Roman"/>
          <w:sz w:val="22"/>
          <w:szCs w:val="22"/>
        </w:rPr>
        <w:t xml:space="preserve"> In fact, the size of the gross financial sector value-added in many countries suggests that even a relatively low-rate FAT could raise significant revenue in a fair and reasonably efficient way. For instance, the IMF (2010) report </w:t>
      </w:r>
      <w:r w:rsidR="008611DF" w:rsidRPr="00C06F1B">
        <w:rPr>
          <w:rFonts w:ascii="Times New Roman" w:hAnsi="Times New Roman"/>
          <w:sz w:val="22"/>
          <w:szCs w:val="22"/>
        </w:rPr>
        <w:t xml:space="preserve">shows that in the UK, a 5% FAT, </w:t>
      </w:r>
      <w:r w:rsidRPr="00C06F1B">
        <w:rPr>
          <w:rFonts w:ascii="Times New Roman" w:hAnsi="Times New Roman"/>
          <w:sz w:val="22"/>
          <w:szCs w:val="22"/>
        </w:rPr>
        <w:t>with al</w:t>
      </w:r>
      <w:r w:rsidR="008611DF" w:rsidRPr="00C06F1B">
        <w:rPr>
          <w:rFonts w:ascii="Times New Roman" w:hAnsi="Times New Roman"/>
          <w:sz w:val="22"/>
          <w:szCs w:val="22"/>
        </w:rPr>
        <w:t>l salaries included in the base,</w:t>
      </w:r>
      <w:r w:rsidRPr="00C06F1B">
        <w:rPr>
          <w:rFonts w:ascii="Times New Roman" w:hAnsi="Times New Roman"/>
          <w:sz w:val="22"/>
          <w:szCs w:val="22"/>
        </w:rPr>
        <w:t xml:space="preserve"> might raise about 0.3% of GDP. </w:t>
      </w:r>
    </w:p>
    <w:p w14:paraId="1F59CA67" w14:textId="77A6B7B5" w:rsidR="00003617" w:rsidRPr="00C06F1B" w:rsidRDefault="00003617" w:rsidP="00003617">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 xml:space="preserve">Moreover, the IMF (2010) argues that with the inclusion of profits above some </w:t>
      </w:r>
      <w:r w:rsidR="00EC66BA" w:rsidRPr="00C06F1B">
        <w:rPr>
          <w:rFonts w:ascii="Times New Roman" w:hAnsi="Times New Roman"/>
          <w:sz w:val="22"/>
          <w:szCs w:val="22"/>
        </w:rPr>
        <w:t xml:space="preserve">acceptable threshold rate </w:t>
      </w:r>
      <w:proofErr w:type="spellStart"/>
      <w:r w:rsidRPr="00C06F1B">
        <w:rPr>
          <w:rFonts w:ascii="Times New Roman" w:hAnsi="Times New Roman"/>
          <w:sz w:val="22"/>
          <w:szCs w:val="22"/>
        </w:rPr>
        <w:t>rate</w:t>
      </w:r>
      <w:proofErr w:type="spellEnd"/>
      <w:r w:rsidRPr="00C06F1B">
        <w:rPr>
          <w:rFonts w:ascii="Times New Roman" w:hAnsi="Times New Roman"/>
          <w:sz w:val="22"/>
          <w:szCs w:val="22"/>
        </w:rPr>
        <w:t xml:space="preserve"> of return, a FAT would become a tax on ‘excessive’ returns in the financial sector. The underlying belief is that it would mitigate the excessive risk-taking that can arise from the undervaluation by private sector decision-</w:t>
      </w:r>
      <w:r w:rsidR="00EC66BA" w:rsidRPr="00C06F1B">
        <w:rPr>
          <w:rFonts w:ascii="Times New Roman" w:hAnsi="Times New Roman"/>
          <w:sz w:val="22"/>
          <w:szCs w:val="22"/>
        </w:rPr>
        <w:t xml:space="preserve">makers of losses in bad times, </w:t>
      </w:r>
      <w:r w:rsidRPr="00C06F1B">
        <w:rPr>
          <w:rFonts w:ascii="Times New Roman" w:hAnsi="Times New Roman"/>
          <w:sz w:val="22"/>
          <w:szCs w:val="22"/>
        </w:rPr>
        <w:t>because they are</w:t>
      </w:r>
      <w:r w:rsidR="00EC66BA" w:rsidRPr="00C06F1B">
        <w:rPr>
          <w:rFonts w:ascii="Times New Roman" w:hAnsi="Times New Roman"/>
          <w:sz w:val="22"/>
          <w:szCs w:val="22"/>
        </w:rPr>
        <w:t xml:space="preserve"> expected to be borne by others</w:t>
      </w:r>
      <w:r w:rsidRPr="00C06F1B">
        <w:rPr>
          <w:rFonts w:ascii="Times New Roman" w:hAnsi="Times New Roman"/>
          <w:sz w:val="22"/>
          <w:szCs w:val="22"/>
        </w:rPr>
        <w:t>,</w:t>
      </w:r>
      <w:r w:rsidR="00EC66BA" w:rsidRPr="00C06F1B">
        <w:rPr>
          <w:rFonts w:ascii="Times New Roman" w:hAnsi="Times New Roman"/>
          <w:sz w:val="22"/>
          <w:szCs w:val="22"/>
        </w:rPr>
        <w:t xml:space="preserve"> or ‘socialised’</w:t>
      </w:r>
      <w:r w:rsidRPr="00C06F1B">
        <w:rPr>
          <w:rFonts w:ascii="Times New Roman" w:hAnsi="Times New Roman"/>
          <w:sz w:val="22"/>
          <w:szCs w:val="22"/>
        </w:rPr>
        <w:t xml:space="preserve"> since it would reduce the after-tax return in good</w:t>
      </w:r>
      <w:r w:rsidR="00EC66BA" w:rsidRPr="00C06F1B">
        <w:rPr>
          <w:rFonts w:ascii="Times New Roman" w:hAnsi="Times New Roman"/>
          <w:sz w:val="22"/>
          <w:szCs w:val="22"/>
        </w:rPr>
        <w:t xml:space="preserve"> times</w:t>
      </w:r>
      <w:r w:rsidRPr="00C06F1B">
        <w:rPr>
          <w:rFonts w:ascii="Times New Roman" w:hAnsi="Times New Roman"/>
          <w:sz w:val="22"/>
          <w:szCs w:val="22"/>
        </w:rPr>
        <w:t>.</w:t>
      </w:r>
      <w:r w:rsidRPr="00C06F1B">
        <w:rPr>
          <w:rStyle w:val="FootnoteReference"/>
          <w:rFonts w:ascii="Times New Roman" w:hAnsi="Times New Roman"/>
          <w:sz w:val="22"/>
          <w:szCs w:val="22"/>
        </w:rPr>
        <w:footnoteReference w:id="19"/>
      </w:r>
      <w:r w:rsidRPr="00C06F1B">
        <w:rPr>
          <w:rFonts w:ascii="Times New Roman" w:hAnsi="Times New Roman"/>
          <w:sz w:val="22"/>
          <w:szCs w:val="22"/>
        </w:rPr>
        <w:t xml:space="preserve"> I</w:t>
      </w:r>
      <w:r w:rsidR="00EC66BA" w:rsidRPr="00C06F1B">
        <w:rPr>
          <w:rFonts w:ascii="Times New Roman" w:hAnsi="Times New Roman"/>
          <w:sz w:val="22"/>
          <w:szCs w:val="22"/>
        </w:rPr>
        <w:t xml:space="preserve">t should be noted that there might be more effective, </w:t>
      </w:r>
      <w:r w:rsidRPr="00C06F1B">
        <w:rPr>
          <w:rFonts w:ascii="Times New Roman" w:hAnsi="Times New Roman"/>
          <w:sz w:val="22"/>
          <w:szCs w:val="22"/>
        </w:rPr>
        <w:t>tax and</w:t>
      </w:r>
      <w:r w:rsidR="00EC66BA" w:rsidRPr="00C06F1B">
        <w:rPr>
          <w:rFonts w:ascii="Times New Roman" w:hAnsi="Times New Roman"/>
          <w:sz w:val="22"/>
          <w:szCs w:val="22"/>
        </w:rPr>
        <w:t>/or regulatory</w:t>
      </w:r>
      <w:r w:rsidRPr="00C06F1B">
        <w:rPr>
          <w:rFonts w:ascii="Times New Roman" w:hAnsi="Times New Roman"/>
          <w:sz w:val="22"/>
          <w:szCs w:val="22"/>
        </w:rPr>
        <w:t xml:space="preserve"> ways to do this. </w:t>
      </w:r>
    </w:p>
    <w:p w14:paraId="52B6898A" w14:textId="7BD45F54" w:rsidR="00003617" w:rsidRPr="00C06F1B" w:rsidRDefault="00003617" w:rsidP="00003617">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The IMF (2010) also states that the implementation of a FAT should be relatively straightforward, as it would be drawn on the</w:t>
      </w:r>
      <w:r w:rsidR="00BA7D9F" w:rsidRPr="00C06F1B">
        <w:rPr>
          <w:rFonts w:ascii="Times New Roman" w:hAnsi="Times New Roman"/>
          <w:sz w:val="22"/>
          <w:szCs w:val="22"/>
        </w:rPr>
        <w:t xml:space="preserve"> practices of established taxes. Naturally</w:t>
      </w:r>
      <w:r w:rsidRPr="00C06F1B">
        <w:rPr>
          <w:rFonts w:ascii="Times New Roman" w:hAnsi="Times New Roman"/>
          <w:sz w:val="22"/>
          <w:szCs w:val="22"/>
        </w:rPr>
        <w:t xml:space="preserve">, there would be technical issues to </w:t>
      </w:r>
      <w:r w:rsidRPr="00C06F1B">
        <w:rPr>
          <w:rFonts w:ascii="Times New Roman" w:hAnsi="Times New Roman"/>
          <w:sz w:val="22"/>
          <w:szCs w:val="22"/>
        </w:rPr>
        <w:lastRenderedPageBreak/>
        <w:t xml:space="preserve">resolve, but the IMF argues that most are of a kind that tax administrations are used to dealing with. Even though there would be difficulties in the potential shifting of profits and remuneration to low-tax jurisdictions, a low rate FAT might not add greatly to current incentives for tax planning, and as a matter of fact would not greatly change them if adopted at broadly similar rates in a range of countries. </w:t>
      </w:r>
    </w:p>
    <w:p w14:paraId="5C289AE5" w14:textId="2D2A3F29" w:rsidR="00003617" w:rsidRPr="00C06F1B" w:rsidRDefault="004F67C3" w:rsidP="00003617">
      <w:pPr>
        <w:pStyle w:val="CM20"/>
        <w:spacing w:after="195" w:line="403" w:lineRule="atLeast"/>
        <w:jc w:val="both"/>
        <w:rPr>
          <w:rFonts w:ascii="Times New Roman" w:hAnsi="Times New Roman"/>
          <w:sz w:val="22"/>
          <w:szCs w:val="22"/>
        </w:rPr>
      </w:pPr>
      <w:r w:rsidRPr="00C06F1B">
        <w:rPr>
          <w:rFonts w:ascii="Times New Roman" w:hAnsi="Times New Roman"/>
          <w:sz w:val="22"/>
          <w:szCs w:val="22"/>
        </w:rPr>
        <w:t>A</w:t>
      </w:r>
      <w:r w:rsidR="00003617" w:rsidRPr="00C06F1B">
        <w:rPr>
          <w:rFonts w:ascii="Times New Roman" w:hAnsi="Times New Roman"/>
          <w:sz w:val="22"/>
          <w:szCs w:val="22"/>
        </w:rPr>
        <w:t xml:space="preserve"> FAT would tend to reduce the size of the financial sector</w:t>
      </w:r>
      <w:r w:rsidRPr="00C06F1B">
        <w:rPr>
          <w:rFonts w:ascii="Times New Roman" w:hAnsi="Times New Roman"/>
          <w:sz w:val="22"/>
          <w:szCs w:val="22"/>
        </w:rPr>
        <w:t xml:space="preserve"> and will fall on intermediate transactions. Hence </w:t>
      </w:r>
      <w:r w:rsidR="00003617" w:rsidRPr="00C06F1B">
        <w:rPr>
          <w:rFonts w:ascii="Times New Roman" w:hAnsi="Times New Roman"/>
          <w:sz w:val="22"/>
          <w:szCs w:val="22"/>
        </w:rPr>
        <w:t>its implementation does not directly distort the activities of the financial institutions</w:t>
      </w:r>
      <w:r w:rsidRPr="00C06F1B">
        <w:rPr>
          <w:rFonts w:ascii="Times New Roman" w:hAnsi="Times New Roman"/>
          <w:sz w:val="22"/>
          <w:szCs w:val="22"/>
        </w:rPr>
        <w:t xml:space="preserve"> and because a FAT is essentially a levy on economic rents, it would tend to reduce the size of the sector without changing its activities</w:t>
      </w:r>
      <w:r w:rsidR="00003617" w:rsidRPr="00C06F1B">
        <w:rPr>
          <w:rFonts w:ascii="Times New Roman" w:hAnsi="Times New Roman"/>
          <w:sz w:val="22"/>
          <w:szCs w:val="22"/>
        </w:rPr>
        <w:t>. The IMF (2010) argues that in many respects a FAT</w:t>
      </w:r>
      <w:r w:rsidRPr="00C06F1B">
        <w:rPr>
          <w:rFonts w:ascii="Times New Roman" w:hAnsi="Times New Roman"/>
          <w:sz w:val="22"/>
          <w:szCs w:val="22"/>
        </w:rPr>
        <w:t xml:space="preserve"> has the nature of VAT </w:t>
      </w:r>
      <w:r w:rsidR="00003617" w:rsidRPr="00C06F1B">
        <w:rPr>
          <w:rFonts w:ascii="Times New Roman" w:hAnsi="Times New Roman"/>
          <w:sz w:val="22"/>
          <w:szCs w:val="22"/>
        </w:rPr>
        <w:t xml:space="preserve">in the sense that like VAT, there would be no direct impact on the structure of the activities undertaken by financial institutions themselves, as liability depends on profit, not on how it is earned or on the volume of turnover. Of course, there would be one difference from VAT, in that the tax would also fall on businesses, not just on final consumers. </w:t>
      </w:r>
    </w:p>
    <w:p w14:paraId="1CCB28A6" w14:textId="77777777" w:rsidR="00003617" w:rsidRPr="00E7515A" w:rsidRDefault="00003617" w:rsidP="00003617">
      <w:pPr>
        <w:pStyle w:val="Default"/>
        <w:rPr>
          <w:rFonts w:ascii="Times New Roman" w:hAnsi="Times New Roman" w:cs="Times New Roman"/>
          <w:color w:val="auto"/>
          <w:sz w:val="22"/>
          <w:szCs w:val="22"/>
        </w:rPr>
      </w:pPr>
    </w:p>
    <w:p w14:paraId="7B575D34" w14:textId="397C2076" w:rsidR="00003617" w:rsidRPr="00E7515A" w:rsidRDefault="00003617" w:rsidP="00003617">
      <w:pPr>
        <w:pStyle w:val="CM20"/>
        <w:spacing w:after="195" w:line="403" w:lineRule="atLeast"/>
        <w:jc w:val="both"/>
        <w:rPr>
          <w:rFonts w:ascii="Times New Roman" w:hAnsi="Times New Roman"/>
          <w:sz w:val="22"/>
          <w:szCs w:val="22"/>
        </w:rPr>
      </w:pPr>
      <w:proofErr w:type="spellStart"/>
      <w:r w:rsidRPr="00C06F1B">
        <w:rPr>
          <w:rFonts w:ascii="Times New Roman" w:hAnsi="Times New Roman"/>
          <w:sz w:val="22"/>
          <w:szCs w:val="22"/>
        </w:rPr>
        <w:t>Shaviro</w:t>
      </w:r>
      <w:proofErr w:type="spellEnd"/>
      <w:r w:rsidRPr="00C06F1B">
        <w:rPr>
          <w:rFonts w:ascii="Times New Roman" w:hAnsi="Times New Roman"/>
          <w:sz w:val="22"/>
          <w:szCs w:val="22"/>
        </w:rPr>
        <w:t xml:space="preserve"> (2012) also favours a FAT over an FTT because of the broad ‘net’ measure of FAT compared to a narrow ‘gross’ measure of financial sector activity. The Parliamentary Commission on Banking Standards (PCBS, 2013) report also quotes different parties who prefer a FAT over an FTT for three reasons: it is less easily avoidable through relocations; incidence is more certain; and it would generate the same amount of revenue with </w:t>
      </w:r>
      <w:r w:rsidR="007C40FD" w:rsidRPr="00C06F1B">
        <w:rPr>
          <w:rFonts w:ascii="Times New Roman" w:hAnsi="Times New Roman"/>
          <w:sz w:val="22"/>
          <w:szCs w:val="22"/>
        </w:rPr>
        <w:t>fewer distortions.</w:t>
      </w:r>
      <w:r w:rsidRPr="00C06F1B">
        <w:rPr>
          <w:rFonts w:ascii="Times New Roman" w:hAnsi="Times New Roman"/>
          <w:sz w:val="22"/>
          <w:szCs w:val="22"/>
        </w:rPr>
        <w:t xml:space="preserve"> </w:t>
      </w:r>
    </w:p>
    <w:p w14:paraId="70D2B970" w14:textId="3E059227" w:rsidR="008E5541" w:rsidRPr="00C06F1B" w:rsidRDefault="008F22DF">
      <w:pPr>
        <w:pStyle w:val="CM20"/>
        <w:spacing w:after="195" w:line="440" w:lineRule="atLeast"/>
        <w:jc w:val="both"/>
        <w:rPr>
          <w:rFonts w:ascii="Times New Roman" w:hAnsi="Times New Roman"/>
          <w:b/>
          <w:i/>
          <w:sz w:val="22"/>
          <w:szCs w:val="22"/>
        </w:rPr>
      </w:pPr>
      <w:bookmarkStart w:id="3" w:name="OLE_LINK3"/>
      <w:bookmarkStart w:id="4" w:name="OLE_LINK4"/>
      <w:r w:rsidRPr="00E7515A">
        <w:rPr>
          <w:rFonts w:ascii="Times New Roman" w:hAnsi="Times New Roman"/>
          <w:b/>
          <w:bCs/>
          <w:i/>
          <w:sz w:val="22"/>
          <w:szCs w:val="22"/>
        </w:rPr>
        <w:t>5</w:t>
      </w:r>
      <w:r w:rsidR="0092526A" w:rsidRPr="00E7515A">
        <w:rPr>
          <w:rFonts w:ascii="Times New Roman" w:hAnsi="Times New Roman"/>
          <w:b/>
          <w:bCs/>
          <w:i/>
          <w:sz w:val="22"/>
          <w:szCs w:val="22"/>
        </w:rPr>
        <w:t xml:space="preserve">. </w:t>
      </w:r>
      <w:r w:rsidR="00066D11" w:rsidRPr="00E7515A">
        <w:rPr>
          <w:rFonts w:ascii="Times New Roman" w:hAnsi="Times New Roman"/>
          <w:b/>
          <w:bCs/>
          <w:i/>
          <w:sz w:val="22"/>
          <w:szCs w:val="22"/>
        </w:rPr>
        <w:t>Policy Recommendations</w:t>
      </w:r>
    </w:p>
    <w:p w14:paraId="0D1563E5" w14:textId="75815DFB" w:rsidR="00417FAD" w:rsidRPr="00C06F1B" w:rsidRDefault="008E5541" w:rsidP="00417FAD">
      <w:pPr>
        <w:pStyle w:val="CM20"/>
        <w:spacing w:after="195" w:line="440" w:lineRule="atLeast"/>
        <w:jc w:val="both"/>
        <w:rPr>
          <w:rFonts w:ascii="Times New Roman" w:hAnsi="Times New Roman"/>
          <w:sz w:val="22"/>
          <w:szCs w:val="22"/>
        </w:rPr>
      </w:pPr>
      <w:r w:rsidRPr="00E7515A">
        <w:rPr>
          <w:rFonts w:ascii="Times New Roman" w:hAnsi="Times New Roman"/>
          <w:sz w:val="22"/>
          <w:szCs w:val="22"/>
        </w:rPr>
        <w:t>While several policy measures</w:t>
      </w:r>
      <w:r w:rsidR="00375EFA" w:rsidRPr="00E7515A">
        <w:rPr>
          <w:rFonts w:ascii="Times New Roman" w:hAnsi="Times New Roman"/>
          <w:sz w:val="22"/>
          <w:szCs w:val="22"/>
        </w:rPr>
        <w:t>,</w:t>
      </w:r>
      <w:r w:rsidRPr="00E7515A">
        <w:rPr>
          <w:rFonts w:ascii="Times New Roman" w:hAnsi="Times New Roman"/>
          <w:sz w:val="22"/>
          <w:szCs w:val="22"/>
        </w:rPr>
        <w:t xml:space="preserve"> including taxes, levies and regulatory measures, have been in place, and for that matter, many are still under discussion and consideration, the question of what </w:t>
      </w:r>
      <w:r w:rsidR="00375EFA" w:rsidRPr="00E7515A">
        <w:rPr>
          <w:rFonts w:ascii="Times New Roman" w:hAnsi="Times New Roman"/>
          <w:sz w:val="22"/>
          <w:szCs w:val="22"/>
        </w:rPr>
        <w:t xml:space="preserve">should </w:t>
      </w:r>
      <w:r w:rsidRPr="00E7515A">
        <w:rPr>
          <w:rFonts w:ascii="Times New Roman" w:hAnsi="Times New Roman"/>
          <w:sz w:val="22"/>
          <w:szCs w:val="22"/>
        </w:rPr>
        <w:t>truly circumvent the negative micro</w:t>
      </w:r>
      <w:r w:rsidR="005A474E" w:rsidRPr="00E7515A">
        <w:rPr>
          <w:rFonts w:ascii="Times New Roman" w:hAnsi="Times New Roman"/>
          <w:sz w:val="22"/>
          <w:szCs w:val="22"/>
        </w:rPr>
        <w:t>-</w:t>
      </w:r>
      <w:r w:rsidRPr="00C06F1B">
        <w:rPr>
          <w:rFonts w:ascii="Times New Roman" w:hAnsi="Times New Roman"/>
          <w:sz w:val="22"/>
          <w:szCs w:val="22"/>
        </w:rPr>
        <w:t>prudential externalities stemming from limited liability and asymmetric information (relating to individual institutions) and macro</w:t>
      </w:r>
      <w:r w:rsidR="005A474E" w:rsidRPr="00E7515A">
        <w:rPr>
          <w:rFonts w:ascii="Times New Roman" w:hAnsi="Times New Roman"/>
          <w:sz w:val="22"/>
          <w:szCs w:val="22"/>
        </w:rPr>
        <w:t>-</w:t>
      </w:r>
      <w:r w:rsidRPr="00C06F1B">
        <w:rPr>
          <w:rFonts w:ascii="Times New Roman" w:hAnsi="Times New Roman"/>
          <w:sz w:val="22"/>
          <w:szCs w:val="22"/>
        </w:rPr>
        <w:t>prudential externalities relating to systemic risk still remains unanswered. More importantly, th</w:t>
      </w:r>
      <w:r w:rsidRPr="00E7515A">
        <w:rPr>
          <w:rFonts w:ascii="Times New Roman" w:hAnsi="Times New Roman"/>
        </w:rPr>
        <w:t xml:space="preserve">e impact of these externalities on the growth and development of several countries remains a source of worry amongst policy makers, academics, and several national and international bodies. </w:t>
      </w:r>
      <w:r w:rsidR="00417FAD" w:rsidRPr="00E7515A">
        <w:rPr>
          <w:rFonts w:ascii="Times New Roman" w:hAnsi="Times New Roman"/>
          <w:sz w:val="22"/>
          <w:szCs w:val="22"/>
        </w:rPr>
        <w:t>M</w:t>
      </w:r>
      <w:r w:rsidR="00F028E3" w:rsidRPr="00E7515A">
        <w:rPr>
          <w:rFonts w:ascii="Times New Roman" w:hAnsi="Times New Roman"/>
          <w:sz w:val="22"/>
          <w:szCs w:val="22"/>
        </w:rPr>
        <w:t>acro</w:t>
      </w:r>
      <w:r w:rsidR="00E516A7" w:rsidRPr="00E7515A">
        <w:rPr>
          <w:rFonts w:ascii="Times New Roman" w:hAnsi="Times New Roman"/>
          <w:sz w:val="22"/>
          <w:szCs w:val="22"/>
        </w:rPr>
        <w:t>-</w:t>
      </w:r>
      <w:r w:rsidR="00F028E3" w:rsidRPr="00E7515A">
        <w:rPr>
          <w:rFonts w:ascii="Times New Roman" w:hAnsi="Times New Roman"/>
          <w:sz w:val="22"/>
          <w:szCs w:val="22"/>
        </w:rPr>
        <w:t>prudential supervision as</w:t>
      </w:r>
      <w:r w:rsidR="00E516A7" w:rsidRPr="00E7515A">
        <w:rPr>
          <w:rFonts w:ascii="Times New Roman" w:hAnsi="Times New Roman"/>
          <w:sz w:val="22"/>
          <w:szCs w:val="22"/>
        </w:rPr>
        <w:t xml:space="preserve"> is</w:t>
      </w:r>
      <w:r w:rsidR="00F028E3" w:rsidRPr="00E7515A">
        <w:rPr>
          <w:rFonts w:ascii="Times New Roman" w:hAnsi="Times New Roman"/>
          <w:sz w:val="22"/>
          <w:szCs w:val="22"/>
        </w:rPr>
        <w:t xml:space="preserve"> a devi</w:t>
      </w:r>
      <w:r w:rsidR="00E516A7" w:rsidRPr="00E7515A">
        <w:rPr>
          <w:rFonts w:ascii="Times New Roman" w:hAnsi="Times New Roman"/>
          <w:sz w:val="22"/>
          <w:szCs w:val="22"/>
        </w:rPr>
        <w:t>c</w:t>
      </w:r>
      <w:r w:rsidR="00F028E3" w:rsidRPr="00E7515A">
        <w:rPr>
          <w:rFonts w:ascii="Times New Roman" w:hAnsi="Times New Roman"/>
          <w:sz w:val="22"/>
          <w:szCs w:val="22"/>
        </w:rPr>
        <w:t xml:space="preserve">e for reducing asset price inflation and thus the need to insure against bank </w:t>
      </w:r>
      <w:r w:rsidR="00417FAD" w:rsidRPr="00E7515A">
        <w:rPr>
          <w:rFonts w:ascii="Times New Roman" w:hAnsi="Times New Roman"/>
          <w:sz w:val="22"/>
          <w:szCs w:val="22"/>
        </w:rPr>
        <w:t>failure via capital ratios and deposit insurance and resolution f</w:t>
      </w:r>
      <w:r w:rsidR="00F028E3" w:rsidRPr="00E7515A">
        <w:rPr>
          <w:rFonts w:ascii="Times New Roman" w:hAnsi="Times New Roman"/>
          <w:sz w:val="22"/>
          <w:szCs w:val="22"/>
        </w:rPr>
        <w:t xml:space="preserve">unds, but again </w:t>
      </w:r>
      <w:r w:rsidR="00E516A7" w:rsidRPr="00E7515A">
        <w:rPr>
          <w:rFonts w:ascii="Times New Roman" w:hAnsi="Times New Roman"/>
          <w:sz w:val="22"/>
          <w:szCs w:val="22"/>
        </w:rPr>
        <w:t xml:space="preserve">is </w:t>
      </w:r>
      <w:r w:rsidR="00F028E3" w:rsidRPr="00E7515A">
        <w:rPr>
          <w:rFonts w:ascii="Times New Roman" w:hAnsi="Times New Roman"/>
          <w:sz w:val="22"/>
          <w:szCs w:val="22"/>
        </w:rPr>
        <w:t>untried and untested as yet</w:t>
      </w:r>
      <w:r w:rsidR="00E516A7" w:rsidRPr="00E7515A">
        <w:rPr>
          <w:rFonts w:ascii="Times New Roman" w:hAnsi="Times New Roman"/>
          <w:sz w:val="22"/>
          <w:szCs w:val="22"/>
        </w:rPr>
        <w:t>.</w:t>
      </w:r>
      <w:r w:rsidR="00173C60" w:rsidRPr="00C06F1B">
        <w:rPr>
          <w:rFonts w:ascii="Times New Roman" w:hAnsi="Times New Roman"/>
          <w:sz w:val="22"/>
          <w:szCs w:val="22"/>
        </w:rPr>
        <w:t xml:space="preserve"> </w:t>
      </w:r>
      <w:r w:rsidR="001C0B1F" w:rsidRPr="00C06F1B">
        <w:rPr>
          <w:rFonts w:ascii="Times New Roman" w:hAnsi="Times New Roman"/>
          <w:sz w:val="22"/>
          <w:szCs w:val="22"/>
        </w:rPr>
        <w:t>Whilst we see regulatory reforms are moving in the right direction and keeping in mind t</w:t>
      </w:r>
      <w:r w:rsidR="001C0B1F" w:rsidRPr="00E7515A">
        <w:rPr>
          <w:rFonts w:ascii="Times New Roman" w:hAnsi="Times New Roman"/>
          <w:sz w:val="22"/>
          <w:szCs w:val="22"/>
        </w:rPr>
        <w:t xml:space="preserve">he usefulness of regulations to ensure financial stability, we argue that the regulatory and structural measures should </w:t>
      </w:r>
      <w:r w:rsidR="001C0B1F" w:rsidRPr="00E7515A">
        <w:rPr>
          <w:rFonts w:ascii="Times New Roman" w:hAnsi="Times New Roman"/>
          <w:sz w:val="22"/>
          <w:szCs w:val="22"/>
        </w:rPr>
        <w:lastRenderedPageBreak/>
        <w:t xml:space="preserve">be augmented by (fiscal) taxation and also that a balance between regulation and taxation should be aimed for. </w:t>
      </w:r>
      <w:r w:rsidR="00173C60" w:rsidRPr="00E7515A">
        <w:rPr>
          <w:rFonts w:ascii="Times New Roman" w:hAnsi="Times New Roman"/>
          <w:sz w:val="22"/>
          <w:szCs w:val="22"/>
        </w:rPr>
        <w:t>In this respect, we provide the following policy recommendations:</w:t>
      </w:r>
    </w:p>
    <w:p w14:paraId="08A60496" w14:textId="77777777" w:rsidR="003F17DD" w:rsidRPr="00C06F1B" w:rsidRDefault="003F17DD" w:rsidP="00E73D67">
      <w:pPr>
        <w:pStyle w:val="CM20"/>
        <w:spacing w:after="195" w:line="440" w:lineRule="atLeast"/>
        <w:jc w:val="both"/>
        <w:rPr>
          <w:rFonts w:ascii="Times New Roman" w:hAnsi="Times New Roman"/>
          <w:sz w:val="22"/>
          <w:szCs w:val="22"/>
        </w:rPr>
      </w:pPr>
    </w:p>
    <w:p w14:paraId="7303FA80" w14:textId="5413825D" w:rsidR="009D0F1C" w:rsidRPr="00E7515A" w:rsidRDefault="00B01832" w:rsidP="00E7515A">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sz w:val="22"/>
          <w:szCs w:val="22"/>
        </w:rPr>
        <w:t xml:space="preserve">We propose elimination of the tax deductibility of the </w:t>
      </w:r>
      <w:r w:rsidR="00066D11" w:rsidRPr="00E7515A">
        <w:rPr>
          <w:rFonts w:ascii="Times New Roman" w:hAnsi="Times New Roman" w:cs="Times New Roman"/>
          <w:color w:val="auto"/>
          <w:sz w:val="22"/>
          <w:szCs w:val="22"/>
        </w:rPr>
        <w:t>‘expensing’ of interest on debt</w:t>
      </w:r>
      <w:r w:rsidR="00E035F3" w:rsidRPr="00E7515A">
        <w:rPr>
          <w:rFonts w:ascii="Times New Roman" w:hAnsi="Times New Roman" w:cs="Times New Roman"/>
          <w:sz w:val="22"/>
          <w:szCs w:val="22"/>
        </w:rPr>
        <w:t xml:space="preserve"> because current business tax rules encourage excessive debt issuance and favours debt over equity. This is in direct opposition to what bank regulations require, namely raising extra equity to make banks safer.</w:t>
      </w:r>
      <w:r w:rsidR="00066D11" w:rsidRPr="00E7515A">
        <w:rPr>
          <w:rFonts w:ascii="Times New Roman" w:hAnsi="Times New Roman" w:cs="Times New Roman"/>
          <w:color w:val="auto"/>
          <w:sz w:val="22"/>
          <w:szCs w:val="22"/>
        </w:rPr>
        <w:t xml:space="preserve"> </w:t>
      </w:r>
      <w:r w:rsidR="00E035F3" w:rsidRPr="00E7515A">
        <w:rPr>
          <w:rFonts w:ascii="Times New Roman" w:hAnsi="Times New Roman" w:cs="Times New Roman"/>
          <w:sz w:val="22"/>
          <w:szCs w:val="22"/>
        </w:rPr>
        <w:t xml:space="preserve">This is in turn raises the question of whether the tax deductibility should be removed from banks alone, as they are the licenced creators of credit. </w:t>
      </w:r>
      <w:r w:rsidR="008A134F" w:rsidRPr="00E7515A">
        <w:rPr>
          <w:rFonts w:ascii="Times New Roman" w:hAnsi="Times New Roman" w:cs="Times New Roman"/>
          <w:color w:val="auto"/>
          <w:sz w:val="22"/>
          <w:szCs w:val="22"/>
        </w:rPr>
        <w:t xml:space="preserve">However, the increased emphasis on core equity will put the small saving banks at </w:t>
      </w:r>
      <w:r w:rsidR="00960E32" w:rsidRPr="00E7515A">
        <w:rPr>
          <w:rFonts w:ascii="Times New Roman" w:hAnsi="Times New Roman" w:cs="Times New Roman"/>
          <w:color w:val="auto"/>
          <w:sz w:val="22"/>
          <w:szCs w:val="22"/>
        </w:rPr>
        <w:t xml:space="preserve">a </w:t>
      </w:r>
      <w:r w:rsidR="008A134F" w:rsidRPr="00E7515A">
        <w:rPr>
          <w:rFonts w:ascii="Times New Roman" w:hAnsi="Times New Roman" w:cs="Times New Roman"/>
          <w:color w:val="auto"/>
          <w:sz w:val="22"/>
          <w:szCs w:val="22"/>
        </w:rPr>
        <w:t xml:space="preserve">disadvantage because they cannot issue equity very easily. </w:t>
      </w:r>
      <w:r w:rsidR="00315B27" w:rsidRPr="00E7515A">
        <w:rPr>
          <w:rFonts w:ascii="Times New Roman" w:hAnsi="Times New Roman" w:cs="Times New Roman"/>
          <w:color w:val="auto"/>
          <w:sz w:val="22"/>
          <w:szCs w:val="22"/>
        </w:rPr>
        <w:t xml:space="preserve">In line with this argument, </w:t>
      </w:r>
      <w:r w:rsidR="00166FBF" w:rsidRPr="00E7515A">
        <w:rPr>
          <w:rFonts w:ascii="Times New Roman" w:hAnsi="Times New Roman" w:cs="Times New Roman"/>
          <w:color w:val="auto"/>
          <w:sz w:val="22"/>
          <w:szCs w:val="22"/>
        </w:rPr>
        <w:t xml:space="preserve">there is </w:t>
      </w:r>
      <w:r w:rsidR="00562871" w:rsidRPr="00E7515A">
        <w:rPr>
          <w:rFonts w:ascii="Times New Roman" w:hAnsi="Times New Roman" w:cs="Times New Roman"/>
          <w:sz w:val="22"/>
          <w:szCs w:val="22"/>
        </w:rPr>
        <w:t xml:space="preserve">a </w:t>
      </w:r>
      <w:r w:rsidR="009531F8" w:rsidRPr="00E7515A">
        <w:rPr>
          <w:rFonts w:ascii="Times New Roman" w:hAnsi="Times New Roman" w:cs="Times New Roman"/>
          <w:color w:val="auto"/>
          <w:sz w:val="22"/>
          <w:szCs w:val="22"/>
        </w:rPr>
        <w:t>concern about the viability</w:t>
      </w:r>
      <w:r w:rsidR="00166FBF" w:rsidRPr="00E7515A">
        <w:rPr>
          <w:rFonts w:ascii="Times New Roman" w:hAnsi="Times New Roman" w:cs="Times New Roman"/>
          <w:color w:val="auto"/>
          <w:sz w:val="22"/>
          <w:szCs w:val="22"/>
        </w:rPr>
        <w:t xml:space="preserve"> of universal banks. </w:t>
      </w:r>
      <w:r w:rsidR="009D0F1C" w:rsidRPr="00E7515A">
        <w:rPr>
          <w:rFonts w:ascii="Times New Roman" w:hAnsi="Times New Roman" w:cs="Times New Roman"/>
          <w:color w:val="auto"/>
          <w:sz w:val="22"/>
          <w:szCs w:val="22"/>
        </w:rPr>
        <w:t xml:space="preserve">A structural proposal put forward to help solve the problem is to separate the investment and commercial banking activities of ‘universal banks’ within bank holding companies (BHCs) and to require them to operate as separately capitalized subsidiaries, with the aim of making it easier to let parts of the BHC fail whilst ‘resolving’ problems in the ‘utility’ part of the bank, so that it can keep functioning without unduly disrupting economic activity. In the UK Financial Services (Banking Reform) Act, passed on 18 December 2013, the ‘ring fencing’ of retail banking and some commercial banking, and thus the household and small business deposits, in line with the Independent Commission on Banking (ICB, 2011) and the Parliamentary Commission on Banking Standards (PCBS, 2013a) recommendations, was required to be implemented. Further, the UK’s Prudential Regulatory Authority is to consider whether a US Volcker Rule (SEC, 2013), which limits the scope of the ‘proprietary’ trading and hedge fund business a bank can undertake with the aim of restricting the risk to which bank deposits can be exposed, is appropriate for the City. Meanwhile, the EU is still considering the </w:t>
      </w:r>
      <w:proofErr w:type="spellStart"/>
      <w:r w:rsidR="009D0F1C" w:rsidRPr="00E7515A">
        <w:rPr>
          <w:rFonts w:ascii="Times New Roman" w:hAnsi="Times New Roman" w:cs="Times New Roman"/>
          <w:color w:val="auto"/>
          <w:sz w:val="22"/>
          <w:szCs w:val="22"/>
        </w:rPr>
        <w:t>Liikanen</w:t>
      </w:r>
      <w:proofErr w:type="spellEnd"/>
      <w:r w:rsidR="009D0F1C" w:rsidRPr="00E7515A">
        <w:rPr>
          <w:rFonts w:ascii="Times New Roman" w:hAnsi="Times New Roman" w:cs="Times New Roman"/>
          <w:color w:val="auto"/>
          <w:sz w:val="22"/>
          <w:szCs w:val="22"/>
        </w:rPr>
        <w:t xml:space="preserve"> Report proposals (</w:t>
      </w:r>
      <w:proofErr w:type="spellStart"/>
      <w:r w:rsidR="009D0F1C" w:rsidRPr="00E7515A">
        <w:rPr>
          <w:rFonts w:ascii="Times New Roman" w:hAnsi="Times New Roman" w:cs="Times New Roman"/>
          <w:color w:val="auto"/>
          <w:sz w:val="22"/>
          <w:szCs w:val="22"/>
        </w:rPr>
        <w:t>Liikanan</w:t>
      </w:r>
      <w:proofErr w:type="spellEnd"/>
      <w:r w:rsidR="009D0F1C" w:rsidRPr="00E7515A">
        <w:rPr>
          <w:rFonts w:ascii="Times New Roman" w:hAnsi="Times New Roman" w:cs="Times New Roman"/>
          <w:color w:val="auto"/>
          <w:sz w:val="22"/>
          <w:szCs w:val="22"/>
        </w:rPr>
        <w:t xml:space="preserve">, 2012) for a more limited separation of retail and investment banking than now required in the UK. A less strict separation seems likely given the long tradition of universal banking in Germany. </w:t>
      </w:r>
    </w:p>
    <w:p w14:paraId="7AADEF9E" w14:textId="77777777" w:rsidR="009D0F1C" w:rsidRPr="00E7515A" w:rsidRDefault="009D0F1C" w:rsidP="00E7515A">
      <w:pPr>
        <w:pStyle w:val="Default"/>
        <w:spacing w:line="360" w:lineRule="auto"/>
        <w:jc w:val="both"/>
        <w:rPr>
          <w:rFonts w:ascii="Times New Roman" w:hAnsi="Times New Roman" w:cs="Times New Roman"/>
          <w:color w:val="auto"/>
          <w:sz w:val="22"/>
          <w:szCs w:val="22"/>
        </w:rPr>
      </w:pPr>
    </w:p>
    <w:p w14:paraId="7DCE7429" w14:textId="77777777" w:rsidR="009D0F1C" w:rsidRPr="00E7515A" w:rsidRDefault="009D0F1C" w:rsidP="00E7515A">
      <w:pPr>
        <w:pStyle w:val="Default"/>
        <w:spacing w:line="360" w:lineRule="auto"/>
        <w:jc w:val="both"/>
        <w:rPr>
          <w:rFonts w:ascii="Times New Roman" w:hAnsi="Times New Roman" w:cs="Times New Roman"/>
          <w:color w:val="auto"/>
          <w:sz w:val="22"/>
          <w:szCs w:val="22"/>
        </w:rPr>
      </w:pPr>
    </w:p>
    <w:p w14:paraId="744B3B28" w14:textId="77777777" w:rsidR="009D0F1C" w:rsidRPr="00E7515A" w:rsidRDefault="009D0F1C" w:rsidP="00E7515A">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color w:val="auto"/>
          <w:sz w:val="22"/>
          <w:szCs w:val="22"/>
        </w:rPr>
        <w:t xml:space="preserve">The debate about the pros and cons of universal banking is ongoing. </w:t>
      </w:r>
      <w:proofErr w:type="spellStart"/>
      <w:r w:rsidRPr="00E7515A">
        <w:rPr>
          <w:rFonts w:ascii="Times New Roman" w:hAnsi="Times New Roman" w:cs="Times New Roman"/>
          <w:color w:val="auto"/>
          <w:sz w:val="22"/>
          <w:szCs w:val="22"/>
        </w:rPr>
        <w:t>Calomiris</w:t>
      </w:r>
      <w:proofErr w:type="spellEnd"/>
      <w:r w:rsidRPr="00E7515A">
        <w:rPr>
          <w:rFonts w:ascii="Times New Roman" w:hAnsi="Times New Roman" w:cs="Times New Roman"/>
          <w:color w:val="auto"/>
          <w:sz w:val="22"/>
          <w:szCs w:val="22"/>
        </w:rPr>
        <w:t xml:space="preserve"> (2013) argues strongly that there are significant economies of scale and scope in banking and also major benefits from the cross border operation and competition of universal banks, whilst acknowledging, that size matters and robust internationally agreed resolution regimes need to be implemented as a back stop. </w:t>
      </w:r>
    </w:p>
    <w:p w14:paraId="09449E21" w14:textId="77777777" w:rsidR="00066D11" w:rsidRPr="00C06F1B" w:rsidRDefault="00066D11" w:rsidP="00D130EC">
      <w:pPr>
        <w:widowControl w:val="0"/>
        <w:autoSpaceDE w:val="0"/>
        <w:autoSpaceDN w:val="0"/>
        <w:adjustRightInd w:val="0"/>
        <w:spacing w:after="0" w:line="360" w:lineRule="auto"/>
        <w:jc w:val="both"/>
        <w:rPr>
          <w:rFonts w:ascii="Times New Roman" w:hAnsi="Times New Roman"/>
        </w:rPr>
      </w:pPr>
    </w:p>
    <w:p w14:paraId="2219B0B7" w14:textId="77777777" w:rsidR="00A86987" w:rsidRPr="00C06F1B" w:rsidRDefault="00A86987" w:rsidP="00E7515A">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color w:val="auto"/>
          <w:sz w:val="22"/>
          <w:szCs w:val="22"/>
        </w:rPr>
        <w:t xml:space="preserve">We support the prevailing view that a Financial Transactions Tax (FTT) is economically inefficient because it reduces market trading volume and liquidity and increases volatility and the cost of capital for firms. This is especially the case if it is applied to the gross value at each stage of the settlement </w:t>
      </w:r>
      <w:r w:rsidRPr="00E7515A">
        <w:rPr>
          <w:rFonts w:ascii="Times New Roman" w:hAnsi="Times New Roman" w:cs="Times New Roman"/>
          <w:color w:val="auto"/>
          <w:sz w:val="22"/>
          <w:szCs w:val="22"/>
        </w:rPr>
        <w:lastRenderedPageBreak/>
        <w:t xml:space="preserve">chain of a financial transaction, as initially proposed by the European Commission (EC), unlike VAT; which is applicable at the end of the chain. The cumulative effect of charging each agent in a multi-step execution process can be substantial. An FTT may seem like a tax on banks and other financial institutions, but it is highly likely that a good proportion of the costs would be passed on to the end investors.  A narrower and relatively low tax, such as the UK ‘Stamp Duty’ on equity sales (and house sales), is likely to be much less distortionary and now seems more likely to be adopted by the EU, or the Eurozone alone. It would however raise less revenue. Furthermore, imposing an FTT on government bond sales would both raise the cost of government funding and be detrimental to the ‘repo market’, which underpins the interbank markets and thus liquidity in the banking system.  The originally proposed EU FTT was applicable to other non-participating member countries and to third countries if they were counterparty to financial transaction trading in an FTT jurisdiction. Equity issuance is already relatively more costly than debt issuance due to the tax deductibility of interest, but not dividend payments, and UK-style stamp duty adds to the cost of selling equities; but we might support stamp duty as a revenue raiser whose major benefit might be to serve as a ‘Tobin Tax’ (Tobin, 1958) discouraging wasteful over-trading of shares and ‘short-termism’. </w:t>
      </w:r>
    </w:p>
    <w:p w14:paraId="4235B415" w14:textId="77777777" w:rsidR="00D130EC" w:rsidRPr="00E7515A" w:rsidRDefault="00D130EC" w:rsidP="00E7515A">
      <w:pPr>
        <w:pStyle w:val="Default"/>
        <w:spacing w:line="360" w:lineRule="auto"/>
        <w:jc w:val="both"/>
        <w:rPr>
          <w:rFonts w:ascii="Times New Roman" w:hAnsi="Times New Roman" w:cs="Times New Roman"/>
          <w:color w:val="auto"/>
          <w:sz w:val="22"/>
          <w:szCs w:val="22"/>
        </w:rPr>
      </w:pPr>
    </w:p>
    <w:p w14:paraId="7B3D72E1" w14:textId="5C482470" w:rsidR="00A86987" w:rsidRPr="00E7515A" w:rsidRDefault="00A86987" w:rsidP="00E7515A">
      <w:pPr>
        <w:pStyle w:val="CM20"/>
        <w:spacing w:after="195" w:line="403" w:lineRule="atLeast"/>
        <w:jc w:val="both"/>
        <w:rPr>
          <w:rFonts w:ascii="Times New Roman" w:hAnsi="Times New Roman"/>
          <w:sz w:val="22"/>
          <w:szCs w:val="22"/>
        </w:rPr>
      </w:pPr>
      <w:r w:rsidRPr="00E7515A">
        <w:rPr>
          <w:rFonts w:ascii="Times New Roman" w:hAnsi="Times New Roman"/>
          <w:sz w:val="22"/>
          <w:szCs w:val="22"/>
        </w:rPr>
        <w:t xml:space="preserve">We further propose the removal of the exemption of financial services from VAT in order to achieve greater efficiency in taxation, as recommended in the </w:t>
      </w:r>
      <w:proofErr w:type="spellStart"/>
      <w:r w:rsidRPr="00E7515A">
        <w:rPr>
          <w:rFonts w:ascii="Times New Roman" w:hAnsi="Times New Roman"/>
          <w:sz w:val="22"/>
          <w:szCs w:val="22"/>
        </w:rPr>
        <w:t>Mirrlees</w:t>
      </w:r>
      <w:proofErr w:type="spellEnd"/>
      <w:r w:rsidRPr="00E7515A">
        <w:rPr>
          <w:rFonts w:ascii="Times New Roman" w:hAnsi="Times New Roman"/>
          <w:sz w:val="22"/>
          <w:szCs w:val="22"/>
        </w:rPr>
        <w:t xml:space="preserve"> Report (</w:t>
      </w:r>
      <w:proofErr w:type="spellStart"/>
      <w:r w:rsidRPr="00E7515A">
        <w:rPr>
          <w:rFonts w:ascii="Times New Roman" w:hAnsi="Times New Roman"/>
          <w:sz w:val="22"/>
          <w:szCs w:val="22"/>
        </w:rPr>
        <w:t>Mirrlees</w:t>
      </w:r>
      <w:proofErr w:type="spellEnd"/>
      <w:r w:rsidRPr="00E7515A">
        <w:rPr>
          <w:rFonts w:ascii="Times New Roman" w:hAnsi="Times New Roman"/>
          <w:sz w:val="22"/>
          <w:szCs w:val="22"/>
        </w:rPr>
        <w:t>, 2010), and to discourage over use of financial services and the elimination of the distortionary UK ‘free banking’ system (</w:t>
      </w:r>
      <w:proofErr w:type="spellStart"/>
      <w:r w:rsidRPr="00E7515A">
        <w:rPr>
          <w:rFonts w:ascii="Times New Roman" w:hAnsi="Times New Roman"/>
          <w:sz w:val="22"/>
          <w:szCs w:val="22"/>
        </w:rPr>
        <w:t>Mullineux</w:t>
      </w:r>
      <w:proofErr w:type="spellEnd"/>
      <w:r w:rsidRPr="00E7515A">
        <w:rPr>
          <w:rFonts w:ascii="Times New Roman" w:hAnsi="Times New Roman"/>
          <w:sz w:val="22"/>
          <w:szCs w:val="22"/>
        </w:rPr>
        <w:t xml:space="preserve">, 2012). Given the operational difficulties linked to the removal of exemption from VAT, the cash flow method with Tax Collection Account (TCA) proposed by </w:t>
      </w:r>
      <w:proofErr w:type="spellStart"/>
      <w:r w:rsidRPr="00E7515A">
        <w:rPr>
          <w:rFonts w:ascii="Times New Roman" w:hAnsi="Times New Roman"/>
          <w:sz w:val="22"/>
          <w:szCs w:val="22"/>
        </w:rPr>
        <w:t>Poddar</w:t>
      </w:r>
      <w:proofErr w:type="spellEnd"/>
      <w:r w:rsidRPr="00E7515A">
        <w:rPr>
          <w:rFonts w:ascii="Times New Roman" w:hAnsi="Times New Roman"/>
          <w:sz w:val="22"/>
          <w:szCs w:val="22"/>
        </w:rPr>
        <w:t xml:space="preserve"> and English (1997) is recommended. </w:t>
      </w:r>
      <w:r w:rsidR="00D130EC" w:rsidRPr="00C06F1B">
        <w:rPr>
          <w:rFonts w:ascii="Times New Roman" w:hAnsi="Times New Roman"/>
          <w:sz w:val="22"/>
          <w:szCs w:val="22"/>
        </w:rPr>
        <w:t>Because of operational difficulties attached to levying VAT on margin based financial services, FAT is sometimes given as an alternative solution. As value added is equivalen</w:t>
      </w:r>
      <w:r w:rsidR="00D130EC" w:rsidRPr="00EB3837">
        <w:rPr>
          <w:rFonts w:ascii="Times New Roman" w:hAnsi="Times New Roman"/>
        </w:rPr>
        <w:t>t to the wages plus profits of an institution, a FAT would serve as a tax on value added. A FAT is also preferred over an FTT because it is less easily avoidable through relocations; its inciden</w:t>
      </w:r>
      <w:r w:rsidR="00D130EC" w:rsidRPr="00C05F62">
        <w:rPr>
          <w:rFonts w:ascii="Times New Roman" w:hAnsi="Times New Roman"/>
        </w:rPr>
        <w:t xml:space="preserve">ce is more certain and it would generate the same amount of revenue with fewer inefficiencies. A FAT is also considered to be a broad ‘net’ measure of a VAT compared to an FTT’s narrow ‘gross’ measure of financial sector activity. </w:t>
      </w:r>
    </w:p>
    <w:p w14:paraId="3CA611FA" w14:textId="77777777" w:rsidR="00D130EC" w:rsidRPr="00E7515A" w:rsidRDefault="00D130EC" w:rsidP="00E7515A">
      <w:pPr>
        <w:pStyle w:val="Default"/>
        <w:spacing w:line="360" w:lineRule="auto"/>
        <w:jc w:val="both"/>
        <w:rPr>
          <w:rFonts w:ascii="Times New Roman" w:hAnsi="Times New Roman" w:cs="Times New Roman"/>
          <w:color w:val="auto"/>
          <w:sz w:val="22"/>
          <w:szCs w:val="22"/>
        </w:rPr>
      </w:pPr>
    </w:p>
    <w:p w14:paraId="7F6D15CC" w14:textId="77777777" w:rsidR="00A86987" w:rsidRPr="00C06F1B" w:rsidRDefault="00A86987" w:rsidP="00E7515A">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color w:val="auto"/>
          <w:sz w:val="22"/>
          <w:szCs w:val="22"/>
        </w:rPr>
        <w:t xml:space="preserve"> We note the overlap between the UK Bank Levy (HM Treasury, </w:t>
      </w:r>
      <w:r w:rsidRPr="00E7515A">
        <w:rPr>
          <w:rFonts w:ascii="Times New Roman" w:hAnsi="Times New Roman" w:cs="Times New Roman"/>
          <w:b/>
          <w:color w:val="auto"/>
          <w:sz w:val="22"/>
          <w:szCs w:val="22"/>
        </w:rPr>
        <w:t>2010</w:t>
      </w:r>
      <w:r w:rsidRPr="00E7515A">
        <w:rPr>
          <w:rFonts w:ascii="Times New Roman" w:hAnsi="Times New Roman" w:cs="Times New Roman"/>
          <w:color w:val="auto"/>
          <w:sz w:val="22"/>
          <w:szCs w:val="22"/>
        </w:rPr>
        <w:t xml:space="preserve">), which was initially designed to discourage reliance on wholesale money market funding in favour of retail deposits taking, but has increasingly been used to hit revenue raising targets, and the proposed Basel III Liquidity Coverage Ratio (LCR). This should to be rectified to eliminate double taxation. </w:t>
      </w:r>
    </w:p>
    <w:p w14:paraId="4A0C65AF" w14:textId="77777777" w:rsidR="00D130EC" w:rsidRPr="00E7515A" w:rsidRDefault="00D130EC" w:rsidP="00E7515A">
      <w:pPr>
        <w:pStyle w:val="Default"/>
        <w:spacing w:line="360" w:lineRule="auto"/>
        <w:jc w:val="both"/>
        <w:rPr>
          <w:rFonts w:ascii="Times New Roman" w:hAnsi="Times New Roman" w:cs="Times New Roman"/>
          <w:color w:val="auto"/>
          <w:sz w:val="22"/>
          <w:szCs w:val="22"/>
        </w:rPr>
      </w:pPr>
    </w:p>
    <w:p w14:paraId="16EA4140" w14:textId="3CB89F1C" w:rsidR="00A86987" w:rsidRPr="00E7515A" w:rsidRDefault="00A86987" w:rsidP="00E7515A">
      <w:pPr>
        <w:pStyle w:val="Default"/>
        <w:spacing w:line="360" w:lineRule="auto"/>
        <w:jc w:val="both"/>
        <w:rPr>
          <w:rFonts w:ascii="Times New Roman" w:hAnsi="Times New Roman" w:cs="Times New Roman"/>
          <w:color w:val="auto"/>
          <w:sz w:val="22"/>
          <w:szCs w:val="22"/>
        </w:rPr>
      </w:pPr>
      <w:r w:rsidRPr="00E7515A">
        <w:rPr>
          <w:rFonts w:ascii="Times New Roman" w:hAnsi="Times New Roman" w:cs="Times New Roman"/>
          <w:color w:val="auto"/>
          <w:sz w:val="22"/>
          <w:szCs w:val="22"/>
        </w:rPr>
        <w:t xml:space="preserve">Finally, the proposed EU FTT is likely to reduce market liquidity whilst the proposed Basel III </w:t>
      </w:r>
      <w:r w:rsidRPr="00E7515A">
        <w:rPr>
          <w:rFonts w:ascii="Times New Roman" w:hAnsi="Times New Roman" w:cs="Times New Roman"/>
          <w:color w:val="auto"/>
          <w:sz w:val="22"/>
          <w:szCs w:val="22"/>
        </w:rPr>
        <w:lastRenderedPageBreak/>
        <w:t>liquidity ratios (LCR and the Net Stable Funding Ratio) may also reduce money market liquidity because they require banks to hold more liquidity assets on their balance sheets. This may reduce the number of buyers in the market and could cause difficulties when many banks are seeking to sell liquid assets following a major adverse event. We thus propose a cautious approach to the implementation of FTT on top of the Basel III liquidity ratios, especially as it undermines the ‘repo’</w:t>
      </w:r>
      <w:r w:rsidR="00142436" w:rsidRPr="00C06F1B">
        <w:rPr>
          <w:rFonts w:ascii="Times New Roman" w:hAnsi="Times New Roman" w:cs="Times New Roman"/>
          <w:color w:val="auto"/>
          <w:sz w:val="22"/>
          <w:szCs w:val="22"/>
        </w:rPr>
        <w:t xml:space="preserve"> </w:t>
      </w:r>
      <w:r w:rsidRPr="00E7515A">
        <w:rPr>
          <w:rFonts w:ascii="Times New Roman" w:hAnsi="Times New Roman" w:cs="Times New Roman"/>
          <w:color w:val="auto"/>
          <w:sz w:val="22"/>
          <w:szCs w:val="22"/>
        </w:rPr>
        <w:t>market</w:t>
      </w:r>
      <w:r w:rsidR="0016557F">
        <w:rPr>
          <w:rFonts w:ascii="Times New Roman" w:hAnsi="Times New Roman" w:cs="Times New Roman"/>
          <w:color w:val="auto"/>
          <w:sz w:val="22"/>
          <w:szCs w:val="22"/>
        </w:rPr>
        <w:t>,</w:t>
      </w:r>
      <w:r w:rsidRPr="00E7515A">
        <w:rPr>
          <w:rFonts w:ascii="Times New Roman" w:hAnsi="Times New Roman" w:cs="Times New Roman"/>
          <w:color w:val="auto"/>
          <w:sz w:val="22"/>
          <w:szCs w:val="22"/>
        </w:rPr>
        <w:t xml:space="preserve"> which underpins the interbank markets and the central banks’ liquidity management channel.</w:t>
      </w:r>
    </w:p>
    <w:p w14:paraId="740210DB" w14:textId="77777777" w:rsidR="00A86987" w:rsidRPr="00C06F1B" w:rsidRDefault="00A86987" w:rsidP="00A86987">
      <w:pPr>
        <w:widowControl w:val="0"/>
        <w:autoSpaceDE w:val="0"/>
        <w:autoSpaceDN w:val="0"/>
        <w:adjustRightInd w:val="0"/>
        <w:spacing w:after="0" w:line="360" w:lineRule="auto"/>
        <w:jc w:val="both"/>
        <w:rPr>
          <w:rFonts w:ascii="Times New Roman" w:hAnsi="Times New Roman"/>
        </w:rPr>
      </w:pPr>
    </w:p>
    <w:p w14:paraId="7A240A6B" w14:textId="596D9709" w:rsidR="00CD324D" w:rsidRPr="00E7515A" w:rsidRDefault="00CD324D" w:rsidP="00E7515A">
      <w:pPr>
        <w:pStyle w:val="Default"/>
        <w:rPr>
          <w:rFonts w:ascii="Times New Roman" w:hAnsi="Times New Roman"/>
          <w:sz w:val="22"/>
          <w:szCs w:val="22"/>
        </w:rPr>
      </w:pPr>
    </w:p>
    <w:p w14:paraId="53B0A1A2" w14:textId="3A3599F2" w:rsidR="00CD324D" w:rsidRDefault="00CD324D" w:rsidP="00E7515A">
      <w:pPr>
        <w:pStyle w:val="Default"/>
        <w:rPr>
          <w:rFonts w:ascii="Times New Roman" w:hAnsi="Times New Roman"/>
          <w:sz w:val="22"/>
          <w:szCs w:val="22"/>
        </w:rPr>
      </w:pPr>
      <w:r w:rsidRPr="00E7515A">
        <w:rPr>
          <w:rFonts w:ascii="Times New Roman" w:hAnsi="Times New Roman" w:cs="Times New Roman"/>
          <w:sz w:val="22"/>
          <w:szCs w:val="22"/>
        </w:rPr>
        <w:t>6. Conclusion:</w:t>
      </w:r>
    </w:p>
    <w:p w14:paraId="318F1E2F" w14:textId="77777777" w:rsidR="00D05EE0" w:rsidRPr="00C06F1B" w:rsidRDefault="00D05EE0" w:rsidP="00E7515A">
      <w:pPr>
        <w:pStyle w:val="Default"/>
        <w:rPr>
          <w:rFonts w:ascii="Times New Roman" w:hAnsi="Times New Roman"/>
          <w:sz w:val="22"/>
          <w:szCs w:val="22"/>
        </w:rPr>
      </w:pPr>
    </w:p>
    <w:p w14:paraId="4749AF5A" w14:textId="0922B21D" w:rsidR="00C05F62" w:rsidRDefault="00AA6751" w:rsidP="00E7515A">
      <w:pPr>
        <w:pStyle w:val="Default"/>
        <w:spacing w:line="360" w:lineRule="auto"/>
        <w:jc w:val="both"/>
        <w:rPr>
          <w:rFonts w:ascii="Times New Roman" w:hAnsi="Times New Roman" w:cs="Times New Roman"/>
          <w:color w:val="auto"/>
          <w:sz w:val="22"/>
          <w:szCs w:val="22"/>
        </w:rPr>
      </w:pPr>
      <w:r w:rsidRPr="00D05EE0">
        <w:rPr>
          <w:rFonts w:ascii="Times New Roman" w:hAnsi="Times New Roman"/>
          <w:sz w:val="22"/>
          <w:szCs w:val="22"/>
        </w:rPr>
        <w:t xml:space="preserve">The Global Financial Crisis (GFC) </w:t>
      </w:r>
      <w:r w:rsidR="004F7CB6" w:rsidRPr="00D05EE0">
        <w:rPr>
          <w:rFonts w:ascii="Times New Roman" w:hAnsi="Times New Roman"/>
          <w:sz w:val="22"/>
          <w:szCs w:val="22"/>
        </w:rPr>
        <w:t xml:space="preserve">revealed </w:t>
      </w:r>
      <w:r w:rsidR="00EB3837" w:rsidRPr="00D05EE0">
        <w:rPr>
          <w:rFonts w:ascii="Times New Roman" w:hAnsi="Times New Roman"/>
          <w:sz w:val="22"/>
          <w:szCs w:val="22"/>
        </w:rPr>
        <w:t xml:space="preserve">problems with the regulatory approach to addressing externalities arising from excessive bank risk taking. </w:t>
      </w:r>
      <w:r w:rsidR="00BE2037" w:rsidRPr="00653CE6">
        <w:rPr>
          <w:rFonts w:ascii="Times New Roman" w:hAnsi="Times New Roman"/>
          <w:sz w:val="22"/>
          <w:szCs w:val="22"/>
        </w:rPr>
        <w:t xml:space="preserve">To address these externalities, </w:t>
      </w:r>
      <w:r w:rsidR="00BE2037" w:rsidRPr="008D649E">
        <w:rPr>
          <w:rFonts w:ascii="Times New Roman" w:hAnsi="Times New Roman"/>
          <w:sz w:val="22"/>
          <w:szCs w:val="22"/>
        </w:rPr>
        <w:t>i</w:t>
      </w:r>
      <w:r w:rsidR="00EB3837" w:rsidRPr="008D649E">
        <w:rPr>
          <w:rFonts w:ascii="Times New Roman" w:hAnsi="Times New Roman"/>
          <w:sz w:val="22"/>
          <w:szCs w:val="22"/>
        </w:rPr>
        <w:t xml:space="preserve">n this paper, we study how banks are regulated and taxed in a number of countries and analyse how they </w:t>
      </w:r>
      <w:r w:rsidR="00441CA5" w:rsidRPr="008D649E">
        <w:rPr>
          <w:rFonts w:ascii="Times New Roman" w:hAnsi="Times New Roman"/>
          <w:sz w:val="22"/>
          <w:szCs w:val="22"/>
        </w:rPr>
        <w:t xml:space="preserve">could be taxed to achieve a fair and efficient balance between regulatory and fiscal taxes. </w:t>
      </w:r>
      <w:r w:rsidR="00F7789F" w:rsidRPr="00533502">
        <w:rPr>
          <w:rFonts w:ascii="Times New Roman" w:hAnsi="Times New Roman"/>
          <w:sz w:val="22"/>
          <w:szCs w:val="22"/>
        </w:rPr>
        <w:t xml:space="preserve">We highlight overlap between regulations and taxation and counteracting effects of each other to remove distortions. We propose </w:t>
      </w:r>
      <w:r w:rsidR="00F7789F" w:rsidRPr="008D649E">
        <w:rPr>
          <w:rFonts w:ascii="Times New Roman" w:hAnsi="Times New Roman"/>
          <w:sz w:val="22"/>
          <w:szCs w:val="22"/>
        </w:rPr>
        <w:t>elimination of the tax de</w:t>
      </w:r>
      <w:r w:rsidR="00603469" w:rsidRPr="008D649E">
        <w:rPr>
          <w:rFonts w:ascii="Times New Roman" w:hAnsi="Times New Roman"/>
          <w:sz w:val="22"/>
          <w:szCs w:val="22"/>
        </w:rPr>
        <w:t xml:space="preserve">ductibility of the ‘expensing’ of interest on debt, removal of the </w:t>
      </w:r>
      <w:r w:rsidR="00603469" w:rsidRPr="00533502">
        <w:rPr>
          <w:rFonts w:ascii="Times New Roman" w:hAnsi="Times New Roman"/>
          <w:sz w:val="22"/>
          <w:szCs w:val="22"/>
        </w:rPr>
        <w:t xml:space="preserve">exemption of financial services from VAT. </w:t>
      </w:r>
      <w:r w:rsidR="006D57D1" w:rsidRPr="00533502">
        <w:rPr>
          <w:rFonts w:ascii="Times New Roman" w:hAnsi="Times New Roman"/>
          <w:sz w:val="22"/>
          <w:szCs w:val="22"/>
        </w:rPr>
        <w:t>In line with the view of European Commission (EC, 2011), we c</w:t>
      </w:r>
      <w:r w:rsidR="00D05EE0" w:rsidRPr="00CA52C9">
        <w:rPr>
          <w:rFonts w:ascii="Times New Roman" w:hAnsi="Times New Roman"/>
          <w:sz w:val="22"/>
          <w:szCs w:val="22"/>
        </w:rPr>
        <w:t xml:space="preserve">onsider taxation, </w:t>
      </w:r>
      <w:r w:rsidR="00C05F62" w:rsidRPr="00E7515A">
        <w:rPr>
          <w:rFonts w:ascii="Times New Roman" w:hAnsi="Times New Roman" w:cs="Times New Roman"/>
          <w:color w:val="auto"/>
          <w:sz w:val="22"/>
          <w:szCs w:val="22"/>
        </w:rPr>
        <w:t>in addition to regulations, to be a corrective measure to reduce the risk taking activities by the financial sector. Secondly, it is a source of revenue through which banks, underpinned by taxpayers, can make a ‘fair contribution’ to public finances; and thirdly, it is a source of funding for the resolution of failed banks. The UK Bank Levy is perhaps best regarded as making a fair contribution to compensate taxpayers for the fiscal consolidation, or ‘austerity’, made necessary by the need to bail them out and mount a fiscal stimulus to head off a full blown economic recession following the GFC. The use of taxes alongside regulations to reduce risk taking activity requires them to be carefully balance in order to avoid double taxation, as we have noted.</w:t>
      </w:r>
    </w:p>
    <w:p w14:paraId="755DCE48" w14:textId="77777777" w:rsidR="00653CE6" w:rsidRPr="00E7515A" w:rsidRDefault="00653CE6" w:rsidP="00E7515A">
      <w:pPr>
        <w:pStyle w:val="Default"/>
        <w:spacing w:line="360" w:lineRule="auto"/>
        <w:jc w:val="both"/>
        <w:rPr>
          <w:rFonts w:ascii="Times New Roman" w:hAnsi="Times New Roman" w:cs="Times New Roman"/>
          <w:color w:val="auto"/>
          <w:sz w:val="22"/>
          <w:szCs w:val="22"/>
        </w:rPr>
      </w:pPr>
    </w:p>
    <w:p w14:paraId="0D365505" w14:textId="77777777" w:rsidR="00DD51D3" w:rsidRPr="00C06F1B" w:rsidRDefault="00DD51D3" w:rsidP="00C05F62">
      <w:pPr>
        <w:pStyle w:val="CM20"/>
        <w:spacing w:after="195" w:line="440" w:lineRule="atLeast"/>
        <w:jc w:val="both"/>
        <w:rPr>
          <w:rFonts w:ascii="Times New Roman" w:hAnsi="Times New Roman"/>
          <w:sz w:val="22"/>
          <w:szCs w:val="22"/>
        </w:rPr>
      </w:pPr>
      <w:r w:rsidRPr="00AA6751">
        <w:rPr>
          <w:rFonts w:ascii="Times New Roman" w:hAnsi="Times New Roman"/>
          <w:sz w:val="22"/>
          <w:szCs w:val="22"/>
        </w:rPr>
        <w:t xml:space="preserve">Moreover, </w:t>
      </w:r>
      <w:r w:rsidR="00E36245" w:rsidRPr="00AA6751">
        <w:rPr>
          <w:rFonts w:ascii="Times New Roman" w:hAnsi="Times New Roman"/>
          <w:sz w:val="22"/>
          <w:szCs w:val="22"/>
        </w:rPr>
        <w:t xml:space="preserve">as highlighted by </w:t>
      </w:r>
      <w:r w:rsidR="00985245" w:rsidRPr="00E7515A">
        <w:rPr>
          <w:rFonts w:ascii="Times New Roman" w:hAnsi="Times New Roman"/>
          <w:sz w:val="22"/>
          <w:szCs w:val="22"/>
        </w:rPr>
        <w:t>the IMF (2010)</w:t>
      </w:r>
      <w:r w:rsidR="00282DF3" w:rsidRPr="00E7515A">
        <w:rPr>
          <w:rFonts w:ascii="Times New Roman" w:hAnsi="Times New Roman"/>
          <w:sz w:val="22"/>
          <w:szCs w:val="22"/>
        </w:rPr>
        <w:t xml:space="preserve"> report</w:t>
      </w:r>
      <w:r w:rsidR="00985245" w:rsidRPr="00E7515A">
        <w:rPr>
          <w:rFonts w:ascii="Times New Roman" w:hAnsi="Times New Roman"/>
          <w:sz w:val="22"/>
          <w:szCs w:val="22"/>
        </w:rPr>
        <w:t>,</w:t>
      </w:r>
      <w:r w:rsidRPr="00E7515A">
        <w:rPr>
          <w:rFonts w:ascii="Times New Roman" w:hAnsi="Times New Roman"/>
          <w:sz w:val="22"/>
          <w:szCs w:val="22"/>
        </w:rPr>
        <w:t xml:space="preserve"> </w:t>
      </w:r>
      <w:r w:rsidR="00282DF3" w:rsidRPr="00E7515A">
        <w:rPr>
          <w:rFonts w:ascii="Times New Roman" w:hAnsi="Times New Roman"/>
          <w:sz w:val="22"/>
          <w:szCs w:val="22"/>
        </w:rPr>
        <w:t xml:space="preserve">the </w:t>
      </w:r>
      <w:r w:rsidRPr="00E7515A">
        <w:rPr>
          <w:rFonts w:ascii="Times New Roman" w:hAnsi="Times New Roman"/>
          <w:sz w:val="22"/>
          <w:szCs w:val="22"/>
        </w:rPr>
        <w:t xml:space="preserve">implementation of several discussed tax and </w:t>
      </w:r>
      <w:r w:rsidR="00D369F9" w:rsidRPr="00E7515A">
        <w:rPr>
          <w:rFonts w:ascii="Times New Roman" w:hAnsi="Times New Roman"/>
          <w:sz w:val="22"/>
          <w:szCs w:val="22"/>
        </w:rPr>
        <w:t>regulatory measures need</w:t>
      </w:r>
      <w:r w:rsidR="00705C18" w:rsidRPr="00E7515A">
        <w:rPr>
          <w:rFonts w:ascii="Times New Roman" w:hAnsi="Times New Roman"/>
          <w:sz w:val="22"/>
          <w:szCs w:val="22"/>
        </w:rPr>
        <w:t>s</w:t>
      </w:r>
      <w:r w:rsidRPr="00E7515A">
        <w:rPr>
          <w:rFonts w:ascii="Times New Roman" w:hAnsi="Times New Roman"/>
          <w:sz w:val="22"/>
          <w:szCs w:val="22"/>
        </w:rPr>
        <w:t xml:space="preserve"> to be co</w:t>
      </w:r>
      <w:r w:rsidR="005A474E" w:rsidRPr="00E7515A">
        <w:rPr>
          <w:rFonts w:ascii="Times New Roman" w:hAnsi="Times New Roman"/>
          <w:sz w:val="22"/>
          <w:szCs w:val="22"/>
        </w:rPr>
        <w:t>-</w:t>
      </w:r>
      <w:r w:rsidRPr="00C06F1B">
        <w:rPr>
          <w:rFonts w:ascii="Times New Roman" w:hAnsi="Times New Roman"/>
          <w:sz w:val="22"/>
          <w:szCs w:val="22"/>
        </w:rPr>
        <w:t xml:space="preserve">ordinated with that of the wider regulatory reform agenda, and the effects on the wider economy </w:t>
      </w:r>
      <w:r w:rsidR="00BF1496" w:rsidRPr="00C06F1B">
        <w:rPr>
          <w:rFonts w:ascii="Times New Roman" w:hAnsi="Times New Roman"/>
          <w:sz w:val="22"/>
          <w:szCs w:val="22"/>
        </w:rPr>
        <w:t xml:space="preserve">need to be </w:t>
      </w:r>
      <w:r w:rsidRPr="00C06F1B">
        <w:rPr>
          <w:rFonts w:ascii="Times New Roman" w:hAnsi="Times New Roman"/>
          <w:sz w:val="22"/>
          <w:szCs w:val="22"/>
        </w:rPr>
        <w:t xml:space="preserve">carefully assessed. So far, regulatory and tax policies towards the financial sector have been formed largely independently of each other. Therefore, a more holistic approach is needed to ensure that they are properly aligned in both the incentives and the overall burden they imply for the sector. </w:t>
      </w:r>
    </w:p>
    <w:p w14:paraId="786852DE" w14:textId="77777777" w:rsidR="00DD51D3" w:rsidRPr="00C06F1B" w:rsidRDefault="00DD51D3" w:rsidP="00DD51D3">
      <w:pPr>
        <w:pStyle w:val="CM18"/>
        <w:jc w:val="both"/>
        <w:rPr>
          <w:rFonts w:ascii="Times New Roman" w:hAnsi="Times New Roman"/>
          <w:sz w:val="22"/>
          <w:szCs w:val="22"/>
        </w:rPr>
      </w:pPr>
    </w:p>
    <w:p w14:paraId="11B53EEB" w14:textId="77777777" w:rsidR="003F17DD" w:rsidRPr="00C06F1B" w:rsidRDefault="008E5541" w:rsidP="00E73D67">
      <w:pPr>
        <w:pStyle w:val="CM25"/>
        <w:pageBreakBefore/>
        <w:spacing w:after="402"/>
        <w:jc w:val="both"/>
        <w:rPr>
          <w:rFonts w:ascii="Times New Roman" w:hAnsi="Times New Roman"/>
          <w:sz w:val="22"/>
          <w:szCs w:val="22"/>
        </w:rPr>
      </w:pPr>
      <w:r w:rsidRPr="00E7515A">
        <w:rPr>
          <w:rFonts w:ascii="Times New Roman" w:hAnsi="Times New Roman"/>
          <w:b/>
          <w:bCs/>
          <w:sz w:val="22"/>
          <w:szCs w:val="22"/>
        </w:rPr>
        <w:lastRenderedPageBreak/>
        <w:t>References</w:t>
      </w:r>
      <w:r w:rsidR="00EE480F" w:rsidRPr="00E7515A">
        <w:rPr>
          <w:rFonts w:ascii="Times New Roman" w:hAnsi="Times New Roman"/>
          <w:b/>
          <w:bCs/>
          <w:sz w:val="22"/>
          <w:szCs w:val="22"/>
        </w:rPr>
        <w:t>:</w:t>
      </w:r>
    </w:p>
    <w:p w14:paraId="713B6515" w14:textId="77777777" w:rsidR="003F17DD" w:rsidRPr="00C06F1B" w:rsidRDefault="00F028E3" w:rsidP="00E73D67">
      <w:pPr>
        <w:spacing w:line="360" w:lineRule="auto"/>
        <w:rPr>
          <w:rFonts w:ascii="Times New Roman" w:hAnsi="Times New Roman"/>
        </w:rPr>
      </w:pPr>
      <w:proofErr w:type="gramStart"/>
      <w:r w:rsidRPr="00E7515A">
        <w:rPr>
          <w:rFonts w:ascii="Times New Roman" w:hAnsi="Times New Roman"/>
        </w:rPr>
        <w:t>Acharya, V., P</w:t>
      </w:r>
      <w:r w:rsidR="00F20BE4" w:rsidRPr="00E7515A">
        <w:rPr>
          <w:rFonts w:ascii="Times New Roman" w:hAnsi="Times New Roman"/>
        </w:rPr>
        <w:t xml:space="preserve">edersen, L., </w:t>
      </w:r>
      <w:proofErr w:type="spellStart"/>
      <w:r w:rsidR="00F20BE4" w:rsidRPr="00E7515A">
        <w:rPr>
          <w:rFonts w:ascii="Times New Roman" w:hAnsi="Times New Roman"/>
        </w:rPr>
        <w:t>Phillippon</w:t>
      </w:r>
      <w:proofErr w:type="spellEnd"/>
      <w:r w:rsidR="00F20BE4" w:rsidRPr="00E7515A">
        <w:rPr>
          <w:rFonts w:ascii="Times New Roman" w:hAnsi="Times New Roman"/>
        </w:rPr>
        <w:t>, T. &amp; Richardson, M.</w:t>
      </w:r>
      <w:r w:rsidRPr="00E7515A">
        <w:rPr>
          <w:rFonts w:ascii="Times New Roman" w:hAnsi="Times New Roman"/>
        </w:rPr>
        <w:t xml:space="preserve"> </w:t>
      </w:r>
      <w:r w:rsidR="00F20BE4" w:rsidRPr="00E7515A">
        <w:rPr>
          <w:rFonts w:ascii="Times New Roman" w:hAnsi="Times New Roman"/>
        </w:rPr>
        <w:t>(</w:t>
      </w:r>
      <w:r w:rsidRPr="00E7515A">
        <w:rPr>
          <w:rFonts w:ascii="Times New Roman" w:hAnsi="Times New Roman"/>
        </w:rPr>
        <w:t>2010</w:t>
      </w:r>
      <w:r w:rsidR="00F20BE4" w:rsidRPr="00E7515A">
        <w:rPr>
          <w:rFonts w:ascii="Times New Roman" w:hAnsi="Times New Roman"/>
        </w:rPr>
        <w:t>)</w:t>
      </w:r>
      <w:r w:rsidRPr="00E7515A">
        <w:rPr>
          <w:rFonts w:ascii="Times New Roman" w:hAnsi="Times New Roman"/>
        </w:rPr>
        <w:t>.</w:t>
      </w:r>
      <w:proofErr w:type="gramEnd"/>
      <w:r w:rsidRPr="00E7515A">
        <w:rPr>
          <w:rFonts w:ascii="Times New Roman" w:hAnsi="Times New Roman"/>
        </w:rPr>
        <w:t xml:space="preserve"> </w:t>
      </w:r>
      <w:proofErr w:type="gramStart"/>
      <w:r w:rsidRPr="00E7515A">
        <w:rPr>
          <w:rFonts w:ascii="Times New Roman" w:hAnsi="Times New Roman"/>
        </w:rPr>
        <w:t>Measuring systemic risk.</w:t>
      </w:r>
      <w:proofErr w:type="gramEnd"/>
      <w:r w:rsidRPr="00E7515A">
        <w:rPr>
          <w:rFonts w:ascii="Times New Roman" w:hAnsi="Times New Roman"/>
        </w:rPr>
        <w:t xml:space="preserve"> </w:t>
      </w:r>
      <w:proofErr w:type="gramStart"/>
      <w:r w:rsidRPr="00E7515A">
        <w:rPr>
          <w:rFonts w:ascii="Times New Roman" w:hAnsi="Times New Roman"/>
        </w:rPr>
        <w:t>New York University Working Paper.</w:t>
      </w:r>
      <w:proofErr w:type="gramEnd"/>
    </w:p>
    <w:p w14:paraId="0EA1BAD0" w14:textId="77777777" w:rsidR="003F17DD" w:rsidRPr="00C06F1B" w:rsidRDefault="00F028E3" w:rsidP="00E73D67">
      <w:pPr>
        <w:spacing w:line="360" w:lineRule="auto"/>
        <w:rPr>
          <w:rFonts w:ascii="Times New Roman" w:hAnsi="Times New Roman"/>
        </w:rPr>
      </w:pPr>
      <w:proofErr w:type="spellStart"/>
      <w:proofErr w:type="gramStart"/>
      <w:r w:rsidRPr="00E7515A">
        <w:rPr>
          <w:rFonts w:ascii="Times New Roman" w:hAnsi="Times New Roman"/>
        </w:rPr>
        <w:t>Admati</w:t>
      </w:r>
      <w:proofErr w:type="spellEnd"/>
      <w:r w:rsidRPr="00E7515A">
        <w:rPr>
          <w:rFonts w:ascii="Times New Roman" w:hAnsi="Times New Roman"/>
        </w:rPr>
        <w:t xml:space="preserve">, A. &amp; </w:t>
      </w:r>
      <w:proofErr w:type="spellStart"/>
      <w:r w:rsidRPr="00E7515A">
        <w:rPr>
          <w:rFonts w:ascii="Times New Roman" w:hAnsi="Times New Roman"/>
        </w:rPr>
        <w:t>Hellwig</w:t>
      </w:r>
      <w:proofErr w:type="spellEnd"/>
      <w:r w:rsidR="00990937" w:rsidRPr="00E7515A">
        <w:rPr>
          <w:rFonts w:ascii="Times New Roman" w:hAnsi="Times New Roman"/>
        </w:rPr>
        <w:t>, M.</w:t>
      </w:r>
      <w:r w:rsidR="00CB2C15" w:rsidRPr="00E7515A">
        <w:rPr>
          <w:rFonts w:ascii="Times New Roman" w:hAnsi="Times New Roman"/>
        </w:rPr>
        <w:t xml:space="preserve"> (</w:t>
      </w:r>
      <w:r w:rsidRPr="00E7515A">
        <w:rPr>
          <w:rFonts w:ascii="Times New Roman" w:hAnsi="Times New Roman"/>
        </w:rPr>
        <w:t>2013</w:t>
      </w:r>
      <w:r w:rsidR="00CB2C15" w:rsidRPr="00E7515A">
        <w:rPr>
          <w:rFonts w:ascii="Times New Roman" w:hAnsi="Times New Roman"/>
        </w:rPr>
        <w:t>)</w:t>
      </w:r>
      <w:r w:rsidR="00990937" w:rsidRPr="00E7515A">
        <w:rPr>
          <w:rFonts w:ascii="Times New Roman" w:hAnsi="Times New Roman"/>
        </w:rPr>
        <w:t>.</w:t>
      </w:r>
      <w:proofErr w:type="gramEnd"/>
      <w:r w:rsidR="00043675" w:rsidRPr="00E7515A">
        <w:rPr>
          <w:rFonts w:ascii="Times New Roman" w:hAnsi="Times New Roman"/>
        </w:rPr>
        <w:t xml:space="preserve"> </w:t>
      </w:r>
      <w:proofErr w:type="gramStart"/>
      <w:r w:rsidR="00095849" w:rsidRPr="00E7515A">
        <w:rPr>
          <w:rFonts w:ascii="Times New Roman" w:hAnsi="Times New Roman"/>
        </w:rPr>
        <w:t>The Bankers’ New Clothes</w:t>
      </w:r>
      <w:r w:rsidR="00990937" w:rsidRPr="00E7515A">
        <w:rPr>
          <w:rFonts w:ascii="Times New Roman" w:hAnsi="Times New Roman"/>
        </w:rPr>
        <w:t>.</w:t>
      </w:r>
      <w:proofErr w:type="gramEnd"/>
      <w:r w:rsidR="00095849" w:rsidRPr="00E7515A">
        <w:rPr>
          <w:rFonts w:ascii="Times New Roman" w:hAnsi="Times New Roman"/>
        </w:rPr>
        <w:t xml:space="preserve"> Princeton</w:t>
      </w:r>
      <w:r w:rsidR="00990937" w:rsidRPr="00E7515A">
        <w:rPr>
          <w:rFonts w:ascii="Times New Roman" w:hAnsi="Times New Roman"/>
        </w:rPr>
        <w:t>: Princeton University Press</w:t>
      </w:r>
      <w:proofErr w:type="gramStart"/>
      <w:r w:rsidR="00990937" w:rsidRPr="00E7515A">
        <w:rPr>
          <w:rFonts w:ascii="Times New Roman" w:hAnsi="Times New Roman"/>
        </w:rPr>
        <w:t>.</w:t>
      </w:r>
      <w:r w:rsidR="00095849" w:rsidRPr="00E7515A">
        <w:rPr>
          <w:rFonts w:ascii="Times New Roman" w:hAnsi="Times New Roman"/>
        </w:rPr>
        <w:t>.</w:t>
      </w:r>
      <w:proofErr w:type="gramEnd"/>
    </w:p>
    <w:p w14:paraId="6D886B7E" w14:textId="77777777" w:rsidR="003F17DD" w:rsidRPr="00C06F1B" w:rsidRDefault="00F20BE4" w:rsidP="00E73D67">
      <w:pPr>
        <w:spacing w:line="360" w:lineRule="auto"/>
        <w:rPr>
          <w:rFonts w:ascii="Times New Roman" w:hAnsi="Times New Roman"/>
        </w:rPr>
      </w:pPr>
      <w:proofErr w:type="gramStart"/>
      <w:r w:rsidRPr="00E7515A">
        <w:rPr>
          <w:rFonts w:ascii="Times New Roman" w:hAnsi="Times New Roman"/>
        </w:rPr>
        <w:t xml:space="preserve">Adrian, T. &amp; </w:t>
      </w:r>
      <w:proofErr w:type="spellStart"/>
      <w:r w:rsidRPr="00E7515A">
        <w:rPr>
          <w:rFonts w:ascii="Times New Roman" w:hAnsi="Times New Roman"/>
        </w:rPr>
        <w:t>Brunnermeier</w:t>
      </w:r>
      <w:proofErr w:type="spellEnd"/>
      <w:r w:rsidRPr="00E7515A">
        <w:rPr>
          <w:rFonts w:ascii="Times New Roman" w:hAnsi="Times New Roman"/>
        </w:rPr>
        <w:t>, M. (2011).</w:t>
      </w:r>
      <w:proofErr w:type="gramEnd"/>
      <w:r w:rsidRPr="00E7515A">
        <w:rPr>
          <w:rFonts w:ascii="Times New Roman" w:hAnsi="Times New Roman"/>
        </w:rPr>
        <w:t xml:space="preserve"> </w:t>
      </w:r>
      <w:proofErr w:type="spellStart"/>
      <w:proofErr w:type="gramStart"/>
      <w:r w:rsidR="00F028E3" w:rsidRPr="00E7515A">
        <w:rPr>
          <w:rFonts w:ascii="Times New Roman" w:hAnsi="Times New Roman"/>
        </w:rPr>
        <w:t>CoVaR</w:t>
      </w:r>
      <w:proofErr w:type="spellEnd"/>
      <w:r w:rsidR="00F028E3" w:rsidRPr="00E7515A">
        <w:rPr>
          <w:rFonts w:ascii="Times New Roman" w:hAnsi="Times New Roman"/>
        </w:rPr>
        <w:t>.</w:t>
      </w:r>
      <w:proofErr w:type="gramEnd"/>
      <w:r w:rsidR="00F028E3" w:rsidRPr="00E7515A">
        <w:rPr>
          <w:rFonts w:ascii="Times New Roman" w:hAnsi="Times New Roman"/>
        </w:rPr>
        <w:t xml:space="preserve"> NBER Working Paper No. 17454.</w:t>
      </w:r>
    </w:p>
    <w:p w14:paraId="2590A7E0" w14:textId="77777777" w:rsidR="00695814" w:rsidRPr="00C06F1B" w:rsidRDefault="00695814" w:rsidP="00695814">
      <w:pPr>
        <w:spacing w:line="360" w:lineRule="auto"/>
        <w:rPr>
          <w:rFonts w:ascii="Times New Roman" w:hAnsi="Times New Roman"/>
        </w:rPr>
      </w:pPr>
      <w:proofErr w:type="spellStart"/>
      <w:proofErr w:type="gramStart"/>
      <w:r w:rsidRPr="00E7515A">
        <w:rPr>
          <w:rFonts w:ascii="Times New Roman" w:hAnsi="Times New Roman"/>
        </w:rPr>
        <w:t>Amihud</w:t>
      </w:r>
      <w:proofErr w:type="spellEnd"/>
      <w:r w:rsidRPr="00E7515A">
        <w:rPr>
          <w:rFonts w:ascii="Times New Roman" w:hAnsi="Times New Roman"/>
        </w:rPr>
        <w:t xml:space="preserve">, Y. </w:t>
      </w:r>
      <w:r w:rsidR="00990937" w:rsidRPr="00E7515A">
        <w:rPr>
          <w:rFonts w:ascii="Times New Roman" w:hAnsi="Times New Roman"/>
        </w:rPr>
        <w:t>&amp;</w:t>
      </w:r>
      <w:r w:rsidRPr="00E7515A">
        <w:rPr>
          <w:rFonts w:ascii="Times New Roman" w:hAnsi="Times New Roman"/>
        </w:rPr>
        <w:t xml:space="preserve"> </w:t>
      </w:r>
      <w:r w:rsidR="00985245" w:rsidRPr="00E7515A">
        <w:rPr>
          <w:rFonts w:ascii="Times New Roman" w:hAnsi="Times New Roman"/>
        </w:rPr>
        <w:t>Mendelson</w:t>
      </w:r>
      <w:r w:rsidR="00990937" w:rsidRPr="00E7515A">
        <w:rPr>
          <w:rFonts w:ascii="Times New Roman" w:hAnsi="Times New Roman"/>
        </w:rPr>
        <w:t xml:space="preserve">, H. </w:t>
      </w:r>
      <w:r w:rsidRPr="00E7515A">
        <w:rPr>
          <w:rFonts w:ascii="Times New Roman" w:hAnsi="Times New Roman"/>
        </w:rPr>
        <w:t>(1992).</w:t>
      </w:r>
      <w:proofErr w:type="gramEnd"/>
      <w:r w:rsidRPr="00E7515A">
        <w:rPr>
          <w:rFonts w:ascii="Times New Roman" w:hAnsi="Times New Roman"/>
        </w:rPr>
        <w:t xml:space="preserve"> Transaction </w:t>
      </w:r>
      <w:r w:rsidR="00043675" w:rsidRPr="00E7515A">
        <w:rPr>
          <w:rFonts w:ascii="Times New Roman" w:hAnsi="Times New Roman"/>
        </w:rPr>
        <w:t>T</w:t>
      </w:r>
      <w:r w:rsidRPr="00E7515A">
        <w:rPr>
          <w:rFonts w:ascii="Times New Roman" w:hAnsi="Times New Roman"/>
        </w:rPr>
        <w:t xml:space="preserve">axes and </w:t>
      </w:r>
      <w:r w:rsidR="00043675" w:rsidRPr="00E7515A">
        <w:rPr>
          <w:rFonts w:ascii="Times New Roman" w:hAnsi="Times New Roman"/>
        </w:rPr>
        <w:t>S</w:t>
      </w:r>
      <w:r w:rsidRPr="00E7515A">
        <w:rPr>
          <w:rFonts w:ascii="Times New Roman" w:hAnsi="Times New Roman"/>
        </w:rPr>
        <w:t xml:space="preserve">tock </w:t>
      </w:r>
      <w:r w:rsidR="00043675" w:rsidRPr="00E7515A">
        <w:rPr>
          <w:rFonts w:ascii="Times New Roman" w:hAnsi="Times New Roman"/>
        </w:rPr>
        <w:t>V</w:t>
      </w:r>
      <w:r w:rsidRPr="00E7515A">
        <w:rPr>
          <w:rFonts w:ascii="Times New Roman" w:hAnsi="Times New Roman"/>
        </w:rPr>
        <w:t xml:space="preserve">alues. In </w:t>
      </w:r>
      <w:r w:rsidR="00043675" w:rsidRPr="00E7515A">
        <w:rPr>
          <w:rFonts w:ascii="Times New Roman" w:hAnsi="Times New Roman"/>
        </w:rPr>
        <w:t>M</w:t>
      </w:r>
      <w:r w:rsidRPr="00E7515A">
        <w:rPr>
          <w:rFonts w:ascii="Times New Roman" w:hAnsi="Times New Roman"/>
        </w:rPr>
        <w:t xml:space="preserve">odernizing U.S. </w:t>
      </w:r>
      <w:r w:rsidR="00043675" w:rsidRPr="00E7515A">
        <w:rPr>
          <w:rFonts w:ascii="Times New Roman" w:hAnsi="Times New Roman"/>
        </w:rPr>
        <w:t>S</w:t>
      </w:r>
      <w:r w:rsidRPr="00E7515A">
        <w:rPr>
          <w:rFonts w:ascii="Times New Roman" w:hAnsi="Times New Roman"/>
        </w:rPr>
        <w:t xml:space="preserve">ecurities </w:t>
      </w:r>
      <w:r w:rsidR="00043675" w:rsidRPr="00E7515A">
        <w:rPr>
          <w:rFonts w:ascii="Times New Roman" w:hAnsi="Times New Roman"/>
        </w:rPr>
        <w:t>R</w:t>
      </w:r>
      <w:r w:rsidRPr="00E7515A">
        <w:rPr>
          <w:rFonts w:ascii="Times New Roman" w:hAnsi="Times New Roman"/>
        </w:rPr>
        <w:t>egulation</w:t>
      </w:r>
      <w:r w:rsidR="00095849" w:rsidRPr="00E7515A">
        <w:rPr>
          <w:rFonts w:ascii="Times New Roman" w:hAnsi="Times New Roman"/>
        </w:rPr>
        <w:t>:</w:t>
      </w:r>
      <w:r w:rsidRPr="00E7515A">
        <w:rPr>
          <w:rFonts w:ascii="Times New Roman" w:hAnsi="Times New Roman"/>
        </w:rPr>
        <w:t xml:space="preserve"> </w:t>
      </w:r>
      <w:r w:rsidR="00095849" w:rsidRPr="00E7515A">
        <w:rPr>
          <w:rFonts w:ascii="Times New Roman" w:hAnsi="Times New Roman"/>
        </w:rPr>
        <w:t>Economic and Legal Perspectives. Irwin</w:t>
      </w:r>
      <w:r w:rsidR="006959E7" w:rsidRPr="00E7515A">
        <w:rPr>
          <w:rFonts w:ascii="Times New Roman" w:hAnsi="Times New Roman"/>
        </w:rPr>
        <w:t xml:space="preserve"> Professional Publishing, IL:</w:t>
      </w:r>
      <w:r w:rsidRPr="00E7515A">
        <w:rPr>
          <w:rFonts w:ascii="Times New Roman" w:hAnsi="Times New Roman"/>
        </w:rPr>
        <w:t xml:space="preserve"> 477-500.  </w:t>
      </w:r>
    </w:p>
    <w:p w14:paraId="398513D1"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Arbelaez</w:t>
      </w:r>
      <w:proofErr w:type="spellEnd"/>
      <w:r w:rsidRPr="00E7515A">
        <w:rPr>
          <w:rFonts w:ascii="Times New Roman" w:hAnsi="Times New Roman"/>
          <w:sz w:val="22"/>
          <w:szCs w:val="22"/>
        </w:rPr>
        <w:t>, M., Leonard, B</w:t>
      </w:r>
      <w:r w:rsidR="008D5739" w:rsidRPr="00E7515A">
        <w:rPr>
          <w:rFonts w:ascii="Times New Roman" w:hAnsi="Times New Roman"/>
          <w:sz w:val="22"/>
          <w:szCs w:val="22"/>
        </w:rPr>
        <w:t xml:space="preserve"> </w:t>
      </w:r>
      <w:r w:rsidR="006959E7" w:rsidRPr="00E7515A">
        <w:rPr>
          <w:rFonts w:ascii="Times New Roman" w:hAnsi="Times New Roman"/>
          <w:sz w:val="22"/>
          <w:szCs w:val="22"/>
        </w:rPr>
        <w:t>&amp;</w:t>
      </w:r>
      <w:r w:rsidRPr="00E7515A">
        <w:rPr>
          <w:rFonts w:ascii="Times New Roman" w:hAnsi="Times New Roman"/>
          <w:sz w:val="22"/>
          <w:szCs w:val="22"/>
        </w:rPr>
        <w:t xml:space="preserve"> </w:t>
      </w:r>
      <w:proofErr w:type="spellStart"/>
      <w:r w:rsidRPr="00E7515A">
        <w:rPr>
          <w:rFonts w:ascii="Times New Roman" w:hAnsi="Times New Roman"/>
          <w:sz w:val="22"/>
          <w:szCs w:val="22"/>
        </w:rPr>
        <w:t>Zuluaga</w:t>
      </w:r>
      <w:proofErr w:type="spellEnd"/>
      <w:r w:rsidRPr="00E7515A">
        <w:rPr>
          <w:rFonts w:ascii="Times New Roman" w:hAnsi="Times New Roman"/>
          <w:sz w:val="22"/>
          <w:szCs w:val="22"/>
        </w:rPr>
        <w:t xml:space="preserve">, S, </w:t>
      </w:r>
      <w:r w:rsidR="00985245" w:rsidRPr="00E7515A">
        <w:rPr>
          <w:rFonts w:ascii="Times New Roman" w:hAnsi="Times New Roman"/>
          <w:sz w:val="22"/>
          <w:szCs w:val="22"/>
        </w:rPr>
        <w:t>Ed</w:t>
      </w:r>
      <w:r w:rsidR="00CB2C15" w:rsidRPr="00E7515A">
        <w:rPr>
          <w:rFonts w:ascii="Times New Roman" w:hAnsi="Times New Roman"/>
          <w:sz w:val="22"/>
          <w:szCs w:val="22"/>
        </w:rPr>
        <w:t>s</w:t>
      </w:r>
      <w:r w:rsidR="00985245" w:rsidRPr="00E7515A">
        <w:rPr>
          <w:rFonts w:ascii="Times New Roman" w:hAnsi="Times New Roman"/>
          <w:sz w:val="22"/>
          <w:szCs w:val="22"/>
        </w:rPr>
        <w:t>.</w:t>
      </w:r>
      <w:r w:rsidRPr="00E7515A">
        <w:rPr>
          <w:rFonts w:ascii="Times New Roman" w:hAnsi="Times New Roman"/>
          <w:sz w:val="22"/>
          <w:szCs w:val="22"/>
        </w:rPr>
        <w:t xml:space="preserve"> (2005).</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The Bank Debit Tax in Colombia.</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Fiscal Reform in Colombia.</w:t>
      </w:r>
      <w:proofErr w:type="gramEnd"/>
      <w:r w:rsidRPr="00E7515A">
        <w:rPr>
          <w:rFonts w:ascii="Times New Roman" w:hAnsi="Times New Roman"/>
          <w:sz w:val="22"/>
          <w:szCs w:val="22"/>
        </w:rPr>
        <w:t xml:space="preserve"> Cambridge</w:t>
      </w:r>
      <w:r w:rsidR="006959E7" w:rsidRPr="00E7515A">
        <w:rPr>
          <w:rFonts w:ascii="Times New Roman" w:hAnsi="Times New Roman"/>
          <w:sz w:val="22"/>
          <w:szCs w:val="22"/>
        </w:rPr>
        <w:t>:</w:t>
      </w:r>
      <w:r w:rsidRPr="00E7515A">
        <w:rPr>
          <w:rFonts w:ascii="Times New Roman" w:hAnsi="Times New Roman"/>
          <w:sz w:val="22"/>
          <w:szCs w:val="22"/>
        </w:rPr>
        <w:t xml:space="preserve"> MIT Press. </w:t>
      </w:r>
    </w:p>
    <w:p w14:paraId="415611CA" w14:textId="77777777" w:rsidR="004314DA" w:rsidRPr="00C06F1B" w:rsidRDefault="004314DA" w:rsidP="004314DA">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Atkinson, A.</w:t>
      </w:r>
      <w:r w:rsidR="006959E7" w:rsidRPr="00E7515A">
        <w:rPr>
          <w:rFonts w:ascii="Times New Roman" w:hAnsi="Times New Roman"/>
          <w:sz w:val="22"/>
          <w:szCs w:val="22"/>
        </w:rPr>
        <w:t>B. &amp;</w:t>
      </w:r>
      <w:r w:rsidRPr="00E7515A">
        <w:rPr>
          <w:rFonts w:ascii="Times New Roman" w:hAnsi="Times New Roman"/>
          <w:sz w:val="22"/>
          <w:szCs w:val="22"/>
        </w:rPr>
        <w:t xml:space="preserve"> Stiglitz, J.E. (1976), The Design of Tax Structure: Direct Versus Indirect Taxation. Journal of Public Economics, 6: 55-75.</w:t>
      </w:r>
    </w:p>
    <w:p w14:paraId="1DF55C8F" w14:textId="77777777" w:rsidR="00C15DAE" w:rsidRPr="00C06F1B" w:rsidRDefault="00C15DAE" w:rsidP="00A7780D">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Auerbach</w:t>
      </w:r>
      <w:proofErr w:type="spellEnd"/>
      <w:r w:rsidR="004C186B" w:rsidRPr="00E7515A">
        <w:rPr>
          <w:rFonts w:ascii="Times New Roman" w:hAnsi="Times New Roman"/>
          <w:sz w:val="22"/>
          <w:szCs w:val="22"/>
        </w:rPr>
        <w:t>,</w:t>
      </w:r>
      <w:r w:rsidRPr="00E7515A">
        <w:rPr>
          <w:rFonts w:ascii="Times New Roman" w:hAnsi="Times New Roman"/>
          <w:sz w:val="22"/>
          <w:szCs w:val="22"/>
        </w:rPr>
        <w:t xml:space="preserve"> A</w:t>
      </w:r>
      <w:r w:rsidR="004C186B" w:rsidRPr="00E7515A">
        <w:rPr>
          <w:rFonts w:ascii="Times New Roman" w:hAnsi="Times New Roman"/>
          <w:sz w:val="22"/>
          <w:szCs w:val="22"/>
        </w:rPr>
        <w:t>.</w:t>
      </w:r>
      <w:r w:rsidR="00B930D8" w:rsidRPr="00E7515A">
        <w:rPr>
          <w:rFonts w:ascii="Times New Roman" w:hAnsi="Times New Roman"/>
          <w:sz w:val="22"/>
          <w:szCs w:val="22"/>
        </w:rPr>
        <w:t xml:space="preserve">J. </w:t>
      </w:r>
      <w:r w:rsidR="006959E7" w:rsidRPr="00E7515A">
        <w:rPr>
          <w:rFonts w:ascii="Times New Roman" w:hAnsi="Times New Roman"/>
          <w:sz w:val="22"/>
          <w:szCs w:val="22"/>
        </w:rPr>
        <w:t>&amp;</w:t>
      </w:r>
      <w:r w:rsidR="00B930D8" w:rsidRPr="00E7515A">
        <w:rPr>
          <w:rFonts w:ascii="Times New Roman" w:hAnsi="Times New Roman"/>
          <w:sz w:val="22"/>
          <w:szCs w:val="22"/>
        </w:rPr>
        <w:t xml:space="preserve"> Gordon, R.H. (2002), </w:t>
      </w:r>
      <w:r w:rsidRPr="00E7515A">
        <w:rPr>
          <w:rFonts w:ascii="Times New Roman" w:hAnsi="Times New Roman"/>
          <w:sz w:val="22"/>
          <w:szCs w:val="22"/>
        </w:rPr>
        <w:t xml:space="preserve">Taxation of Financial Services </w:t>
      </w:r>
      <w:proofErr w:type="gramStart"/>
      <w:r w:rsidR="00043675" w:rsidRPr="00E7515A">
        <w:rPr>
          <w:rFonts w:ascii="Times New Roman" w:hAnsi="Times New Roman"/>
          <w:sz w:val="22"/>
          <w:szCs w:val="22"/>
        </w:rPr>
        <w:t>U</w:t>
      </w:r>
      <w:r w:rsidRPr="00E7515A">
        <w:rPr>
          <w:rFonts w:ascii="Times New Roman" w:hAnsi="Times New Roman"/>
          <w:sz w:val="22"/>
          <w:szCs w:val="22"/>
        </w:rPr>
        <w:t>n</w:t>
      </w:r>
      <w:r w:rsidR="00B930D8" w:rsidRPr="00E7515A">
        <w:rPr>
          <w:rFonts w:ascii="Times New Roman" w:hAnsi="Times New Roman"/>
          <w:sz w:val="22"/>
          <w:szCs w:val="22"/>
        </w:rPr>
        <w:t>der</w:t>
      </w:r>
      <w:proofErr w:type="gramEnd"/>
      <w:r w:rsidR="00B930D8" w:rsidRPr="00E7515A">
        <w:rPr>
          <w:rFonts w:ascii="Times New Roman" w:hAnsi="Times New Roman"/>
          <w:sz w:val="22"/>
          <w:szCs w:val="22"/>
        </w:rPr>
        <w:t xml:space="preserve"> a VAT</w:t>
      </w:r>
      <w:r w:rsidRPr="00E7515A">
        <w:rPr>
          <w:rFonts w:ascii="Times New Roman" w:hAnsi="Times New Roman"/>
          <w:sz w:val="22"/>
          <w:szCs w:val="22"/>
        </w:rPr>
        <w:t>. The American Economic Review</w:t>
      </w:r>
      <w:r w:rsidR="006C017D" w:rsidRPr="00E7515A">
        <w:rPr>
          <w:rFonts w:ascii="Times New Roman" w:hAnsi="Times New Roman"/>
          <w:sz w:val="22"/>
          <w:szCs w:val="22"/>
        </w:rPr>
        <w:t>, 92(2):</w:t>
      </w:r>
      <w:r w:rsidR="00A7780D" w:rsidRPr="00E7515A">
        <w:rPr>
          <w:rFonts w:ascii="Times New Roman" w:hAnsi="Times New Roman"/>
          <w:sz w:val="22"/>
          <w:szCs w:val="22"/>
        </w:rPr>
        <w:t xml:space="preserve"> 411-416.</w:t>
      </w:r>
    </w:p>
    <w:p w14:paraId="68EC9C2F" w14:textId="77777777" w:rsidR="00503264" w:rsidRPr="00C06F1B" w:rsidRDefault="00503264" w:rsidP="00503264">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Baltagi</w:t>
      </w:r>
      <w:proofErr w:type="spellEnd"/>
      <w:r w:rsidRPr="00E7515A">
        <w:rPr>
          <w:rFonts w:ascii="Times New Roman" w:hAnsi="Times New Roman"/>
          <w:sz w:val="22"/>
          <w:szCs w:val="22"/>
        </w:rPr>
        <w:t xml:space="preserve">, B.H., Li, D. </w:t>
      </w:r>
      <w:r w:rsidR="006959E7" w:rsidRPr="00E7515A">
        <w:rPr>
          <w:rFonts w:ascii="Times New Roman" w:hAnsi="Times New Roman"/>
          <w:sz w:val="22"/>
          <w:szCs w:val="22"/>
        </w:rPr>
        <w:t>&amp;</w:t>
      </w:r>
      <w:r w:rsidR="00043675" w:rsidRPr="00E7515A">
        <w:rPr>
          <w:rFonts w:ascii="Times New Roman" w:hAnsi="Times New Roman"/>
          <w:sz w:val="22"/>
          <w:szCs w:val="22"/>
        </w:rPr>
        <w:t xml:space="preserve"> Li, Q. (2006), Transaction T</w:t>
      </w:r>
      <w:r w:rsidRPr="00E7515A">
        <w:rPr>
          <w:rFonts w:ascii="Times New Roman" w:hAnsi="Times New Roman"/>
          <w:sz w:val="22"/>
          <w:szCs w:val="22"/>
        </w:rPr>
        <w:t xml:space="preserve">ax and </w:t>
      </w:r>
      <w:r w:rsidR="00043675" w:rsidRPr="00E7515A">
        <w:rPr>
          <w:rFonts w:ascii="Times New Roman" w:hAnsi="Times New Roman"/>
          <w:sz w:val="22"/>
          <w:szCs w:val="22"/>
        </w:rPr>
        <w:t>S</w:t>
      </w:r>
      <w:r w:rsidRPr="00E7515A">
        <w:rPr>
          <w:rFonts w:ascii="Times New Roman" w:hAnsi="Times New Roman"/>
          <w:sz w:val="22"/>
          <w:szCs w:val="22"/>
        </w:rPr>
        <w:t xml:space="preserve">tock </w:t>
      </w:r>
      <w:r w:rsidR="00043675" w:rsidRPr="00E7515A">
        <w:rPr>
          <w:rFonts w:ascii="Times New Roman" w:hAnsi="Times New Roman"/>
          <w:sz w:val="22"/>
          <w:szCs w:val="22"/>
        </w:rPr>
        <w:t>M</w:t>
      </w:r>
      <w:r w:rsidRPr="00E7515A">
        <w:rPr>
          <w:rFonts w:ascii="Times New Roman" w:hAnsi="Times New Roman"/>
          <w:sz w:val="22"/>
          <w:szCs w:val="22"/>
        </w:rPr>
        <w:t xml:space="preserve">arket </w:t>
      </w:r>
      <w:r w:rsidR="00043675" w:rsidRPr="00E7515A">
        <w:rPr>
          <w:rFonts w:ascii="Times New Roman" w:hAnsi="Times New Roman"/>
          <w:sz w:val="22"/>
          <w:szCs w:val="22"/>
        </w:rPr>
        <w:t>B</w:t>
      </w:r>
      <w:r w:rsidRPr="00E7515A">
        <w:rPr>
          <w:rFonts w:ascii="Times New Roman" w:hAnsi="Times New Roman"/>
          <w:sz w:val="22"/>
          <w:szCs w:val="22"/>
        </w:rPr>
        <w:t xml:space="preserve">ehaviour: Evidence from an Emerging </w:t>
      </w:r>
      <w:r w:rsidR="00043675" w:rsidRPr="00E7515A">
        <w:rPr>
          <w:rFonts w:ascii="Times New Roman" w:hAnsi="Times New Roman"/>
          <w:sz w:val="22"/>
          <w:szCs w:val="22"/>
        </w:rPr>
        <w:t>M</w:t>
      </w:r>
      <w:r w:rsidRPr="00E7515A">
        <w:rPr>
          <w:rFonts w:ascii="Times New Roman" w:hAnsi="Times New Roman"/>
          <w:sz w:val="22"/>
          <w:szCs w:val="22"/>
        </w:rPr>
        <w:t>arket. Empirical Economics, 31(2): 393-408.</w:t>
      </w:r>
    </w:p>
    <w:p w14:paraId="5830A6CB" w14:textId="77777777" w:rsidR="001A2A33" w:rsidRPr="00C06F1B" w:rsidRDefault="00B930D8" w:rsidP="001A2A33">
      <w:pPr>
        <w:pStyle w:val="Default"/>
        <w:rPr>
          <w:rFonts w:ascii="Times New Roman" w:hAnsi="Times New Roman" w:cs="Times New Roman"/>
          <w:color w:val="auto"/>
          <w:sz w:val="22"/>
          <w:szCs w:val="22"/>
        </w:rPr>
      </w:pPr>
      <w:r w:rsidRPr="00C06F1B">
        <w:rPr>
          <w:rFonts w:ascii="Times New Roman" w:hAnsi="Times New Roman" w:cs="Times New Roman"/>
          <w:color w:val="auto"/>
          <w:sz w:val="22"/>
          <w:szCs w:val="22"/>
        </w:rPr>
        <w:t xml:space="preserve">Benedict, K. (2011). </w:t>
      </w:r>
      <w:r w:rsidR="001A2A33" w:rsidRPr="00C06F1B">
        <w:rPr>
          <w:rFonts w:ascii="Times New Roman" w:hAnsi="Times New Roman" w:cs="Times New Roman"/>
          <w:color w:val="auto"/>
          <w:sz w:val="22"/>
          <w:szCs w:val="22"/>
        </w:rPr>
        <w:t xml:space="preserve">The Australian GST </w:t>
      </w:r>
      <w:r w:rsidR="00043675" w:rsidRPr="00C06F1B">
        <w:rPr>
          <w:rFonts w:ascii="Times New Roman" w:hAnsi="Times New Roman" w:cs="Times New Roman"/>
          <w:color w:val="auto"/>
          <w:sz w:val="22"/>
          <w:szCs w:val="22"/>
        </w:rPr>
        <w:t>R</w:t>
      </w:r>
      <w:r w:rsidR="001A2A33" w:rsidRPr="00C06F1B">
        <w:rPr>
          <w:rFonts w:ascii="Times New Roman" w:hAnsi="Times New Roman" w:cs="Times New Roman"/>
          <w:color w:val="auto"/>
          <w:sz w:val="22"/>
          <w:szCs w:val="22"/>
        </w:rPr>
        <w:t xml:space="preserve">egime and </w:t>
      </w:r>
      <w:r w:rsidR="00043675" w:rsidRPr="00C06F1B">
        <w:rPr>
          <w:rFonts w:ascii="Times New Roman" w:hAnsi="Times New Roman" w:cs="Times New Roman"/>
          <w:color w:val="auto"/>
          <w:sz w:val="22"/>
          <w:szCs w:val="22"/>
        </w:rPr>
        <w:t>F</w:t>
      </w:r>
      <w:r w:rsidR="001A2A33" w:rsidRPr="00C06F1B">
        <w:rPr>
          <w:rFonts w:ascii="Times New Roman" w:hAnsi="Times New Roman" w:cs="Times New Roman"/>
          <w:color w:val="auto"/>
          <w:sz w:val="22"/>
          <w:szCs w:val="22"/>
        </w:rPr>
        <w:t xml:space="preserve">inancial </w:t>
      </w:r>
      <w:r w:rsidR="00043675" w:rsidRPr="00C06F1B">
        <w:rPr>
          <w:rFonts w:ascii="Times New Roman" w:hAnsi="Times New Roman" w:cs="Times New Roman"/>
          <w:color w:val="auto"/>
          <w:sz w:val="22"/>
          <w:szCs w:val="22"/>
        </w:rPr>
        <w:t>S</w:t>
      </w:r>
      <w:r w:rsidR="001A2A33" w:rsidRPr="00C06F1B">
        <w:rPr>
          <w:rFonts w:ascii="Times New Roman" w:hAnsi="Times New Roman" w:cs="Times New Roman"/>
          <w:color w:val="auto"/>
          <w:sz w:val="22"/>
          <w:szCs w:val="22"/>
        </w:rPr>
        <w:t xml:space="preserve">ervices: How </w:t>
      </w:r>
      <w:r w:rsidR="00043675" w:rsidRPr="00C06F1B">
        <w:rPr>
          <w:rFonts w:ascii="Times New Roman" w:hAnsi="Times New Roman" w:cs="Times New Roman"/>
          <w:color w:val="auto"/>
          <w:sz w:val="22"/>
          <w:szCs w:val="22"/>
        </w:rPr>
        <w:t>D</w:t>
      </w:r>
      <w:r w:rsidR="001A2A33" w:rsidRPr="00C06F1B">
        <w:rPr>
          <w:rFonts w:ascii="Times New Roman" w:hAnsi="Times New Roman" w:cs="Times New Roman"/>
          <w:color w:val="auto"/>
          <w:sz w:val="22"/>
          <w:szCs w:val="22"/>
        </w:rPr>
        <w:t xml:space="preserve">id we </w:t>
      </w:r>
      <w:proofErr w:type="gramStart"/>
      <w:r w:rsidR="00043675" w:rsidRPr="00C06F1B">
        <w:rPr>
          <w:rFonts w:ascii="Times New Roman" w:hAnsi="Times New Roman" w:cs="Times New Roman"/>
          <w:color w:val="auto"/>
          <w:sz w:val="22"/>
          <w:szCs w:val="22"/>
        </w:rPr>
        <w:t>G</w:t>
      </w:r>
      <w:r w:rsidRPr="00C06F1B">
        <w:rPr>
          <w:rFonts w:ascii="Times New Roman" w:hAnsi="Times New Roman" w:cs="Times New Roman"/>
          <w:color w:val="auto"/>
          <w:sz w:val="22"/>
          <w:szCs w:val="22"/>
        </w:rPr>
        <w:t>et</w:t>
      </w:r>
      <w:proofErr w:type="gramEnd"/>
      <w:r w:rsidRPr="00C06F1B">
        <w:rPr>
          <w:rFonts w:ascii="Times New Roman" w:hAnsi="Times New Roman" w:cs="Times New Roman"/>
          <w:color w:val="auto"/>
          <w:sz w:val="22"/>
          <w:szCs w:val="22"/>
        </w:rPr>
        <w:t xml:space="preserve"> </w:t>
      </w:r>
      <w:r w:rsidR="00043675" w:rsidRPr="00C06F1B">
        <w:rPr>
          <w:rFonts w:ascii="Times New Roman" w:hAnsi="Times New Roman" w:cs="Times New Roman"/>
          <w:color w:val="auto"/>
          <w:sz w:val="22"/>
          <w:szCs w:val="22"/>
        </w:rPr>
        <w:t>H</w:t>
      </w:r>
      <w:r w:rsidRPr="00C06F1B">
        <w:rPr>
          <w:rFonts w:ascii="Times New Roman" w:hAnsi="Times New Roman" w:cs="Times New Roman"/>
          <w:color w:val="auto"/>
          <w:sz w:val="22"/>
          <w:szCs w:val="22"/>
        </w:rPr>
        <w:t xml:space="preserve">ere and </w:t>
      </w:r>
      <w:r w:rsidR="00043675" w:rsidRPr="00C06F1B">
        <w:rPr>
          <w:rFonts w:ascii="Times New Roman" w:hAnsi="Times New Roman" w:cs="Times New Roman"/>
          <w:color w:val="auto"/>
          <w:sz w:val="22"/>
          <w:szCs w:val="22"/>
        </w:rPr>
        <w:t>W</w:t>
      </w:r>
      <w:r w:rsidRPr="00C06F1B">
        <w:rPr>
          <w:rFonts w:ascii="Times New Roman" w:hAnsi="Times New Roman" w:cs="Times New Roman"/>
          <w:color w:val="auto"/>
          <w:sz w:val="22"/>
          <w:szCs w:val="22"/>
        </w:rPr>
        <w:t xml:space="preserve">here are </w:t>
      </w:r>
      <w:r w:rsidR="00043675" w:rsidRPr="00C06F1B">
        <w:rPr>
          <w:rFonts w:ascii="Times New Roman" w:hAnsi="Times New Roman" w:cs="Times New Roman"/>
          <w:color w:val="auto"/>
          <w:sz w:val="22"/>
          <w:szCs w:val="22"/>
        </w:rPr>
        <w:t>W</w:t>
      </w:r>
      <w:r w:rsidRPr="00C06F1B">
        <w:rPr>
          <w:rFonts w:ascii="Times New Roman" w:hAnsi="Times New Roman" w:cs="Times New Roman"/>
          <w:color w:val="auto"/>
          <w:sz w:val="22"/>
          <w:szCs w:val="22"/>
        </w:rPr>
        <w:t xml:space="preserve">e </w:t>
      </w:r>
      <w:r w:rsidR="00043675" w:rsidRPr="00C06F1B">
        <w:rPr>
          <w:rFonts w:ascii="Times New Roman" w:hAnsi="Times New Roman" w:cs="Times New Roman"/>
          <w:color w:val="auto"/>
          <w:sz w:val="22"/>
          <w:szCs w:val="22"/>
        </w:rPr>
        <w:t>G</w:t>
      </w:r>
      <w:r w:rsidRPr="00C06F1B">
        <w:rPr>
          <w:rFonts w:ascii="Times New Roman" w:hAnsi="Times New Roman" w:cs="Times New Roman"/>
          <w:color w:val="auto"/>
          <w:sz w:val="22"/>
          <w:szCs w:val="22"/>
        </w:rPr>
        <w:t>oing?</w:t>
      </w:r>
      <w:r w:rsidR="006C017D" w:rsidRPr="00C06F1B">
        <w:rPr>
          <w:rFonts w:ascii="Times New Roman" w:hAnsi="Times New Roman" w:cs="Times New Roman"/>
          <w:color w:val="auto"/>
          <w:sz w:val="22"/>
          <w:szCs w:val="22"/>
        </w:rPr>
        <w:t xml:space="preserve"> </w:t>
      </w:r>
      <w:proofErr w:type="spellStart"/>
      <w:proofErr w:type="gramStart"/>
      <w:r w:rsidR="006C017D" w:rsidRPr="00C06F1B">
        <w:rPr>
          <w:rFonts w:ascii="Times New Roman" w:hAnsi="Times New Roman" w:cs="Times New Roman"/>
          <w:color w:val="auto"/>
          <w:sz w:val="22"/>
          <w:szCs w:val="22"/>
        </w:rPr>
        <w:t>eJournal</w:t>
      </w:r>
      <w:proofErr w:type="spellEnd"/>
      <w:proofErr w:type="gramEnd"/>
      <w:r w:rsidR="006C017D" w:rsidRPr="00C06F1B">
        <w:rPr>
          <w:rFonts w:ascii="Times New Roman" w:hAnsi="Times New Roman" w:cs="Times New Roman"/>
          <w:color w:val="auto"/>
          <w:sz w:val="22"/>
          <w:szCs w:val="22"/>
        </w:rPr>
        <w:t xml:space="preserve"> of Tax Research, 9(2):</w:t>
      </w:r>
      <w:r w:rsidR="001A2A33" w:rsidRPr="00C06F1B">
        <w:rPr>
          <w:rFonts w:ascii="Times New Roman" w:hAnsi="Times New Roman" w:cs="Times New Roman"/>
          <w:color w:val="auto"/>
          <w:sz w:val="22"/>
          <w:szCs w:val="22"/>
        </w:rPr>
        <w:t xml:space="preserve"> 174-193.</w:t>
      </w:r>
    </w:p>
    <w:p w14:paraId="5D7B8CEA" w14:textId="77777777" w:rsidR="006C017D" w:rsidRPr="00C06F1B" w:rsidRDefault="006C017D" w:rsidP="001A2A33">
      <w:pPr>
        <w:pStyle w:val="Default"/>
        <w:rPr>
          <w:rFonts w:ascii="Times New Roman" w:hAnsi="Times New Roman" w:cs="Times New Roman"/>
          <w:color w:val="auto"/>
          <w:sz w:val="22"/>
          <w:szCs w:val="22"/>
        </w:rPr>
      </w:pPr>
    </w:p>
    <w:p w14:paraId="67D9DEAC" w14:textId="77777777" w:rsidR="006C017D" w:rsidRPr="00985BF3" w:rsidRDefault="006C017D" w:rsidP="006C017D">
      <w:pPr>
        <w:pStyle w:val="Default"/>
        <w:rPr>
          <w:rFonts w:ascii="Times New Roman" w:hAnsi="Times New Roman" w:cs="Times New Roman"/>
          <w:color w:val="auto"/>
          <w:sz w:val="22"/>
          <w:szCs w:val="22"/>
        </w:rPr>
      </w:pPr>
      <w:proofErr w:type="gramStart"/>
      <w:r w:rsidRPr="00EB3837">
        <w:rPr>
          <w:rFonts w:ascii="Times New Roman" w:hAnsi="Times New Roman" w:cs="Times New Roman"/>
          <w:color w:val="auto"/>
          <w:sz w:val="22"/>
          <w:szCs w:val="22"/>
        </w:rPr>
        <w:t xml:space="preserve">Bloomfield, R., O’Hara, M. </w:t>
      </w:r>
      <w:r w:rsidR="006959E7" w:rsidRPr="00EB3837">
        <w:rPr>
          <w:rFonts w:ascii="Times New Roman" w:hAnsi="Times New Roman" w:cs="Times New Roman"/>
          <w:color w:val="auto"/>
          <w:sz w:val="22"/>
          <w:szCs w:val="22"/>
        </w:rPr>
        <w:t>&amp;</w:t>
      </w:r>
      <w:r w:rsidRPr="00EB3837">
        <w:rPr>
          <w:rFonts w:ascii="Times New Roman" w:hAnsi="Times New Roman" w:cs="Times New Roman"/>
          <w:color w:val="auto"/>
          <w:sz w:val="22"/>
          <w:szCs w:val="22"/>
        </w:rPr>
        <w:t xml:space="preserve"> Saar, G. (2009).</w:t>
      </w:r>
      <w:proofErr w:type="gramEnd"/>
      <w:r w:rsidRPr="00EB3837">
        <w:rPr>
          <w:rFonts w:ascii="Times New Roman" w:hAnsi="Times New Roman" w:cs="Times New Roman"/>
          <w:color w:val="auto"/>
          <w:sz w:val="22"/>
          <w:szCs w:val="22"/>
        </w:rPr>
        <w:t xml:space="preserve"> How </w:t>
      </w:r>
      <w:r w:rsidR="00043675" w:rsidRPr="00C05F62">
        <w:rPr>
          <w:rFonts w:ascii="Times New Roman" w:hAnsi="Times New Roman" w:cs="Times New Roman"/>
          <w:color w:val="auto"/>
          <w:sz w:val="22"/>
          <w:szCs w:val="22"/>
        </w:rPr>
        <w:t>N</w:t>
      </w:r>
      <w:r w:rsidRPr="008D649E">
        <w:rPr>
          <w:rFonts w:ascii="Times New Roman" w:hAnsi="Times New Roman" w:cs="Times New Roman"/>
          <w:color w:val="auto"/>
          <w:sz w:val="22"/>
          <w:szCs w:val="22"/>
        </w:rPr>
        <w:t xml:space="preserve">oise </w:t>
      </w:r>
      <w:r w:rsidR="00043675" w:rsidRPr="00F8274E">
        <w:rPr>
          <w:rFonts w:ascii="Times New Roman" w:hAnsi="Times New Roman" w:cs="Times New Roman"/>
          <w:color w:val="auto"/>
          <w:sz w:val="22"/>
          <w:szCs w:val="22"/>
        </w:rPr>
        <w:t>T</w:t>
      </w:r>
      <w:r w:rsidRPr="00396A76">
        <w:rPr>
          <w:rFonts w:ascii="Times New Roman" w:hAnsi="Times New Roman" w:cs="Times New Roman"/>
          <w:color w:val="auto"/>
          <w:sz w:val="22"/>
          <w:szCs w:val="22"/>
        </w:rPr>
        <w:t xml:space="preserve">rading </w:t>
      </w:r>
      <w:r w:rsidR="00043675" w:rsidRPr="00396A76">
        <w:rPr>
          <w:rFonts w:ascii="Times New Roman" w:hAnsi="Times New Roman" w:cs="Times New Roman"/>
          <w:color w:val="auto"/>
          <w:sz w:val="22"/>
          <w:szCs w:val="22"/>
        </w:rPr>
        <w:t>A</w:t>
      </w:r>
      <w:r w:rsidRPr="00B3127F">
        <w:rPr>
          <w:rFonts w:ascii="Times New Roman" w:hAnsi="Times New Roman" w:cs="Times New Roman"/>
          <w:color w:val="auto"/>
          <w:sz w:val="22"/>
          <w:szCs w:val="22"/>
        </w:rPr>
        <w:t xml:space="preserve">ffects </w:t>
      </w:r>
      <w:r w:rsidR="00043675" w:rsidRPr="00B3127F">
        <w:rPr>
          <w:rFonts w:ascii="Times New Roman" w:hAnsi="Times New Roman" w:cs="Times New Roman"/>
          <w:color w:val="auto"/>
          <w:sz w:val="22"/>
          <w:szCs w:val="22"/>
        </w:rPr>
        <w:t>M</w:t>
      </w:r>
      <w:r w:rsidRPr="00B3127F">
        <w:rPr>
          <w:rFonts w:ascii="Times New Roman" w:hAnsi="Times New Roman" w:cs="Times New Roman"/>
          <w:color w:val="auto"/>
          <w:sz w:val="22"/>
          <w:szCs w:val="22"/>
        </w:rPr>
        <w:t xml:space="preserve">arkets: An </w:t>
      </w:r>
      <w:r w:rsidR="00043675" w:rsidRPr="00533502">
        <w:rPr>
          <w:rFonts w:ascii="Times New Roman" w:hAnsi="Times New Roman" w:cs="Times New Roman"/>
          <w:color w:val="auto"/>
          <w:sz w:val="22"/>
          <w:szCs w:val="22"/>
        </w:rPr>
        <w:t>E</w:t>
      </w:r>
      <w:r w:rsidRPr="00533502">
        <w:rPr>
          <w:rFonts w:ascii="Times New Roman" w:hAnsi="Times New Roman" w:cs="Times New Roman"/>
          <w:color w:val="auto"/>
          <w:sz w:val="22"/>
          <w:szCs w:val="22"/>
        </w:rPr>
        <w:t xml:space="preserve">xperimental </w:t>
      </w:r>
      <w:r w:rsidR="00043675" w:rsidRPr="00CA52C9">
        <w:rPr>
          <w:rFonts w:ascii="Times New Roman" w:hAnsi="Times New Roman" w:cs="Times New Roman"/>
          <w:color w:val="auto"/>
          <w:sz w:val="22"/>
          <w:szCs w:val="22"/>
        </w:rPr>
        <w:t>A</w:t>
      </w:r>
      <w:r w:rsidRPr="00985BF3">
        <w:rPr>
          <w:rFonts w:ascii="Times New Roman" w:hAnsi="Times New Roman" w:cs="Times New Roman"/>
          <w:color w:val="auto"/>
          <w:sz w:val="22"/>
          <w:szCs w:val="22"/>
        </w:rPr>
        <w:t>nalysis. Review of Financial Studies, 22(6): 2275-2302.</w:t>
      </w:r>
    </w:p>
    <w:p w14:paraId="2C405B61" w14:textId="77777777" w:rsidR="00E93218" w:rsidRPr="00DF2256" w:rsidRDefault="00E93218" w:rsidP="001A2A33">
      <w:pPr>
        <w:pStyle w:val="Default"/>
        <w:rPr>
          <w:rFonts w:ascii="Times New Roman" w:hAnsi="Times New Roman" w:cs="Times New Roman"/>
          <w:color w:val="auto"/>
          <w:sz w:val="22"/>
          <w:szCs w:val="22"/>
        </w:rPr>
      </w:pPr>
    </w:p>
    <w:p w14:paraId="3BFE6B7C" w14:textId="77777777" w:rsidR="00E93218" w:rsidRPr="00E7515A" w:rsidRDefault="00E93218" w:rsidP="001A2A33">
      <w:pPr>
        <w:pStyle w:val="Default"/>
        <w:rPr>
          <w:rFonts w:ascii="Times New Roman" w:hAnsi="Times New Roman" w:cs="Times New Roman"/>
          <w:color w:val="auto"/>
          <w:sz w:val="22"/>
          <w:szCs w:val="22"/>
        </w:rPr>
      </w:pPr>
      <w:proofErr w:type="spellStart"/>
      <w:proofErr w:type="gramStart"/>
      <w:r w:rsidRPr="00AF5C7B">
        <w:rPr>
          <w:rFonts w:ascii="Times New Roman" w:hAnsi="Times New Roman" w:cs="Times New Roman"/>
          <w:color w:val="auto"/>
          <w:sz w:val="22"/>
          <w:szCs w:val="22"/>
        </w:rPr>
        <w:t>Boa</w:t>
      </w:r>
      <w:r w:rsidR="00B930D8" w:rsidRPr="00AF5C7B">
        <w:rPr>
          <w:rFonts w:ascii="Times New Roman" w:hAnsi="Times New Roman" w:cs="Times New Roman"/>
          <w:color w:val="auto"/>
          <w:sz w:val="22"/>
          <w:szCs w:val="22"/>
        </w:rPr>
        <w:t>dway</w:t>
      </w:r>
      <w:proofErr w:type="spellEnd"/>
      <w:r w:rsidR="00B930D8" w:rsidRPr="00AF5C7B">
        <w:rPr>
          <w:rFonts w:ascii="Times New Roman" w:hAnsi="Times New Roman" w:cs="Times New Roman"/>
          <w:color w:val="auto"/>
          <w:sz w:val="22"/>
          <w:szCs w:val="22"/>
        </w:rPr>
        <w:t xml:space="preserve">, R. </w:t>
      </w:r>
      <w:r w:rsidR="006959E7" w:rsidRPr="002C4611">
        <w:rPr>
          <w:rFonts w:ascii="Times New Roman" w:hAnsi="Times New Roman" w:cs="Times New Roman"/>
          <w:color w:val="auto"/>
          <w:sz w:val="22"/>
          <w:szCs w:val="22"/>
        </w:rPr>
        <w:t>&amp;</w:t>
      </w:r>
      <w:r w:rsidR="00B930D8" w:rsidRPr="002C4611">
        <w:rPr>
          <w:rFonts w:ascii="Times New Roman" w:hAnsi="Times New Roman" w:cs="Times New Roman"/>
          <w:color w:val="auto"/>
          <w:sz w:val="22"/>
          <w:szCs w:val="22"/>
        </w:rPr>
        <w:t xml:space="preserve"> Keen, M. (2003).</w:t>
      </w:r>
      <w:proofErr w:type="gramEnd"/>
      <w:r w:rsidR="00B930D8" w:rsidRPr="002C4611">
        <w:rPr>
          <w:rFonts w:ascii="Times New Roman" w:hAnsi="Times New Roman" w:cs="Times New Roman"/>
          <w:color w:val="auto"/>
          <w:sz w:val="22"/>
          <w:szCs w:val="22"/>
        </w:rPr>
        <w:t xml:space="preserve"> ‘</w:t>
      </w:r>
      <w:r w:rsidRPr="002C4611">
        <w:rPr>
          <w:rFonts w:ascii="Times New Roman" w:hAnsi="Times New Roman" w:cs="Times New Roman"/>
          <w:color w:val="auto"/>
          <w:sz w:val="22"/>
          <w:szCs w:val="22"/>
        </w:rPr>
        <w:t>Theoretical Perspectives on the Taxation of Capital</w:t>
      </w:r>
      <w:r w:rsidR="00B930D8" w:rsidRPr="00E7515A">
        <w:rPr>
          <w:rFonts w:ascii="Times New Roman" w:hAnsi="Times New Roman" w:cs="Times New Roman"/>
          <w:color w:val="auto"/>
          <w:sz w:val="22"/>
          <w:szCs w:val="22"/>
        </w:rPr>
        <w:t xml:space="preserve"> Income and Financial Services</w:t>
      </w:r>
      <w:r w:rsidRPr="00E7515A">
        <w:rPr>
          <w:rFonts w:ascii="Times New Roman" w:hAnsi="Times New Roman" w:cs="Times New Roman"/>
          <w:color w:val="auto"/>
          <w:sz w:val="22"/>
          <w:szCs w:val="22"/>
        </w:rPr>
        <w:t xml:space="preserve">, in P. </w:t>
      </w:r>
      <w:proofErr w:type="spellStart"/>
      <w:r w:rsidRPr="00E7515A">
        <w:rPr>
          <w:rFonts w:ascii="Times New Roman" w:hAnsi="Times New Roman" w:cs="Times New Roman"/>
          <w:color w:val="auto"/>
          <w:sz w:val="22"/>
          <w:szCs w:val="22"/>
        </w:rPr>
        <w:t>Honohan</w:t>
      </w:r>
      <w:proofErr w:type="spellEnd"/>
      <w:r w:rsidRPr="00E7515A">
        <w:rPr>
          <w:rFonts w:ascii="Times New Roman" w:hAnsi="Times New Roman" w:cs="Times New Roman"/>
          <w:color w:val="auto"/>
          <w:sz w:val="22"/>
          <w:szCs w:val="22"/>
        </w:rPr>
        <w:t xml:space="preserve">, ed. Taxation of Financial Intermediation, </w:t>
      </w:r>
      <w:r w:rsidR="006959E7" w:rsidRPr="00E7515A">
        <w:rPr>
          <w:rFonts w:ascii="Times New Roman" w:hAnsi="Times New Roman" w:cs="Times New Roman"/>
          <w:color w:val="auto"/>
          <w:sz w:val="22"/>
          <w:szCs w:val="22"/>
        </w:rPr>
        <w:t xml:space="preserve">New York: </w:t>
      </w:r>
      <w:r w:rsidRPr="00E7515A">
        <w:rPr>
          <w:rFonts w:ascii="Times New Roman" w:hAnsi="Times New Roman" w:cs="Times New Roman"/>
          <w:color w:val="auto"/>
          <w:sz w:val="22"/>
          <w:szCs w:val="22"/>
        </w:rPr>
        <w:t>World Bank and Oxford</w:t>
      </w:r>
      <w:r w:rsidR="007878A3" w:rsidRPr="00E7515A">
        <w:rPr>
          <w:rFonts w:ascii="Times New Roman" w:hAnsi="Times New Roman" w:cs="Times New Roman"/>
          <w:color w:val="auto"/>
          <w:sz w:val="22"/>
          <w:szCs w:val="22"/>
        </w:rPr>
        <w:t xml:space="preserve"> University Press</w:t>
      </w:r>
      <w:r w:rsidR="006959E7" w:rsidRPr="00E7515A">
        <w:rPr>
          <w:rFonts w:ascii="Times New Roman" w:hAnsi="Times New Roman" w:cs="Times New Roman"/>
          <w:color w:val="auto"/>
          <w:sz w:val="22"/>
          <w:szCs w:val="22"/>
        </w:rPr>
        <w:t>:</w:t>
      </w:r>
      <w:r w:rsidR="007878A3" w:rsidRPr="00E7515A">
        <w:rPr>
          <w:rFonts w:ascii="Times New Roman" w:hAnsi="Times New Roman" w:cs="Times New Roman"/>
          <w:color w:val="auto"/>
          <w:sz w:val="22"/>
          <w:szCs w:val="22"/>
        </w:rPr>
        <w:t xml:space="preserve"> 31-</w:t>
      </w:r>
      <w:r w:rsidRPr="00E7515A">
        <w:rPr>
          <w:rFonts w:ascii="Times New Roman" w:hAnsi="Times New Roman" w:cs="Times New Roman"/>
          <w:color w:val="auto"/>
          <w:sz w:val="22"/>
          <w:szCs w:val="22"/>
        </w:rPr>
        <w:t>80.</w:t>
      </w:r>
    </w:p>
    <w:p w14:paraId="2A6E4652" w14:textId="77777777" w:rsidR="00A7780D" w:rsidRPr="00E7515A" w:rsidRDefault="00A7780D" w:rsidP="00C15DAE">
      <w:pPr>
        <w:pStyle w:val="Default"/>
        <w:rPr>
          <w:rFonts w:ascii="Times New Roman" w:hAnsi="Times New Roman" w:cs="Times New Roman"/>
          <w:color w:val="auto"/>
          <w:sz w:val="22"/>
          <w:szCs w:val="22"/>
        </w:rPr>
      </w:pPr>
    </w:p>
    <w:p w14:paraId="638C7C32" w14:textId="77777777" w:rsidR="00CE4C94" w:rsidRPr="00E7515A" w:rsidRDefault="00CE4C94" w:rsidP="00C15DAE">
      <w:pPr>
        <w:pStyle w:val="Default"/>
        <w:rPr>
          <w:rFonts w:ascii="Times New Roman" w:hAnsi="Times New Roman" w:cs="Times New Roman"/>
          <w:color w:val="auto"/>
          <w:sz w:val="22"/>
          <w:szCs w:val="22"/>
        </w:rPr>
      </w:pPr>
      <w:proofErr w:type="gramStart"/>
      <w:r w:rsidRPr="00E7515A">
        <w:rPr>
          <w:rFonts w:ascii="Times New Roman" w:hAnsi="Times New Roman" w:cs="Times New Roman"/>
          <w:color w:val="auto"/>
          <w:sz w:val="22"/>
          <w:szCs w:val="22"/>
        </w:rPr>
        <w:t>Bond</w:t>
      </w:r>
      <w:r w:rsidR="006959E7" w:rsidRPr="00E7515A">
        <w:rPr>
          <w:rFonts w:ascii="Times New Roman" w:hAnsi="Times New Roman" w:cs="Times New Roman"/>
          <w:color w:val="auto"/>
          <w:sz w:val="22"/>
          <w:szCs w:val="22"/>
        </w:rPr>
        <w:t>, S., Hawkins, M. &amp;</w:t>
      </w:r>
      <w:r w:rsidR="00CE3F39" w:rsidRPr="00E7515A">
        <w:rPr>
          <w:rFonts w:ascii="Times New Roman" w:hAnsi="Times New Roman" w:cs="Times New Roman"/>
          <w:color w:val="auto"/>
          <w:sz w:val="22"/>
          <w:szCs w:val="22"/>
        </w:rPr>
        <w:t xml:space="preserve"> </w:t>
      </w:r>
      <w:proofErr w:type="spellStart"/>
      <w:r w:rsidR="00CE3F39" w:rsidRPr="00E7515A">
        <w:rPr>
          <w:rFonts w:ascii="Times New Roman" w:hAnsi="Times New Roman" w:cs="Times New Roman"/>
          <w:color w:val="auto"/>
          <w:sz w:val="22"/>
          <w:szCs w:val="22"/>
        </w:rPr>
        <w:t>Klemm</w:t>
      </w:r>
      <w:proofErr w:type="spellEnd"/>
      <w:r w:rsidR="00CE3F39" w:rsidRPr="00E7515A">
        <w:rPr>
          <w:rFonts w:ascii="Times New Roman" w:hAnsi="Times New Roman" w:cs="Times New Roman"/>
          <w:color w:val="auto"/>
          <w:sz w:val="22"/>
          <w:szCs w:val="22"/>
        </w:rPr>
        <w:t>, A.</w:t>
      </w:r>
      <w:r w:rsidR="006959E7" w:rsidRPr="00E7515A">
        <w:rPr>
          <w:rFonts w:ascii="Times New Roman" w:hAnsi="Times New Roman" w:cs="Times New Roman"/>
          <w:color w:val="auto"/>
          <w:sz w:val="22"/>
          <w:szCs w:val="22"/>
        </w:rPr>
        <w:t xml:space="preserve"> (2004).</w:t>
      </w:r>
      <w:proofErr w:type="gramEnd"/>
      <w:r w:rsidRPr="00E7515A">
        <w:rPr>
          <w:rFonts w:ascii="Times New Roman" w:hAnsi="Times New Roman" w:cs="Times New Roman"/>
          <w:color w:val="auto"/>
          <w:sz w:val="22"/>
          <w:szCs w:val="22"/>
        </w:rPr>
        <w:t xml:space="preserve"> Stamp duty on shares and its effect on share prices</w:t>
      </w:r>
      <w:r w:rsidR="006959E7" w:rsidRPr="00E7515A">
        <w:rPr>
          <w:rFonts w:ascii="Times New Roman" w:hAnsi="Times New Roman" w:cs="Times New Roman"/>
          <w:color w:val="auto"/>
          <w:sz w:val="22"/>
          <w:szCs w:val="22"/>
        </w:rPr>
        <w:t>.</w:t>
      </w:r>
      <w:r w:rsidRPr="00E7515A">
        <w:rPr>
          <w:rFonts w:ascii="Times New Roman" w:hAnsi="Times New Roman" w:cs="Times New Roman"/>
          <w:color w:val="auto"/>
          <w:sz w:val="22"/>
          <w:szCs w:val="22"/>
        </w:rPr>
        <w:t xml:space="preserve"> </w:t>
      </w:r>
      <w:r w:rsidR="006959E7" w:rsidRPr="00E7515A">
        <w:rPr>
          <w:rFonts w:ascii="Times New Roman" w:hAnsi="Times New Roman" w:cs="Times New Roman"/>
          <w:color w:val="auto"/>
          <w:sz w:val="22"/>
          <w:szCs w:val="22"/>
        </w:rPr>
        <w:t xml:space="preserve">IFS Working Paper no. W04/11, </w:t>
      </w:r>
      <w:r w:rsidRPr="00E7515A">
        <w:rPr>
          <w:rFonts w:ascii="Times New Roman" w:hAnsi="Times New Roman" w:cs="Times New Roman"/>
          <w:color w:val="auto"/>
          <w:sz w:val="22"/>
          <w:szCs w:val="22"/>
        </w:rPr>
        <w:t>Institute for Fiscal Stud</w:t>
      </w:r>
      <w:r w:rsidR="006959E7" w:rsidRPr="00E7515A">
        <w:rPr>
          <w:rFonts w:ascii="Times New Roman" w:hAnsi="Times New Roman" w:cs="Times New Roman"/>
          <w:color w:val="auto"/>
          <w:sz w:val="22"/>
          <w:szCs w:val="22"/>
        </w:rPr>
        <w:t>ies</w:t>
      </w:r>
      <w:r w:rsidR="00104336" w:rsidRPr="00E7515A">
        <w:rPr>
          <w:rFonts w:ascii="Times New Roman" w:hAnsi="Times New Roman" w:cs="Times New Roman"/>
          <w:color w:val="auto"/>
          <w:sz w:val="22"/>
          <w:szCs w:val="22"/>
        </w:rPr>
        <w:t>.</w:t>
      </w:r>
    </w:p>
    <w:p w14:paraId="1F858426" w14:textId="77777777" w:rsidR="00E73D67" w:rsidRPr="00E7515A" w:rsidRDefault="00E73D67" w:rsidP="00C15DAE">
      <w:pPr>
        <w:pStyle w:val="Default"/>
        <w:rPr>
          <w:rFonts w:ascii="Times New Roman" w:hAnsi="Times New Roman" w:cs="Times New Roman"/>
          <w:color w:val="auto"/>
          <w:sz w:val="22"/>
          <w:szCs w:val="22"/>
        </w:rPr>
      </w:pPr>
    </w:p>
    <w:p w14:paraId="602B748D" w14:textId="77777777" w:rsidR="00E73D67" w:rsidRPr="00E7515A" w:rsidRDefault="00E73D67" w:rsidP="00C15DAE">
      <w:pPr>
        <w:pStyle w:val="Default"/>
        <w:rPr>
          <w:rFonts w:ascii="Times New Roman" w:hAnsi="Times New Roman" w:cs="Times New Roman"/>
          <w:color w:val="auto"/>
          <w:sz w:val="22"/>
          <w:szCs w:val="22"/>
        </w:rPr>
      </w:pPr>
      <w:proofErr w:type="spellStart"/>
      <w:r w:rsidRPr="00E7515A">
        <w:rPr>
          <w:rFonts w:ascii="Times New Roman" w:hAnsi="Times New Roman" w:cs="Times New Roman"/>
          <w:color w:val="auto"/>
          <w:sz w:val="22"/>
          <w:szCs w:val="22"/>
        </w:rPr>
        <w:t>Calomiris</w:t>
      </w:r>
      <w:proofErr w:type="spellEnd"/>
      <w:r w:rsidRPr="00E7515A">
        <w:rPr>
          <w:rFonts w:ascii="Times New Roman" w:hAnsi="Times New Roman" w:cs="Times New Roman"/>
          <w:color w:val="auto"/>
          <w:sz w:val="22"/>
          <w:szCs w:val="22"/>
        </w:rPr>
        <w:t>, C. (2013). ‘Should big banks be broken up?</w:t>
      </w:r>
      <w:proofErr w:type="gramStart"/>
      <w:r w:rsidRPr="00E7515A">
        <w:rPr>
          <w:rFonts w:ascii="Times New Roman" w:hAnsi="Times New Roman" w:cs="Times New Roman"/>
          <w:color w:val="auto"/>
          <w:sz w:val="22"/>
          <w:szCs w:val="22"/>
        </w:rPr>
        <w:t>’,</w:t>
      </w:r>
      <w:proofErr w:type="gramEnd"/>
      <w:r w:rsidRPr="00E7515A">
        <w:rPr>
          <w:rFonts w:ascii="Times New Roman" w:hAnsi="Times New Roman" w:cs="Times New Roman"/>
          <w:color w:val="auto"/>
          <w:sz w:val="22"/>
          <w:szCs w:val="22"/>
        </w:rPr>
        <w:t xml:space="preserve"> www.economist.com, 14/06/2013</w:t>
      </w:r>
    </w:p>
    <w:p w14:paraId="7E2341C0" w14:textId="77777777" w:rsidR="00CE4C94" w:rsidRPr="00E7515A" w:rsidRDefault="00CE4C94" w:rsidP="00C15DAE">
      <w:pPr>
        <w:pStyle w:val="Default"/>
        <w:rPr>
          <w:rFonts w:ascii="Times New Roman" w:hAnsi="Times New Roman" w:cs="Times New Roman"/>
          <w:color w:val="auto"/>
          <w:sz w:val="22"/>
          <w:szCs w:val="22"/>
        </w:rPr>
      </w:pPr>
    </w:p>
    <w:p w14:paraId="299E5E9C" w14:textId="6400A7C8"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Ceriani</w:t>
      </w:r>
      <w:proofErr w:type="spellEnd"/>
      <w:r w:rsidRPr="00E7515A">
        <w:rPr>
          <w:rFonts w:ascii="Times New Roman" w:hAnsi="Times New Roman"/>
          <w:sz w:val="22"/>
          <w:szCs w:val="22"/>
        </w:rPr>
        <w:t>, V.</w:t>
      </w:r>
      <w:r w:rsidR="00996FFB" w:rsidRPr="00E7515A">
        <w:rPr>
          <w:rFonts w:ascii="Times New Roman" w:hAnsi="Times New Roman"/>
          <w:sz w:val="22"/>
          <w:szCs w:val="22"/>
        </w:rPr>
        <w:t xml:space="preserve">, </w:t>
      </w:r>
      <w:proofErr w:type="spellStart"/>
      <w:r w:rsidR="000B3698" w:rsidRPr="00E7515A">
        <w:rPr>
          <w:rFonts w:ascii="Times New Roman" w:hAnsi="Times New Roman"/>
          <w:sz w:val="22"/>
          <w:szCs w:val="22"/>
        </w:rPr>
        <w:t>Manestra</w:t>
      </w:r>
      <w:proofErr w:type="spellEnd"/>
      <w:r w:rsidR="000B3698" w:rsidRPr="00E7515A">
        <w:rPr>
          <w:rFonts w:ascii="Times New Roman" w:hAnsi="Times New Roman"/>
          <w:sz w:val="22"/>
          <w:szCs w:val="22"/>
        </w:rPr>
        <w:t xml:space="preserve">, S., </w:t>
      </w:r>
      <w:proofErr w:type="spellStart"/>
      <w:r w:rsidR="00996FFB" w:rsidRPr="00E7515A">
        <w:rPr>
          <w:rFonts w:ascii="Times New Roman" w:hAnsi="Times New Roman"/>
          <w:sz w:val="22"/>
          <w:szCs w:val="22"/>
        </w:rPr>
        <w:t>Ricotti</w:t>
      </w:r>
      <w:proofErr w:type="spellEnd"/>
      <w:r w:rsidR="00996FFB" w:rsidRPr="00E7515A">
        <w:rPr>
          <w:rFonts w:ascii="Times New Roman" w:hAnsi="Times New Roman"/>
          <w:sz w:val="22"/>
          <w:szCs w:val="22"/>
        </w:rPr>
        <w:t xml:space="preserve">, </w:t>
      </w:r>
      <w:r w:rsidR="000B3698" w:rsidRPr="00E7515A">
        <w:rPr>
          <w:rFonts w:ascii="Times New Roman" w:hAnsi="Times New Roman"/>
          <w:sz w:val="22"/>
          <w:szCs w:val="22"/>
        </w:rPr>
        <w:t>G</w:t>
      </w:r>
      <w:r w:rsidR="00996FFB" w:rsidRPr="00E7515A">
        <w:rPr>
          <w:rFonts w:ascii="Times New Roman" w:hAnsi="Times New Roman"/>
          <w:sz w:val="22"/>
          <w:szCs w:val="22"/>
        </w:rPr>
        <w:t>.,</w:t>
      </w:r>
      <w:r w:rsidRPr="00E7515A">
        <w:rPr>
          <w:rFonts w:ascii="Times New Roman" w:hAnsi="Times New Roman"/>
          <w:sz w:val="22"/>
          <w:szCs w:val="22"/>
        </w:rPr>
        <w:t xml:space="preserve"> </w:t>
      </w:r>
      <w:proofErr w:type="spellStart"/>
      <w:r w:rsidRPr="00E7515A">
        <w:rPr>
          <w:rFonts w:ascii="Times New Roman" w:hAnsi="Times New Roman"/>
          <w:sz w:val="22"/>
          <w:szCs w:val="22"/>
        </w:rPr>
        <w:t>Sanelli</w:t>
      </w:r>
      <w:proofErr w:type="spellEnd"/>
      <w:r w:rsidRPr="00E7515A">
        <w:rPr>
          <w:rFonts w:ascii="Times New Roman" w:hAnsi="Times New Roman"/>
          <w:sz w:val="22"/>
          <w:szCs w:val="22"/>
        </w:rPr>
        <w:t xml:space="preserve">, </w:t>
      </w:r>
      <w:r w:rsidR="00A15408" w:rsidRPr="00E7515A">
        <w:rPr>
          <w:rFonts w:ascii="Times New Roman" w:hAnsi="Times New Roman"/>
          <w:sz w:val="22"/>
          <w:szCs w:val="22"/>
        </w:rPr>
        <w:t xml:space="preserve">A. </w:t>
      </w:r>
      <w:r w:rsidR="006959E7" w:rsidRPr="00E7515A">
        <w:rPr>
          <w:rFonts w:ascii="Times New Roman" w:hAnsi="Times New Roman"/>
          <w:sz w:val="22"/>
          <w:szCs w:val="22"/>
        </w:rPr>
        <w:t>&amp;</w:t>
      </w:r>
      <w:r w:rsidRPr="00E7515A">
        <w:rPr>
          <w:rFonts w:ascii="Times New Roman" w:hAnsi="Times New Roman"/>
          <w:sz w:val="22"/>
          <w:szCs w:val="22"/>
        </w:rPr>
        <w:t xml:space="preserve"> </w:t>
      </w:r>
      <w:proofErr w:type="spellStart"/>
      <w:r w:rsidRPr="00E7515A">
        <w:rPr>
          <w:rFonts w:ascii="Times New Roman" w:hAnsi="Times New Roman"/>
          <w:sz w:val="22"/>
          <w:szCs w:val="22"/>
        </w:rPr>
        <w:t>Zangari</w:t>
      </w:r>
      <w:proofErr w:type="spellEnd"/>
      <w:r w:rsidRPr="00E7515A">
        <w:rPr>
          <w:rFonts w:ascii="Times New Roman" w:hAnsi="Times New Roman"/>
          <w:sz w:val="22"/>
          <w:szCs w:val="22"/>
        </w:rPr>
        <w:t>, E</w:t>
      </w:r>
      <w:r w:rsidR="000B3698" w:rsidRPr="00E7515A">
        <w:rPr>
          <w:rFonts w:ascii="Times New Roman" w:hAnsi="Times New Roman"/>
          <w:sz w:val="22"/>
          <w:szCs w:val="22"/>
        </w:rPr>
        <w:t>.</w:t>
      </w:r>
      <w:r w:rsidRPr="00E7515A">
        <w:rPr>
          <w:rFonts w:ascii="Times New Roman" w:hAnsi="Times New Roman"/>
          <w:sz w:val="22"/>
          <w:szCs w:val="22"/>
        </w:rPr>
        <w:t xml:space="preserve"> (2011).</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The Tax System and the Financial Crisis.</w:t>
      </w:r>
      <w:proofErr w:type="gramEnd"/>
      <w:r w:rsidRPr="00E7515A">
        <w:rPr>
          <w:rFonts w:ascii="Times New Roman" w:hAnsi="Times New Roman"/>
          <w:sz w:val="22"/>
          <w:szCs w:val="22"/>
        </w:rPr>
        <w:t xml:space="preserve"> Occasional Paper</w:t>
      </w:r>
      <w:r w:rsidR="000B3698" w:rsidRPr="00E7515A">
        <w:rPr>
          <w:rFonts w:ascii="Times New Roman" w:hAnsi="Times New Roman"/>
          <w:sz w:val="22"/>
          <w:szCs w:val="22"/>
        </w:rPr>
        <w:t xml:space="preserve"> no.</w:t>
      </w:r>
      <w:r w:rsidRPr="00E7515A">
        <w:rPr>
          <w:rFonts w:ascii="Times New Roman" w:hAnsi="Times New Roman"/>
          <w:sz w:val="22"/>
          <w:szCs w:val="22"/>
        </w:rPr>
        <w:t xml:space="preserve"> 85, </w:t>
      </w:r>
      <w:r w:rsidR="000B3698" w:rsidRPr="00E7515A">
        <w:rPr>
          <w:rFonts w:ascii="Times New Roman" w:hAnsi="Times New Roman"/>
          <w:sz w:val="22"/>
          <w:szCs w:val="22"/>
        </w:rPr>
        <w:t xml:space="preserve">Rome: </w:t>
      </w:r>
      <w:r w:rsidRPr="00E7515A">
        <w:rPr>
          <w:rFonts w:ascii="Times New Roman" w:hAnsi="Times New Roman"/>
          <w:sz w:val="22"/>
          <w:szCs w:val="22"/>
        </w:rPr>
        <w:t xml:space="preserve">Banca </w:t>
      </w:r>
      <w:proofErr w:type="spellStart"/>
      <w:r w:rsidRPr="00E7515A">
        <w:rPr>
          <w:rFonts w:ascii="Times New Roman" w:hAnsi="Times New Roman"/>
          <w:sz w:val="22"/>
          <w:szCs w:val="22"/>
        </w:rPr>
        <w:t>d'Italia</w:t>
      </w:r>
      <w:proofErr w:type="spellEnd"/>
      <w:r w:rsidRPr="00E7515A">
        <w:rPr>
          <w:rFonts w:ascii="Times New Roman" w:hAnsi="Times New Roman"/>
          <w:sz w:val="22"/>
          <w:szCs w:val="22"/>
        </w:rPr>
        <w:t xml:space="preserve">. </w:t>
      </w:r>
    </w:p>
    <w:p w14:paraId="0E5944AB" w14:textId="77777777" w:rsidR="008743CB" w:rsidRPr="00C06F1B" w:rsidRDefault="00996FFB" w:rsidP="008743CB">
      <w:pPr>
        <w:pStyle w:val="CM6"/>
        <w:jc w:val="both"/>
        <w:rPr>
          <w:rFonts w:ascii="Times New Roman" w:hAnsi="Times New Roman"/>
          <w:sz w:val="22"/>
          <w:szCs w:val="22"/>
        </w:rPr>
      </w:pPr>
      <w:proofErr w:type="gramStart"/>
      <w:r w:rsidRPr="00E7515A">
        <w:rPr>
          <w:rFonts w:ascii="Times New Roman" w:hAnsi="Times New Roman"/>
          <w:sz w:val="22"/>
          <w:szCs w:val="22"/>
        </w:rPr>
        <w:t xml:space="preserve">Cortez, B. </w:t>
      </w:r>
      <w:r w:rsidR="000B3698" w:rsidRPr="00E7515A">
        <w:rPr>
          <w:rFonts w:ascii="Times New Roman" w:hAnsi="Times New Roman"/>
          <w:sz w:val="22"/>
          <w:szCs w:val="22"/>
        </w:rPr>
        <w:t>&amp;</w:t>
      </w:r>
      <w:r w:rsidR="00B930D8" w:rsidRPr="00E7515A">
        <w:rPr>
          <w:rFonts w:ascii="Times New Roman" w:hAnsi="Times New Roman"/>
          <w:sz w:val="22"/>
          <w:szCs w:val="22"/>
        </w:rPr>
        <w:t xml:space="preserve"> Vogel, T</w:t>
      </w:r>
      <w:r w:rsidR="00A15408" w:rsidRPr="00E7515A">
        <w:rPr>
          <w:rFonts w:ascii="Times New Roman" w:hAnsi="Times New Roman"/>
          <w:sz w:val="22"/>
          <w:szCs w:val="22"/>
        </w:rPr>
        <w:t>.</w:t>
      </w:r>
      <w:r w:rsidR="00B930D8" w:rsidRPr="00E7515A">
        <w:rPr>
          <w:rFonts w:ascii="Times New Roman" w:hAnsi="Times New Roman"/>
          <w:sz w:val="22"/>
          <w:szCs w:val="22"/>
        </w:rPr>
        <w:t xml:space="preserve"> (2011).</w:t>
      </w:r>
      <w:proofErr w:type="gramEnd"/>
      <w:r w:rsidR="00B930D8" w:rsidRPr="00E7515A">
        <w:rPr>
          <w:rFonts w:ascii="Times New Roman" w:hAnsi="Times New Roman"/>
          <w:sz w:val="22"/>
          <w:szCs w:val="22"/>
        </w:rPr>
        <w:t xml:space="preserve"> </w:t>
      </w:r>
      <w:proofErr w:type="gramStart"/>
      <w:r w:rsidR="008E5541" w:rsidRPr="00E7515A">
        <w:rPr>
          <w:rFonts w:ascii="Times New Roman" w:hAnsi="Times New Roman"/>
          <w:sz w:val="22"/>
          <w:szCs w:val="22"/>
        </w:rPr>
        <w:t>A Financial Transaction Tax for Eur</w:t>
      </w:r>
      <w:r w:rsidR="00B930D8" w:rsidRPr="00E7515A">
        <w:rPr>
          <w:rFonts w:ascii="Times New Roman" w:hAnsi="Times New Roman"/>
          <w:sz w:val="22"/>
          <w:szCs w:val="22"/>
        </w:rPr>
        <w:t>ope?</w:t>
      </w:r>
      <w:proofErr w:type="gramEnd"/>
      <w:r w:rsidR="008E5541" w:rsidRPr="00E7515A">
        <w:rPr>
          <w:rFonts w:ascii="Times New Roman" w:hAnsi="Times New Roman"/>
          <w:sz w:val="22"/>
          <w:szCs w:val="22"/>
        </w:rPr>
        <w:t xml:space="preserve"> EC Tax Review 20(1): 16</w:t>
      </w:r>
      <w:r w:rsidR="008E5541" w:rsidRPr="00E7515A">
        <w:rPr>
          <w:rFonts w:ascii="Times New Roman" w:hAnsi="Times New Roman"/>
          <w:sz w:val="22"/>
          <w:szCs w:val="22"/>
        </w:rPr>
        <w:softHyphen/>
      </w:r>
      <w:r w:rsidR="008743CB" w:rsidRPr="00E7515A">
        <w:rPr>
          <w:rFonts w:ascii="Times New Roman" w:hAnsi="Times New Roman"/>
          <w:sz w:val="22"/>
          <w:szCs w:val="22"/>
        </w:rPr>
        <w:t>-</w:t>
      </w:r>
      <w:r w:rsidR="008E5541" w:rsidRPr="00E7515A">
        <w:rPr>
          <w:rFonts w:ascii="Times New Roman" w:hAnsi="Times New Roman"/>
          <w:sz w:val="22"/>
          <w:szCs w:val="22"/>
        </w:rPr>
        <w:t>29.</w:t>
      </w:r>
    </w:p>
    <w:p w14:paraId="11AC0880" w14:textId="77777777" w:rsidR="008743CB" w:rsidRPr="00C06F1B" w:rsidRDefault="008743CB" w:rsidP="008743CB">
      <w:pPr>
        <w:pStyle w:val="CM6"/>
        <w:jc w:val="both"/>
        <w:rPr>
          <w:rFonts w:ascii="Times New Roman" w:hAnsi="Times New Roman"/>
          <w:sz w:val="22"/>
          <w:szCs w:val="22"/>
        </w:rPr>
      </w:pPr>
    </w:p>
    <w:p w14:paraId="2B27AC06" w14:textId="77777777" w:rsidR="003F17DD" w:rsidRPr="00C06F1B" w:rsidRDefault="00AB41A4" w:rsidP="00E73D67">
      <w:pPr>
        <w:pStyle w:val="CM6"/>
        <w:jc w:val="both"/>
        <w:rPr>
          <w:rFonts w:ascii="Times New Roman" w:hAnsi="Times New Roman"/>
          <w:sz w:val="22"/>
          <w:szCs w:val="22"/>
        </w:rPr>
      </w:pPr>
      <w:proofErr w:type="spellStart"/>
      <w:proofErr w:type="gramStart"/>
      <w:r w:rsidRPr="00E7515A">
        <w:rPr>
          <w:rFonts w:ascii="Times New Roman" w:hAnsi="Times New Roman"/>
          <w:sz w:val="22"/>
          <w:szCs w:val="22"/>
        </w:rPr>
        <w:t>Corlett</w:t>
      </w:r>
      <w:proofErr w:type="spellEnd"/>
      <w:r w:rsidRPr="00E7515A">
        <w:rPr>
          <w:rFonts w:ascii="Times New Roman" w:hAnsi="Times New Roman"/>
          <w:sz w:val="22"/>
          <w:szCs w:val="22"/>
        </w:rPr>
        <w:t xml:space="preserve">, W. </w:t>
      </w:r>
      <w:r w:rsidR="000B3698" w:rsidRPr="00E7515A">
        <w:rPr>
          <w:rFonts w:ascii="Times New Roman" w:hAnsi="Times New Roman"/>
          <w:sz w:val="22"/>
          <w:szCs w:val="22"/>
        </w:rPr>
        <w:t>&amp;</w:t>
      </w:r>
      <w:r w:rsidRPr="00E7515A">
        <w:rPr>
          <w:rFonts w:ascii="Times New Roman" w:hAnsi="Times New Roman"/>
          <w:sz w:val="22"/>
          <w:szCs w:val="22"/>
        </w:rPr>
        <w:t xml:space="preserve"> Hague, D. (1953).</w:t>
      </w:r>
      <w:proofErr w:type="gramEnd"/>
      <w:r w:rsidRPr="00E7515A">
        <w:rPr>
          <w:rFonts w:ascii="Times New Roman" w:hAnsi="Times New Roman"/>
          <w:sz w:val="22"/>
          <w:szCs w:val="22"/>
        </w:rPr>
        <w:t xml:space="preserve"> Complementarity and t</w:t>
      </w:r>
      <w:r w:rsidR="00043675" w:rsidRPr="00E7515A">
        <w:rPr>
          <w:rFonts w:ascii="Times New Roman" w:hAnsi="Times New Roman"/>
          <w:sz w:val="22"/>
          <w:szCs w:val="22"/>
        </w:rPr>
        <w:t>he E</w:t>
      </w:r>
      <w:r w:rsidRPr="00E7515A">
        <w:rPr>
          <w:rFonts w:ascii="Times New Roman" w:hAnsi="Times New Roman"/>
          <w:sz w:val="22"/>
          <w:szCs w:val="22"/>
        </w:rPr>
        <w:t xml:space="preserve">xcess </w:t>
      </w:r>
      <w:r w:rsidR="00043675" w:rsidRPr="00E7515A">
        <w:rPr>
          <w:rFonts w:ascii="Times New Roman" w:hAnsi="Times New Roman"/>
          <w:sz w:val="22"/>
          <w:szCs w:val="22"/>
        </w:rPr>
        <w:t>B</w:t>
      </w:r>
      <w:r w:rsidRPr="00E7515A">
        <w:rPr>
          <w:rFonts w:ascii="Times New Roman" w:hAnsi="Times New Roman"/>
          <w:sz w:val="22"/>
          <w:szCs w:val="22"/>
        </w:rPr>
        <w:t xml:space="preserve">urden of </w:t>
      </w:r>
      <w:r w:rsidR="00043675" w:rsidRPr="00E7515A">
        <w:rPr>
          <w:rFonts w:ascii="Times New Roman" w:hAnsi="Times New Roman"/>
          <w:sz w:val="22"/>
          <w:szCs w:val="22"/>
        </w:rPr>
        <w:t>T</w:t>
      </w:r>
      <w:r w:rsidRPr="00E7515A">
        <w:rPr>
          <w:rFonts w:ascii="Times New Roman" w:hAnsi="Times New Roman"/>
          <w:sz w:val="22"/>
          <w:szCs w:val="22"/>
        </w:rPr>
        <w:t>axation, Review of Economic Studies, 21: 21-30.</w:t>
      </w:r>
    </w:p>
    <w:p w14:paraId="4F42180A" w14:textId="77777777" w:rsidR="00E80EC2" w:rsidRPr="00E7515A" w:rsidRDefault="00E80EC2" w:rsidP="002B411F">
      <w:pPr>
        <w:pStyle w:val="Default"/>
        <w:rPr>
          <w:rFonts w:ascii="Times New Roman" w:hAnsi="Times New Roman" w:cs="Times New Roman"/>
          <w:sz w:val="22"/>
          <w:szCs w:val="22"/>
        </w:rPr>
      </w:pPr>
    </w:p>
    <w:p w14:paraId="35A11F1C" w14:textId="77777777" w:rsidR="008C0623" w:rsidRPr="00C06F1B" w:rsidRDefault="008C0623" w:rsidP="008C0623">
      <w:pPr>
        <w:pStyle w:val="CM6"/>
        <w:jc w:val="both"/>
        <w:rPr>
          <w:rFonts w:ascii="Times New Roman" w:hAnsi="Times New Roman"/>
          <w:sz w:val="22"/>
          <w:szCs w:val="22"/>
        </w:rPr>
      </w:pPr>
      <w:proofErr w:type="gramStart"/>
      <w:r w:rsidRPr="00C06F1B">
        <w:rPr>
          <w:rFonts w:ascii="Times New Roman" w:hAnsi="Times New Roman"/>
          <w:sz w:val="22"/>
          <w:szCs w:val="22"/>
        </w:rPr>
        <w:lastRenderedPageBreak/>
        <w:t>Coulter, B., Mayer, C., &amp; Vickers, J. (2013).</w:t>
      </w:r>
      <w:proofErr w:type="gramEnd"/>
      <w:r w:rsidRPr="00C06F1B">
        <w:rPr>
          <w:rFonts w:ascii="Times New Roman" w:hAnsi="Times New Roman"/>
          <w:sz w:val="22"/>
          <w:szCs w:val="22"/>
        </w:rPr>
        <w:t xml:space="preserve"> </w:t>
      </w:r>
      <w:proofErr w:type="gramStart"/>
      <w:r w:rsidRPr="00C06F1B">
        <w:rPr>
          <w:rFonts w:ascii="Times New Roman" w:hAnsi="Times New Roman"/>
          <w:sz w:val="22"/>
          <w:szCs w:val="22"/>
        </w:rPr>
        <w:t>Taxation and Regulation of Banks to Manage Systemic Risk</w:t>
      </w:r>
      <w:r w:rsidR="00083C09" w:rsidRPr="00C06F1B">
        <w:rPr>
          <w:rFonts w:ascii="Times New Roman" w:hAnsi="Times New Roman"/>
          <w:sz w:val="22"/>
          <w:szCs w:val="22"/>
        </w:rPr>
        <w:t>,</w:t>
      </w:r>
      <w:r w:rsidRPr="00C06F1B">
        <w:rPr>
          <w:rFonts w:ascii="Times New Roman" w:hAnsi="Times New Roman"/>
          <w:sz w:val="22"/>
          <w:szCs w:val="22"/>
        </w:rPr>
        <w:t xml:space="preserve"> ECGI - Finance Working Paper No. 341/2013.</w:t>
      </w:r>
      <w:proofErr w:type="gramEnd"/>
    </w:p>
    <w:p w14:paraId="01334919" w14:textId="77777777" w:rsidR="008C0623" w:rsidRPr="00E7515A" w:rsidRDefault="008C0623" w:rsidP="008C0623">
      <w:pPr>
        <w:pStyle w:val="Default"/>
        <w:rPr>
          <w:rFonts w:ascii="Times New Roman" w:hAnsi="Times New Roman" w:cs="Times New Roman"/>
          <w:sz w:val="22"/>
          <w:szCs w:val="22"/>
        </w:rPr>
      </w:pPr>
    </w:p>
    <w:p w14:paraId="2787E1FB" w14:textId="77777777" w:rsidR="00F042EF" w:rsidRPr="00C06F1B" w:rsidRDefault="00837144" w:rsidP="00837144">
      <w:pPr>
        <w:pStyle w:val="CM6"/>
        <w:jc w:val="both"/>
        <w:rPr>
          <w:rFonts w:ascii="Times New Roman" w:hAnsi="Times New Roman"/>
          <w:sz w:val="22"/>
          <w:szCs w:val="22"/>
        </w:rPr>
      </w:pPr>
      <w:r w:rsidRPr="00C06F1B">
        <w:rPr>
          <w:rFonts w:ascii="Times New Roman" w:hAnsi="Times New Roman"/>
          <w:sz w:val="22"/>
          <w:szCs w:val="22"/>
        </w:rPr>
        <w:t xml:space="preserve">Crockett, A. (2000). </w:t>
      </w:r>
      <w:proofErr w:type="gramStart"/>
      <w:r w:rsidRPr="00C06F1B">
        <w:rPr>
          <w:rFonts w:ascii="Times New Roman" w:hAnsi="Times New Roman"/>
          <w:sz w:val="22"/>
          <w:szCs w:val="22"/>
        </w:rPr>
        <w:t xml:space="preserve">Marrying the </w:t>
      </w:r>
      <w:r w:rsidR="00043675" w:rsidRPr="00C06F1B">
        <w:rPr>
          <w:rFonts w:ascii="Times New Roman" w:hAnsi="Times New Roman"/>
          <w:sz w:val="22"/>
          <w:szCs w:val="22"/>
        </w:rPr>
        <w:t>M</w:t>
      </w:r>
      <w:r w:rsidRPr="00C06F1B">
        <w:rPr>
          <w:rFonts w:ascii="Times New Roman" w:hAnsi="Times New Roman"/>
          <w:sz w:val="22"/>
          <w:szCs w:val="22"/>
        </w:rPr>
        <w:t xml:space="preserve">icro- and </w:t>
      </w:r>
      <w:r w:rsidR="00043675" w:rsidRPr="00C06F1B">
        <w:rPr>
          <w:rFonts w:ascii="Times New Roman" w:hAnsi="Times New Roman"/>
          <w:sz w:val="22"/>
          <w:szCs w:val="22"/>
        </w:rPr>
        <w:t>M</w:t>
      </w:r>
      <w:r w:rsidRPr="00C06F1B">
        <w:rPr>
          <w:rFonts w:ascii="Times New Roman" w:hAnsi="Times New Roman"/>
          <w:sz w:val="22"/>
          <w:szCs w:val="22"/>
        </w:rPr>
        <w:t xml:space="preserve">acro-prudential </w:t>
      </w:r>
      <w:r w:rsidR="00043675" w:rsidRPr="00C06F1B">
        <w:rPr>
          <w:rFonts w:ascii="Times New Roman" w:hAnsi="Times New Roman"/>
          <w:sz w:val="22"/>
          <w:szCs w:val="22"/>
        </w:rPr>
        <w:t>D</w:t>
      </w:r>
      <w:r w:rsidRPr="00C06F1B">
        <w:rPr>
          <w:rFonts w:ascii="Times New Roman" w:hAnsi="Times New Roman"/>
          <w:sz w:val="22"/>
          <w:szCs w:val="22"/>
        </w:rPr>
        <w:t xml:space="preserve">imensions of </w:t>
      </w:r>
      <w:r w:rsidR="00043675" w:rsidRPr="00C06F1B">
        <w:rPr>
          <w:rFonts w:ascii="Times New Roman" w:hAnsi="Times New Roman"/>
          <w:sz w:val="22"/>
          <w:szCs w:val="22"/>
        </w:rPr>
        <w:t>F</w:t>
      </w:r>
      <w:r w:rsidRPr="00C06F1B">
        <w:rPr>
          <w:rFonts w:ascii="Times New Roman" w:hAnsi="Times New Roman"/>
          <w:sz w:val="22"/>
          <w:szCs w:val="22"/>
        </w:rPr>
        <w:t xml:space="preserve">inancial </w:t>
      </w:r>
      <w:r w:rsidR="00043675" w:rsidRPr="00C06F1B">
        <w:rPr>
          <w:rFonts w:ascii="Times New Roman" w:hAnsi="Times New Roman"/>
          <w:sz w:val="22"/>
          <w:szCs w:val="22"/>
        </w:rPr>
        <w:t>S</w:t>
      </w:r>
      <w:r w:rsidRPr="00C06F1B">
        <w:rPr>
          <w:rFonts w:ascii="Times New Roman" w:hAnsi="Times New Roman"/>
          <w:sz w:val="22"/>
          <w:szCs w:val="22"/>
        </w:rPr>
        <w:t>tability.</w:t>
      </w:r>
      <w:proofErr w:type="gramEnd"/>
      <w:r w:rsidRPr="00C06F1B">
        <w:rPr>
          <w:rFonts w:ascii="Times New Roman" w:hAnsi="Times New Roman"/>
          <w:sz w:val="22"/>
          <w:szCs w:val="22"/>
        </w:rPr>
        <w:t xml:space="preserve"> Bank for International Settleme</w:t>
      </w:r>
      <w:r w:rsidR="00043675" w:rsidRPr="00E7515A">
        <w:rPr>
          <w:rFonts w:ascii="Times New Roman" w:hAnsi="Times New Roman"/>
          <w:sz w:val="22"/>
          <w:szCs w:val="22"/>
        </w:rPr>
        <w:t>nts, Financial Stability Forum, Basel</w:t>
      </w:r>
      <w:r w:rsidR="000B3698" w:rsidRPr="00E7515A">
        <w:rPr>
          <w:rFonts w:ascii="Times New Roman" w:hAnsi="Times New Roman"/>
          <w:sz w:val="22"/>
          <w:szCs w:val="22"/>
        </w:rPr>
        <w:t>:</w:t>
      </w:r>
      <w:r w:rsidR="00043675" w:rsidRPr="00E7515A">
        <w:rPr>
          <w:rFonts w:ascii="Times New Roman" w:hAnsi="Times New Roman"/>
          <w:sz w:val="22"/>
          <w:szCs w:val="22"/>
        </w:rPr>
        <w:t xml:space="preserve"> Switzerland.</w:t>
      </w:r>
    </w:p>
    <w:p w14:paraId="22F51FDF" w14:textId="77777777" w:rsidR="00837144" w:rsidRPr="00E7515A" w:rsidRDefault="00837144" w:rsidP="00837144">
      <w:pPr>
        <w:pStyle w:val="Default"/>
        <w:rPr>
          <w:rFonts w:ascii="Times New Roman" w:hAnsi="Times New Roman" w:cs="Times New Roman"/>
          <w:color w:val="auto"/>
          <w:sz w:val="22"/>
          <w:szCs w:val="22"/>
        </w:rPr>
      </w:pPr>
    </w:p>
    <w:p w14:paraId="14A3CBCE" w14:textId="77777777" w:rsidR="008E5541" w:rsidRPr="00C06F1B" w:rsidRDefault="008E5541" w:rsidP="008743CB">
      <w:pPr>
        <w:pStyle w:val="CM6"/>
        <w:jc w:val="both"/>
        <w:rPr>
          <w:rFonts w:ascii="Times New Roman" w:hAnsi="Times New Roman"/>
          <w:sz w:val="22"/>
          <w:szCs w:val="22"/>
        </w:rPr>
      </w:pPr>
    </w:p>
    <w:p w14:paraId="6ACE665D" w14:textId="77777777" w:rsidR="007D7E3A" w:rsidRPr="00C06F1B" w:rsidRDefault="007D7E3A" w:rsidP="007D7E3A">
      <w:pPr>
        <w:autoSpaceDE w:val="0"/>
        <w:autoSpaceDN w:val="0"/>
        <w:adjustRightInd w:val="0"/>
        <w:spacing w:after="0" w:line="240" w:lineRule="auto"/>
        <w:jc w:val="both"/>
        <w:rPr>
          <w:rFonts w:ascii="Times New Roman" w:hAnsi="Times New Roman"/>
        </w:rPr>
      </w:pPr>
      <w:proofErr w:type="gramStart"/>
      <w:r w:rsidRPr="00E7515A">
        <w:rPr>
          <w:rFonts w:ascii="Times New Roman" w:hAnsi="Times New Roman"/>
          <w:iCs/>
        </w:rPr>
        <w:t xml:space="preserve">De </w:t>
      </w:r>
      <w:proofErr w:type="spellStart"/>
      <w:r w:rsidRPr="00E7515A">
        <w:rPr>
          <w:rFonts w:ascii="Times New Roman" w:hAnsi="Times New Roman"/>
          <w:iCs/>
        </w:rPr>
        <w:t>Nicolò</w:t>
      </w:r>
      <w:proofErr w:type="spellEnd"/>
      <w:r w:rsidRPr="00E7515A">
        <w:rPr>
          <w:rFonts w:ascii="Times New Roman" w:hAnsi="Times New Roman"/>
          <w:iCs/>
        </w:rPr>
        <w:t xml:space="preserve">, G., </w:t>
      </w:r>
      <w:proofErr w:type="spellStart"/>
      <w:r w:rsidRPr="00E7515A">
        <w:rPr>
          <w:rFonts w:ascii="Times New Roman" w:hAnsi="Times New Roman"/>
          <w:iCs/>
        </w:rPr>
        <w:t>Gamba</w:t>
      </w:r>
      <w:proofErr w:type="spellEnd"/>
      <w:r w:rsidR="00B930D8" w:rsidRPr="00E7515A">
        <w:rPr>
          <w:rFonts w:ascii="Times New Roman" w:hAnsi="Times New Roman"/>
          <w:iCs/>
        </w:rPr>
        <w:t xml:space="preserve">, A. </w:t>
      </w:r>
      <w:r w:rsidR="000B3698" w:rsidRPr="00E7515A">
        <w:rPr>
          <w:rFonts w:ascii="Times New Roman" w:hAnsi="Times New Roman"/>
          <w:iCs/>
        </w:rPr>
        <w:t>&amp;</w:t>
      </w:r>
      <w:r w:rsidR="00B930D8" w:rsidRPr="00E7515A">
        <w:rPr>
          <w:rFonts w:ascii="Times New Roman" w:hAnsi="Times New Roman"/>
          <w:iCs/>
        </w:rPr>
        <w:t xml:space="preserve"> </w:t>
      </w:r>
      <w:proofErr w:type="spellStart"/>
      <w:r w:rsidR="00B930D8" w:rsidRPr="00E7515A">
        <w:rPr>
          <w:rFonts w:ascii="Times New Roman" w:hAnsi="Times New Roman"/>
          <w:iCs/>
        </w:rPr>
        <w:t>Lucchetta</w:t>
      </w:r>
      <w:proofErr w:type="spellEnd"/>
      <w:r w:rsidR="00B930D8" w:rsidRPr="00E7515A">
        <w:rPr>
          <w:rFonts w:ascii="Times New Roman" w:hAnsi="Times New Roman"/>
          <w:iCs/>
        </w:rPr>
        <w:t>, M. (2012).</w:t>
      </w:r>
      <w:proofErr w:type="gramEnd"/>
      <w:r w:rsidR="00B930D8" w:rsidRPr="00E7515A">
        <w:rPr>
          <w:rFonts w:ascii="Times New Roman" w:hAnsi="Times New Roman"/>
          <w:iCs/>
        </w:rPr>
        <w:t xml:space="preserve"> </w:t>
      </w:r>
      <w:r w:rsidRPr="00E7515A">
        <w:rPr>
          <w:rFonts w:ascii="Times New Roman" w:hAnsi="Times New Roman"/>
        </w:rPr>
        <w:t>Capital Regulation, Liquidity Requirements and Taxatio</w:t>
      </w:r>
      <w:r w:rsidR="00B930D8" w:rsidRPr="00E7515A">
        <w:rPr>
          <w:rFonts w:ascii="Times New Roman" w:hAnsi="Times New Roman"/>
        </w:rPr>
        <w:t>n in a Dynamic Model of Banking.</w:t>
      </w:r>
      <w:r w:rsidRPr="00E7515A">
        <w:rPr>
          <w:rFonts w:ascii="Times New Roman" w:hAnsi="Times New Roman"/>
        </w:rPr>
        <w:t xml:space="preserve"> </w:t>
      </w:r>
      <w:proofErr w:type="gramStart"/>
      <w:r w:rsidRPr="00E7515A">
        <w:rPr>
          <w:rFonts w:ascii="Times New Roman" w:hAnsi="Times New Roman"/>
        </w:rPr>
        <w:t>IMF Working Paper</w:t>
      </w:r>
      <w:r w:rsidR="006A55B7" w:rsidRPr="00E7515A">
        <w:rPr>
          <w:rFonts w:ascii="Times New Roman" w:hAnsi="Times New Roman"/>
        </w:rPr>
        <w:t>,</w:t>
      </w:r>
      <w:r w:rsidRPr="00E7515A">
        <w:rPr>
          <w:rFonts w:ascii="Times New Roman" w:hAnsi="Times New Roman"/>
        </w:rPr>
        <w:t xml:space="preserve"> WP/12/72.</w:t>
      </w:r>
      <w:proofErr w:type="gramEnd"/>
    </w:p>
    <w:p w14:paraId="0B39F766" w14:textId="77777777" w:rsidR="006A66AC" w:rsidRPr="00C06F1B" w:rsidRDefault="006A66AC" w:rsidP="007D7E3A">
      <w:pPr>
        <w:autoSpaceDE w:val="0"/>
        <w:autoSpaceDN w:val="0"/>
        <w:adjustRightInd w:val="0"/>
        <w:spacing w:after="0" w:line="240" w:lineRule="auto"/>
        <w:jc w:val="both"/>
        <w:rPr>
          <w:rFonts w:ascii="Times New Roman" w:hAnsi="Times New Roman"/>
        </w:rPr>
      </w:pPr>
    </w:p>
    <w:p w14:paraId="51FFBD0E" w14:textId="77777777" w:rsidR="00531DFA" w:rsidRPr="00C06F1B" w:rsidRDefault="00531DFA" w:rsidP="00531DFA">
      <w:pPr>
        <w:pStyle w:val="CM6"/>
        <w:jc w:val="both"/>
        <w:rPr>
          <w:rFonts w:ascii="Times New Roman" w:hAnsi="Times New Roman"/>
          <w:sz w:val="22"/>
          <w:szCs w:val="22"/>
        </w:rPr>
      </w:pPr>
      <w:proofErr w:type="gramStart"/>
      <w:r w:rsidRPr="00E7515A">
        <w:rPr>
          <w:rFonts w:ascii="Times New Roman" w:hAnsi="Times New Roman"/>
          <w:sz w:val="22"/>
          <w:szCs w:val="22"/>
        </w:rPr>
        <w:t xml:space="preserve">Dickson, I. </w:t>
      </w:r>
      <w:r w:rsidR="001A71EB" w:rsidRPr="00E7515A">
        <w:rPr>
          <w:rFonts w:ascii="Times New Roman" w:hAnsi="Times New Roman"/>
          <w:sz w:val="22"/>
          <w:szCs w:val="22"/>
        </w:rPr>
        <w:t>&amp;</w:t>
      </w:r>
      <w:r w:rsidRPr="00E7515A">
        <w:rPr>
          <w:rFonts w:ascii="Times New Roman" w:hAnsi="Times New Roman"/>
          <w:sz w:val="22"/>
          <w:szCs w:val="22"/>
        </w:rPr>
        <w:t xml:space="preserve"> White, D. (2012).</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Tax Design Insights from the New Zealand Goods and Services</w:t>
      </w:r>
      <w:r w:rsidR="00942CA6" w:rsidRPr="00E7515A">
        <w:rPr>
          <w:rFonts w:ascii="Times New Roman" w:hAnsi="Times New Roman"/>
          <w:sz w:val="22"/>
          <w:szCs w:val="22"/>
        </w:rPr>
        <w:t xml:space="preserve"> Tax</w:t>
      </w:r>
      <w:r w:rsidRPr="00E7515A">
        <w:rPr>
          <w:rFonts w:ascii="Times New Roman" w:hAnsi="Times New Roman"/>
          <w:sz w:val="22"/>
          <w:szCs w:val="22"/>
        </w:rPr>
        <w:t xml:space="preserve"> (GST) Model.</w:t>
      </w:r>
      <w:proofErr w:type="gramEnd"/>
      <w:r w:rsidRPr="00E7515A">
        <w:rPr>
          <w:rFonts w:ascii="Times New Roman" w:hAnsi="Times New Roman"/>
          <w:sz w:val="22"/>
          <w:szCs w:val="22"/>
        </w:rPr>
        <w:t xml:space="preserve"> Workin</w:t>
      </w:r>
      <w:r w:rsidR="005D19A9" w:rsidRPr="00E7515A">
        <w:rPr>
          <w:rFonts w:ascii="Times New Roman" w:hAnsi="Times New Roman"/>
          <w:sz w:val="22"/>
          <w:szCs w:val="22"/>
        </w:rPr>
        <w:t xml:space="preserve">g Paper </w:t>
      </w:r>
      <w:r w:rsidR="008903A5" w:rsidRPr="00E7515A">
        <w:rPr>
          <w:rFonts w:ascii="Times New Roman" w:hAnsi="Times New Roman"/>
          <w:sz w:val="22"/>
          <w:szCs w:val="22"/>
        </w:rPr>
        <w:t>No. 60, Working Papers Series Victoria University of Wellington</w:t>
      </w:r>
      <w:r w:rsidR="00942CA6" w:rsidRPr="00E7515A">
        <w:rPr>
          <w:rFonts w:ascii="Times New Roman" w:hAnsi="Times New Roman"/>
          <w:sz w:val="22"/>
          <w:szCs w:val="22"/>
        </w:rPr>
        <w:t>:</w:t>
      </w:r>
      <w:r w:rsidR="008903A5" w:rsidRPr="00E7515A">
        <w:rPr>
          <w:rFonts w:ascii="Times New Roman" w:hAnsi="Times New Roman"/>
          <w:sz w:val="22"/>
          <w:szCs w:val="22"/>
        </w:rPr>
        <w:t xml:space="preserve"> New Zealand.</w:t>
      </w:r>
    </w:p>
    <w:p w14:paraId="5B049BB3" w14:textId="77777777" w:rsidR="008903A5" w:rsidRPr="00E7515A" w:rsidRDefault="008903A5" w:rsidP="008903A5">
      <w:pPr>
        <w:pStyle w:val="Default"/>
        <w:rPr>
          <w:rFonts w:ascii="Times New Roman" w:hAnsi="Times New Roman" w:cs="Times New Roman"/>
          <w:color w:val="auto"/>
          <w:sz w:val="22"/>
          <w:szCs w:val="22"/>
        </w:rPr>
      </w:pPr>
    </w:p>
    <w:p w14:paraId="5AD60528" w14:textId="77777777" w:rsidR="00E32DC8" w:rsidRPr="00C06F1B" w:rsidRDefault="00E32DC8" w:rsidP="00E32DC8">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EC (2010).</w:t>
      </w:r>
      <w:proofErr w:type="gramEnd"/>
      <w:r w:rsidRPr="00E7515A">
        <w:rPr>
          <w:rFonts w:ascii="Times New Roman" w:hAnsi="Times New Roman"/>
          <w:sz w:val="22"/>
          <w:szCs w:val="22"/>
        </w:rPr>
        <w:t xml:space="preserve"> Taxation Papers: Financial Sector Taxation. </w:t>
      </w:r>
      <w:proofErr w:type="gramStart"/>
      <w:r w:rsidRPr="00E7515A">
        <w:rPr>
          <w:rFonts w:ascii="Times New Roman" w:hAnsi="Times New Roman"/>
          <w:sz w:val="22"/>
          <w:szCs w:val="22"/>
        </w:rPr>
        <w:t>Working Paper no. 25.</w:t>
      </w:r>
      <w:proofErr w:type="gramEnd"/>
      <w:r w:rsidRPr="00E7515A">
        <w:rPr>
          <w:rFonts w:ascii="Times New Roman" w:hAnsi="Times New Roman"/>
          <w:sz w:val="22"/>
          <w:szCs w:val="22"/>
        </w:rPr>
        <w:t xml:space="preserve"> Brussels: European Commission. </w:t>
      </w:r>
    </w:p>
    <w:p w14:paraId="5F90B548" w14:textId="77777777" w:rsidR="003F17DD" w:rsidRPr="00E7515A" w:rsidRDefault="00E32DC8" w:rsidP="00E73D67">
      <w:pPr>
        <w:pStyle w:val="Default"/>
        <w:rPr>
          <w:rFonts w:ascii="Times New Roman" w:hAnsi="Times New Roman" w:cs="Times New Roman"/>
          <w:sz w:val="22"/>
          <w:szCs w:val="22"/>
        </w:rPr>
      </w:pPr>
      <w:proofErr w:type="gramStart"/>
      <w:r w:rsidRPr="00E7515A">
        <w:rPr>
          <w:rFonts w:ascii="Times New Roman" w:hAnsi="Times New Roman" w:cs="Times New Roman"/>
          <w:sz w:val="22"/>
          <w:szCs w:val="22"/>
        </w:rPr>
        <w:t>Ernst &amp; Young (1996).</w:t>
      </w:r>
      <w:proofErr w:type="gramEnd"/>
      <w:r w:rsidRPr="00E7515A">
        <w:rPr>
          <w:rFonts w:ascii="Times New Roman" w:hAnsi="Times New Roman" w:cs="Times New Roman"/>
          <w:sz w:val="22"/>
          <w:szCs w:val="22"/>
        </w:rPr>
        <w:t xml:space="preserve"> Value Added Tax: A Study of Taxing Financial and Insurance Services (“TCA-ADD Report). Brussels: European Commission.</w:t>
      </w:r>
    </w:p>
    <w:p w14:paraId="4D877E9F" w14:textId="77777777" w:rsidR="003F17DD" w:rsidRPr="00E7515A" w:rsidRDefault="003F17DD" w:rsidP="00E73D67">
      <w:pPr>
        <w:pStyle w:val="CM6"/>
        <w:jc w:val="both"/>
        <w:rPr>
          <w:rFonts w:ascii="Times New Roman" w:hAnsi="Times New Roman"/>
          <w:sz w:val="22"/>
          <w:szCs w:val="22"/>
        </w:rPr>
      </w:pPr>
    </w:p>
    <w:p w14:paraId="520592B2" w14:textId="77777777" w:rsidR="008E5541" w:rsidRPr="00C06F1B" w:rsidRDefault="008E5541">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Egger, P. H., Ehrli</w:t>
      </w:r>
      <w:r w:rsidR="007B3068" w:rsidRPr="00E7515A">
        <w:rPr>
          <w:rFonts w:ascii="Times New Roman" w:hAnsi="Times New Roman"/>
          <w:sz w:val="22"/>
          <w:szCs w:val="22"/>
        </w:rPr>
        <w:t xml:space="preserve">ch, M. </w:t>
      </w:r>
      <w:r w:rsidR="001A71EB" w:rsidRPr="00E7515A">
        <w:rPr>
          <w:rFonts w:ascii="Times New Roman" w:hAnsi="Times New Roman"/>
          <w:sz w:val="22"/>
          <w:szCs w:val="22"/>
        </w:rPr>
        <w:t>&amp;</w:t>
      </w:r>
      <w:r w:rsidR="007B3068" w:rsidRPr="00E7515A">
        <w:rPr>
          <w:rFonts w:ascii="Times New Roman" w:hAnsi="Times New Roman"/>
          <w:sz w:val="22"/>
          <w:szCs w:val="22"/>
        </w:rPr>
        <w:t xml:space="preserve"> </w:t>
      </w:r>
      <w:proofErr w:type="spellStart"/>
      <w:r w:rsidR="00B930D8" w:rsidRPr="00E7515A">
        <w:rPr>
          <w:rFonts w:ascii="Times New Roman" w:hAnsi="Times New Roman"/>
          <w:sz w:val="22"/>
          <w:szCs w:val="22"/>
        </w:rPr>
        <w:t>Radulescu</w:t>
      </w:r>
      <w:proofErr w:type="spellEnd"/>
      <w:r w:rsidR="00B930D8" w:rsidRPr="00E7515A">
        <w:rPr>
          <w:rFonts w:ascii="Times New Roman" w:hAnsi="Times New Roman"/>
          <w:sz w:val="22"/>
          <w:szCs w:val="22"/>
        </w:rPr>
        <w:t>, D</w:t>
      </w:r>
      <w:r w:rsidR="007B3068" w:rsidRPr="00E7515A">
        <w:rPr>
          <w:rFonts w:ascii="Times New Roman" w:hAnsi="Times New Roman"/>
          <w:sz w:val="22"/>
          <w:szCs w:val="22"/>
        </w:rPr>
        <w:t>.</w:t>
      </w:r>
      <w:r w:rsidR="00B930D8" w:rsidRPr="00E7515A">
        <w:rPr>
          <w:rFonts w:ascii="Times New Roman" w:hAnsi="Times New Roman"/>
          <w:sz w:val="22"/>
          <w:szCs w:val="22"/>
        </w:rPr>
        <w:t xml:space="preserve"> (2012).</w:t>
      </w:r>
      <w:proofErr w:type="gramEnd"/>
      <w:r w:rsidR="00B930D8" w:rsidRPr="00E7515A">
        <w:rPr>
          <w:rFonts w:ascii="Times New Roman" w:hAnsi="Times New Roman"/>
          <w:sz w:val="22"/>
          <w:szCs w:val="22"/>
        </w:rPr>
        <w:t xml:space="preserve"> </w:t>
      </w:r>
      <w:r w:rsidRPr="00E7515A">
        <w:rPr>
          <w:rFonts w:ascii="Times New Roman" w:hAnsi="Times New Roman"/>
          <w:sz w:val="22"/>
          <w:szCs w:val="22"/>
        </w:rPr>
        <w:t xml:space="preserve">How </w:t>
      </w:r>
      <w:proofErr w:type="gramStart"/>
      <w:r w:rsidR="007B3068" w:rsidRPr="00E7515A">
        <w:rPr>
          <w:rFonts w:ascii="Times New Roman" w:hAnsi="Times New Roman"/>
          <w:sz w:val="22"/>
          <w:szCs w:val="22"/>
        </w:rPr>
        <w:t>Much</w:t>
      </w:r>
      <w:proofErr w:type="gramEnd"/>
      <w:r w:rsidRPr="00E7515A">
        <w:rPr>
          <w:rFonts w:ascii="Times New Roman" w:hAnsi="Times New Roman"/>
          <w:sz w:val="22"/>
          <w:szCs w:val="22"/>
        </w:rPr>
        <w:t xml:space="preserve"> it Pays t</w:t>
      </w:r>
      <w:r w:rsidR="00B930D8" w:rsidRPr="00E7515A">
        <w:rPr>
          <w:rFonts w:ascii="Times New Roman" w:hAnsi="Times New Roman"/>
          <w:sz w:val="22"/>
          <w:szCs w:val="22"/>
        </w:rPr>
        <w:t>o Work in the Financial Sector.</w:t>
      </w:r>
      <w:r w:rsidRPr="00E7515A">
        <w:rPr>
          <w:rFonts w:ascii="Times New Roman" w:hAnsi="Times New Roman"/>
          <w:sz w:val="22"/>
          <w:szCs w:val="22"/>
        </w:rPr>
        <w:t xml:space="preserve"> </w:t>
      </w:r>
      <w:proofErr w:type="spellStart"/>
      <w:r w:rsidRPr="00E7515A">
        <w:rPr>
          <w:rFonts w:ascii="Times New Roman" w:hAnsi="Times New Roman"/>
          <w:sz w:val="22"/>
          <w:szCs w:val="22"/>
        </w:rPr>
        <w:t>CESifo</w:t>
      </w:r>
      <w:proofErr w:type="spellEnd"/>
      <w:r w:rsidRPr="00E7515A">
        <w:rPr>
          <w:rFonts w:ascii="Times New Roman" w:hAnsi="Times New Roman"/>
          <w:sz w:val="22"/>
          <w:szCs w:val="22"/>
        </w:rPr>
        <w:t xml:space="preserve"> Economic Studies 58(1): 110</w:t>
      </w:r>
      <w:r w:rsidR="001C2B81" w:rsidRPr="00E7515A">
        <w:rPr>
          <w:rFonts w:ascii="Times New Roman" w:hAnsi="Times New Roman"/>
          <w:sz w:val="22"/>
          <w:szCs w:val="22"/>
        </w:rPr>
        <w:t>-</w:t>
      </w:r>
      <w:r w:rsidRPr="00C06F1B">
        <w:rPr>
          <w:rFonts w:ascii="Times New Roman" w:hAnsi="Times New Roman"/>
          <w:sz w:val="22"/>
          <w:szCs w:val="22"/>
        </w:rPr>
        <w:t xml:space="preserve">139. </w:t>
      </w:r>
    </w:p>
    <w:p w14:paraId="3AD991ED" w14:textId="77777777" w:rsidR="006225D2" w:rsidRPr="00C06F1B" w:rsidRDefault="008E5541" w:rsidP="006225D2">
      <w:pPr>
        <w:pStyle w:val="CM6"/>
        <w:jc w:val="both"/>
        <w:rPr>
          <w:rFonts w:ascii="Times New Roman" w:hAnsi="Times New Roman"/>
          <w:sz w:val="22"/>
          <w:szCs w:val="22"/>
        </w:rPr>
      </w:pPr>
      <w:proofErr w:type="gramStart"/>
      <w:r w:rsidRPr="00C06F1B">
        <w:rPr>
          <w:rFonts w:ascii="Times New Roman" w:hAnsi="Times New Roman"/>
          <w:sz w:val="22"/>
          <w:szCs w:val="22"/>
        </w:rPr>
        <w:t>Enge</w:t>
      </w:r>
      <w:r w:rsidR="00B930D8" w:rsidRPr="00C06F1B">
        <w:rPr>
          <w:rFonts w:ascii="Times New Roman" w:hAnsi="Times New Roman"/>
          <w:sz w:val="22"/>
          <w:szCs w:val="22"/>
        </w:rPr>
        <w:t xml:space="preserve">l, E. </w:t>
      </w:r>
      <w:r w:rsidR="007B3068" w:rsidRPr="00C06F1B">
        <w:rPr>
          <w:rFonts w:ascii="Times New Roman" w:hAnsi="Times New Roman"/>
          <w:sz w:val="22"/>
          <w:szCs w:val="22"/>
        </w:rPr>
        <w:t xml:space="preserve">Erickson, M. </w:t>
      </w:r>
      <w:r w:rsidR="00942CA6" w:rsidRPr="00C06F1B">
        <w:rPr>
          <w:rFonts w:ascii="Times New Roman" w:hAnsi="Times New Roman"/>
          <w:sz w:val="22"/>
          <w:szCs w:val="22"/>
        </w:rPr>
        <w:t>&amp;</w:t>
      </w:r>
      <w:r w:rsidR="00B930D8" w:rsidRPr="00C06F1B">
        <w:rPr>
          <w:rFonts w:ascii="Times New Roman" w:hAnsi="Times New Roman"/>
          <w:sz w:val="22"/>
          <w:szCs w:val="22"/>
        </w:rPr>
        <w:t xml:space="preserve"> Maydew, E</w:t>
      </w:r>
      <w:r w:rsidR="007B3068" w:rsidRPr="00C06F1B">
        <w:rPr>
          <w:rFonts w:ascii="Times New Roman" w:hAnsi="Times New Roman"/>
          <w:sz w:val="22"/>
          <w:szCs w:val="22"/>
        </w:rPr>
        <w:t>.</w:t>
      </w:r>
      <w:r w:rsidR="00B930D8" w:rsidRPr="00C06F1B">
        <w:rPr>
          <w:rFonts w:ascii="Times New Roman" w:hAnsi="Times New Roman"/>
          <w:sz w:val="22"/>
          <w:szCs w:val="22"/>
        </w:rPr>
        <w:t xml:space="preserve"> (1999).</w:t>
      </w:r>
      <w:proofErr w:type="gramEnd"/>
      <w:r w:rsidR="00B930D8" w:rsidRPr="00C06F1B">
        <w:rPr>
          <w:rFonts w:ascii="Times New Roman" w:hAnsi="Times New Roman"/>
          <w:sz w:val="22"/>
          <w:szCs w:val="22"/>
        </w:rPr>
        <w:t xml:space="preserve"> </w:t>
      </w:r>
      <w:proofErr w:type="gramStart"/>
      <w:r w:rsidRPr="00C06F1B">
        <w:rPr>
          <w:rFonts w:ascii="Times New Roman" w:hAnsi="Times New Roman"/>
          <w:sz w:val="22"/>
          <w:szCs w:val="22"/>
        </w:rPr>
        <w:t>Debt</w:t>
      </w:r>
      <w:r w:rsidR="001C2B81" w:rsidRPr="00E7515A">
        <w:rPr>
          <w:rFonts w:ascii="Times New Roman" w:hAnsi="Times New Roman"/>
          <w:sz w:val="22"/>
          <w:szCs w:val="22"/>
        </w:rPr>
        <w:t xml:space="preserve"> </w:t>
      </w:r>
      <w:r w:rsidR="00B930D8" w:rsidRPr="00C06F1B">
        <w:rPr>
          <w:rFonts w:ascii="Times New Roman" w:hAnsi="Times New Roman"/>
          <w:sz w:val="22"/>
          <w:szCs w:val="22"/>
        </w:rPr>
        <w:t>Equity Hybrid Securities.</w:t>
      </w:r>
      <w:proofErr w:type="gramEnd"/>
      <w:r w:rsidRPr="00C06F1B">
        <w:rPr>
          <w:rFonts w:ascii="Times New Roman" w:hAnsi="Times New Roman"/>
          <w:sz w:val="22"/>
          <w:szCs w:val="22"/>
        </w:rPr>
        <w:t xml:space="preserve"> Journal of Accounting Research 37</w:t>
      </w:r>
      <w:r w:rsidR="007B3068" w:rsidRPr="00C06F1B">
        <w:rPr>
          <w:rFonts w:ascii="Times New Roman" w:hAnsi="Times New Roman"/>
          <w:sz w:val="22"/>
          <w:szCs w:val="22"/>
        </w:rPr>
        <w:t>(2)</w:t>
      </w:r>
      <w:r w:rsidRPr="00C06F1B">
        <w:rPr>
          <w:rFonts w:ascii="Times New Roman" w:hAnsi="Times New Roman"/>
          <w:sz w:val="22"/>
          <w:szCs w:val="22"/>
        </w:rPr>
        <w:t>: 249</w:t>
      </w:r>
      <w:r w:rsidR="001C2B81" w:rsidRPr="00E7515A">
        <w:rPr>
          <w:rFonts w:ascii="Times New Roman" w:hAnsi="Times New Roman"/>
          <w:sz w:val="22"/>
          <w:szCs w:val="22"/>
        </w:rPr>
        <w:t>-</w:t>
      </w:r>
      <w:r w:rsidRPr="00C06F1B">
        <w:rPr>
          <w:rFonts w:ascii="Times New Roman" w:hAnsi="Times New Roman"/>
          <w:sz w:val="22"/>
          <w:szCs w:val="22"/>
        </w:rPr>
        <w:t xml:space="preserve">274. </w:t>
      </w:r>
      <w:proofErr w:type="gramStart"/>
      <w:r w:rsidR="006225D2" w:rsidRPr="00C06F1B">
        <w:rPr>
          <w:rFonts w:ascii="Times New Roman" w:hAnsi="Times New Roman"/>
          <w:sz w:val="22"/>
          <w:szCs w:val="22"/>
        </w:rPr>
        <w:t xml:space="preserve">Firth, M. </w:t>
      </w:r>
      <w:r w:rsidR="00942CA6" w:rsidRPr="00C06F1B">
        <w:rPr>
          <w:rFonts w:ascii="Times New Roman" w:hAnsi="Times New Roman"/>
          <w:sz w:val="22"/>
          <w:szCs w:val="22"/>
        </w:rPr>
        <w:t>&amp;</w:t>
      </w:r>
      <w:r w:rsidR="006225D2" w:rsidRPr="00C06F1B">
        <w:rPr>
          <w:rFonts w:ascii="Times New Roman" w:hAnsi="Times New Roman"/>
          <w:sz w:val="22"/>
          <w:szCs w:val="22"/>
        </w:rPr>
        <w:t xml:space="preserve"> McKenzie, K. (2012).</w:t>
      </w:r>
      <w:proofErr w:type="gramEnd"/>
      <w:r w:rsidR="006225D2" w:rsidRPr="00C06F1B">
        <w:rPr>
          <w:rFonts w:ascii="Times New Roman" w:hAnsi="Times New Roman"/>
          <w:sz w:val="22"/>
          <w:szCs w:val="22"/>
        </w:rPr>
        <w:t xml:space="preserve"> The GST and Financial Services: Pausing for Perspective. </w:t>
      </w:r>
      <w:proofErr w:type="gramStart"/>
      <w:r w:rsidR="006225D2" w:rsidRPr="00C06F1B">
        <w:rPr>
          <w:rFonts w:ascii="Times New Roman" w:hAnsi="Times New Roman"/>
          <w:sz w:val="22"/>
          <w:szCs w:val="22"/>
        </w:rPr>
        <w:t>SPP Research Papers, University of Calgary</w:t>
      </w:r>
      <w:r w:rsidR="00942CA6" w:rsidRPr="00C06F1B">
        <w:rPr>
          <w:rFonts w:ascii="Times New Roman" w:hAnsi="Times New Roman"/>
          <w:sz w:val="22"/>
          <w:szCs w:val="22"/>
        </w:rPr>
        <w:t>, Canada.</w:t>
      </w:r>
      <w:proofErr w:type="gramEnd"/>
    </w:p>
    <w:p w14:paraId="47C01414" w14:textId="77777777" w:rsidR="006225D2" w:rsidRPr="00E7515A" w:rsidRDefault="006225D2" w:rsidP="006225D2">
      <w:pPr>
        <w:pStyle w:val="Default"/>
        <w:rPr>
          <w:rFonts w:ascii="Times New Roman" w:hAnsi="Times New Roman" w:cs="Times New Roman"/>
          <w:color w:val="auto"/>
          <w:sz w:val="22"/>
          <w:szCs w:val="22"/>
        </w:rPr>
      </w:pPr>
    </w:p>
    <w:p w14:paraId="6E65B500" w14:textId="77777777" w:rsidR="00AF5C7B" w:rsidRPr="00E7515A" w:rsidRDefault="00AF5C7B" w:rsidP="00E7515A">
      <w:pPr>
        <w:pStyle w:val="Default"/>
        <w:rPr>
          <w:rFonts w:ascii="Times New Roman" w:hAnsi="Times New Roman" w:cs="Times New Roman"/>
          <w:sz w:val="22"/>
          <w:szCs w:val="22"/>
        </w:rPr>
      </w:pPr>
      <w:proofErr w:type="gramStart"/>
      <w:r w:rsidRPr="00E7515A">
        <w:rPr>
          <w:rFonts w:ascii="Times New Roman" w:hAnsi="Times New Roman" w:cs="Times New Roman"/>
          <w:sz w:val="22"/>
          <w:szCs w:val="22"/>
        </w:rPr>
        <w:t>FSB (2011).</w:t>
      </w:r>
      <w:proofErr w:type="gramEnd"/>
      <w:r w:rsidRPr="00E7515A">
        <w:rPr>
          <w:rFonts w:ascii="Times New Roman" w:hAnsi="Times New Roman" w:cs="Times New Roman"/>
          <w:sz w:val="22"/>
          <w:szCs w:val="22"/>
        </w:rPr>
        <w:t xml:space="preserve"> </w:t>
      </w:r>
      <w:proofErr w:type="gramStart"/>
      <w:r w:rsidRPr="00E7515A">
        <w:rPr>
          <w:rFonts w:ascii="Times New Roman" w:hAnsi="Times New Roman" w:cs="Times New Roman"/>
          <w:sz w:val="22"/>
          <w:szCs w:val="22"/>
        </w:rPr>
        <w:t>Policy Measures to Address Systemically Important Financial Institutions.</w:t>
      </w:r>
      <w:proofErr w:type="gramEnd"/>
      <w:r w:rsidRPr="00E7515A">
        <w:rPr>
          <w:rFonts w:ascii="Times New Roman" w:hAnsi="Times New Roman" w:cs="Times New Roman"/>
          <w:sz w:val="22"/>
          <w:szCs w:val="22"/>
        </w:rPr>
        <w:t xml:space="preserve"> Basel, Financial Stability Board. Accessed via </w:t>
      </w:r>
      <w:hyperlink r:id="rId11" w:history="1">
        <w:r w:rsidRPr="00E7515A">
          <w:rPr>
            <w:rFonts w:ascii="Times New Roman" w:hAnsi="Times New Roman"/>
            <w:sz w:val="22"/>
            <w:szCs w:val="22"/>
          </w:rPr>
          <w:t>http://www.financialstabilityboard.org/publications/r_111104bb.pdf</w:t>
        </w:r>
      </w:hyperlink>
    </w:p>
    <w:p w14:paraId="5EF7E1C7" w14:textId="77777777" w:rsidR="00AF5C7B" w:rsidRPr="00D51C2E" w:rsidRDefault="00AF5C7B" w:rsidP="00E7515A">
      <w:pPr>
        <w:pStyle w:val="Default"/>
        <w:rPr>
          <w:rFonts w:ascii="Times New Roman" w:hAnsi="Times New Roman"/>
        </w:rPr>
      </w:pPr>
    </w:p>
    <w:p w14:paraId="2ECF1B15" w14:textId="77777777" w:rsidR="008E5541" w:rsidRPr="00C06F1B" w:rsidRDefault="00B930D8" w:rsidP="007523E4">
      <w:pPr>
        <w:pStyle w:val="CM6"/>
        <w:jc w:val="both"/>
        <w:rPr>
          <w:rFonts w:ascii="Times New Roman" w:hAnsi="Times New Roman"/>
          <w:sz w:val="22"/>
          <w:szCs w:val="22"/>
        </w:rPr>
      </w:pPr>
      <w:proofErr w:type="spellStart"/>
      <w:proofErr w:type="gramStart"/>
      <w:r w:rsidRPr="00C06F1B">
        <w:rPr>
          <w:rFonts w:ascii="Times New Roman" w:hAnsi="Times New Roman"/>
          <w:sz w:val="22"/>
          <w:szCs w:val="22"/>
        </w:rPr>
        <w:t>Genser</w:t>
      </w:r>
      <w:proofErr w:type="spellEnd"/>
      <w:r w:rsidRPr="00C06F1B">
        <w:rPr>
          <w:rFonts w:ascii="Times New Roman" w:hAnsi="Times New Roman"/>
          <w:sz w:val="22"/>
          <w:szCs w:val="22"/>
        </w:rPr>
        <w:t>, B.</w:t>
      </w:r>
      <w:r w:rsidR="00F92EF5" w:rsidRPr="00E7515A">
        <w:rPr>
          <w:rFonts w:ascii="Times New Roman" w:hAnsi="Times New Roman"/>
          <w:sz w:val="22"/>
          <w:szCs w:val="22"/>
        </w:rPr>
        <w:t xml:space="preserve"> &amp; Winker, </w:t>
      </w:r>
      <w:r w:rsidRPr="00E7515A">
        <w:rPr>
          <w:rFonts w:ascii="Times New Roman" w:hAnsi="Times New Roman"/>
          <w:sz w:val="22"/>
          <w:szCs w:val="22"/>
        </w:rPr>
        <w:t>P</w:t>
      </w:r>
      <w:r w:rsidR="00A15408" w:rsidRPr="00E7515A">
        <w:rPr>
          <w:rFonts w:ascii="Times New Roman" w:hAnsi="Times New Roman"/>
          <w:sz w:val="22"/>
          <w:szCs w:val="22"/>
        </w:rPr>
        <w:t>.</w:t>
      </w:r>
      <w:r w:rsidRPr="00E7515A">
        <w:rPr>
          <w:rFonts w:ascii="Times New Roman" w:hAnsi="Times New Roman"/>
          <w:sz w:val="22"/>
          <w:szCs w:val="22"/>
        </w:rPr>
        <w:t xml:space="preserve"> (1997).</w:t>
      </w:r>
      <w:proofErr w:type="gramEnd"/>
      <w:r w:rsidRPr="00E7515A">
        <w:rPr>
          <w:rFonts w:ascii="Times New Roman" w:hAnsi="Times New Roman"/>
          <w:sz w:val="22"/>
          <w:szCs w:val="22"/>
        </w:rPr>
        <w:t xml:space="preserve"> </w:t>
      </w:r>
      <w:proofErr w:type="gramStart"/>
      <w:r w:rsidR="008E5541" w:rsidRPr="00E7515A">
        <w:rPr>
          <w:rFonts w:ascii="Times New Roman" w:hAnsi="Times New Roman"/>
          <w:sz w:val="22"/>
          <w:szCs w:val="22"/>
        </w:rPr>
        <w:t>Measuring the Fiscal Revenue Loss of VAT E</w:t>
      </w:r>
      <w:r w:rsidRPr="00E7515A">
        <w:rPr>
          <w:rFonts w:ascii="Times New Roman" w:hAnsi="Times New Roman"/>
          <w:sz w:val="22"/>
          <w:szCs w:val="22"/>
        </w:rPr>
        <w:t>xemption in Commercial Banking</w:t>
      </w:r>
      <w:r w:rsidR="00F92EF5" w:rsidRPr="00E7515A">
        <w:rPr>
          <w:rFonts w:ascii="Times New Roman" w:hAnsi="Times New Roman"/>
          <w:sz w:val="22"/>
          <w:szCs w:val="22"/>
        </w:rPr>
        <w:t>.</w:t>
      </w:r>
      <w:proofErr w:type="gramEnd"/>
      <w:r w:rsidR="007B3068" w:rsidRPr="00E7515A">
        <w:rPr>
          <w:rFonts w:ascii="Times New Roman" w:hAnsi="Times New Roman"/>
          <w:sz w:val="22"/>
          <w:szCs w:val="22"/>
        </w:rPr>
        <w:t xml:space="preserve"> Public Finance Analysis, 54(4): 563-5</w:t>
      </w:r>
      <w:r w:rsidR="008E5541" w:rsidRPr="00E7515A">
        <w:rPr>
          <w:rFonts w:ascii="Times New Roman" w:hAnsi="Times New Roman"/>
          <w:sz w:val="22"/>
          <w:szCs w:val="22"/>
        </w:rPr>
        <w:t xml:space="preserve">85. </w:t>
      </w:r>
    </w:p>
    <w:p w14:paraId="5A4EC9F9" w14:textId="77777777" w:rsidR="00016158" w:rsidRPr="00E7515A" w:rsidRDefault="00016158" w:rsidP="00016158">
      <w:pPr>
        <w:pStyle w:val="Default"/>
        <w:rPr>
          <w:rFonts w:ascii="Times New Roman" w:hAnsi="Times New Roman" w:cs="Times New Roman"/>
          <w:color w:val="auto"/>
          <w:sz w:val="22"/>
          <w:szCs w:val="22"/>
        </w:rPr>
      </w:pPr>
    </w:p>
    <w:p w14:paraId="1BA72B07" w14:textId="77777777" w:rsidR="00016158" w:rsidRPr="00C06F1B" w:rsidRDefault="00016158" w:rsidP="00016158">
      <w:pPr>
        <w:pStyle w:val="CM6"/>
        <w:jc w:val="both"/>
        <w:rPr>
          <w:rFonts w:ascii="Times New Roman" w:hAnsi="Times New Roman"/>
          <w:sz w:val="22"/>
          <w:szCs w:val="22"/>
        </w:rPr>
      </w:pPr>
      <w:proofErr w:type="spellStart"/>
      <w:proofErr w:type="gramStart"/>
      <w:r w:rsidRPr="00E7515A">
        <w:rPr>
          <w:rFonts w:ascii="Times New Roman" w:hAnsi="Times New Roman"/>
          <w:sz w:val="22"/>
          <w:szCs w:val="22"/>
        </w:rPr>
        <w:t>Grubert</w:t>
      </w:r>
      <w:proofErr w:type="spellEnd"/>
      <w:r w:rsidR="00B930D8" w:rsidRPr="00E7515A">
        <w:rPr>
          <w:rFonts w:ascii="Times New Roman" w:hAnsi="Times New Roman"/>
          <w:sz w:val="22"/>
          <w:szCs w:val="22"/>
        </w:rPr>
        <w:t xml:space="preserve">, H. </w:t>
      </w:r>
      <w:r w:rsidR="00942CA6" w:rsidRPr="00E7515A">
        <w:rPr>
          <w:rFonts w:ascii="Times New Roman" w:hAnsi="Times New Roman"/>
          <w:sz w:val="22"/>
          <w:szCs w:val="22"/>
        </w:rPr>
        <w:t>&amp;</w:t>
      </w:r>
      <w:r w:rsidR="00B930D8" w:rsidRPr="00E7515A">
        <w:rPr>
          <w:rFonts w:ascii="Times New Roman" w:hAnsi="Times New Roman"/>
          <w:sz w:val="22"/>
          <w:szCs w:val="22"/>
        </w:rPr>
        <w:t xml:space="preserve"> Mackie, J.B. (2000).</w:t>
      </w:r>
      <w:proofErr w:type="gramEnd"/>
      <w:r w:rsidR="00B930D8" w:rsidRPr="00E7515A">
        <w:rPr>
          <w:rFonts w:ascii="Times New Roman" w:hAnsi="Times New Roman"/>
          <w:sz w:val="22"/>
          <w:szCs w:val="22"/>
        </w:rPr>
        <w:t xml:space="preserve"> </w:t>
      </w:r>
      <w:r w:rsidRPr="00E7515A">
        <w:rPr>
          <w:rFonts w:ascii="Times New Roman" w:hAnsi="Times New Roman"/>
          <w:sz w:val="22"/>
          <w:szCs w:val="22"/>
        </w:rPr>
        <w:t xml:space="preserve">Must Financial Services Be </w:t>
      </w:r>
      <w:r w:rsidR="00B930D8" w:rsidRPr="00E7515A">
        <w:rPr>
          <w:rFonts w:ascii="Times New Roman" w:hAnsi="Times New Roman"/>
          <w:sz w:val="22"/>
          <w:szCs w:val="22"/>
        </w:rPr>
        <w:t>Taxed Under a Consumption Tax?</w:t>
      </w:r>
      <w:r w:rsidR="007878A3" w:rsidRPr="00E7515A">
        <w:rPr>
          <w:rFonts w:ascii="Times New Roman" w:hAnsi="Times New Roman"/>
          <w:sz w:val="22"/>
          <w:szCs w:val="22"/>
        </w:rPr>
        <w:t xml:space="preserve"> National Tax Journal, 53(1):</w:t>
      </w:r>
      <w:r w:rsidRPr="00E7515A">
        <w:rPr>
          <w:rFonts w:ascii="Times New Roman" w:hAnsi="Times New Roman"/>
          <w:sz w:val="22"/>
          <w:szCs w:val="22"/>
        </w:rPr>
        <w:t xml:space="preserve"> 23-40.</w:t>
      </w:r>
    </w:p>
    <w:p w14:paraId="10C1A8B3" w14:textId="77777777" w:rsidR="00F20BE4" w:rsidRPr="00E7515A" w:rsidRDefault="00F20BE4" w:rsidP="00BC3ECF">
      <w:pPr>
        <w:pStyle w:val="Default"/>
        <w:rPr>
          <w:rFonts w:ascii="Times New Roman" w:hAnsi="Times New Roman" w:cs="Times New Roman"/>
          <w:sz w:val="22"/>
          <w:szCs w:val="22"/>
          <w:lang w:val="en-US"/>
        </w:rPr>
      </w:pPr>
    </w:p>
    <w:p w14:paraId="4E903B69" w14:textId="4D288F0C" w:rsidR="00DF2256" w:rsidRDefault="00DF2256" w:rsidP="000262A7">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Haldane, A.G. (2014). Managing Global Finance as a System, Speech delivered at the Maxwell Fry Annual Global Finance Lecture, Birmingham University on 29 October 2014. Available at </w:t>
      </w:r>
      <w:r w:rsidR="00DB2CC9" w:rsidRPr="00DB2CC9">
        <w:rPr>
          <w:rFonts w:ascii="Times New Roman" w:hAnsi="Times New Roman" w:cs="Times New Roman"/>
          <w:color w:val="auto"/>
          <w:sz w:val="22"/>
          <w:szCs w:val="22"/>
        </w:rPr>
        <w:t>http://www.bankofengland.co.uk/publications/Documents/speeches/2014/speech772.pdf</w:t>
      </w:r>
    </w:p>
    <w:p w14:paraId="62D36577" w14:textId="77777777" w:rsidR="00DF2256" w:rsidRDefault="00DF2256" w:rsidP="000262A7">
      <w:pPr>
        <w:pStyle w:val="Default"/>
        <w:rPr>
          <w:rFonts w:ascii="Times New Roman" w:hAnsi="Times New Roman" w:cs="Times New Roman"/>
          <w:color w:val="auto"/>
          <w:sz w:val="22"/>
          <w:szCs w:val="22"/>
        </w:rPr>
      </w:pPr>
    </w:p>
    <w:p w14:paraId="70719DDC" w14:textId="0E440729" w:rsidR="000262A7" w:rsidRPr="00C06F1B" w:rsidRDefault="000262A7" w:rsidP="000262A7">
      <w:pPr>
        <w:pStyle w:val="Default"/>
        <w:rPr>
          <w:rFonts w:ascii="Times New Roman" w:hAnsi="Times New Roman" w:cs="Times New Roman"/>
          <w:color w:val="auto"/>
          <w:sz w:val="22"/>
          <w:szCs w:val="22"/>
        </w:rPr>
      </w:pPr>
      <w:proofErr w:type="gramStart"/>
      <w:r w:rsidRPr="00C06F1B">
        <w:rPr>
          <w:rFonts w:ascii="Times New Roman" w:hAnsi="Times New Roman" w:cs="Times New Roman"/>
          <w:color w:val="auto"/>
          <w:sz w:val="22"/>
          <w:szCs w:val="22"/>
        </w:rPr>
        <w:t>Hart, O</w:t>
      </w:r>
      <w:r w:rsidR="00A74A01" w:rsidRPr="00C06F1B">
        <w:rPr>
          <w:rFonts w:ascii="Times New Roman" w:hAnsi="Times New Roman" w:cs="Times New Roman"/>
          <w:color w:val="auto"/>
          <w:sz w:val="22"/>
          <w:szCs w:val="22"/>
        </w:rPr>
        <w:t>.</w:t>
      </w:r>
      <w:r w:rsidRPr="00C06F1B">
        <w:rPr>
          <w:rFonts w:ascii="Times New Roman" w:hAnsi="Times New Roman" w:cs="Times New Roman"/>
          <w:color w:val="auto"/>
          <w:sz w:val="22"/>
          <w:szCs w:val="22"/>
        </w:rPr>
        <w:t xml:space="preserve"> &amp; </w:t>
      </w:r>
      <w:proofErr w:type="spellStart"/>
      <w:r w:rsidRPr="00C06F1B">
        <w:rPr>
          <w:rFonts w:ascii="Times New Roman" w:hAnsi="Times New Roman" w:cs="Times New Roman"/>
          <w:color w:val="auto"/>
          <w:sz w:val="22"/>
          <w:szCs w:val="22"/>
        </w:rPr>
        <w:t>Zingales</w:t>
      </w:r>
      <w:proofErr w:type="spellEnd"/>
      <w:r w:rsidRPr="00C06F1B">
        <w:rPr>
          <w:rFonts w:ascii="Times New Roman" w:hAnsi="Times New Roman" w:cs="Times New Roman"/>
          <w:color w:val="auto"/>
          <w:sz w:val="22"/>
          <w:szCs w:val="22"/>
        </w:rPr>
        <w:t>, L. (2009</w:t>
      </w:r>
      <w:r w:rsidR="00A74A01" w:rsidRPr="00C06F1B">
        <w:rPr>
          <w:rFonts w:ascii="Times New Roman" w:hAnsi="Times New Roman" w:cs="Times New Roman"/>
          <w:color w:val="auto"/>
          <w:sz w:val="22"/>
          <w:szCs w:val="22"/>
        </w:rPr>
        <w:t>).</w:t>
      </w:r>
      <w:proofErr w:type="gramEnd"/>
      <w:r w:rsidR="00A74A01" w:rsidRPr="00C06F1B">
        <w:rPr>
          <w:rFonts w:ascii="Times New Roman" w:hAnsi="Times New Roman" w:cs="Times New Roman"/>
          <w:color w:val="auto"/>
          <w:sz w:val="22"/>
          <w:szCs w:val="22"/>
        </w:rPr>
        <w:t xml:space="preserve"> </w:t>
      </w:r>
      <w:r w:rsidR="002D454D" w:rsidRPr="00C06F1B">
        <w:rPr>
          <w:rFonts w:ascii="Times New Roman" w:hAnsi="Times New Roman" w:cs="Times New Roman"/>
          <w:color w:val="auto"/>
          <w:sz w:val="22"/>
          <w:szCs w:val="22"/>
        </w:rPr>
        <w:t>To Regulate Finance: Try the M</w:t>
      </w:r>
      <w:r w:rsidRPr="00C06F1B">
        <w:rPr>
          <w:rFonts w:ascii="Times New Roman" w:hAnsi="Times New Roman" w:cs="Times New Roman"/>
          <w:color w:val="auto"/>
          <w:sz w:val="22"/>
          <w:szCs w:val="22"/>
        </w:rPr>
        <w:t xml:space="preserve">arket. Available online at </w:t>
      </w:r>
      <w:hyperlink r:id="rId12" w:history="1">
        <w:r w:rsidRPr="00C06F1B">
          <w:rPr>
            <w:rStyle w:val="Hyperlink"/>
            <w:rFonts w:ascii="Times New Roman" w:hAnsi="Times New Roman" w:cs="Times New Roman"/>
            <w:sz w:val="22"/>
            <w:szCs w:val="22"/>
          </w:rPr>
          <w:t>http://experts.foreignpolicy.com/posts/2009/03/30/to_regulate_finance_try_the_market</w:t>
        </w:r>
      </w:hyperlink>
      <w:r w:rsidRPr="00C06F1B">
        <w:rPr>
          <w:rFonts w:ascii="Times New Roman" w:hAnsi="Times New Roman" w:cs="Times New Roman"/>
          <w:color w:val="auto"/>
          <w:sz w:val="22"/>
          <w:szCs w:val="22"/>
        </w:rPr>
        <w:t xml:space="preserve"> </w:t>
      </w:r>
    </w:p>
    <w:p w14:paraId="55F679E1" w14:textId="77777777" w:rsidR="00BC3ECF" w:rsidRPr="00E7515A" w:rsidRDefault="00BC3ECF" w:rsidP="00BC3ECF">
      <w:pPr>
        <w:pStyle w:val="Default"/>
        <w:rPr>
          <w:rFonts w:ascii="Times New Roman" w:hAnsi="Times New Roman" w:cs="Times New Roman"/>
          <w:color w:val="auto"/>
          <w:sz w:val="22"/>
          <w:szCs w:val="22"/>
        </w:rPr>
      </w:pPr>
    </w:p>
    <w:p w14:paraId="6BAE8022" w14:textId="77777777" w:rsidR="008E5541" w:rsidRPr="00C06F1B" w:rsidRDefault="008E5541">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Huizinga,</w:t>
      </w:r>
      <w:r w:rsidR="00B930D8" w:rsidRPr="00E7515A">
        <w:rPr>
          <w:rFonts w:ascii="Times New Roman" w:hAnsi="Times New Roman"/>
          <w:sz w:val="22"/>
          <w:szCs w:val="22"/>
        </w:rPr>
        <w:t xml:space="preserve"> H. (2002). </w:t>
      </w:r>
      <w:proofErr w:type="gramStart"/>
      <w:r w:rsidRPr="00E7515A">
        <w:rPr>
          <w:rFonts w:ascii="Times New Roman" w:hAnsi="Times New Roman"/>
          <w:sz w:val="22"/>
          <w:szCs w:val="22"/>
        </w:rPr>
        <w:t>A Euro</w:t>
      </w:r>
      <w:r w:rsidR="00B930D8" w:rsidRPr="00E7515A">
        <w:rPr>
          <w:rFonts w:ascii="Times New Roman" w:hAnsi="Times New Roman"/>
          <w:sz w:val="22"/>
          <w:szCs w:val="22"/>
        </w:rPr>
        <w:t>pean VAT on Financial Services?</w:t>
      </w:r>
      <w:proofErr w:type="gramEnd"/>
      <w:r w:rsidRPr="00E7515A">
        <w:rPr>
          <w:rFonts w:ascii="Times New Roman" w:hAnsi="Times New Roman"/>
          <w:sz w:val="22"/>
          <w:szCs w:val="22"/>
        </w:rPr>
        <w:t xml:space="preserve"> Economic Policy</w:t>
      </w:r>
      <w:r w:rsidR="007B3068" w:rsidRPr="00E7515A">
        <w:rPr>
          <w:rFonts w:ascii="Times New Roman" w:hAnsi="Times New Roman"/>
          <w:sz w:val="22"/>
          <w:szCs w:val="22"/>
        </w:rPr>
        <w:t>,</w:t>
      </w:r>
      <w:r w:rsidRPr="00E7515A">
        <w:rPr>
          <w:rFonts w:ascii="Times New Roman" w:hAnsi="Times New Roman"/>
          <w:sz w:val="22"/>
          <w:szCs w:val="22"/>
        </w:rPr>
        <w:t xml:space="preserve"> 17</w:t>
      </w:r>
      <w:r w:rsidR="007B3068" w:rsidRPr="00E7515A">
        <w:rPr>
          <w:rFonts w:ascii="Times New Roman" w:hAnsi="Times New Roman"/>
          <w:sz w:val="22"/>
          <w:szCs w:val="22"/>
        </w:rPr>
        <w:t>(35)</w:t>
      </w:r>
      <w:r w:rsidRPr="00E7515A">
        <w:rPr>
          <w:rFonts w:ascii="Times New Roman" w:hAnsi="Times New Roman"/>
          <w:sz w:val="22"/>
          <w:szCs w:val="22"/>
        </w:rPr>
        <w:t>: 499</w:t>
      </w:r>
      <w:r w:rsidR="001C2B81" w:rsidRPr="00E7515A">
        <w:rPr>
          <w:rFonts w:ascii="Times New Roman" w:hAnsi="Times New Roman"/>
          <w:sz w:val="22"/>
          <w:szCs w:val="22"/>
        </w:rPr>
        <w:t>-</w:t>
      </w:r>
      <w:r w:rsidRPr="00C06F1B">
        <w:rPr>
          <w:rFonts w:ascii="Times New Roman" w:hAnsi="Times New Roman"/>
          <w:sz w:val="22"/>
          <w:szCs w:val="22"/>
        </w:rPr>
        <w:t xml:space="preserve">534. </w:t>
      </w:r>
    </w:p>
    <w:p w14:paraId="046D5FF2" w14:textId="77777777" w:rsidR="0072159C" w:rsidRPr="00C06F1B" w:rsidRDefault="0072159C" w:rsidP="0072159C">
      <w:pPr>
        <w:pStyle w:val="CM19"/>
        <w:spacing w:after="310" w:line="296" w:lineRule="atLeast"/>
        <w:jc w:val="both"/>
        <w:rPr>
          <w:rFonts w:ascii="Times New Roman" w:hAnsi="Times New Roman"/>
          <w:sz w:val="22"/>
          <w:szCs w:val="22"/>
        </w:rPr>
      </w:pPr>
      <w:proofErr w:type="gramStart"/>
      <w:r w:rsidRPr="00C06F1B">
        <w:rPr>
          <w:rFonts w:ascii="Times New Roman" w:hAnsi="Times New Roman"/>
          <w:sz w:val="22"/>
          <w:szCs w:val="22"/>
        </w:rPr>
        <w:t>ICB (2011).</w:t>
      </w:r>
      <w:proofErr w:type="gramEnd"/>
      <w:r w:rsidRPr="00C06F1B">
        <w:rPr>
          <w:rFonts w:ascii="Times New Roman" w:hAnsi="Times New Roman"/>
          <w:sz w:val="22"/>
          <w:szCs w:val="22"/>
        </w:rPr>
        <w:t xml:space="preserve"> </w:t>
      </w:r>
      <w:proofErr w:type="gramStart"/>
      <w:r w:rsidRPr="00C06F1B">
        <w:rPr>
          <w:rFonts w:ascii="Times New Roman" w:hAnsi="Times New Roman"/>
          <w:sz w:val="22"/>
          <w:szCs w:val="22"/>
        </w:rPr>
        <w:t>Final Report Recommendations.</w:t>
      </w:r>
      <w:proofErr w:type="gramEnd"/>
      <w:r w:rsidRPr="00C06F1B">
        <w:rPr>
          <w:rFonts w:ascii="Times New Roman" w:hAnsi="Times New Roman"/>
          <w:sz w:val="22"/>
          <w:szCs w:val="22"/>
        </w:rPr>
        <w:t xml:space="preserve"> London: Independent Commission on Banking. </w:t>
      </w:r>
    </w:p>
    <w:p w14:paraId="730681CE" w14:textId="77777777" w:rsidR="00E32DC8" w:rsidRPr="00C06F1B" w:rsidRDefault="00E32DC8" w:rsidP="00E32DC8">
      <w:pPr>
        <w:pStyle w:val="CM19"/>
        <w:spacing w:after="310"/>
        <w:jc w:val="both"/>
        <w:rPr>
          <w:rFonts w:ascii="Times New Roman" w:hAnsi="Times New Roman"/>
          <w:sz w:val="22"/>
          <w:szCs w:val="22"/>
        </w:rPr>
      </w:pPr>
      <w:proofErr w:type="gramStart"/>
      <w:r w:rsidRPr="00C06F1B">
        <w:rPr>
          <w:rFonts w:ascii="Times New Roman" w:hAnsi="Times New Roman"/>
          <w:sz w:val="22"/>
          <w:szCs w:val="22"/>
        </w:rPr>
        <w:t>IMF (2009).</w:t>
      </w:r>
      <w:proofErr w:type="gramEnd"/>
      <w:r w:rsidRPr="00C06F1B">
        <w:rPr>
          <w:rFonts w:ascii="Times New Roman" w:hAnsi="Times New Roman"/>
          <w:sz w:val="22"/>
          <w:szCs w:val="22"/>
        </w:rPr>
        <w:t xml:space="preserve"> Debt Bias and Other Distortions: Crisis-related Issues in Tax Policy. Fiscal Affairs Department, Washington: International Monetary Fund. </w:t>
      </w:r>
    </w:p>
    <w:p w14:paraId="5BAEB332" w14:textId="77777777" w:rsidR="00E32DC8" w:rsidRPr="00C06F1B" w:rsidRDefault="00E32DC8" w:rsidP="00E32DC8">
      <w:pPr>
        <w:pStyle w:val="CM19"/>
        <w:spacing w:after="310" w:line="296" w:lineRule="atLeast"/>
        <w:jc w:val="both"/>
        <w:rPr>
          <w:rFonts w:ascii="Times New Roman" w:hAnsi="Times New Roman"/>
          <w:sz w:val="22"/>
          <w:szCs w:val="22"/>
        </w:rPr>
      </w:pPr>
      <w:proofErr w:type="gramStart"/>
      <w:r w:rsidRPr="00C06F1B">
        <w:rPr>
          <w:rFonts w:ascii="Times New Roman" w:hAnsi="Times New Roman"/>
          <w:sz w:val="22"/>
          <w:szCs w:val="22"/>
        </w:rPr>
        <w:lastRenderedPageBreak/>
        <w:t>IMF (2010).</w:t>
      </w:r>
      <w:proofErr w:type="gramEnd"/>
      <w:r w:rsidRPr="00C06F1B">
        <w:rPr>
          <w:rFonts w:ascii="Times New Roman" w:hAnsi="Times New Roman"/>
          <w:sz w:val="22"/>
          <w:szCs w:val="22"/>
        </w:rPr>
        <w:t xml:space="preserve"> A Fair and Substantial Contribution by the Financial Sector: Final Report for the G-20. Washington: International Monetary Fund.</w:t>
      </w:r>
    </w:p>
    <w:p w14:paraId="581D6CA4" w14:textId="77777777" w:rsidR="00810B36" w:rsidRPr="00C06F1B" w:rsidRDefault="00810B36" w:rsidP="00810B36">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 xml:space="preserve">Jones, C.M. </w:t>
      </w:r>
      <w:r w:rsidR="00942CA6" w:rsidRPr="00E7515A">
        <w:rPr>
          <w:rFonts w:ascii="Times New Roman" w:hAnsi="Times New Roman"/>
          <w:sz w:val="22"/>
          <w:szCs w:val="22"/>
        </w:rPr>
        <w:t>&amp;</w:t>
      </w:r>
      <w:r w:rsidRPr="00E7515A">
        <w:rPr>
          <w:rFonts w:ascii="Times New Roman" w:hAnsi="Times New Roman"/>
          <w:sz w:val="22"/>
          <w:szCs w:val="22"/>
        </w:rPr>
        <w:t xml:space="preserve"> Seguin, P.J. (1997).</w:t>
      </w:r>
      <w:proofErr w:type="gramEnd"/>
      <w:r w:rsidRPr="00E7515A">
        <w:rPr>
          <w:rFonts w:ascii="Times New Roman" w:hAnsi="Times New Roman"/>
          <w:sz w:val="22"/>
          <w:szCs w:val="22"/>
        </w:rPr>
        <w:t xml:space="preserve"> Transaction costs and price volatility: Evidence from commission deregulation. American Economic Review, 87(4): 728-737.</w:t>
      </w:r>
    </w:p>
    <w:p w14:paraId="7BDDA37F" w14:textId="77777777" w:rsidR="00175FFA" w:rsidRPr="00C06F1B" w:rsidRDefault="00175FFA" w:rsidP="00665593">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 xml:space="preserve">Keen, M. (2011). </w:t>
      </w:r>
      <w:proofErr w:type="gramStart"/>
      <w:r w:rsidR="00985245" w:rsidRPr="00E7515A">
        <w:rPr>
          <w:rFonts w:ascii="Times New Roman" w:hAnsi="Times New Roman"/>
          <w:sz w:val="22"/>
          <w:szCs w:val="22"/>
        </w:rPr>
        <w:t>“Rethinking</w:t>
      </w:r>
      <w:r w:rsidRPr="00E7515A">
        <w:rPr>
          <w:rFonts w:ascii="Times New Roman" w:hAnsi="Times New Roman"/>
          <w:sz w:val="22"/>
          <w:szCs w:val="22"/>
        </w:rPr>
        <w:t xml:space="preserve"> the Taxation of the Financial Sector”.</w:t>
      </w:r>
      <w:proofErr w:type="gramEnd"/>
      <w:r w:rsidRPr="00E7515A">
        <w:rPr>
          <w:rFonts w:ascii="Times New Roman" w:hAnsi="Times New Roman"/>
          <w:sz w:val="22"/>
          <w:szCs w:val="22"/>
        </w:rPr>
        <w:t xml:space="preserve"> </w:t>
      </w:r>
      <w:proofErr w:type="spellStart"/>
      <w:proofErr w:type="gramStart"/>
      <w:r w:rsidRPr="00E7515A">
        <w:rPr>
          <w:rFonts w:ascii="Times New Roman" w:hAnsi="Times New Roman"/>
          <w:sz w:val="22"/>
          <w:szCs w:val="22"/>
        </w:rPr>
        <w:t>CESifo</w:t>
      </w:r>
      <w:proofErr w:type="spellEnd"/>
      <w:r w:rsidRPr="00E7515A">
        <w:rPr>
          <w:rFonts w:ascii="Times New Roman" w:hAnsi="Times New Roman"/>
          <w:sz w:val="22"/>
          <w:szCs w:val="22"/>
        </w:rPr>
        <w:t xml:space="preserve"> Economic Studies.</w:t>
      </w:r>
      <w:proofErr w:type="gramEnd"/>
      <w:r w:rsidRPr="00E7515A">
        <w:rPr>
          <w:rFonts w:ascii="Times New Roman" w:hAnsi="Times New Roman"/>
          <w:sz w:val="22"/>
          <w:szCs w:val="22"/>
        </w:rPr>
        <w:t xml:space="preserve"> 57</w:t>
      </w:r>
      <w:r w:rsidR="007B3068" w:rsidRPr="00E7515A">
        <w:rPr>
          <w:rFonts w:ascii="Times New Roman" w:hAnsi="Times New Roman"/>
          <w:sz w:val="22"/>
          <w:szCs w:val="22"/>
        </w:rPr>
        <w:t>(</w:t>
      </w:r>
      <w:r w:rsidRPr="00E7515A">
        <w:rPr>
          <w:rFonts w:ascii="Times New Roman" w:hAnsi="Times New Roman"/>
          <w:sz w:val="22"/>
          <w:szCs w:val="22"/>
        </w:rPr>
        <w:t>1</w:t>
      </w:r>
      <w:r w:rsidR="007B3068" w:rsidRPr="00E7515A">
        <w:rPr>
          <w:rFonts w:ascii="Times New Roman" w:hAnsi="Times New Roman"/>
          <w:sz w:val="22"/>
          <w:szCs w:val="22"/>
        </w:rPr>
        <w:t>):</w:t>
      </w:r>
      <w:r w:rsidRPr="00E7515A">
        <w:rPr>
          <w:rFonts w:ascii="Times New Roman" w:hAnsi="Times New Roman"/>
          <w:sz w:val="22"/>
          <w:szCs w:val="22"/>
        </w:rPr>
        <w:t xml:space="preserve"> 1-24.</w:t>
      </w:r>
    </w:p>
    <w:p w14:paraId="00D629C4" w14:textId="77777777" w:rsidR="008E5541" w:rsidRPr="00C06F1B" w:rsidRDefault="00B930D8">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Kerrigan, A. (20</w:t>
      </w:r>
      <w:r w:rsidR="00F92EF5" w:rsidRPr="00E7515A">
        <w:rPr>
          <w:rFonts w:ascii="Times New Roman" w:hAnsi="Times New Roman"/>
          <w:sz w:val="22"/>
          <w:szCs w:val="22"/>
        </w:rPr>
        <w:t>10</w:t>
      </w:r>
      <w:r w:rsidRPr="00E7515A">
        <w:rPr>
          <w:rFonts w:ascii="Times New Roman" w:hAnsi="Times New Roman"/>
          <w:sz w:val="22"/>
          <w:szCs w:val="22"/>
        </w:rPr>
        <w:t xml:space="preserve">). </w:t>
      </w:r>
      <w:proofErr w:type="gramStart"/>
      <w:r w:rsidRPr="00E7515A">
        <w:rPr>
          <w:rFonts w:ascii="Times New Roman" w:hAnsi="Times New Roman"/>
          <w:sz w:val="22"/>
          <w:szCs w:val="22"/>
        </w:rPr>
        <w:t>T</w:t>
      </w:r>
      <w:r w:rsidR="001C2B81" w:rsidRPr="00E7515A">
        <w:rPr>
          <w:rFonts w:ascii="Times New Roman" w:hAnsi="Times New Roman"/>
          <w:sz w:val="22"/>
          <w:szCs w:val="22"/>
        </w:rPr>
        <w:t>he Elusiveness of Neutrality.</w:t>
      </w:r>
      <w:proofErr w:type="gramEnd"/>
      <w:r w:rsidR="001C2B81" w:rsidRPr="00E7515A">
        <w:rPr>
          <w:rFonts w:ascii="Times New Roman" w:hAnsi="Times New Roman"/>
          <w:sz w:val="22"/>
          <w:szCs w:val="22"/>
        </w:rPr>
        <w:t xml:space="preserve"> </w:t>
      </w:r>
      <w:r w:rsidR="008E5541" w:rsidRPr="00E7515A">
        <w:rPr>
          <w:rFonts w:ascii="Times New Roman" w:hAnsi="Times New Roman"/>
          <w:sz w:val="22"/>
          <w:szCs w:val="22"/>
        </w:rPr>
        <w:t>Why is it So Difficult to A</w:t>
      </w:r>
      <w:r w:rsidRPr="00E7515A">
        <w:rPr>
          <w:rFonts w:ascii="Times New Roman" w:hAnsi="Times New Roman"/>
          <w:sz w:val="22"/>
          <w:szCs w:val="22"/>
        </w:rPr>
        <w:t>pply VAT to Financial Services</w:t>
      </w:r>
      <w:r w:rsidR="00A15408" w:rsidRPr="00E7515A">
        <w:rPr>
          <w:rFonts w:ascii="Times New Roman" w:hAnsi="Times New Roman"/>
          <w:sz w:val="22"/>
          <w:szCs w:val="22"/>
        </w:rPr>
        <w:t>?</w:t>
      </w:r>
      <w:r w:rsidR="008E5541" w:rsidRPr="00E7515A">
        <w:rPr>
          <w:rFonts w:ascii="Times New Roman" w:hAnsi="Times New Roman"/>
          <w:sz w:val="22"/>
          <w:szCs w:val="22"/>
        </w:rPr>
        <w:t xml:space="preserve"> International VAT Monitor March/April 2010. </w:t>
      </w:r>
    </w:p>
    <w:p w14:paraId="330CE399" w14:textId="77777777" w:rsidR="008E5541" w:rsidRPr="00C06F1B" w:rsidRDefault="00B930D8">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Klemm</w:t>
      </w:r>
      <w:proofErr w:type="spellEnd"/>
      <w:r w:rsidRPr="00E7515A">
        <w:rPr>
          <w:rFonts w:ascii="Times New Roman" w:hAnsi="Times New Roman"/>
          <w:sz w:val="22"/>
          <w:szCs w:val="22"/>
        </w:rPr>
        <w:t xml:space="preserve">, A. (2007). </w:t>
      </w:r>
      <w:proofErr w:type="gramStart"/>
      <w:r w:rsidR="008E5541" w:rsidRPr="00E7515A">
        <w:rPr>
          <w:rFonts w:ascii="Times New Roman" w:hAnsi="Times New Roman"/>
          <w:sz w:val="22"/>
          <w:szCs w:val="22"/>
        </w:rPr>
        <w:t xml:space="preserve">Allowances </w:t>
      </w:r>
      <w:r w:rsidRPr="00E7515A">
        <w:rPr>
          <w:rFonts w:ascii="Times New Roman" w:hAnsi="Times New Roman"/>
          <w:sz w:val="22"/>
          <w:szCs w:val="22"/>
        </w:rPr>
        <w:t>for Corporate Equity in Prices.</w:t>
      </w:r>
      <w:proofErr w:type="gramEnd"/>
      <w:r w:rsidR="008E5541" w:rsidRPr="00E7515A">
        <w:rPr>
          <w:rFonts w:ascii="Times New Roman" w:hAnsi="Times New Roman"/>
          <w:sz w:val="22"/>
          <w:szCs w:val="22"/>
        </w:rPr>
        <w:t xml:space="preserve"> </w:t>
      </w:r>
      <w:proofErr w:type="spellStart"/>
      <w:r w:rsidR="008E5541" w:rsidRPr="00E7515A">
        <w:rPr>
          <w:rFonts w:ascii="Times New Roman" w:hAnsi="Times New Roman"/>
          <w:sz w:val="22"/>
          <w:szCs w:val="22"/>
        </w:rPr>
        <w:t>CESifo</w:t>
      </w:r>
      <w:proofErr w:type="spellEnd"/>
      <w:r w:rsidR="008E5541" w:rsidRPr="00E7515A">
        <w:rPr>
          <w:rFonts w:ascii="Times New Roman" w:hAnsi="Times New Roman"/>
          <w:sz w:val="22"/>
          <w:szCs w:val="22"/>
        </w:rPr>
        <w:t xml:space="preserve"> Economic Studies</w:t>
      </w:r>
      <w:r w:rsidR="007B3068" w:rsidRPr="00E7515A">
        <w:rPr>
          <w:rFonts w:ascii="Times New Roman" w:hAnsi="Times New Roman"/>
          <w:sz w:val="22"/>
          <w:szCs w:val="22"/>
        </w:rPr>
        <w:t>,</w:t>
      </w:r>
      <w:r w:rsidR="008E5541" w:rsidRPr="00E7515A">
        <w:rPr>
          <w:rFonts w:ascii="Times New Roman" w:hAnsi="Times New Roman"/>
          <w:sz w:val="22"/>
          <w:szCs w:val="22"/>
        </w:rPr>
        <w:t xml:space="preserve"> 53(2</w:t>
      </w:r>
      <w:r w:rsidR="007B3068" w:rsidRPr="00E7515A">
        <w:rPr>
          <w:rFonts w:ascii="Times New Roman" w:hAnsi="Times New Roman"/>
          <w:sz w:val="22"/>
          <w:szCs w:val="22"/>
        </w:rPr>
        <w:t xml:space="preserve">): </w:t>
      </w:r>
      <w:r w:rsidR="008E5541" w:rsidRPr="00E7515A">
        <w:rPr>
          <w:rFonts w:ascii="Times New Roman" w:hAnsi="Times New Roman"/>
          <w:sz w:val="22"/>
          <w:szCs w:val="22"/>
        </w:rPr>
        <w:t>2</w:t>
      </w:r>
      <w:r w:rsidR="007B3068" w:rsidRPr="00E7515A">
        <w:rPr>
          <w:rFonts w:ascii="Times New Roman" w:hAnsi="Times New Roman"/>
          <w:sz w:val="22"/>
          <w:szCs w:val="22"/>
        </w:rPr>
        <w:t>2</w:t>
      </w:r>
      <w:r w:rsidR="008E5541" w:rsidRPr="00E7515A">
        <w:rPr>
          <w:rFonts w:ascii="Times New Roman" w:hAnsi="Times New Roman"/>
          <w:sz w:val="22"/>
          <w:szCs w:val="22"/>
        </w:rPr>
        <w:t>9</w:t>
      </w:r>
      <w:r w:rsidR="008E5541" w:rsidRPr="00E7515A">
        <w:rPr>
          <w:rFonts w:ascii="Times New Roman" w:hAnsi="Times New Roman"/>
          <w:sz w:val="22"/>
          <w:szCs w:val="22"/>
        </w:rPr>
        <w:softHyphen/>
      </w:r>
      <w:r w:rsidR="007B3068" w:rsidRPr="00E7515A">
        <w:rPr>
          <w:rFonts w:ascii="Times New Roman" w:hAnsi="Times New Roman"/>
          <w:sz w:val="22"/>
          <w:szCs w:val="22"/>
        </w:rPr>
        <w:t>262</w:t>
      </w:r>
      <w:r w:rsidR="008E5541" w:rsidRPr="00E7515A">
        <w:rPr>
          <w:rFonts w:ascii="Times New Roman" w:hAnsi="Times New Roman"/>
          <w:sz w:val="22"/>
          <w:szCs w:val="22"/>
        </w:rPr>
        <w:t xml:space="preserve">. </w:t>
      </w:r>
    </w:p>
    <w:p w14:paraId="1084428C" w14:textId="685341EB" w:rsidR="005E6D1C" w:rsidRPr="00C06F1B" w:rsidRDefault="005E6D1C" w:rsidP="000F231C">
      <w:pPr>
        <w:pStyle w:val="Default"/>
        <w:rPr>
          <w:rFonts w:ascii="Times New Roman" w:hAnsi="Times New Roman" w:cs="Times New Roman"/>
          <w:color w:val="auto"/>
          <w:sz w:val="22"/>
          <w:szCs w:val="22"/>
        </w:rPr>
      </w:pPr>
      <w:proofErr w:type="spellStart"/>
      <w:r w:rsidRPr="00C06F1B">
        <w:rPr>
          <w:rFonts w:ascii="Times New Roman" w:hAnsi="Times New Roman" w:cs="Times New Roman"/>
          <w:color w:val="auto"/>
          <w:sz w:val="22"/>
          <w:szCs w:val="22"/>
        </w:rPr>
        <w:t>Liikanen</w:t>
      </w:r>
      <w:proofErr w:type="spellEnd"/>
      <w:r w:rsidRPr="00C06F1B">
        <w:rPr>
          <w:rFonts w:ascii="Times New Roman" w:hAnsi="Times New Roman" w:cs="Times New Roman"/>
          <w:color w:val="auto"/>
          <w:sz w:val="22"/>
          <w:szCs w:val="22"/>
        </w:rPr>
        <w:t xml:space="preserve"> Report.</w:t>
      </w:r>
      <w:r w:rsidR="00F028E3" w:rsidRPr="00C06F1B">
        <w:rPr>
          <w:rFonts w:ascii="Times New Roman" w:hAnsi="Times New Roman" w:cs="Times New Roman"/>
          <w:color w:val="auto"/>
          <w:sz w:val="22"/>
          <w:szCs w:val="22"/>
        </w:rPr>
        <w:t xml:space="preserve"> </w:t>
      </w:r>
      <w:proofErr w:type="gramStart"/>
      <w:r w:rsidRPr="00C06F1B">
        <w:rPr>
          <w:rFonts w:ascii="Times New Roman" w:hAnsi="Times New Roman" w:cs="Times New Roman"/>
          <w:color w:val="auto"/>
          <w:sz w:val="22"/>
          <w:szCs w:val="22"/>
        </w:rPr>
        <w:t>(20</w:t>
      </w:r>
      <w:r w:rsidR="004B21E2" w:rsidRPr="00C06F1B">
        <w:rPr>
          <w:rFonts w:ascii="Times New Roman" w:hAnsi="Times New Roman" w:cs="Times New Roman"/>
          <w:color w:val="auto"/>
          <w:sz w:val="22"/>
          <w:szCs w:val="22"/>
        </w:rPr>
        <w:t>1</w:t>
      </w:r>
      <w:r w:rsidRPr="00C06F1B">
        <w:rPr>
          <w:rFonts w:ascii="Times New Roman" w:hAnsi="Times New Roman" w:cs="Times New Roman"/>
          <w:color w:val="auto"/>
          <w:sz w:val="22"/>
          <w:szCs w:val="22"/>
        </w:rPr>
        <w:t>2).</w:t>
      </w:r>
      <w:r w:rsidR="00F028E3" w:rsidRPr="00C06F1B">
        <w:rPr>
          <w:rFonts w:ascii="Times New Roman" w:hAnsi="Times New Roman" w:cs="Times New Roman"/>
          <w:color w:val="auto"/>
          <w:sz w:val="22"/>
          <w:szCs w:val="22"/>
        </w:rPr>
        <w:t xml:space="preserve"> Repor</w:t>
      </w:r>
      <w:r w:rsidRPr="00C06F1B">
        <w:rPr>
          <w:rFonts w:ascii="Times New Roman" w:hAnsi="Times New Roman" w:cs="Times New Roman"/>
          <w:color w:val="auto"/>
          <w:sz w:val="22"/>
          <w:szCs w:val="22"/>
        </w:rPr>
        <w:t>t of the European Commission’s high-level e</w:t>
      </w:r>
      <w:r w:rsidR="00F028E3" w:rsidRPr="00C06F1B">
        <w:rPr>
          <w:rFonts w:ascii="Times New Roman" w:hAnsi="Times New Roman" w:cs="Times New Roman"/>
          <w:color w:val="auto"/>
          <w:sz w:val="22"/>
          <w:szCs w:val="22"/>
        </w:rPr>
        <w:t xml:space="preserve">xpert </w:t>
      </w:r>
      <w:r w:rsidRPr="00C06F1B">
        <w:rPr>
          <w:rFonts w:ascii="Times New Roman" w:hAnsi="Times New Roman" w:cs="Times New Roman"/>
          <w:color w:val="auto"/>
          <w:sz w:val="22"/>
          <w:szCs w:val="22"/>
        </w:rPr>
        <w:t>group on bank structural reform,</w:t>
      </w:r>
      <w:r w:rsidR="00F028E3" w:rsidRPr="00C06F1B">
        <w:rPr>
          <w:rFonts w:ascii="Times New Roman" w:hAnsi="Times New Roman" w:cs="Times New Roman"/>
          <w:color w:val="auto"/>
          <w:sz w:val="22"/>
          <w:szCs w:val="22"/>
        </w:rPr>
        <w:t xml:space="preserve"> (known as the ‘</w:t>
      </w:r>
      <w:proofErr w:type="spellStart"/>
      <w:r w:rsidR="00F028E3" w:rsidRPr="00C06F1B">
        <w:rPr>
          <w:rFonts w:ascii="Times New Roman" w:hAnsi="Times New Roman" w:cs="Times New Roman"/>
          <w:color w:val="auto"/>
          <w:sz w:val="22"/>
          <w:szCs w:val="22"/>
        </w:rPr>
        <w:t>Liikanen</w:t>
      </w:r>
      <w:proofErr w:type="spellEnd"/>
      <w:r w:rsidR="00F028E3" w:rsidRPr="00C06F1B">
        <w:rPr>
          <w:rFonts w:ascii="Times New Roman" w:hAnsi="Times New Roman" w:cs="Times New Roman"/>
          <w:color w:val="auto"/>
          <w:sz w:val="22"/>
          <w:szCs w:val="22"/>
        </w:rPr>
        <w:t xml:space="preserve"> Group’), 9 October, (</w:t>
      </w:r>
      <w:hyperlink r:id="rId13" w:history="1">
        <w:r w:rsidR="00F028E3" w:rsidRPr="00E7515A">
          <w:rPr>
            <w:rFonts w:ascii="Times New Roman" w:hAnsi="Times New Roman" w:cs="Times New Roman"/>
            <w:color w:val="auto"/>
            <w:sz w:val="22"/>
            <w:szCs w:val="22"/>
          </w:rPr>
          <w:t>www.ec.europa.eu</w:t>
        </w:r>
      </w:hyperlink>
      <w:r w:rsidR="00F028E3" w:rsidRPr="00C06F1B">
        <w:rPr>
          <w:rFonts w:ascii="Times New Roman" w:hAnsi="Times New Roman" w:cs="Times New Roman"/>
          <w:color w:val="auto"/>
          <w:sz w:val="22"/>
          <w:szCs w:val="22"/>
        </w:rPr>
        <w:t>).</w:t>
      </w:r>
      <w:proofErr w:type="gramEnd"/>
    </w:p>
    <w:p w14:paraId="51288D0A" w14:textId="77777777" w:rsidR="000F231C" w:rsidRPr="00C06F1B" w:rsidRDefault="000F231C" w:rsidP="000F231C">
      <w:pPr>
        <w:pStyle w:val="Default"/>
        <w:rPr>
          <w:rFonts w:ascii="Times New Roman" w:hAnsi="Times New Roman" w:cs="Times New Roman"/>
          <w:color w:val="auto"/>
          <w:sz w:val="22"/>
          <w:szCs w:val="22"/>
        </w:rPr>
      </w:pPr>
    </w:p>
    <w:p w14:paraId="4BBBB301" w14:textId="77777777" w:rsidR="007021EB" w:rsidRDefault="007021EB" w:rsidP="002C7B7F">
      <w:pPr>
        <w:pStyle w:val="Default"/>
        <w:rPr>
          <w:rFonts w:ascii="Times New Roman" w:hAnsi="Times New Roman" w:cs="Times New Roman"/>
          <w:color w:val="auto"/>
          <w:sz w:val="22"/>
          <w:szCs w:val="22"/>
        </w:rPr>
      </w:pPr>
    </w:p>
    <w:p w14:paraId="700B9322" w14:textId="7963BBBB" w:rsidR="008E5541" w:rsidRPr="00C06F1B" w:rsidRDefault="008E5541">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Mirrle</w:t>
      </w:r>
      <w:r w:rsidR="004314DA" w:rsidRPr="00E7515A">
        <w:rPr>
          <w:rFonts w:ascii="Times New Roman" w:hAnsi="Times New Roman"/>
          <w:sz w:val="22"/>
          <w:szCs w:val="22"/>
        </w:rPr>
        <w:t>e</w:t>
      </w:r>
      <w:r w:rsidRPr="00E7515A">
        <w:rPr>
          <w:rFonts w:ascii="Times New Roman" w:hAnsi="Times New Roman"/>
          <w:sz w:val="22"/>
          <w:szCs w:val="22"/>
        </w:rPr>
        <w:t>s</w:t>
      </w:r>
      <w:proofErr w:type="spellEnd"/>
      <w:r w:rsidRPr="00E7515A">
        <w:rPr>
          <w:rFonts w:ascii="Times New Roman" w:hAnsi="Times New Roman"/>
          <w:sz w:val="22"/>
          <w:szCs w:val="22"/>
        </w:rPr>
        <w:t>, J. (201</w:t>
      </w:r>
      <w:r w:rsidR="00754C96">
        <w:rPr>
          <w:rFonts w:ascii="Times New Roman" w:hAnsi="Times New Roman"/>
          <w:sz w:val="22"/>
          <w:szCs w:val="22"/>
        </w:rPr>
        <w:t>1</w:t>
      </w:r>
      <w:r w:rsidRPr="00E7515A">
        <w:rPr>
          <w:rFonts w:ascii="Times New Roman" w:hAnsi="Times New Roman"/>
          <w:sz w:val="22"/>
          <w:szCs w:val="22"/>
        </w:rPr>
        <w:t>). Tax by Design</w:t>
      </w:r>
      <w:r w:rsidR="00A03AC2" w:rsidRPr="00E7515A">
        <w:rPr>
          <w:rFonts w:ascii="Times New Roman" w:hAnsi="Times New Roman"/>
          <w:sz w:val="22"/>
          <w:szCs w:val="22"/>
        </w:rPr>
        <w:t>:</w:t>
      </w:r>
      <w:r w:rsidRPr="00E7515A">
        <w:rPr>
          <w:rFonts w:ascii="Times New Roman" w:hAnsi="Times New Roman"/>
          <w:sz w:val="22"/>
          <w:szCs w:val="22"/>
        </w:rPr>
        <w:t xml:space="preserve"> </w:t>
      </w:r>
      <w:r w:rsidR="00A03AC2" w:rsidRPr="00E7515A">
        <w:rPr>
          <w:rFonts w:ascii="Times New Roman" w:hAnsi="Times New Roman"/>
          <w:sz w:val="22"/>
          <w:szCs w:val="22"/>
        </w:rPr>
        <w:t xml:space="preserve">The </w:t>
      </w:r>
      <w:proofErr w:type="spellStart"/>
      <w:r w:rsidRPr="00E7515A">
        <w:rPr>
          <w:rFonts w:ascii="Times New Roman" w:hAnsi="Times New Roman"/>
          <w:sz w:val="22"/>
          <w:szCs w:val="22"/>
        </w:rPr>
        <w:t>Mirrle</w:t>
      </w:r>
      <w:r w:rsidR="005D16BE" w:rsidRPr="00E7515A">
        <w:rPr>
          <w:rFonts w:ascii="Times New Roman" w:hAnsi="Times New Roman"/>
          <w:sz w:val="22"/>
          <w:szCs w:val="22"/>
        </w:rPr>
        <w:t>e</w:t>
      </w:r>
      <w:r w:rsidRPr="00E7515A">
        <w:rPr>
          <w:rFonts w:ascii="Times New Roman" w:hAnsi="Times New Roman"/>
          <w:sz w:val="22"/>
          <w:szCs w:val="22"/>
        </w:rPr>
        <w:t>s</w:t>
      </w:r>
      <w:proofErr w:type="spellEnd"/>
      <w:r w:rsidRPr="00E7515A">
        <w:rPr>
          <w:rFonts w:ascii="Times New Roman" w:hAnsi="Times New Roman"/>
          <w:sz w:val="22"/>
          <w:szCs w:val="22"/>
        </w:rPr>
        <w:t xml:space="preserve"> Review: Reforming the Tax System for the 21st Century</w:t>
      </w:r>
      <w:r w:rsidR="00A03AC2" w:rsidRPr="00E7515A">
        <w:rPr>
          <w:rFonts w:ascii="Times New Roman" w:hAnsi="Times New Roman"/>
          <w:sz w:val="22"/>
          <w:szCs w:val="22"/>
        </w:rPr>
        <w:t>.</w:t>
      </w:r>
      <w:r w:rsidRPr="00E7515A">
        <w:rPr>
          <w:rFonts w:ascii="Times New Roman" w:hAnsi="Times New Roman"/>
          <w:sz w:val="22"/>
          <w:szCs w:val="22"/>
        </w:rPr>
        <w:t xml:space="preserve"> London</w:t>
      </w:r>
      <w:r w:rsidR="00833B42" w:rsidRPr="00E7515A">
        <w:rPr>
          <w:rFonts w:ascii="Times New Roman" w:hAnsi="Times New Roman"/>
          <w:sz w:val="22"/>
          <w:szCs w:val="22"/>
        </w:rPr>
        <w:t>: Institute for Fiscal Studies.</w:t>
      </w:r>
      <w:r w:rsidRPr="00E7515A">
        <w:rPr>
          <w:rFonts w:ascii="Times New Roman" w:hAnsi="Times New Roman"/>
          <w:sz w:val="22"/>
          <w:szCs w:val="22"/>
        </w:rPr>
        <w:t xml:space="preserve"> </w:t>
      </w:r>
    </w:p>
    <w:p w14:paraId="07187358" w14:textId="02260061" w:rsidR="00A03AC2" w:rsidRPr="00C06F1B" w:rsidRDefault="00A03AC2" w:rsidP="00A03AC2">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Mirrlees</w:t>
      </w:r>
      <w:proofErr w:type="spellEnd"/>
      <w:r w:rsidRPr="00E7515A">
        <w:rPr>
          <w:rFonts w:ascii="Times New Roman" w:hAnsi="Times New Roman"/>
          <w:sz w:val="22"/>
          <w:szCs w:val="22"/>
        </w:rPr>
        <w:t xml:space="preserve">, J. (2010). Dimensions of Tax Design: The </w:t>
      </w:r>
      <w:proofErr w:type="spellStart"/>
      <w:r w:rsidRPr="00E7515A">
        <w:rPr>
          <w:rFonts w:ascii="Times New Roman" w:hAnsi="Times New Roman"/>
          <w:sz w:val="22"/>
          <w:szCs w:val="22"/>
        </w:rPr>
        <w:t>Mirrlees</w:t>
      </w:r>
      <w:proofErr w:type="spellEnd"/>
      <w:r w:rsidRPr="00E7515A">
        <w:rPr>
          <w:rFonts w:ascii="Times New Roman" w:hAnsi="Times New Roman"/>
          <w:sz w:val="22"/>
          <w:szCs w:val="22"/>
        </w:rPr>
        <w:t xml:space="preserve"> Review, Oxford: Oxford University Press: Institute for Fiscal Studies. </w:t>
      </w:r>
    </w:p>
    <w:p w14:paraId="4DC19852" w14:textId="0DCF231D" w:rsidR="004D4B91" w:rsidRPr="00D71916" w:rsidRDefault="0021421F" w:rsidP="00E7515A">
      <w:pPr>
        <w:pStyle w:val="CM19"/>
        <w:spacing w:after="310" w:line="296" w:lineRule="atLeast"/>
        <w:jc w:val="both"/>
      </w:pPr>
      <w:proofErr w:type="spellStart"/>
      <w:proofErr w:type="gramStart"/>
      <w:r w:rsidRPr="00D71916">
        <w:rPr>
          <w:rFonts w:ascii="Times New Roman" w:hAnsi="Times New Roman"/>
          <w:sz w:val="22"/>
          <w:szCs w:val="22"/>
        </w:rPr>
        <w:t>Mishkin</w:t>
      </w:r>
      <w:proofErr w:type="spellEnd"/>
      <w:r w:rsidRPr="00D71916">
        <w:rPr>
          <w:rFonts w:ascii="Times New Roman" w:hAnsi="Times New Roman"/>
          <w:sz w:val="22"/>
          <w:szCs w:val="22"/>
        </w:rPr>
        <w:t>, F. (2012).</w:t>
      </w:r>
      <w:proofErr w:type="gramEnd"/>
      <w:r w:rsidRPr="00D71916">
        <w:rPr>
          <w:rFonts w:ascii="Times New Roman" w:hAnsi="Times New Roman"/>
          <w:sz w:val="22"/>
          <w:szCs w:val="22"/>
        </w:rPr>
        <w:t xml:space="preserve"> </w:t>
      </w:r>
      <w:proofErr w:type="gramStart"/>
      <w:r w:rsidRPr="00D71916">
        <w:rPr>
          <w:rFonts w:ascii="Times New Roman" w:hAnsi="Times New Roman"/>
          <w:sz w:val="22"/>
          <w:szCs w:val="22"/>
        </w:rPr>
        <w:t>Economics of Money, Banking, and Financial Markets</w:t>
      </w:r>
      <w:r w:rsidR="00942CA6" w:rsidRPr="00F425BF">
        <w:rPr>
          <w:rFonts w:ascii="Times New Roman" w:hAnsi="Times New Roman"/>
          <w:sz w:val="22"/>
          <w:szCs w:val="22"/>
        </w:rPr>
        <w:t>.</w:t>
      </w:r>
      <w:proofErr w:type="gramEnd"/>
      <w:r w:rsidR="00942CA6" w:rsidRPr="00F425BF">
        <w:rPr>
          <w:rFonts w:ascii="Times New Roman" w:hAnsi="Times New Roman"/>
          <w:sz w:val="22"/>
          <w:szCs w:val="22"/>
        </w:rPr>
        <w:t xml:space="preserve"> (10</w:t>
      </w:r>
      <w:r w:rsidR="00942CA6" w:rsidRPr="00F425BF">
        <w:rPr>
          <w:rFonts w:ascii="Times New Roman" w:hAnsi="Times New Roman"/>
          <w:sz w:val="22"/>
          <w:szCs w:val="22"/>
          <w:vertAlign w:val="superscript"/>
        </w:rPr>
        <w:t>th</w:t>
      </w:r>
      <w:r w:rsidR="00942CA6" w:rsidRPr="00F425BF">
        <w:rPr>
          <w:rFonts w:ascii="Times New Roman" w:hAnsi="Times New Roman"/>
          <w:sz w:val="22"/>
          <w:szCs w:val="22"/>
        </w:rPr>
        <w:t xml:space="preserve"> edition)</w:t>
      </w:r>
      <w:r w:rsidRPr="00F425BF">
        <w:rPr>
          <w:rFonts w:ascii="Times New Roman" w:hAnsi="Times New Roman"/>
          <w:sz w:val="22"/>
          <w:szCs w:val="22"/>
        </w:rPr>
        <w:t xml:space="preserve"> </w:t>
      </w:r>
      <w:r w:rsidR="00942CA6" w:rsidRPr="00F425BF">
        <w:rPr>
          <w:rFonts w:ascii="Times New Roman" w:hAnsi="Times New Roman"/>
          <w:sz w:val="22"/>
          <w:szCs w:val="22"/>
        </w:rPr>
        <w:t>New York:</w:t>
      </w:r>
      <w:r w:rsidR="00A15408" w:rsidRPr="00F425BF">
        <w:rPr>
          <w:rFonts w:ascii="Times New Roman" w:hAnsi="Times New Roman"/>
          <w:sz w:val="22"/>
          <w:szCs w:val="22"/>
        </w:rPr>
        <w:t xml:space="preserve"> </w:t>
      </w:r>
      <w:r w:rsidRPr="00F425BF">
        <w:rPr>
          <w:rFonts w:ascii="Times New Roman" w:hAnsi="Times New Roman"/>
          <w:sz w:val="22"/>
          <w:szCs w:val="22"/>
        </w:rPr>
        <w:t>Prentice Hall.</w:t>
      </w:r>
    </w:p>
    <w:p w14:paraId="16FD727C" w14:textId="77777777" w:rsidR="007860D6" w:rsidRPr="00C06F1B" w:rsidRDefault="00B930D8" w:rsidP="007860D6">
      <w:pPr>
        <w:pStyle w:val="Default"/>
        <w:rPr>
          <w:rFonts w:ascii="Times New Roman" w:hAnsi="Times New Roman" w:cs="Times New Roman"/>
          <w:color w:val="auto"/>
          <w:sz w:val="22"/>
          <w:szCs w:val="22"/>
        </w:rPr>
      </w:pPr>
      <w:proofErr w:type="spellStart"/>
      <w:r w:rsidRPr="00C06F1B">
        <w:rPr>
          <w:rFonts w:ascii="Times New Roman" w:hAnsi="Times New Roman" w:cs="Times New Roman"/>
          <w:color w:val="auto"/>
          <w:sz w:val="22"/>
          <w:szCs w:val="22"/>
        </w:rPr>
        <w:t>Mullineux</w:t>
      </w:r>
      <w:proofErr w:type="spellEnd"/>
      <w:r w:rsidRPr="00C06F1B">
        <w:rPr>
          <w:rFonts w:ascii="Times New Roman" w:hAnsi="Times New Roman" w:cs="Times New Roman"/>
          <w:color w:val="auto"/>
          <w:sz w:val="22"/>
          <w:szCs w:val="22"/>
        </w:rPr>
        <w:t xml:space="preserve">, A.W. (2012). </w:t>
      </w:r>
      <w:proofErr w:type="gramStart"/>
      <w:r w:rsidRPr="00C06F1B">
        <w:rPr>
          <w:rFonts w:ascii="Times New Roman" w:hAnsi="Times New Roman" w:cs="Times New Roman"/>
          <w:color w:val="auto"/>
          <w:sz w:val="22"/>
          <w:szCs w:val="22"/>
        </w:rPr>
        <w:t>Taxing Banks Fairly</w:t>
      </w:r>
      <w:r w:rsidR="007860D6" w:rsidRPr="00C06F1B">
        <w:rPr>
          <w:rFonts w:ascii="Times New Roman" w:hAnsi="Times New Roman" w:cs="Times New Roman"/>
          <w:color w:val="auto"/>
          <w:sz w:val="22"/>
          <w:szCs w:val="22"/>
        </w:rPr>
        <w:t>.</w:t>
      </w:r>
      <w:proofErr w:type="gramEnd"/>
      <w:r w:rsidR="007860D6" w:rsidRPr="00C06F1B">
        <w:rPr>
          <w:rFonts w:ascii="Times New Roman" w:hAnsi="Times New Roman" w:cs="Times New Roman"/>
          <w:color w:val="auto"/>
          <w:sz w:val="22"/>
          <w:szCs w:val="22"/>
        </w:rPr>
        <w:t xml:space="preserve"> </w:t>
      </w:r>
      <w:proofErr w:type="gramStart"/>
      <w:r w:rsidR="007860D6" w:rsidRPr="00C06F1B">
        <w:rPr>
          <w:rFonts w:ascii="Times New Roman" w:hAnsi="Times New Roman" w:cs="Times New Roman"/>
          <w:color w:val="auto"/>
          <w:sz w:val="22"/>
          <w:szCs w:val="22"/>
        </w:rPr>
        <w:t>International Review of Financial Analysis.</w:t>
      </w:r>
      <w:proofErr w:type="gramEnd"/>
      <w:r w:rsidR="007860D6" w:rsidRPr="00C06F1B">
        <w:rPr>
          <w:rFonts w:ascii="Times New Roman" w:hAnsi="Times New Roman" w:cs="Times New Roman"/>
          <w:color w:val="auto"/>
          <w:sz w:val="22"/>
          <w:szCs w:val="22"/>
        </w:rPr>
        <w:t xml:space="preserve"> 25: 154-158.</w:t>
      </w:r>
    </w:p>
    <w:p w14:paraId="141DB9B8" w14:textId="77777777" w:rsidR="00511129" w:rsidRPr="00C06F1B" w:rsidRDefault="00511129" w:rsidP="007860D6">
      <w:pPr>
        <w:pStyle w:val="Default"/>
        <w:rPr>
          <w:rFonts w:ascii="Times New Roman" w:hAnsi="Times New Roman" w:cs="Times New Roman"/>
          <w:color w:val="auto"/>
          <w:sz w:val="22"/>
          <w:szCs w:val="22"/>
        </w:rPr>
      </w:pPr>
    </w:p>
    <w:p w14:paraId="536A83EF" w14:textId="415C8A7C" w:rsidR="00A05327" w:rsidRPr="00C06F1B" w:rsidRDefault="00A05327" w:rsidP="00A05327">
      <w:pPr>
        <w:pStyle w:val="Default"/>
        <w:rPr>
          <w:rFonts w:ascii="Times New Roman" w:hAnsi="Times New Roman" w:cs="Times New Roman"/>
          <w:color w:val="auto"/>
          <w:sz w:val="22"/>
          <w:szCs w:val="22"/>
        </w:rPr>
      </w:pPr>
      <w:proofErr w:type="spellStart"/>
      <w:r w:rsidRPr="00C06F1B">
        <w:rPr>
          <w:rFonts w:ascii="Times New Roman" w:hAnsi="Times New Roman" w:cs="Times New Roman"/>
          <w:color w:val="auto"/>
          <w:sz w:val="22"/>
          <w:szCs w:val="22"/>
        </w:rPr>
        <w:t>Mullineux</w:t>
      </w:r>
      <w:proofErr w:type="spellEnd"/>
      <w:r w:rsidRPr="00C06F1B">
        <w:rPr>
          <w:rFonts w:ascii="Times New Roman" w:hAnsi="Times New Roman" w:cs="Times New Roman"/>
          <w:color w:val="auto"/>
          <w:sz w:val="22"/>
          <w:szCs w:val="22"/>
        </w:rPr>
        <w:t xml:space="preserve">, A.W. (2013. </w:t>
      </w:r>
      <w:proofErr w:type="gramStart"/>
      <w:r w:rsidRPr="00C06F1B">
        <w:rPr>
          <w:rFonts w:ascii="Times New Roman" w:hAnsi="Times New Roman" w:cs="Times New Roman"/>
          <w:color w:val="auto"/>
          <w:sz w:val="22"/>
          <w:szCs w:val="22"/>
        </w:rPr>
        <w:t>Banking for the Public Good.</w:t>
      </w:r>
      <w:proofErr w:type="gramEnd"/>
      <w:r w:rsidRPr="00C06F1B">
        <w:rPr>
          <w:rFonts w:ascii="Times New Roman" w:hAnsi="Times New Roman" w:cs="Times New Roman"/>
          <w:color w:val="auto"/>
          <w:sz w:val="22"/>
          <w:szCs w:val="22"/>
        </w:rPr>
        <w:t xml:space="preserve"> </w:t>
      </w:r>
      <w:proofErr w:type="gramStart"/>
      <w:r w:rsidRPr="00C06F1B">
        <w:rPr>
          <w:rFonts w:ascii="Times New Roman" w:hAnsi="Times New Roman" w:cs="Times New Roman"/>
          <w:color w:val="auto"/>
          <w:sz w:val="22"/>
          <w:szCs w:val="22"/>
        </w:rPr>
        <w:t>International Review of Financial Analysis.</w:t>
      </w:r>
      <w:proofErr w:type="gramEnd"/>
      <w:r w:rsidRPr="00C06F1B">
        <w:rPr>
          <w:rFonts w:ascii="Times New Roman" w:hAnsi="Times New Roman" w:cs="Times New Roman"/>
          <w:color w:val="auto"/>
          <w:sz w:val="22"/>
          <w:szCs w:val="22"/>
        </w:rPr>
        <w:t xml:space="preserve"> (</w:t>
      </w:r>
      <w:proofErr w:type="gramStart"/>
      <w:r w:rsidRPr="00C06F1B">
        <w:rPr>
          <w:rFonts w:ascii="Times New Roman" w:hAnsi="Times New Roman" w:cs="Times New Roman"/>
          <w:color w:val="auto"/>
          <w:sz w:val="22"/>
          <w:szCs w:val="22"/>
        </w:rPr>
        <w:t>forthcoming</w:t>
      </w:r>
      <w:proofErr w:type="gramEnd"/>
      <w:r w:rsidRPr="00C06F1B">
        <w:rPr>
          <w:rFonts w:ascii="Times New Roman" w:hAnsi="Times New Roman" w:cs="Times New Roman"/>
          <w:color w:val="auto"/>
          <w:sz w:val="22"/>
          <w:szCs w:val="22"/>
        </w:rPr>
        <w:t>)</w:t>
      </w:r>
    </w:p>
    <w:p w14:paraId="38545B97" w14:textId="77777777" w:rsidR="00A05327" w:rsidRPr="00C06F1B" w:rsidRDefault="00A05327" w:rsidP="007860D6">
      <w:pPr>
        <w:pStyle w:val="Default"/>
        <w:rPr>
          <w:rFonts w:ascii="Times New Roman" w:hAnsi="Times New Roman" w:cs="Times New Roman"/>
          <w:color w:val="auto"/>
          <w:sz w:val="22"/>
          <w:szCs w:val="22"/>
        </w:rPr>
      </w:pPr>
    </w:p>
    <w:p w14:paraId="4F61BA14" w14:textId="77777777" w:rsidR="00E32DC8" w:rsidRPr="00C06F1B" w:rsidRDefault="00E32DC8" w:rsidP="00E32DC8">
      <w:pPr>
        <w:pStyle w:val="CM19"/>
        <w:spacing w:after="310"/>
        <w:jc w:val="both"/>
        <w:rPr>
          <w:rFonts w:ascii="Times New Roman" w:hAnsi="Times New Roman"/>
          <w:sz w:val="22"/>
          <w:szCs w:val="22"/>
        </w:rPr>
      </w:pPr>
      <w:proofErr w:type="gramStart"/>
      <w:r w:rsidRPr="00E7515A">
        <w:rPr>
          <w:rFonts w:ascii="Times New Roman" w:hAnsi="Times New Roman"/>
          <w:sz w:val="22"/>
          <w:szCs w:val="22"/>
        </w:rPr>
        <w:t>OECD (2007).</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Fundamental Reform of Corporate Income Tax.</w:t>
      </w:r>
      <w:proofErr w:type="gramEnd"/>
      <w:r w:rsidRPr="00E7515A">
        <w:rPr>
          <w:rFonts w:ascii="Times New Roman" w:hAnsi="Times New Roman"/>
          <w:sz w:val="22"/>
          <w:szCs w:val="22"/>
        </w:rPr>
        <w:t xml:space="preserve"> Paris: Organization for Economic Co-operation and Development.</w:t>
      </w:r>
    </w:p>
    <w:p w14:paraId="732C6628" w14:textId="0148B62F" w:rsidR="00A05327" w:rsidRPr="00C06F1B" w:rsidRDefault="00A05327" w:rsidP="00A05327">
      <w:pPr>
        <w:pStyle w:val="CM19"/>
        <w:spacing w:after="310"/>
        <w:jc w:val="both"/>
        <w:rPr>
          <w:rFonts w:ascii="Times New Roman" w:hAnsi="Times New Roman"/>
          <w:sz w:val="22"/>
          <w:szCs w:val="22"/>
        </w:rPr>
      </w:pPr>
      <w:proofErr w:type="gramStart"/>
      <w:r w:rsidRPr="00E7515A">
        <w:rPr>
          <w:rFonts w:ascii="Times New Roman" w:hAnsi="Times New Roman"/>
          <w:sz w:val="22"/>
          <w:szCs w:val="22"/>
        </w:rPr>
        <w:t>PCBS (20</w:t>
      </w:r>
      <w:r w:rsidR="008D5E06">
        <w:rPr>
          <w:rFonts w:ascii="Times New Roman" w:hAnsi="Times New Roman"/>
          <w:sz w:val="22"/>
          <w:szCs w:val="22"/>
        </w:rPr>
        <w:t>1</w:t>
      </w:r>
      <w:r w:rsidRPr="00E7515A">
        <w:rPr>
          <w:rFonts w:ascii="Times New Roman" w:hAnsi="Times New Roman"/>
          <w:sz w:val="22"/>
          <w:szCs w:val="22"/>
        </w:rPr>
        <w:t>3</w:t>
      </w:r>
      <w:r w:rsidR="00877F3F">
        <w:rPr>
          <w:rFonts w:ascii="Times New Roman" w:hAnsi="Times New Roman"/>
          <w:sz w:val="22"/>
          <w:szCs w:val="22"/>
        </w:rPr>
        <w:t>a</w:t>
      </w:r>
      <w:r w:rsidRPr="00E7515A">
        <w:rPr>
          <w:rFonts w:ascii="Times New Roman" w:hAnsi="Times New Roman"/>
          <w:sz w:val="22"/>
          <w:szCs w:val="22"/>
        </w:rPr>
        <w:t>).</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Changing Banks for Good.</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June 12, (</w:t>
      </w:r>
      <w:hyperlink r:id="rId14" w:history="1">
        <w:r w:rsidRPr="00E7515A">
          <w:rPr>
            <w:rFonts w:ascii="Times New Roman" w:hAnsi="Times New Roman"/>
            <w:sz w:val="22"/>
            <w:szCs w:val="22"/>
          </w:rPr>
          <w:t>www.parliament.uk</w:t>
        </w:r>
      </w:hyperlink>
      <w:r w:rsidRPr="00E7515A">
        <w:rPr>
          <w:rFonts w:ascii="Times New Roman" w:hAnsi="Times New Roman"/>
          <w:sz w:val="22"/>
          <w:szCs w:val="22"/>
        </w:rPr>
        <w:t>).</w:t>
      </w:r>
      <w:proofErr w:type="gramEnd"/>
    </w:p>
    <w:p w14:paraId="09580505" w14:textId="0634ABCC" w:rsidR="00E61758" w:rsidRPr="00C06F1B" w:rsidRDefault="00F028E3" w:rsidP="00E61758">
      <w:pPr>
        <w:pStyle w:val="CM19"/>
        <w:spacing w:after="310"/>
        <w:jc w:val="both"/>
        <w:rPr>
          <w:rFonts w:ascii="Times New Roman" w:hAnsi="Times New Roman"/>
          <w:sz w:val="22"/>
          <w:szCs w:val="22"/>
        </w:rPr>
      </w:pPr>
      <w:proofErr w:type="gramStart"/>
      <w:r w:rsidRPr="00E7515A">
        <w:rPr>
          <w:rFonts w:ascii="Times New Roman" w:hAnsi="Times New Roman"/>
          <w:sz w:val="22"/>
          <w:szCs w:val="22"/>
        </w:rPr>
        <w:t>PCBS (2013</w:t>
      </w:r>
      <w:r w:rsidR="00877F3F">
        <w:rPr>
          <w:rFonts w:ascii="Times New Roman" w:hAnsi="Times New Roman"/>
          <w:sz w:val="22"/>
          <w:szCs w:val="22"/>
        </w:rPr>
        <w:t>b</w:t>
      </w:r>
      <w:r w:rsidRPr="00E7515A">
        <w:rPr>
          <w:rFonts w:ascii="Times New Roman" w:hAnsi="Times New Roman"/>
          <w:sz w:val="22"/>
          <w:szCs w:val="22"/>
        </w:rPr>
        <w:t>).</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Panel on Tax, Audit and Accounting.</w:t>
      </w:r>
      <w:proofErr w:type="gramEnd"/>
      <w:r w:rsidRPr="00E7515A">
        <w:rPr>
          <w:rFonts w:ascii="Times New Roman" w:hAnsi="Times New Roman"/>
          <w:sz w:val="22"/>
          <w:szCs w:val="22"/>
        </w:rPr>
        <w:t xml:space="preserve"> Parliamentary Commission on Banking Standards, </w:t>
      </w:r>
      <w:proofErr w:type="gramStart"/>
      <w:r w:rsidRPr="00E7515A">
        <w:rPr>
          <w:rFonts w:ascii="Times New Roman" w:hAnsi="Times New Roman"/>
          <w:sz w:val="22"/>
          <w:szCs w:val="22"/>
        </w:rPr>
        <w:t>A</w:t>
      </w:r>
      <w:proofErr w:type="gramEnd"/>
      <w:r w:rsidRPr="00E7515A">
        <w:rPr>
          <w:rFonts w:ascii="Times New Roman" w:hAnsi="Times New Roman"/>
          <w:sz w:val="22"/>
          <w:szCs w:val="22"/>
        </w:rPr>
        <w:t xml:space="preserve"> Joint Committee of the House of Commons and the House of Lords.</w:t>
      </w:r>
    </w:p>
    <w:p w14:paraId="10C5474B" w14:textId="77777777" w:rsidR="002D454D" w:rsidRPr="00C06F1B" w:rsidRDefault="002D454D" w:rsidP="002D454D">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Perotti</w:t>
      </w:r>
      <w:proofErr w:type="spellEnd"/>
      <w:r w:rsidRPr="00E7515A">
        <w:rPr>
          <w:rFonts w:ascii="Times New Roman" w:hAnsi="Times New Roman"/>
          <w:sz w:val="22"/>
          <w:szCs w:val="22"/>
        </w:rPr>
        <w:t>, E. &amp; Suarez, J. (2009).</w:t>
      </w:r>
      <w:proofErr w:type="gramEnd"/>
      <w:r w:rsidRPr="00E7515A">
        <w:rPr>
          <w:rFonts w:ascii="Times New Roman" w:hAnsi="Times New Roman"/>
          <w:sz w:val="22"/>
          <w:szCs w:val="22"/>
        </w:rPr>
        <w:t xml:space="preserve"> Liquidity Risk Charges as a </w:t>
      </w:r>
      <w:proofErr w:type="spellStart"/>
      <w:r w:rsidRPr="00E7515A">
        <w:rPr>
          <w:rFonts w:ascii="Times New Roman" w:hAnsi="Times New Roman"/>
          <w:sz w:val="22"/>
          <w:szCs w:val="22"/>
        </w:rPr>
        <w:t>Macroprudential</w:t>
      </w:r>
      <w:proofErr w:type="spellEnd"/>
      <w:r w:rsidRPr="00E7515A">
        <w:rPr>
          <w:rFonts w:ascii="Times New Roman" w:hAnsi="Times New Roman"/>
          <w:sz w:val="22"/>
          <w:szCs w:val="22"/>
        </w:rPr>
        <w:t xml:space="preserve"> Tool. </w:t>
      </w:r>
      <w:proofErr w:type="gramStart"/>
      <w:r w:rsidRPr="00E7515A">
        <w:rPr>
          <w:rFonts w:ascii="Times New Roman" w:hAnsi="Times New Roman"/>
          <w:sz w:val="22"/>
          <w:szCs w:val="22"/>
        </w:rPr>
        <w:t>CEPR Polity Insight No. 4o.</w:t>
      </w:r>
      <w:proofErr w:type="gramEnd"/>
      <w:r w:rsidRPr="00E7515A">
        <w:rPr>
          <w:rFonts w:ascii="Times New Roman" w:hAnsi="Times New Roman"/>
          <w:sz w:val="22"/>
          <w:szCs w:val="22"/>
        </w:rPr>
        <w:t xml:space="preserve"> </w:t>
      </w:r>
    </w:p>
    <w:p w14:paraId="7B4CBDBE"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Philippon</w:t>
      </w:r>
      <w:proofErr w:type="spellEnd"/>
      <w:r w:rsidRPr="00E7515A">
        <w:rPr>
          <w:rFonts w:ascii="Times New Roman" w:hAnsi="Times New Roman"/>
          <w:sz w:val="22"/>
          <w:szCs w:val="22"/>
        </w:rPr>
        <w:t>, T.</w:t>
      </w:r>
      <w:r w:rsidR="00A15408" w:rsidRPr="00E7515A">
        <w:rPr>
          <w:rFonts w:ascii="Times New Roman" w:hAnsi="Times New Roman"/>
          <w:sz w:val="22"/>
          <w:szCs w:val="22"/>
        </w:rPr>
        <w:t xml:space="preserve"> </w:t>
      </w:r>
      <w:r w:rsidR="00D651F0" w:rsidRPr="00E7515A">
        <w:rPr>
          <w:rFonts w:ascii="Times New Roman" w:hAnsi="Times New Roman"/>
          <w:sz w:val="22"/>
          <w:szCs w:val="22"/>
        </w:rPr>
        <w:t>&amp;</w:t>
      </w:r>
      <w:r w:rsidRPr="00E7515A">
        <w:rPr>
          <w:rFonts w:ascii="Times New Roman" w:hAnsi="Times New Roman"/>
          <w:sz w:val="22"/>
          <w:szCs w:val="22"/>
        </w:rPr>
        <w:t xml:space="preserve"> </w:t>
      </w:r>
      <w:proofErr w:type="spellStart"/>
      <w:r w:rsidRPr="00E7515A">
        <w:rPr>
          <w:rFonts w:ascii="Times New Roman" w:hAnsi="Times New Roman"/>
          <w:sz w:val="22"/>
          <w:szCs w:val="22"/>
        </w:rPr>
        <w:t>Reshef</w:t>
      </w:r>
      <w:proofErr w:type="spellEnd"/>
      <w:r w:rsidRPr="00E7515A">
        <w:rPr>
          <w:rFonts w:ascii="Times New Roman" w:hAnsi="Times New Roman"/>
          <w:sz w:val="22"/>
          <w:szCs w:val="22"/>
        </w:rPr>
        <w:t>, A</w:t>
      </w:r>
      <w:r w:rsidR="00D651F0" w:rsidRPr="00E7515A">
        <w:rPr>
          <w:rFonts w:ascii="Times New Roman" w:hAnsi="Times New Roman"/>
          <w:sz w:val="22"/>
          <w:szCs w:val="22"/>
        </w:rPr>
        <w:t>.</w:t>
      </w:r>
      <w:r w:rsidRPr="00E7515A">
        <w:rPr>
          <w:rFonts w:ascii="Times New Roman" w:hAnsi="Times New Roman"/>
          <w:sz w:val="22"/>
          <w:szCs w:val="22"/>
        </w:rPr>
        <w:t xml:space="preserve"> (2009).</w:t>
      </w:r>
      <w:proofErr w:type="gramEnd"/>
      <w:r w:rsidRPr="00E7515A">
        <w:rPr>
          <w:rFonts w:ascii="Times New Roman" w:hAnsi="Times New Roman"/>
          <w:sz w:val="22"/>
          <w:szCs w:val="22"/>
        </w:rPr>
        <w:t xml:space="preserve"> Wages and Human Capital in the U.S. Financial Industry: 1999</w:t>
      </w:r>
      <w:r w:rsidRPr="00E7515A">
        <w:rPr>
          <w:rFonts w:ascii="Times New Roman" w:hAnsi="Times New Roman"/>
          <w:sz w:val="22"/>
          <w:szCs w:val="22"/>
        </w:rPr>
        <w:softHyphen/>
      </w:r>
      <w:r w:rsidR="002F44AB" w:rsidRPr="00E7515A">
        <w:rPr>
          <w:rFonts w:ascii="Times New Roman" w:hAnsi="Times New Roman"/>
          <w:sz w:val="22"/>
          <w:szCs w:val="22"/>
        </w:rPr>
        <w:t>-</w:t>
      </w:r>
      <w:r w:rsidRPr="00E7515A">
        <w:rPr>
          <w:rFonts w:ascii="Times New Roman" w:hAnsi="Times New Roman"/>
          <w:sz w:val="22"/>
          <w:szCs w:val="22"/>
        </w:rPr>
        <w:t xml:space="preserve">2006. NBER Working Paper No. 14644. </w:t>
      </w:r>
    </w:p>
    <w:p w14:paraId="4A181663" w14:textId="77777777" w:rsidR="001E39C2" w:rsidRPr="00C06F1B" w:rsidRDefault="001E39C2" w:rsidP="001E39C2">
      <w:pPr>
        <w:spacing w:line="360" w:lineRule="auto"/>
        <w:rPr>
          <w:rFonts w:ascii="Times New Roman" w:hAnsi="Times New Roman"/>
        </w:rPr>
      </w:pPr>
      <w:proofErr w:type="spellStart"/>
      <w:proofErr w:type="gramStart"/>
      <w:r w:rsidRPr="00E7515A">
        <w:rPr>
          <w:rFonts w:ascii="Times New Roman" w:hAnsi="Times New Roman"/>
        </w:rPr>
        <w:lastRenderedPageBreak/>
        <w:t>Poddar</w:t>
      </w:r>
      <w:proofErr w:type="spellEnd"/>
      <w:r w:rsidRPr="00E7515A">
        <w:rPr>
          <w:rFonts w:ascii="Times New Roman" w:hAnsi="Times New Roman"/>
        </w:rPr>
        <w:t xml:space="preserve">, S. </w:t>
      </w:r>
      <w:r w:rsidR="00D651F0" w:rsidRPr="00E7515A">
        <w:rPr>
          <w:rFonts w:ascii="Times New Roman" w:hAnsi="Times New Roman"/>
        </w:rPr>
        <w:t>&amp;</w:t>
      </w:r>
      <w:r w:rsidRPr="00E7515A">
        <w:rPr>
          <w:rFonts w:ascii="Times New Roman" w:hAnsi="Times New Roman"/>
        </w:rPr>
        <w:t xml:space="preserve"> E</w:t>
      </w:r>
      <w:r w:rsidR="002F44AB" w:rsidRPr="00E7515A">
        <w:rPr>
          <w:rFonts w:ascii="Times New Roman" w:hAnsi="Times New Roman"/>
        </w:rPr>
        <w:t>nglish, M. (1997).</w:t>
      </w:r>
      <w:proofErr w:type="gramEnd"/>
      <w:r w:rsidR="002F44AB" w:rsidRPr="00E7515A">
        <w:rPr>
          <w:rFonts w:ascii="Times New Roman" w:hAnsi="Times New Roman"/>
        </w:rPr>
        <w:t xml:space="preserve"> Taxation of F</w:t>
      </w:r>
      <w:r w:rsidRPr="00E7515A">
        <w:rPr>
          <w:rFonts w:ascii="Times New Roman" w:hAnsi="Times New Roman"/>
        </w:rPr>
        <w:t xml:space="preserve">inancial </w:t>
      </w:r>
      <w:r w:rsidR="002F44AB" w:rsidRPr="00E7515A">
        <w:rPr>
          <w:rFonts w:ascii="Times New Roman" w:hAnsi="Times New Roman"/>
        </w:rPr>
        <w:t>S</w:t>
      </w:r>
      <w:r w:rsidRPr="00E7515A">
        <w:rPr>
          <w:rFonts w:ascii="Times New Roman" w:hAnsi="Times New Roman"/>
        </w:rPr>
        <w:t xml:space="preserve">ervices </w:t>
      </w:r>
      <w:proofErr w:type="gramStart"/>
      <w:r w:rsidR="002F44AB" w:rsidRPr="00E7515A">
        <w:rPr>
          <w:rFonts w:ascii="Times New Roman" w:hAnsi="Times New Roman"/>
        </w:rPr>
        <w:t>U</w:t>
      </w:r>
      <w:r w:rsidRPr="00E7515A">
        <w:rPr>
          <w:rFonts w:ascii="Times New Roman" w:hAnsi="Times New Roman"/>
        </w:rPr>
        <w:t>nder</w:t>
      </w:r>
      <w:proofErr w:type="gramEnd"/>
      <w:r w:rsidRPr="00E7515A">
        <w:rPr>
          <w:rFonts w:ascii="Times New Roman" w:hAnsi="Times New Roman"/>
        </w:rPr>
        <w:t xml:space="preserve"> a </w:t>
      </w:r>
      <w:r w:rsidR="002F44AB" w:rsidRPr="00E7515A">
        <w:rPr>
          <w:rFonts w:ascii="Times New Roman" w:hAnsi="Times New Roman"/>
        </w:rPr>
        <w:t>V</w:t>
      </w:r>
      <w:r w:rsidRPr="00E7515A">
        <w:rPr>
          <w:rFonts w:ascii="Times New Roman" w:hAnsi="Times New Roman"/>
        </w:rPr>
        <w:t>alue-</w:t>
      </w:r>
      <w:r w:rsidR="002F44AB" w:rsidRPr="00E7515A">
        <w:rPr>
          <w:rFonts w:ascii="Times New Roman" w:hAnsi="Times New Roman"/>
        </w:rPr>
        <w:t>Added Tax: Applying the C</w:t>
      </w:r>
      <w:r w:rsidRPr="00E7515A">
        <w:rPr>
          <w:rFonts w:ascii="Times New Roman" w:hAnsi="Times New Roman"/>
        </w:rPr>
        <w:t xml:space="preserve">ash-flow </w:t>
      </w:r>
      <w:r w:rsidR="002F44AB" w:rsidRPr="00E7515A">
        <w:rPr>
          <w:rFonts w:ascii="Times New Roman" w:hAnsi="Times New Roman"/>
        </w:rPr>
        <w:t>A</w:t>
      </w:r>
      <w:r w:rsidRPr="00E7515A">
        <w:rPr>
          <w:rFonts w:ascii="Times New Roman" w:hAnsi="Times New Roman"/>
        </w:rPr>
        <w:t>pproach. National Tax Journal 50(1): 89-111.</w:t>
      </w:r>
    </w:p>
    <w:p w14:paraId="191FB141" w14:textId="77777777" w:rsidR="004D0501" w:rsidRPr="00C06F1B" w:rsidRDefault="004D0501" w:rsidP="004D0501">
      <w:pPr>
        <w:spacing w:line="360" w:lineRule="auto"/>
        <w:rPr>
          <w:rFonts w:ascii="Times New Roman" w:hAnsi="Times New Roman"/>
        </w:rPr>
      </w:pPr>
      <w:proofErr w:type="spellStart"/>
      <w:proofErr w:type="gramStart"/>
      <w:r w:rsidRPr="00E7515A">
        <w:rPr>
          <w:rFonts w:ascii="Times New Roman" w:hAnsi="Times New Roman"/>
        </w:rPr>
        <w:t>Poddar</w:t>
      </w:r>
      <w:proofErr w:type="spellEnd"/>
      <w:r w:rsidRPr="00E7515A">
        <w:rPr>
          <w:rFonts w:ascii="Times New Roman" w:hAnsi="Times New Roman"/>
        </w:rPr>
        <w:t xml:space="preserve">, S. </w:t>
      </w:r>
      <w:r w:rsidR="00D651F0" w:rsidRPr="00E7515A">
        <w:rPr>
          <w:rFonts w:ascii="Times New Roman" w:hAnsi="Times New Roman"/>
        </w:rPr>
        <w:t>&amp;</w:t>
      </w:r>
      <w:r w:rsidRPr="00E7515A">
        <w:rPr>
          <w:rFonts w:ascii="Times New Roman" w:hAnsi="Times New Roman"/>
        </w:rPr>
        <w:t xml:space="preserve"> </w:t>
      </w:r>
      <w:proofErr w:type="spellStart"/>
      <w:r w:rsidRPr="00E7515A">
        <w:rPr>
          <w:rFonts w:ascii="Times New Roman" w:hAnsi="Times New Roman"/>
        </w:rPr>
        <w:t>Kalita</w:t>
      </w:r>
      <w:proofErr w:type="spellEnd"/>
      <w:r w:rsidRPr="00E7515A">
        <w:rPr>
          <w:rFonts w:ascii="Times New Roman" w:hAnsi="Times New Roman"/>
        </w:rPr>
        <w:t>, J. (2008).</w:t>
      </w:r>
      <w:proofErr w:type="gramEnd"/>
      <w:r w:rsidRPr="00E7515A">
        <w:rPr>
          <w:rFonts w:ascii="Times New Roman" w:hAnsi="Times New Roman"/>
        </w:rPr>
        <w:t xml:space="preserve"> </w:t>
      </w:r>
      <w:proofErr w:type="gramStart"/>
      <w:r w:rsidRPr="00E7515A">
        <w:rPr>
          <w:rFonts w:ascii="Times New Roman" w:hAnsi="Times New Roman"/>
        </w:rPr>
        <w:t>Treatment of Financial Services under the UAE VAT.</w:t>
      </w:r>
      <w:proofErr w:type="gramEnd"/>
      <w:r w:rsidRPr="00E7515A">
        <w:rPr>
          <w:rFonts w:ascii="Times New Roman" w:hAnsi="Times New Roman"/>
        </w:rPr>
        <w:t xml:space="preserve"> </w:t>
      </w:r>
      <w:proofErr w:type="gramStart"/>
      <w:r w:rsidRPr="00E7515A">
        <w:rPr>
          <w:rFonts w:ascii="Times New Roman" w:hAnsi="Times New Roman"/>
        </w:rPr>
        <w:t>Dubai Economic Council Working Paper.</w:t>
      </w:r>
      <w:proofErr w:type="gramEnd"/>
    </w:p>
    <w:p w14:paraId="6FDFC38E" w14:textId="77777777" w:rsidR="006C017D" w:rsidRPr="00C06F1B" w:rsidRDefault="006C017D" w:rsidP="001E39C2">
      <w:pPr>
        <w:spacing w:line="360" w:lineRule="auto"/>
        <w:rPr>
          <w:rFonts w:ascii="Times New Roman" w:hAnsi="Times New Roman"/>
        </w:rPr>
      </w:pPr>
      <w:proofErr w:type="spellStart"/>
      <w:proofErr w:type="gramStart"/>
      <w:r w:rsidRPr="00E7515A">
        <w:rPr>
          <w:rFonts w:ascii="Times New Roman" w:hAnsi="Times New Roman"/>
        </w:rPr>
        <w:t>Pomeranets</w:t>
      </w:r>
      <w:proofErr w:type="spellEnd"/>
      <w:r w:rsidRPr="00E7515A">
        <w:rPr>
          <w:rFonts w:ascii="Times New Roman" w:hAnsi="Times New Roman"/>
        </w:rPr>
        <w:t xml:space="preserve">, A. </w:t>
      </w:r>
      <w:r w:rsidR="00D651F0" w:rsidRPr="00E7515A">
        <w:rPr>
          <w:rFonts w:ascii="Times New Roman" w:hAnsi="Times New Roman"/>
        </w:rPr>
        <w:t>&amp;</w:t>
      </w:r>
      <w:r w:rsidRPr="00E7515A">
        <w:rPr>
          <w:rFonts w:ascii="Times New Roman" w:hAnsi="Times New Roman"/>
        </w:rPr>
        <w:t xml:space="preserve"> Weaver, D.G. (2011).</w:t>
      </w:r>
      <w:proofErr w:type="gramEnd"/>
      <w:r w:rsidRPr="00E7515A">
        <w:rPr>
          <w:rFonts w:ascii="Times New Roman" w:hAnsi="Times New Roman"/>
        </w:rPr>
        <w:t xml:space="preserve"> </w:t>
      </w:r>
      <w:proofErr w:type="gramStart"/>
      <w:r w:rsidRPr="00E7515A">
        <w:rPr>
          <w:rFonts w:ascii="Times New Roman" w:hAnsi="Times New Roman"/>
        </w:rPr>
        <w:t xml:space="preserve">Security </w:t>
      </w:r>
      <w:r w:rsidR="002F44AB" w:rsidRPr="00E7515A">
        <w:rPr>
          <w:rFonts w:ascii="Times New Roman" w:hAnsi="Times New Roman"/>
        </w:rPr>
        <w:t>T</w:t>
      </w:r>
      <w:r w:rsidRPr="00E7515A">
        <w:rPr>
          <w:rFonts w:ascii="Times New Roman" w:hAnsi="Times New Roman"/>
        </w:rPr>
        <w:t xml:space="preserve">ransaction </w:t>
      </w:r>
      <w:r w:rsidR="002F44AB" w:rsidRPr="00E7515A">
        <w:rPr>
          <w:rFonts w:ascii="Times New Roman" w:hAnsi="Times New Roman"/>
        </w:rPr>
        <w:t>T</w:t>
      </w:r>
      <w:r w:rsidRPr="00E7515A">
        <w:rPr>
          <w:rFonts w:ascii="Times New Roman" w:hAnsi="Times New Roman"/>
        </w:rPr>
        <w:t xml:space="preserve">axes and </w:t>
      </w:r>
      <w:r w:rsidR="002F44AB" w:rsidRPr="00E7515A">
        <w:rPr>
          <w:rFonts w:ascii="Times New Roman" w:hAnsi="Times New Roman"/>
        </w:rPr>
        <w:t>M</w:t>
      </w:r>
      <w:r w:rsidRPr="00E7515A">
        <w:rPr>
          <w:rFonts w:ascii="Times New Roman" w:hAnsi="Times New Roman"/>
        </w:rPr>
        <w:t>arket quality.</w:t>
      </w:r>
      <w:proofErr w:type="gramEnd"/>
      <w:r w:rsidRPr="00E7515A">
        <w:rPr>
          <w:rFonts w:ascii="Times New Roman" w:hAnsi="Times New Roman"/>
        </w:rPr>
        <w:t xml:space="preserve"> Bank of Canada Working Paper No. 2011-2026.</w:t>
      </w:r>
    </w:p>
    <w:p w14:paraId="765E2095"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Pricen</w:t>
      </w:r>
      <w:proofErr w:type="spellEnd"/>
      <w:r w:rsidRPr="00E7515A">
        <w:rPr>
          <w:rFonts w:ascii="Times New Roman" w:hAnsi="Times New Roman"/>
          <w:sz w:val="22"/>
          <w:szCs w:val="22"/>
        </w:rPr>
        <w:t>, S. (2010).</w:t>
      </w:r>
      <w:proofErr w:type="gramEnd"/>
      <w:r w:rsidRPr="00E7515A">
        <w:rPr>
          <w:rFonts w:ascii="Times New Roman" w:hAnsi="Times New Roman"/>
          <w:sz w:val="22"/>
          <w:szCs w:val="22"/>
        </w:rPr>
        <w:t xml:space="preserve"> How Does a Tax Allowance for Corporate Equity Affect Capital Structure: An Empirical Evaluation, Louvain School of </w:t>
      </w:r>
      <w:proofErr w:type="gramStart"/>
      <w:r w:rsidRPr="00E7515A">
        <w:rPr>
          <w:rFonts w:ascii="Times New Roman" w:hAnsi="Times New Roman"/>
          <w:sz w:val="22"/>
          <w:szCs w:val="22"/>
        </w:rPr>
        <w:t>Management.</w:t>
      </w:r>
      <w:proofErr w:type="gramEnd"/>
      <w:r w:rsidRPr="00E7515A">
        <w:rPr>
          <w:rFonts w:ascii="Times New Roman" w:hAnsi="Times New Roman"/>
          <w:sz w:val="22"/>
          <w:szCs w:val="22"/>
        </w:rPr>
        <w:t xml:space="preserve"> </w:t>
      </w:r>
    </w:p>
    <w:p w14:paraId="1414FA07" w14:textId="77777777" w:rsidR="008E5541" w:rsidRPr="00C06F1B" w:rsidRDefault="00E168BD" w:rsidP="00BA5A42">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 xml:space="preserve">Satya, P. </w:t>
      </w:r>
      <w:r w:rsidR="00D651F0" w:rsidRPr="00E7515A">
        <w:rPr>
          <w:rFonts w:ascii="Times New Roman" w:hAnsi="Times New Roman"/>
          <w:sz w:val="22"/>
          <w:szCs w:val="22"/>
        </w:rPr>
        <w:t>&amp;</w:t>
      </w:r>
      <w:r w:rsidRPr="00E7515A">
        <w:rPr>
          <w:rFonts w:ascii="Times New Roman" w:hAnsi="Times New Roman"/>
          <w:sz w:val="22"/>
          <w:szCs w:val="22"/>
        </w:rPr>
        <w:t xml:space="preserve"> </w:t>
      </w:r>
      <w:r w:rsidR="008E5541" w:rsidRPr="00E7515A">
        <w:rPr>
          <w:rFonts w:ascii="Times New Roman" w:hAnsi="Times New Roman"/>
          <w:sz w:val="22"/>
          <w:szCs w:val="22"/>
        </w:rPr>
        <w:t>M</w:t>
      </w:r>
      <w:r w:rsidRPr="00E7515A">
        <w:rPr>
          <w:rFonts w:ascii="Times New Roman" w:hAnsi="Times New Roman"/>
          <w:sz w:val="22"/>
          <w:szCs w:val="22"/>
        </w:rPr>
        <w:t>orley, E.</w:t>
      </w:r>
      <w:r w:rsidR="008E5541" w:rsidRPr="00E7515A">
        <w:rPr>
          <w:rFonts w:ascii="Times New Roman" w:hAnsi="Times New Roman"/>
          <w:sz w:val="22"/>
          <w:szCs w:val="22"/>
        </w:rPr>
        <w:t xml:space="preserve"> (199</w:t>
      </w:r>
      <w:r w:rsidR="00B930D8" w:rsidRPr="00E7515A">
        <w:rPr>
          <w:rFonts w:ascii="Times New Roman" w:hAnsi="Times New Roman"/>
          <w:sz w:val="22"/>
          <w:szCs w:val="22"/>
        </w:rPr>
        <w:t>7).</w:t>
      </w:r>
      <w:proofErr w:type="gramEnd"/>
      <w:r w:rsidR="00B930D8" w:rsidRPr="00E7515A">
        <w:rPr>
          <w:rFonts w:ascii="Times New Roman" w:hAnsi="Times New Roman"/>
          <w:sz w:val="22"/>
          <w:szCs w:val="22"/>
        </w:rPr>
        <w:t xml:space="preserve"> </w:t>
      </w:r>
      <w:r w:rsidR="008E5541" w:rsidRPr="00E7515A">
        <w:rPr>
          <w:rFonts w:ascii="Times New Roman" w:hAnsi="Times New Roman"/>
          <w:sz w:val="22"/>
          <w:szCs w:val="22"/>
        </w:rPr>
        <w:t>Taxation of F</w:t>
      </w:r>
      <w:r w:rsidR="001C2B81" w:rsidRPr="00E7515A">
        <w:rPr>
          <w:rFonts w:ascii="Times New Roman" w:hAnsi="Times New Roman"/>
          <w:sz w:val="22"/>
          <w:szCs w:val="22"/>
        </w:rPr>
        <w:t xml:space="preserve">inancial Services under a Value-Added </w:t>
      </w:r>
      <w:proofErr w:type="gramStart"/>
      <w:r w:rsidR="001C2B81" w:rsidRPr="00E7515A">
        <w:rPr>
          <w:rFonts w:ascii="Times New Roman" w:hAnsi="Times New Roman"/>
          <w:sz w:val="22"/>
          <w:szCs w:val="22"/>
        </w:rPr>
        <w:t>Tax :</w:t>
      </w:r>
      <w:proofErr w:type="gramEnd"/>
      <w:r w:rsidR="001C2B81" w:rsidRPr="00E7515A">
        <w:rPr>
          <w:rFonts w:ascii="Times New Roman" w:hAnsi="Times New Roman"/>
          <w:sz w:val="22"/>
          <w:szCs w:val="22"/>
        </w:rPr>
        <w:t xml:space="preserve"> Applying the Cash </w:t>
      </w:r>
      <w:r w:rsidR="00B930D8" w:rsidRPr="00E7515A">
        <w:rPr>
          <w:rFonts w:ascii="Times New Roman" w:hAnsi="Times New Roman"/>
          <w:sz w:val="22"/>
          <w:szCs w:val="22"/>
        </w:rPr>
        <w:t>Flow Approach.</w:t>
      </w:r>
      <w:r w:rsidR="008E5541" w:rsidRPr="00E7515A">
        <w:rPr>
          <w:rFonts w:ascii="Times New Roman" w:hAnsi="Times New Roman"/>
          <w:sz w:val="22"/>
          <w:szCs w:val="22"/>
        </w:rPr>
        <w:t xml:space="preserve"> National Tax Journal</w:t>
      </w:r>
      <w:r w:rsidR="00D651F0" w:rsidRPr="00E7515A">
        <w:rPr>
          <w:rFonts w:ascii="Times New Roman" w:hAnsi="Times New Roman"/>
          <w:sz w:val="22"/>
          <w:szCs w:val="22"/>
        </w:rPr>
        <w:t>,</w:t>
      </w:r>
      <w:r w:rsidR="008E5541" w:rsidRPr="00E7515A">
        <w:rPr>
          <w:rFonts w:ascii="Times New Roman" w:hAnsi="Times New Roman"/>
          <w:sz w:val="22"/>
          <w:szCs w:val="22"/>
        </w:rPr>
        <w:t xml:space="preserve"> 50(1): 89</w:t>
      </w:r>
      <w:r w:rsidR="001C2B81" w:rsidRPr="00E7515A">
        <w:rPr>
          <w:rFonts w:ascii="Times New Roman" w:hAnsi="Times New Roman"/>
          <w:sz w:val="22"/>
          <w:szCs w:val="22"/>
        </w:rPr>
        <w:t>-</w:t>
      </w:r>
      <w:r w:rsidR="008E5541" w:rsidRPr="00C06F1B">
        <w:rPr>
          <w:rFonts w:ascii="Times New Roman" w:hAnsi="Times New Roman"/>
          <w:sz w:val="22"/>
          <w:szCs w:val="22"/>
        </w:rPr>
        <w:t xml:space="preserve">112. </w:t>
      </w:r>
    </w:p>
    <w:p w14:paraId="03C8A8CD" w14:textId="77777777" w:rsidR="008E5541" w:rsidRPr="00C06F1B" w:rsidRDefault="008E5541">
      <w:pPr>
        <w:pStyle w:val="CM19"/>
        <w:spacing w:after="310" w:line="296" w:lineRule="atLeast"/>
        <w:jc w:val="both"/>
        <w:rPr>
          <w:rFonts w:ascii="Times New Roman" w:hAnsi="Times New Roman"/>
          <w:sz w:val="22"/>
          <w:szCs w:val="22"/>
        </w:rPr>
      </w:pPr>
      <w:proofErr w:type="spellStart"/>
      <w:r w:rsidRPr="00C06F1B">
        <w:rPr>
          <w:rFonts w:ascii="Times New Roman" w:hAnsi="Times New Roman"/>
          <w:sz w:val="22"/>
          <w:szCs w:val="22"/>
        </w:rPr>
        <w:t>Schamp</w:t>
      </w:r>
      <w:proofErr w:type="spellEnd"/>
      <w:r w:rsidRPr="00C06F1B">
        <w:rPr>
          <w:rFonts w:ascii="Times New Roman" w:hAnsi="Times New Roman"/>
          <w:sz w:val="22"/>
          <w:szCs w:val="22"/>
        </w:rPr>
        <w:t xml:space="preserve">, L. (2011). </w:t>
      </w:r>
      <w:proofErr w:type="gramStart"/>
      <w:r w:rsidRPr="00C06F1B">
        <w:rPr>
          <w:rFonts w:ascii="Times New Roman" w:hAnsi="Times New Roman"/>
          <w:sz w:val="22"/>
          <w:szCs w:val="22"/>
        </w:rPr>
        <w:t>The Challenge of Designing a Financial Sector Tax.</w:t>
      </w:r>
      <w:proofErr w:type="gramEnd"/>
      <w:r w:rsidRPr="00C06F1B">
        <w:rPr>
          <w:rFonts w:ascii="Times New Roman" w:hAnsi="Times New Roman"/>
          <w:sz w:val="22"/>
          <w:szCs w:val="22"/>
        </w:rPr>
        <w:t xml:space="preserve"> Maastricht University</w:t>
      </w:r>
      <w:r w:rsidR="00D651F0" w:rsidRPr="00C06F1B">
        <w:rPr>
          <w:rFonts w:ascii="Times New Roman" w:hAnsi="Times New Roman"/>
          <w:sz w:val="22"/>
          <w:szCs w:val="22"/>
        </w:rPr>
        <w:t xml:space="preserve">, </w:t>
      </w:r>
      <w:proofErr w:type="gramStart"/>
      <w:r w:rsidR="00D651F0" w:rsidRPr="00C06F1B">
        <w:rPr>
          <w:rFonts w:ascii="Times New Roman" w:hAnsi="Times New Roman"/>
          <w:sz w:val="22"/>
          <w:szCs w:val="22"/>
        </w:rPr>
        <w:t>The</w:t>
      </w:r>
      <w:proofErr w:type="gramEnd"/>
      <w:r w:rsidR="00D651F0" w:rsidRPr="00C06F1B">
        <w:rPr>
          <w:rFonts w:ascii="Times New Roman" w:hAnsi="Times New Roman"/>
          <w:sz w:val="22"/>
          <w:szCs w:val="22"/>
        </w:rPr>
        <w:t xml:space="preserve"> Netherlands.</w:t>
      </w:r>
    </w:p>
    <w:p w14:paraId="4400742C" w14:textId="77777777" w:rsidR="001934BA" w:rsidRPr="00C06F1B" w:rsidRDefault="00B930D8" w:rsidP="001934BA">
      <w:pPr>
        <w:pStyle w:val="CM19"/>
        <w:spacing w:after="310" w:line="296" w:lineRule="atLeast"/>
        <w:jc w:val="both"/>
        <w:rPr>
          <w:rFonts w:ascii="Times New Roman" w:hAnsi="Times New Roman"/>
          <w:sz w:val="22"/>
          <w:szCs w:val="22"/>
        </w:rPr>
      </w:pPr>
      <w:r w:rsidRPr="00C06F1B">
        <w:rPr>
          <w:rFonts w:ascii="Times New Roman" w:hAnsi="Times New Roman"/>
          <w:sz w:val="22"/>
          <w:szCs w:val="22"/>
        </w:rPr>
        <w:t xml:space="preserve">Schenk, A.S. (2010). </w:t>
      </w:r>
      <w:proofErr w:type="gramStart"/>
      <w:r w:rsidR="001934BA" w:rsidRPr="00E7515A">
        <w:rPr>
          <w:rFonts w:ascii="Times New Roman" w:hAnsi="Times New Roman"/>
          <w:sz w:val="22"/>
          <w:szCs w:val="22"/>
        </w:rPr>
        <w:t>Taxation of Financial Services (Including Insuranc</w:t>
      </w:r>
      <w:r w:rsidRPr="00E7515A">
        <w:rPr>
          <w:rFonts w:ascii="Times New Roman" w:hAnsi="Times New Roman"/>
          <w:sz w:val="22"/>
          <w:szCs w:val="22"/>
        </w:rPr>
        <w:t>e) Under a U.S. Value-Added Tax</w:t>
      </w:r>
      <w:r w:rsidR="001934BA" w:rsidRPr="00E7515A">
        <w:rPr>
          <w:rFonts w:ascii="Times New Roman" w:hAnsi="Times New Roman"/>
          <w:sz w:val="22"/>
          <w:szCs w:val="22"/>
        </w:rPr>
        <w:t>.</w:t>
      </w:r>
      <w:proofErr w:type="gramEnd"/>
      <w:r w:rsidR="002F44AB" w:rsidRPr="00E7515A">
        <w:rPr>
          <w:rFonts w:ascii="Times New Roman" w:hAnsi="Times New Roman"/>
          <w:sz w:val="22"/>
          <w:szCs w:val="22"/>
        </w:rPr>
        <w:t xml:space="preserve"> Tax Law Review, 63(</w:t>
      </w:r>
      <w:r w:rsidR="001934BA" w:rsidRPr="00E7515A">
        <w:rPr>
          <w:rFonts w:ascii="Times New Roman" w:hAnsi="Times New Roman"/>
          <w:sz w:val="22"/>
          <w:szCs w:val="22"/>
        </w:rPr>
        <w:t>2</w:t>
      </w:r>
      <w:r w:rsidR="002F44AB" w:rsidRPr="00E7515A">
        <w:rPr>
          <w:rFonts w:ascii="Times New Roman" w:hAnsi="Times New Roman"/>
          <w:sz w:val="22"/>
          <w:szCs w:val="22"/>
        </w:rPr>
        <w:t>): 409-442.</w:t>
      </w:r>
    </w:p>
    <w:p w14:paraId="6075A28F" w14:textId="77777777" w:rsidR="008C2264" w:rsidRPr="00C06F1B" w:rsidRDefault="008C2264" w:rsidP="008C2264">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 xml:space="preserve">Schenk, A.S. </w:t>
      </w:r>
      <w:r w:rsidR="00D651F0" w:rsidRPr="00E7515A">
        <w:rPr>
          <w:rFonts w:ascii="Times New Roman" w:hAnsi="Times New Roman"/>
          <w:sz w:val="22"/>
          <w:szCs w:val="22"/>
        </w:rPr>
        <w:t>&amp;</w:t>
      </w:r>
      <w:r w:rsidRPr="00E7515A">
        <w:rPr>
          <w:rFonts w:ascii="Times New Roman" w:hAnsi="Times New Roman"/>
          <w:sz w:val="22"/>
          <w:szCs w:val="22"/>
        </w:rPr>
        <w:t xml:space="preserve"> Oldman, O. (2007).</w:t>
      </w:r>
      <w:proofErr w:type="gramEnd"/>
      <w:r w:rsidRPr="00E7515A">
        <w:rPr>
          <w:rFonts w:ascii="Times New Roman" w:hAnsi="Times New Roman"/>
          <w:sz w:val="22"/>
          <w:szCs w:val="22"/>
        </w:rPr>
        <w:t xml:space="preserve"> Value Added Tax: A Comparative Approach Tax Law Review</w:t>
      </w:r>
      <w:r w:rsidR="00D651F0" w:rsidRPr="00E7515A">
        <w:rPr>
          <w:rFonts w:ascii="Times New Roman" w:hAnsi="Times New Roman"/>
          <w:sz w:val="22"/>
          <w:szCs w:val="22"/>
        </w:rPr>
        <w:t xml:space="preserve">. New York: </w:t>
      </w:r>
      <w:r w:rsidRPr="00E7515A">
        <w:rPr>
          <w:rFonts w:ascii="Times New Roman" w:hAnsi="Times New Roman"/>
          <w:sz w:val="22"/>
          <w:szCs w:val="22"/>
        </w:rPr>
        <w:t>Cambridge University Press.</w:t>
      </w:r>
    </w:p>
    <w:p w14:paraId="1BEA3B57" w14:textId="77777777" w:rsidR="008E5541" w:rsidRPr="00C06F1B" w:rsidRDefault="008E5541">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Schmidt, R. (2007). The Currency Transaction Tax: Rate and Revenue Estimates</w:t>
      </w:r>
      <w:r w:rsidR="00D651F0" w:rsidRPr="00E7515A">
        <w:rPr>
          <w:rFonts w:ascii="Times New Roman" w:hAnsi="Times New Roman"/>
          <w:sz w:val="22"/>
          <w:szCs w:val="22"/>
        </w:rPr>
        <w:t xml:space="preserve">. </w:t>
      </w:r>
      <w:proofErr w:type="gramStart"/>
      <w:r w:rsidR="00D651F0" w:rsidRPr="00E7515A">
        <w:rPr>
          <w:rFonts w:ascii="Times New Roman" w:hAnsi="Times New Roman"/>
          <w:sz w:val="22"/>
          <w:szCs w:val="22"/>
        </w:rPr>
        <w:t>The North-South Institute, Ontario, Canada.</w:t>
      </w:r>
      <w:proofErr w:type="gramEnd"/>
      <w:r w:rsidRPr="00E7515A">
        <w:rPr>
          <w:rFonts w:ascii="Times New Roman" w:hAnsi="Times New Roman"/>
          <w:sz w:val="22"/>
          <w:szCs w:val="22"/>
        </w:rPr>
        <w:t xml:space="preserve"> </w:t>
      </w:r>
    </w:p>
    <w:p w14:paraId="03F347F5"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Schulmeister</w:t>
      </w:r>
      <w:proofErr w:type="spellEnd"/>
      <w:r w:rsidRPr="00E7515A">
        <w:rPr>
          <w:rFonts w:ascii="Times New Roman" w:hAnsi="Times New Roman"/>
          <w:sz w:val="22"/>
          <w:szCs w:val="22"/>
        </w:rPr>
        <w:t xml:space="preserve">, S., </w:t>
      </w:r>
      <w:proofErr w:type="spellStart"/>
      <w:r w:rsidRPr="00E7515A">
        <w:rPr>
          <w:rFonts w:ascii="Times New Roman" w:hAnsi="Times New Roman"/>
          <w:sz w:val="22"/>
          <w:szCs w:val="22"/>
        </w:rPr>
        <w:t>Schratzenstaller</w:t>
      </w:r>
      <w:proofErr w:type="spellEnd"/>
      <w:r w:rsidRPr="00E7515A">
        <w:rPr>
          <w:rFonts w:ascii="Times New Roman" w:hAnsi="Times New Roman"/>
          <w:sz w:val="22"/>
          <w:szCs w:val="22"/>
        </w:rPr>
        <w:t>, M</w:t>
      </w:r>
      <w:r w:rsidR="00A15408" w:rsidRPr="00E7515A">
        <w:rPr>
          <w:rFonts w:ascii="Times New Roman" w:hAnsi="Times New Roman"/>
          <w:sz w:val="22"/>
          <w:szCs w:val="22"/>
        </w:rPr>
        <w:t xml:space="preserve">. </w:t>
      </w:r>
      <w:r w:rsidR="00D651F0" w:rsidRPr="00E7515A">
        <w:rPr>
          <w:rFonts w:ascii="Times New Roman" w:hAnsi="Times New Roman"/>
          <w:sz w:val="22"/>
          <w:szCs w:val="22"/>
        </w:rPr>
        <w:t>&amp;</w:t>
      </w:r>
      <w:r w:rsidRPr="00E7515A">
        <w:rPr>
          <w:rFonts w:ascii="Times New Roman" w:hAnsi="Times New Roman"/>
          <w:sz w:val="22"/>
          <w:szCs w:val="22"/>
        </w:rPr>
        <w:t xml:space="preserve"> </w:t>
      </w:r>
      <w:proofErr w:type="spellStart"/>
      <w:r w:rsidRPr="00E7515A">
        <w:rPr>
          <w:rFonts w:ascii="Times New Roman" w:hAnsi="Times New Roman"/>
          <w:sz w:val="22"/>
          <w:szCs w:val="22"/>
        </w:rPr>
        <w:t>Picek</w:t>
      </w:r>
      <w:proofErr w:type="spellEnd"/>
      <w:r w:rsidRPr="00E7515A">
        <w:rPr>
          <w:rFonts w:ascii="Times New Roman" w:hAnsi="Times New Roman"/>
          <w:sz w:val="22"/>
          <w:szCs w:val="22"/>
        </w:rPr>
        <w:t>, O</w:t>
      </w:r>
      <w:r w:rsidR="00A15408" w:rsidRPr="00E7515A">
        <w:rPr>
          <w:rFonts w:ascii="Times New Roman" w:hAnsi="Times New Roman"/>
          <w:sz w:val="22"/>
          <w:szCs w:val="22"/>
        </w:rPr>
        <w:t>.</w:t>
      </w:r>
      <w:r w:rsidRPr="00E7515A">
        <w:rPr>
          <w:rFonts w:ascii="Times New Roman" w:hAnsi="Times New Roman"/>
          <w:sz w:val="22"/>
          <w:szCs w:val="22"/>
        </w:rPr>
        <w:t xml:space="preserve"> (2008).</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A General Financial Transaction Tax.</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Motives, Revenues, Feasibility and Effects.</w:t>
      </w:r>
      <w:proofErr w:type="gramEnd"/>
      <w:r w:rsidRPr="00E7515A">
        <w:rPr>
          <w:rFonts w:ascii="Times New Roman" w:hAnsi="Times New Roman"/>
          <w:sz w:val="22"/>
          <w:szCs w:val="22"/>
        </w:rPr>
        <w:t xml:space="preserve"> Research Study WIFO, 3/2008. </w:t>
      </w:r>
    </w:p>
    <w:p w14:paraId="271C4332"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Schulmeister</w:t>
      </w:r>
      <w:proofErr w:type="spellEnd"/>
      <w:r w:rsidRPr="00E7515A">
        <w:rPr>
          <w:rFonts w:ascii="Times New Roman" w:hAnsi="Times New Roman"/>
          <w:sz w:val="22"/>
          <w:szCs w:val="22"/>
        </w:rPr>
        <w:t>, S. (2011).</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A General Financial Transactio</w:t>
      </w:r>
      <w:r w:rsidR="00E168BD" w:rsidRPr="00E7515A">
        <w:rPr>
          <w:rFonts w:ascii="Times New Roman" w:hAnsi="Times New Roman"/>
          <w:sz w:val="22"/>
          <w:szCs w:val="22"/>
        </w:rPr>
        <w:t>n</w:t>
      </w:r>
      <w:r w:rsidRPr="00E7515A">
        <w:rPr>
          <w:rFonts w:ascii="Times New Roman" w:hAnsi="Times New Roman"/>
          <w:sz w:val="22"/>
          <w:szCs w:val="22"/>
        </w:rPr>
        <w:t xml:space="preserve"> Tax.</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Motives, Revenues, Feasibility and Effects.</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Brussels Tax Forum on March 28 and 29, 2011.</w:t>
      </w:r>
      <w:proofErr w:type="gramEnd"/>
      <w:r w:rsidRPr="00E7515A">
        <w:rPr>
          <w:rFonts w:ascii="Times New Roman" w:hAnsi="Times New Roman"/>
          <w:sz w:val="22"/>
          <w:szCs w:val="22"/>
        </w:rPr>
        <w:t xml:space="preserve"> Brussels. </w:t>
      </w:r>
    </w:p>
    <w:p w14:paraId="024A89B1" w14:textId="77777777" w:rsidR="000E35B6" w:rsidRPr="00E7515A" w:rsidRDefault="000E35B6" w:rsidP="000E35B6">
      <w:pPr>
        <w:pStyle w:val="CM19"/>
        <w:spacing w:after="310" w:line="296" w:lineRule="atLeast"/>
        <w:jc w:val="both"/>
        <w:rPr>
          <w:rFonts w:ascii="Times New Roman" w:hAnsi="Times New Roman"/>
          <w:color w:val="FF0000"/>
          <w:sz w:val="22"/>
          <w:szCs w:val="22"/>
        </w:rPr>
      </w:pPr>
      <w:proofErr w:type="gramStart"/>
      <w:r w:rsidRPr="00E7515A">
        <w:rPr>
          <w:rFonts w:ascii="Times New Roman" w:hAnsi="Times New Roman"/>
          <w:color w:val="FF0000"/>
          <w:sz w:val="22"/>
          <w:szCs w:val="22"/>
        </w:rPr>
        <w:t>SEC (2013).</w:t>
      </w:r>
      <w:proofErr w:type="gramEnd"/>
      <w:r w:rsidRPr="00E7515A">
        <w:rPr>
          <w:rFonts w:ascii="Times New Roman" w:hAnsi="Times New Roman"/>
          <w:color w:val="FF0000"/>
          <w:sz w:val="22"/>
          <w:szCs w:val="22"/>
        </w:rPr>
        <w:t xml:space="preserve"> </w:t>
      </w:r>
      <w:proofErr w:type="gramStart"/>
      <w:r w:rsidRPr="00E7515A">
        <w:rPr>
          <w:rFonts w:ascii="Times New Roman" w:hAnsi="Times New Roman"/>
          <w:color w:val="FF0000"/>
          <w:sz w:val="22"/>
          <w:szCs w:val="22"/>
        </w:rPr>
        <w:t>Volcker-type Rule.</w:t>
      </w:r>
      <w:proofErr w:type="gramEnd"/>
      <w:r w:rsidRPr="00E7515A">
        <w:rPr>
          <w:rFonts w:ascii="Times New Roman" w:hAnsi="Times New Roman"/>
          <w:color w:val="FF0000"/>
          <w:sz w:val="22"/>
          <w:szCs w:val="22"/>
        </w:rPr>
        <w:t xml:space="preserve"> </w:t>
      </w:r>
      <w:r w:rsidR="00AF644E" w:rsidRPr="00E7515A">
        <w:rPr>
          <w:rFonts w:ascii="Times New Roman" w:hAnsi="Times New Roman"/>
          <w:color w:val="FF0000"/>
          <w:sz w:val="22"/>
          <w:szCs w:val="22"/>
        </w:rPr>
        <w:t xml:space="preserve">December 2013 </w:t>
      </w:r>
      <w:r w:rsidRPr="00E7515A">
        <w:rPr>
          <w:rFonts w:ascii="Times New Roman" w:hAnsi="Times New Roman"/>
          <w:color w:val="FF0000"/>
          <w:sz w:val="22"/>
          <w:szCs w:val="22"/>
        </w:rPr>
        <w:t>(</w:t>
      </w:r>
      <w:hyperlink r:id="rId15" w:history="1">
        <w:r w:rsidRPr="00E7515A">
          <w:rPr>
            <w:rFonts w:ascii="Times New Roman" w:hAnsi="Times New Roman"/>
            <w:color w:val="FF0000"/>
            <w:sz w:val="22"/>
            <w:szCs w:val="22"/>
          </w:rPr>
          <w:t>http://www.sec.gov/rules/final/2013/bhca-1.pdf</w:t>
        </w:r>
      </w:hyperlink>
      <w:r w:rsidRPr="00E7515A">
        <w:rPr>
          <w:rFonts w:ascii="Times New Roman" w:hAnsi="Times New Roman"/>
          <w:color w:val="FF0000"/>
          <w:sz w:val="22"/>
          <w:szCs w:val="22"/>
        </w:rPr>
        <w:t xml:space="preserve">) </w:t>
      </w:r>
    </w:p>
    <w:p w14:paraId="00910B72" w14:textId="77777777" w:rsidR="008E5541" w:rsidRPr="00C06F1B" w:rsidRDefault="008E5541">
      <w:pPr>
        <w:pStyle w:val="CM19"/>
        <w:spacing w:after="310" w:line="296" w:lineRule="atLeast"/>
        <w:jc w:val="both"/>
        <w:rPr>
          <w:rFonts w:ascii="Times New Roman" w:hAnsi="Times New Roman"/>
          <w:sz w:val="22"/>
          <w:szCs w:val="22"/>
        </w:rPr>
      </w:pPr>
      <w:proofErr w:type="spellStart"/>
      <w:proofErr w:type="gramStart"/>
      <w:r w:rsidRPr="00E7515A">
        <w:rPr>
          <w:rFonts w:ascii="Times New Roman" w:hAnsi="Times New Roman"/>
          <w:sz w:val="22"/>
          <w:szCs w:val="22"/>
        </w:rPr>
        <w:t>Schwert</w:t>
      </w:r>
      <w:proofErr w:type="spellEnd"/>
      <w:r w:rsidRPr="00E7515A">
        <w:rPr>
          <w:rFonts w:ascii="Times New Roman" w:hAnsi="Times New Roman"/>
          <w:sz w:val="22"/>
          <w:szCs w:val="22"/>
        </w:rPr>
        <w:t xml:space="preserve">, </w:t>
      </w:r>
      <w:r w:rsidR="00B930D8" w:rsidRPr="00E7515A">
        <w:rPr>
          <w:rFonts w:ascii="Times New Roman" w:hAnsi="Times New Roman"/>
          <w:sz w:val="22"/>
          <w:szCs w:val="22"/>
        </w:rPr>
        <w:t>G.W.</w:t>
      </w:r>
      <w:r w:rsidR="00A15408" w:rsidRPr="00E7515A">
        <w:rPr>
          <w:rFonts w:ascii="Times New Roman" w:hAnsi="Times New Roman"/>
          <w:sz w:val="22"/>
          <w:szCs w:val="22"/>
        </w:rPr>
        <w:t xml:space="preserve"> </w:t>
      </w:r>
      <w:r w:rsidR="00D651F0" w:rsidRPr="00E7515A">
        <w:rPr>
          <w:rFonts w:ascii="Times New Roman" w:hAnsi="Times New Roman"/>
          <w:sz w:val="22"/>
          <w:szCs w:val="22"/>
        </w:rPr>
        <w:t>&amp;</w:t>
      </w:r>
      <w:r w:rsidR="00B930D8" w:rsidRPr="00E7515A">
        <w:rPr>
          <w:rFonts w:ascii="Times New Roman" w:hAnsi="Times New Roman"/>
          <w:sz w:val="22"/>
          <w:szCs w:val="22"/>
        </w:rPr>
        <w:t xml:space="preserve"> Seguin, P.J. (1993).</w:t>
      </w:r>
      <w:proofErr w:type="gramEnd"/>
      <w:r w:rsidR="00B930D8" w:rsidRPr="00E7515A">
        <w:rPr>
          <w:rFonts w:ascii="Times New Roman" w:hAnsi="Times New Roman"/>
          <w:sz w:val="22"/>
          <w:szCs w:val="22"/>
        </w:rPr>
        <w:t xml:space="preserve"> </w:t>
      </w:r>
      <w:r w:rsidRPr="00E7515A">
        <w:rPr>
          <w:rFonts w:ascii="Times New Roman" w:hAnsi="Times New Roman"/>
          <w:sz w:val="22"/>
          <w:szCs w:val="22"/>
        </w:rPr>
        <w:t>Securities Transaction Taxes: An Overview of Costs, B</w:t>
      </w:r>
      <w:r w:rsidR="00B930D8" w:rsidRPr="00E7515A">
        <w:rPr>
          <w:rFonts w:ascii="Times New Roman" w:hAnsi="Times New Roman"/>
          <w:sz w:val="22"/>
          <w:szCs w:val="22"/>
        </w:rPr>
        <w:t>enefits and Unsolved Questions.</w:t>
      </w:r>
      <w:r w:rsidRPr="00E7515A">
        <w:rPr>
          <w:rFonts w:ascii="Times New Roman" w:hAnsi="Times New Roman"/>
          <w:sz w:val="22"/>
          <w:szCs w:val="22"/>
        </w:rPr>
        <w:t xml:space="preserve"> Financial Analyst Journals</w:t>
      </w:r>
      <w:r w:rsidR="00D651F0" w:rsidRPr="00E7515A">
        <w:rPr>
          <w:rFonts w:ascii="Times New Roman" w:hAnsi="Times New Roman"/>
          <w:sz w:val="22"/>
          <w:szCs w:val="22"/>
        </w:rPr>
        <w:t>,</w:t>
      </w:r>
      <w:r w:rsidRPr="00E7515A">
        <w:rPr>
          <w:rFonts w:ascii="Times New Roman" w:hAnsi="Times New Roman"/>
          <w:sz w:val="22"/>
          <w:szCs w:val="22"/>
        </w:rPr>
        <w:t xml:space="preserve"> 49: 27</w:t>
      </w:r>
      <w:r w:rsidR="001C2B81" w:rsidRPr="00E7515A">
        <w:rPr>
          <w:rFonts w:ascii="Times New Roman" w:hAnsi="Times New Roman"/>
          <w:sz w:val="22"/>
          <w:szCs w:val="22"/>
        </w:rPr>
        <w:t>-</w:t>
      </w:r>
      <w:r w:rsidRPr="00C06F1B">
        <w:rPr>
          <w:rFonts w:ascii="Times New Roman" w:hAnsi="Times New Roman"/>
          <w:sz w:val="22"/>
          <w:szCs w:val="22"/>
        </w:rPr>
        <w:t xml:space="preserve">35. </w:t>
      </w:r>
    </w:p>
    <w:p w14:paraId="5770B41C" w14:textId="77777777" w:rsidR="00382484" w:rsidRPr="00C06F1B" w:rsidRDefault="00382484" w:rsidP="00382484">
      <w:pPr>
        <w:pStyle w:val="CM19"/>
        <w:spacing w:after="310" w:line="296" w:lineRule="atLeast"/>
        <w:jc w:val="both"/>
        <w:rPr>
          <w:rFonts w:ascii="Times New Roman" w:hAnsi="Times New Roman"/>
          <w:sz w:val="22"/>
          <w:szCs w:val="22"/>
        </w:rPr>
      </w:pPr>
      <w:proofErr w:type="spellStart"/>
      <w:r w:rsidRPr="00C06F1B">
        <w:rPr>
          <w:rFonts w:ascii="Times New Roman" w:hAnsi="Times New Roman"/>
          <w:sz w:val="22"/>
          <w:szCs w:val="22"/>
        </w:rPr>
        <w:t>Shaviro</w:t>
      </w:r>
      <w:proofErr w:type="spellEnd"/>
      <w:r w:rsidRPr="00C06F1B">
        <w:rPr>
          <w:rFonts w:ascii="Times New Roman" w:hAnsi="Times New Roman"/>
          <w:sz w:val="22"/>
          <w:szCs w:val="22"/>
        </w:rPr>
        <w:t xml:space="preserve">, D. (2011). The 2008 Financial Crisis: Implications for Income Tax Reform. NYU Law and Economics Research Paper No. 09-35, New York University School of Law. </w:t>
      </w:r>
    </w:p>
    <w:p w14:paraId="19BA80A4" w14:textId="77777777" w:rsidR="00826D02" w:rsidRPr="00C06F1B" w:rsidDel="00382484" w:rsidRDefault="00826D02" w:rsidP="00826D02">
      <w:pPr>
        <w:pStyle w:val="CM19"/>
        <w:spacing w:after="310" w:line="296" w:lineRule="atLeast"/>
        <w:jc w:val="both"/>
        <w:rPr>
          <w:rFonts w:ascii="Times New Roman" w:hAnsi="Times New Roman"/>
          <w:sz w:val="22"/>
          <w:szCs w:val="22"/>
        </w:rPr>
      </w:pPr>
      <w:proofErr w:type="spellStart"/>
      <w:r w:rsidRPr="00C06F1B">
        <w:rPr>
          <w:rFonts w:ascii="Times New Roman" w:hAnsi="Times New Roman"/>
          <w:sz w:val="22"/>
          <w:szCs w:val="22"/>
        </w:rPr>
        <w:t>Shaviro</w:t>
      </w:r>
      <w:proofErr w:type="spellEnd"/>
      <w:r w:rsidRPr="00C06F1B">
        <w:rPr>
          <w:rFonts w:ascii="Times New Roman" w:hAnsi="Times New Roman"/>
          <w:sz w:val="22"/>
          <w:szCs w:val="22"/>
        </w:rPr>
        <w:t>, D. (2012</w:t>
      </w:r>
      <w:r w:rsidR="008E5541" w:rsidRPr="00C06F1B">
        <w:rPr>
          <w:rFonts w:ascii="Times New Roman" w:hAnsi="Times New Roman"/>
          <w:sz w:val="22"/>
          <w:szCs w:val="22"/>
        </w:rPr>
        <w:t xml:space="preserve">). </w:t>
      </w:r>
      <w:proofErr w:type="gramStart"/>
      <w:r w:rsidRPr="00E7515A">
        <w:rPr>
          <w:rFonts w:ascii="Times New Roman" w:hAnsi="Times New Roman"/>
          <w:sz w:val="22"/>
          <w:szCs w:val="22"/>
        </w:rPr>
        <w:t xml:space="preserve">The Financial Transactions Tax versus </w:t>
      </w:r>
      <w:r w:rsidR="00D651F0" w:rsidRPr="00E7515A">
        <w:rPr>
          <w:rFonts w:ascii="Times New Roman" w:hAnsi="Times New Roman"/>
          <w:sz w:val="22"/>
          <w:szCs w:val="22"/>
        </w:rPr>
        <w:t>(?)</w:t>
      </w:r>
      <w:r w:rsidRPr="00E7515A">
        <w:rPr>
          <w:rFonts w:ascii="Times New Roman" w:hAnsi="Times New Roman"/>
          <w:sz w:val="22"/>
          <w:szCs w:val="22"/>
        </w:rPr>
        <w:t xml:space="preserve"> the Financial Activities Tax.</w:t>
      </w:r>
      <w:proofErr w:type="gramEnd"/>
      <w:r w:rsidRPr="00E7515A">
        <w:rPr>
          <w:rFonts w:ascii="Times New Roman" w:hAnsi="Times New Roman"/>
          <w:sz w:val="22"/>
          <w:szCs w:val="22"/>
        </w:rPr>
        <w:t xml:space="preserve"> </w:t>
      </w:r>
      <w:r w:rsidR="00D651F0" w:rsidRPr="00E7515A">
        <w:rPr>
          <w:rFonts w:ascii="Times New Roman" w:hAnsi="Times New Roman"/>
          <w:sz w:val="22"/>
          <w:szCs w:val="22"/>
        </w:rPr>
        <w:t xml:space="preserve">NYU </w:t>
      </w:r>
      <w:r w:rsidRPr="00E7515A">
        <w:rPr>
          <w:rFonts w:ascii="Times New Roman" w:hAnsi="Times New Roman"/>
          <w:sz w:val="22"/>
          <w:szCs w:val="22"/>
        </w:rPr>
        <w:t>Law &amp; Economics Research Paper Series Working Paper No. 12-04</w:t>
      </w:r>
      <w:r w:rsidR="00D651F0" w:rsidRPr="00E7515A">
        <w:rPr>
          <w:rFonts w:ascii="Times New Roman" w:hAnsi="Times New Roman"/>
          <w:sz w:val="22"/>
          <w:szCs w:val="22"/>
        </w:rPr>
        <w:t>, New York University School of Law</w:t>
      </w:r>
      <w:r w:rsidRPr="00E7515A">
        <w:rPr>
          <w:rFonts w:ascii="Times New Roman" w:hAnsi="Times New Roman"/>
          <w:sz w:val="22"/>
          <w:szCs w:val="22"/>
        </w:rPr>
        <w:t>.</w:t>
      </w:r>
      <w:r w:rsidR="008E5541" w:rsidRPr="00E7515A">
        <w:rPr>
          <w:rFonts w:ascii="Times New Roman" w:hAnsi="Times New Roman"/>
          <w:sz w:val="22"/>
          <w:szCs w:val="22"/>
        </w:rPr>
        <w:t xml:space="preserve"> </w:t>
      </w:r>
    </w:p>
    <w:p w14:paraId="22E5DE95" w14:textId="77777777" w:rsidR="00F20BE4" w:rsidRPr="00C06F1B" w:rsidRDefault="00F028E3">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t>Shin, H. (2011).</w:t>
      </w:r>
      <w:proofErr w:type="gramEnd"/>
      <w:r w:rsidRPr="00E7515A">
        <w:rPr>
          <w:rFonts w:ascii="Times New Roman" w:hAnsi="Times New Roman"/>
          <w:sz w:val="22"/>
          <w:szCs w:val="22"/>
        </w:rPr>
        <w:t xml:space="preserve"> </w:t>
      </w:r>
      <w:proofErr w:type="spellStart"/>
      <w:proofErr w:type="gramStart"/>
      <w:r w:rsidRPr="00E7515A">
        <w:rPr>
          <w:rFonts w:ascii="Times New Roman" w:hAnsi="Times New Roman"/>
          <w:sz w:val="22"/>
          <w:szCs w:val="22"/>
        </w:rPr>
        <w:t>Macroprudential</w:t>
      </w:r>
      <w:proofErr w:type="spellEnd"/>
      <w:r w:rsidRPr="00E7515A">
        <w:rPr>
          <w:rFonts w:ascii="Times New Roman" w:hAnsi="Times New Roman"/>
          <w:sz w:val="22"/>
          <w:szCs w:val="22"/>
        </w:rPr>
        <w:t xml:space="preserve"> policies beyond </w:t>
      </w:r>
      <w:r w:rsidR="00F20BE4" w:rsidRPr="00E7515A">
        <w:rPr>
          <w:rFonts w:ascii="Times New Roman" w:hAnsi="Times New Roman"/>
          <w:sz w:val="22"/>
          <w:szCs w:val="22"/>
        </w:rPr>
        <w:t>Basel III.</w:t>
      </w:r>
      <w:proofErr w:type="gramEnd"/>
      <w:r w:rsidR="00F20BE4" w:rsidRPr="00E7515A">
        <w:rPr>
          <w:rFonts w:ascii="Times New Roman" w:hAnsi="Times New Roman"/>
          <w:sz w:val="22"/>
          <w:szCs w:val="22"/>
        </w:rPr>
        <w:t xml:space="preserve"> In: BIS Papers No 60.</w:t>
      </w:r>
    </w:p>
    <w:p w14:paraId="6798CD26" w14:textId="77777777" w:rsidR="008E5541" w:rsidRPr="00C06F1B" w:rsidRDefault="008E5541">
      <w:pPr>
        <w:pStyle w:val="CM19"/>
        <w:spacing w:after="310" w:line="296" w:lineRule="atLeast"/>
        <w:jc w:val="both"/>
        <w:rPr>
          <w:rFonts w:ascii="Times New Roman" w:hAnsi="Times New Roman"/>
          <w:sz w:val="22"/>
          <w:szCs w:val="22"/>
        </w:rPr>
      </w:pPr>
      <w:proofErr w:type="gramStart"/>
      <w:r w:rsidRPr="00E7515A">
        <w:rPr>
          <w:rFonts w:ascii="Times New Roman" w:hAnsi="Times New Roman"/>
          <w:sz w:val="22"/>
          <w:szCs w:val="22"/>
        </w:rPr>
        <w:lastRenderedPageBreak/>
        <w:t>Spratt,</w:t>
      </w:r>
      <w:r w:rsidR="00FE25DA" w:rsidRPr="00E7515A">
        <w:rPr>
          <w:rFonts w:ascii="Times New Roman" w:hAnsi="Times New Roman"/>
          <w:sz w:val="22"/>
          <w:szCs w:val="22"/>
        </w:rPr>
        <w:t xml:space="preserve"> </w:t>
      </w:r>
      <w:r w:rsidRPr="00E7515A">
        <w:rPr>
          <w:rFonts w:ascii="Times New Roman" w:hAnsi="Times New Roman"/>
          <w:sz w:val="22"/>
          <w:szCs w:val="22"/>
        </w:rPr>
        <w:t>S. (2006).</w:t>
      </w:r>
      <w:proofErr w:type="gramEnd"/>
      <w:r w:rsidRPr="00E7515A">
        <w:rPr>
          <w:rFonts w:ascii="Times New Roman" w:hAnsi="Times New Roman"/>
          <w:sz w:val="22"/>
          <w:szCs w:val="22"/>
        </w:rPr>
        <w:t xml:space="preserve"> A Sterling Solution: Implementing a Stamp Duty on Sterling to Finance International Development</w:t>
      </w:r>
      <w:r w:rsidR="00D651F0" w:rsidRPr="00E7515A">
        <w:rPr>
          <w:rFonts w:ascii="Times New Roman" w:hAnsi="Times New Roman"/>
          <w:sz w:val="22"/>
          <w:szCs w:val="22"/>
        </w:rPr>
        <w:t>. A Report for</w:t>
      </w:r>
      <w:r w:rsidRPr="00E7515A">
        <w:rPr>
          <w:rFonts w:ascii="Times New Roman" w:hAnsi="Times New Roman"/>
          <w:sz w:val="22"/>
          <w:szCs w:val="22"/>
        </w:rPr>
        <w:t xml:space="preserve"> Stamp </w:t>
      </w:r>
      <w:proofErr w:type="gramStart"/>
      <w:r w:rsidRPr="00E7515A">
        <w:rPr>
          <w:rFonts w:ascii="Times New Roman" w:hAnsi="Times New Roman"/>
          <w:sz w:val="22"/>
          <w:szCs w:val="22"/>
        </w:rPr>
        <w:t>Out</w:t>
      </w:r>
      <w:proofErr w:type="gramEnd"/>
      <w:r w:rsidRPr="00E7515A">
        <w:rPr>
          <w:rFonts w:ascii="Times New Roman" w:hAnsi="Times New Roman"/>
          <w:sz w:val="22"/>
          <w:szCs w:val="22"/>
        </w:rPr>
        <w:t xml:space="preserve"> Poverty</w:t>
      </w:r>
      <w:r w:rsidR="00D651F0" w:rsidRPr="00E7515A">
        <w:rPr>
          <w:rFonts w:ascii="Times New Roman" w:hAnsi="Times New Roman"/>
          <w:sz w:val="22"/>
          <w:szCs w:val="22"/>
        </w:rPr>
        <w:t xml:space="preserve"> by Intelligence Capital Limited,</w:t>
      </w:r>
      <w:r w:rsidRPr="00E7515A">
        <w:rPr>
          <w:rFonts w:ascii="Times New Roman" w:hAnsi="Times New Roman"/>
          <w:sz w:val="22"/>
          <w:szCs w:val="22"/>
        </w:rPr>
        <w:t xml:space="preserve"> London. </w:t>
      </w:r>
    </w:p>
    <w:p w14:paraId="6B0A9D24" w14:textId="1A2B915A" w:rsidR="006519D5" w:rsidRPr="00E7515A" w:rsidRDefault="008E5541" w:rsidP="00E7515A">
      <w:pPr>
        <w:pStyle w:val="CM19"/>
        <w:spacing w:after="310" w:line="296" w:lineRule="atLeast"/>
        <w:jc w:val="both"/>
      </w:pPr>
      <w:proofErr w:type="spellStart"/>
      <w:r w:rsidRPr="00331488">
        <w:rPr>
          <w:rFonts w:ascii="Times New Roman" w:hAnsi="Times New Roman"/>
          <w:sz w:val="22"/>
          <w:szCs w:val="22"/>
        </w:rPr>
        <w:t>Staderini</w:t>
      </w:r>
      <w:proofErr w:type="spellEnd"/>
      <w:r w:rsidRPr="00331488">
        <w:rPr>
          <w:rFonts w:ascii="Times New Roman" w:hAnsi="Times New Roman"/>
          <w:sz w:val="22"/>
          <w:szCs w:val="22"/>
        </w:rPr>
        <w:t>, A. (2001). Tax Reforms to Influence Corporate Financial Policy: The Case of the Italian Business Tax Reform of 1997</w:t>
      </w:r>
      <w:r w:rsidR="005A474E" w:rsidRPr="00E7515A">
        <w:rPr>
          <w:rFonts w:ascii="Times New Roman" w:hAnsi="Times New Roman"/>
        </w:rPr>
        <w:t>-</w:t>
      </w:r>
      <w:r w:rsidRPr="00C06F1B">
        <w:rPr>
          <w:rFonts w:ascii="Times New Roman" w:hAnsi="Times New Roman"/>
          <w:sz w:val="22"/>
          <w:szCs w:val="22"/>
        </w:rPr>
        <w:t xml:space="preserve">98. </w:t>
      </w:r>
      <w:r w:rsidR="009107D9" w:rsidRPr="00C06F1B">
        <w:rPr>
          <w:rFonts w:ascii="Times New Roman" w:hAnsi="Times New Roman"/>
          <w:sz w:val="22"/>
          <w:szCs w:val="22"/>
        </w:rPr>
        <w:t xml:space="preserve">Working Paper No. 423, Rome: </w:t>
      </w:r>
      <w:r w:rsidRPr="00C06F1B">
        <w:rPr>
          <w:rFonts w:ascii="Times New Roman" w:hAnsi="Times New Roman"/>
          <w:sz w:val="22"/>
          <w:szCs w:val="22"/>
        </w:rPr>
        <w:t xml:space="preserve">Banca </w:t>
      </w:r>
      <w:proofErr w:type="spellStart"/>
      <w:r w:rsidRPr="00C06F1B">
        <w:rPr>
          <w:rFonts w:ascii="Times New Roman" w:hAnsi="Times New Roman"/>
          <w:sz w:val="22"/>
          <w:szCs w:val="22"/>
        </w:rPr>
        <w:t>d'Italia</w:t>
      </w:r>
      <w:proofErr w:type="spellEnd"/>
      <w:r w:rsidRPr="00C06F1B">
        <w:rPr>
          <w:rFonts w:ascii="Times New Roman" w:hAnsi="Times New Roman"/>
          <w:sz w:val="22"/>
          <w:szCs w:val="22"/>
        </w:rPr>
        <w:t xml:space="preserve"> </w:t>
      </w:r>
    </w:p>
    <w:p w14:paraId="113B5555" w14:textId="77777777" w:rsidR="00085A06" w:rsidRDefault="00085A06" w:rsidP="002B411F">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Tobin</w:t>
      </w:r>
      <w:r w:rsidR="00382484" w:rsidRPr="00E7515A">
        <w:rPr>
          <w:rFonts w:ascii="Times New Roman" w:hAnsi="Times New Roman"/>
          <w:sz w:val="22"/>
          <w:szCs w:val="22"/>
        </w:rPr>
        <w:t>, J.</w:t>
      </w:r>
      <w:r w:rsidRPr="00E7515A">
        <w:rPr>
          <w:rFonts w:ascii="Times New Roman" w:hAnsi="Times New Roman"/>
          <w:sz w:val="22"/>
          <w:szCs w:val="22"/>
        </w:rPr>
        <w:t xml:space="preserve"> (1978). </w:t>
      </w:r>
      <w:proofErr w:type="gramStart"/>
      <w:r w:rsidRPr="00E7515A">
        <w:rPr>
          <w:rFonts w:ascii="Times New Roman" w:hAnsi="Times New Roman"/>
          <w:sz w:val="22"/>
          <w:szCs w:val="22"/>
        </w:rPr>
        <w:t>A Proposal for International Monetary Reform.</w:t>
      </w:r>
      <w:proofErr w:type="gramEnd"/>
      <w:r w:rsidRPr="00E7515A">
        <w:rPr>
          <w:rFonts w:ascii="Times New Roman" w:hAnsi="Times New Roman"/>
          <w:sz w:val="22"/>
          <w:szCs w:val="22"/>
        </w:rPr>
        <w:t xml:space="preserve"> Eastern Economic Journal (Eastern Economic Association): 153–159.</w:t>
      </w:r>
    </w:p>
    <w:p w14:paraId="242760DD" w14:textId="77777777" w:rsidR="00533502" w:rsidRPr="00E7515A" w:rsidRDefault="00533502" w:rsidP="00E7515A">
      <w:pPr>
        <w:pStyle w:val="CM19"/>
        <w:spacing w:after="310" w:line="296" w:lineRule="atLeast"/>
        <w:jc w:val="both"/>
        <w:rPr>
          <w:rFonts w:ascii="Times New Roman" w:hAnsi="Times New Roman"/>
          <w:sz w:val="22"/>
          <w:szCs w:val="22"/>
        </w:rPr>
      </w:pPr>
      <w:r w:rsidRPr="00E7515A">
        <w:rPr>
          <w:rFonts w:ascii="Times New Roman" w:hAnsi="Times New Roman"/>
          <w:sz w:val="22"/>
          <w:szCs w:val="22"/>
        </w:rPr>
        <w:t xml:space="preserve">Tobin, J. (1984). </w:t>
      </w:r>
      <w:proofErr w:type="gramStart"/>
      <w:r w:rsidRPr="00E7515A">
        <w:rPr>
          <w:rFonts w:ascii="Times New Roman" w:hAnsi="Times New Roman"/>
          <w:sz w:val="22"/>
          <w:szCs w:val="22"/>
        </w:rPr>
        <w:t>On the Efficiency of the Financial System, Lloyds Bank Review, July 1984, 1-15.</w:t>
      </w:r>
      <w:proofErr w:type="gramEnd"/>
      <w:r w:rsidRPr="00E7515A">
        <w:rPr>
          <w:rFonts w:ascii="Times New Roman" w:hAnsi="Times New Roman"/>
          <w:sz w:val="22"/>
          <w:szCs w:val="22"/>
        </w:rPr>
        <w:t xml:space="preserve"> </w:t>
      </w:r>
    </w:p>
    <w:p w14:paraId="721F2344" w14:textId="77777777" w:rsidR="00CB1B88" w:rsidRPr="00C06F1B" w:rsidRDefault="00695814" w:rsidP="00695814">
      <w:pPr>
        <w:pStyle w:val="CM19"/>
        <w:spacing w:after="310" w:line="296" w:lineRule="atLeast"/>
        <w:jc w:val="both"/>
        <w:rPr>
          <w:rFonts w:ascii="Times New Roman" w:hAnsi="Times New Roman"/>
          <w:sz w:val="22"/>
          <w:szCs w:val="22"/>
        </w:rPr>
      </w:pPr>
      <w:proofErr w:type="spellStart"/>
      <w:r w:rsidRPr="00E7515A">
        <w:rPr>
          <w:rFonts w:ascii="Times New Roman" w:hAnsi="Times New Roman"/>
          <w:sz w:val="22"/>
          <w:szCs w:val="22"/>
        </w:rPr>
        <w:t>Um</w:t>
      </w:r>
      <w:r w:rsidR="002F5BCA" w:rsidRPr="00E7515A">
        <w:rPr>
          <w:rFonts w:ascii="Times New Roman" w:hAnsi="Times New Roman"/>
          <w:sz w:val="22"/>
          <w:szCs w:val="22"/>
        </w:rPr>
        <w:t>lauf</w:t>
      </w:r>
      <w:proofErr w:type="spellEnd"/>
      <w:r w:rsidR="002F5BCA" w:rsidRPr="00E7515A">
        <w:rPr>
          <w:rFonts w:ascii="Times New Roman" w:hAnsi="Times New Roman"/>
          <w:sz w:val="22"/>
          <w:szCs w:val="22"/>
        </w:rPr>
        <w:t xml:space="preserve">, S.R. (1993). </w:t>
      </w:r>
      <w:proofErr w:type="gramStart"/>
      <w:r w:rsidR="002F5BCA" w:rsidRPr="00E7515A">
        <w:rPr>
          <w:rFonts w:ascii="Times New Roman" w:hAnsi="Times New Roman"/>
          <w:sz w:val="22"/>
          <w:szCs w:val="22"/>
        </w:rPr>
        <w:t>Transaction T</w:t>
      </w:r>
      <w:r w:rsidRPr="00E7515A">
        <w:rPr>
          <w:rFonts w:ascii="Times New Roman" w:hAnsi="Times New Roman"/>
          <w:sz w:val="22"/>
          <w:szCs w:val="22"/>
        </w:rPr>
        <w:t xml:space="preserve">axes and the </w:t>
      </w:r>
      <w:r w:rsidR="002F5BCA" w:rsidRPr="00E7515A">
        <w:rPr>
          <w:rFonts w:ascii="Times New Roman" w:hAnsi="Times New Roman"/>
          <w:sz w:val="22"/>
          <w:szCs w:val="22"/>
        </w:rPr>
        <w:t>B</w:t>
      </w:r>
      <w:r w:rsidRPr="00E7515A">
        <w:rPr>
          <w:rFonts w:ascii="Times New Roman" w:hAnsi="Times New Roman"/>
          <w:sz w:val="22"/>
          <w:szCs w:val="22"/>
        </w:rPr>
        <w:t xml:space="preserve">ehaviour of the Swedish </w:t>
      </w:r>
      <w:r w:rsidR="002F5BCA" w:rsidRPr="00E7515A">
        <w:rPr>
          <w:rFonts w:ascii="Times New Roman" w:hAnsi="Times New Roman"/>
          <w:sz w:val="22"/>
          <w:szCs w:val="22"/>
        </w:rPr>
        <w:t>S</w:t>
      </w:r>
      <w:r w:rsidRPr="00E7515A">
        <w:rPr>
          <w:rFonts w:ascii="Times New Roman" w:hAnsi="Times New Roman"/>
          <w:sz w:val="22"/>
          <w:szCs w:val="22"/>
        </w:rPr>
        <w:t xml:space="preserve">tock </w:t>
      </w:r>
      <w:r w:rsidR="002F5BCA" w:rsidRPr="00E7515A">
        <w:rPr>
          <w:rFonts w:ascii="Times New Roman" w:hAnsi="Times New Roman"/>
          <w:sz w:val="22"/>
          <w:szCs w:val="22"/>
        </w:rPr>
        <w:t>M</w:t>
      </w:r>
      <w:r w:rsidRPr="00E7515A">
        <w:rPr>
          <w:rFonts w:ascii="Times New Roman" w:hAnsi="Times New Roman"/>
          <w:sz w:val="22"/>
          <w:szCs w:val="22"/>
        </w:rPr>
        <w:t>arket.</w:t>
      </w:r>
      <w:proofErr w:type="gramEnd"/>
      <w:r w:rsidRPr="00E7515A">
        <w:rPr>
          <w:rFonts w:ascii="Times New Roman" w:hAnsi="Times New Roman"/>
          <w:sz w:val="22"/>
          <w:szCs w:val="22"/>
        </w:rPr>
        <w:t xml:space="preserve"> Journal of Financial Economics,</w:t>
      </w:r>
      <w:r w:rsidR="00810B36" w:rsidRPr="00E7515A">
        <w:rPr>
          <w:rFonts w:ascii="Times New Roman" w:hAnsi="Times New Roman"/>
          <w:sz w:val="22"/>
          <w:szCs w:val="22"/>
        </w:rPr>
        <w:t xml:space="preserve"> 33(2)</w:t>
      </w:r>
      <w:r w:rsidRPr="00E7515A">
        <w:rPr>
          <w:rFonts w:ascii="Times New Roman" w:hAnsi="Times New Roman"/>
          <w:sz w:val="22"/>
          <w:szCs w:val="22"/>
        </w:rPr>
        <w:t>: 2</w:t>
      </w:r>
      <w:r w:rsidR="00810B36" w:rsidRPr="00E7515A">
        <w:rPr>
          <w:rFonts w:ascii="Times New Roman" w:hAnsi="Times New Roman"/>
          <w:sz w:val="22"/>
          <w:szCs w:val="22"/>
        </w:rPr>
        <w:t>2</w:t>
      </w:r>
      <w:r w:rsidRPr="00E7515A">
        <w:rPr>
          <w:rFonts w:ascii="Times New Roman" w:hAnsi="Times New Roman"/>
          <w:sz w:val="22"/>
          <w:szCs w:val="22"/>
        </w:rPr>
        <w:t>7</w:t>
      </w:r>
      <w:r w:rsidR="001C2B81" w:rsidRPr="00E7515A">
        <w:rPr>
          <w:rFonts w:ascii="Times New Roman" w:hAnsi="Times New Roman"/>
          <w:sz w:val="22"/>
          <w:szCs w:val="22"/>
        </w:rPr>
        <w:t>-</w:t>
      </w:r>
      <w:r w:rsidR="00810B36" w:rsidRPr="00C06F1B">
        <w:rPr>
          <w:rFonts w:ascii="Times New Roman" w:hAnsi="Times New Roman"/>
          <w:sz w:val="22"/>
          <w:szCs w:val="22"/>
        </w:rPr>
        <w:t>240</w:t>
      </w:r>
      <w:r w:rsidRPr="00C06F1B">
        <w:rPr>
          <w:rFonts w:ascii="Times New Roman" w:hAnsi="Times New Roman"/>
          <w:sz w:val="22"/>
          <w:szCs w:val="22"/>
        </w:rPr>
        <w:t>.</w:t>
      </w:r>
    </w:p>
    <w:p w14:paraId="2F98CA16" w14:textId="77777777" w:rsidR="00A93CF1" w:rsidRPr="00C06F1B" w:rsidRDefault="00A93CF1" w:rsidP="00A93CF1">
      <w:pPr>
        <w:pStyle w:val="CM19"/>
        <w:spacing w:after="310"/>
        <w:jc w:val="both"/>
        <w:rPr>
          <w:rFonts w:ascii="Times New Roman" w:hAnsi="Times New Roman"/>
          <w:sz w:val="22"/>
          <w:szCs w:val="22"/>
        </w:rPr>
      </w:pPr>
      <w:proofErr w:type="gramStart"/>
      <w:r w:rsidRPr="00C06F1B">
        <w:rPr>
          <w:rFonts w:ascii="Times New Roman" w:hAnsi="Times New Roman"/>
          <w:sz w:val="22"/>
          <w:szCs w:val="22"/>
        </w:rPr>
        <w:t>United Nations (2010).</w:t>
      </w:r>
      <w:proofErr w:type="gramEnd"/>
      <w:r w:rsidRPr="00C06F1B">
        <w:rPr>
          <w:rFonts w:ascii="Times New Roman" w:hAnsi="Times New Roman"/>
          <w:sz w:val="22"/>
          <w:szCs w:val="22"/>
        </w:rPr>
        <w:t xml:space="preserve"> </w:t>
      </w:r>
      <w:proofErr w:type="gramStart"/>
      <w:r w:rsidRPr="00C06F1B">
        <w:rPr>
          <w:rFonts w:ascii="Times New Roman" w:hAnsi="Times New Roman"/>
          <w:sz w:val="22"/>
          <w:szCs w:val="22"/>
        </w:rPr>
        <w:t>Report of the Secretary-General’s High-level Advisory Group on Climate Change Financing.</w:t>
      </w:r>
      <w:proofErr w:type="gramEnd"/>
      <w:r w:rsidRPr="00C06F1B">
        <w:rPr>
          <w:rFonts w:ascii="Times New Roman" w:hAnsi="Times New Roman"/>
          <w:sz w:val="22"/>
          <w:szCs w:val="22"/>
        </w:rPr>
        <w:t xml:space="preserve"> New York: United Nations Framework Convention on Climate Change (UNFCCC).</w:t>
      </w:r>
    </w:p>
    <w:p w14:paraId="138D7481" w14:textId="77777777" w:rsidR="008E5541" w:rsidRPr="00C06F1B" w:rsidRDefault="008E5541">
      <w:pPr>
        <w:pStyle w:val="CM6"/>
        <w:jc w:val="both"/>
        <w:rPr>
          <w:rFonts w:ascii="Times New Roman" w:hAnsi="Times New Roman"/>
          <w:sz w:val="22"/>
          <w:szCs w:val="22"/>
        </w:rPr>
      </w:pPr>
      <w:proofErr w:type="spellStart"/>
      <w:proofErr w:type="gramStart"/>
      <w:r w:rsidRPr="00C06F1B">
        <w:rPr>
          <w:rFonts w:ascii="Times New Roman" w:hAnsi="Times New Roman"/>
          <w:sz w:val="22"/>
          <w:szCs w:val="22"/>
        </w:rPr>
        <w:t>Weichenrieder</w:t>
      </w:r>
      <w:proofErr w:type="spellEnd"/>
      <w:r w:rsidRPr="00C06F1B">
        <w:rPr>
          <w:rFonts w:ascii="Times New Roman" w:hAnsi="Times New Roman"/>
          <w:sz w:val="22"/>
          <w:szCs w:val="22"/>
        </w:rPr>
        <w:t>, A.</w:t>
      </w:r>
      <w:r w:rsidR="00A15408" w:rsidRPr="00C06F1B">
        <w:rPr>
          <w:rFonts w:ascii="Times New Roman" w:hAnsi="Times New Roman"/>
          <w:sz w:val="22"/>
          <w:szCs w:val="22"/>
        </w:rPr>
        <w:t xml:space="preserve"> </w:t>
      </w:r>
      <w:r w:rsidR="003D6294" w:rsidRPr="00E7515A">
        <w:rPr>
          <w:rFonts w:ascii="Times New Roman" w:hAnsi="Times New Roman"/>
          <w:sz w:val="22"/>
          <w:szCs w:val="22"/>
        </w:rPr>
        <w:t>&amp;</w:t>
      </w:r>
      <w:r w:rsidRPr="00E7515A">
        <w:rPr>
          <w:rFonts w:ascii="Times New Roman" w:hAnsi="Times New Roman"/>
          <w:sz w:val="22"/>
          <w:szCs w:val="22"/>
        </w:rPr>
        <w:t xml:space="preserve"> </w:t>
      </w:r>
      <w:proofErr w:type="spellStart"/>
      <w:r w:rsidRPr="00E7515A">
        <w:rPr>
          <w:rFonts w:ascii="Times New Roman" w:hAnsi="Times New Roman"/>
          <w:sz w:val="22"/>
          <w:szCs w:val="22"/>
        </w:rPr>
        <w:t>Klautke</w:t>
      </w:r>
      <w:proofErr w:type="spellEnd"/>
      <w:r w:rsidRPr="00E7515A">
        <w:rPr>
          <w:rFonts w:ascii="Times New Roman" w:hAnsi="Times New Roman"/>
          <w:sz w:val="22"/>
          <w:szCs w:val="22"/>
        </w:rPr>
        <w:t>, T</w:t>
      </w:r>
      <w:r w:rsidR="006474A6" w:rsidRPr="00E7515A">
        <w:rPr>
          <w:rFonts w:ascii="Times New Roman" w:hAnsi="Times New Roman"/>
          <w:sz w:val="22"/>
          <w:szCs w:val="22"/>
        </w:rPr>
        <w:t>.</w:t>
      </w:r>
      <w:r w:rsidRPr="00E7515A">
        <w:rPr>
          <w:rFonts w:ascii="Times New Roman" w:hAnsi="Times New Roman"/>
          <w:sz w:val="22"/>
          <w:szCs w:val="22"/>
        </w:rPr>
        <w:t xml:space="preserve"> (2008).</w:t>
      </w:r>
      <w:proofErr w:type="gramEnd"/>
      <w:r w:rsidRPr="00E7515A">
        <w:rPr>
          <w:rFonts w:ascii="Times New Roman" w:hAnsi="Times New Roman"/>
          <w:sz w:val="22"/>
          <w:szCs w:val="22"/>
        </w:rPr>
        <w:t xml:space="preserve"> </w:t>
      </w:r>
      <w:proofErr w:type="gramStart"/>
      <w:r w:rsidRPr="00E7515A">
        <w:rPr>
          <w:rFonts w:ascii="Times New Roman" w:hAnsi="Times New Roman"/>
          <w:sz w:val="22"/>
          <w:szCs w:val="22"/>
        </w:rPr>
        <w:t>Taxes and the Efficiency Costs of Capital Distortions.</w:t>
      </w:r>
      <w:proofErr w:type="gramEnd"/>
      <w:r w:rsidRPr="00E7515A">
        <w:rPr>
          <w:rFonts w:ascii="Times New Roman" w:hAnsi="Times New Roman"/>
          <w:sz w:val="22"/>
          <w:szCs w:val="22"/>
        </w:rPr>
        <w:t xml:space="preserve"> </w:t>
      </w:r>
      <w:proofErr w:type="spellStart"/>
      <w:r w:rsidRPr="00E7515A">
        <w:rPr>
          <w:rFonts w:ascii="Times New Roman" w:hAnsi="Times New Roman"/>
          <w:sz w:val="22"/>
          <w:szCs w:val="22"/>
        </w:rPr>
        <w:t>CESifo</w:t>
      </w:r>
      <w:proofErr w:type="spellEnd"/>
      <w:r w:rsidRPr="00E7515A">
        <w:rPr>
          <w:rFonts w:ascii="Times New Roman" w:hAnsi="Times New Roman"/>
          <w:sz w:val="22"/>
          <w:szCs w:val="22"/>
        </w:rPr>
        <w:t xml:space="preserve"> Working Paper No. 243</w:t>
      </w:r>
      <w:r w:rsidR="003D6294" w:rsidRPr="00E7515A">
        <w:rPr>
          <w:rFonts w:ascii="Times New Roman" w:hAnsi="Times New Roman"/>
          <w:sz w:val="22"/>
          <w:szCs w:val="22"/>
        </w:rPr>
        <w:t>1, Leibniz Institute for Economic Research at the University of Munich, Munich.</w:t>
      </w:r>
    </w:p>
    <w:p w14:paraId="57D9B355" w14:textId="77777777" w:rsidR="006474A6" w:rsidRPr="00E7515A" w:rsidRDefault="006474A6" w:rsidP="00EC4559">
      <w:pPr>
        <w:pStyle w:val="Default"/>
        <w:rPr>
          <w:rFonts w:ascii="Times New Roman" w:hAnsi="Times New Roman" w:cs="Times New Roman"/>
          <w:color w:val="auto"/>
          <w:sz w:val="22"/>
          <w:szCs w:val="22"/>
        </w:rPr>
      </w:pPr>
    </w:p>
    <w:bookmarkEnd w:id="3"/>
    <w:bookmarkEnd w:id="4"/>
    <w:p w14:paraId="69C9C043" w14:textId="77777777" w:rsidR="00BB47ED" w:rsidRPr="00C06F1B" w:rsidRDefault="00BB47ED">
      <w:pPr>
        <w:spacing w:after="0" w:line="240" w:lineRule="auto"/>
        <w:rPr>
          <w:rFonts w:ascii="Times New Roman" w:hAnsi="Times New Roman"/>
        </w:rPr>
        <w:sectPr w:rsidR="00BB47ED" w:rsidRPr="00C06F1B" w:rsidSect="00621251">
          <w:footerReference w:type="default" r:id="rId16"/>
          <w:pgSz w:w="11907" w:h="16839" w:code="9"/>
          <w:pgMar w:top="1440" w:right="1440" w:bottom="1440" w:left="1440" w:header="720" w:footer="720" w:gutter="0"/>
          <w:cols w:space="720"/>
          <w:noEndnote/>
          <w:docGrid w:linePitch="299"/>
        </w:sectPr>
      </w:pPr>
    </w:p>
    <w:p w14:paraId="032AC6B9" w14:textId="1CE38CD6" w:rsidR="002661D5" w:rsidRPr="00C06F1B" w:rsidRDefault="00E17BBE">
      <w:pPr>
        <w:spacing w:after="0" w:line="240" w:lineRule="auto"/>
        <w:rPr>
          <w:rFonts w:ascii="Times New Roman" w:hAnsi="Times New Roman"/>
        </w:rPr>
      </w:pPr>
      <w:r w:rsidRPr="00E7515A">
        <w:rPr>
          <w:rFonts w:ascii="Times New Roman" w:hAnsi="Times New Roman"/>
        </w:rPr>
        <w:lastRenderedPageBreak/>
        <w:t>7. Appendix</w:t>
      </w:r>
    </w:p>
    <w:p w14:paraId="380B19A4" w14:textId="77777777" w:rsidR="00E17BBE" w:rsidRPr="00C06F1B" w:rsidRDefault="00E17BBE">
      <w:pPr>
        <w:spacing w:after="0" w:line="240" w:lineRule="auto"/>
        <w:rPr>
          <w:rFonts w:ascii="Times New Roman" w:hAnsi="Times New Roman"/>
        </w:rPr>
      </w:pPr>
    </w:p>
    <w:p w14:paraId="609EA291" w14:textId="66D2CC8D" w:rsidR="00E17BBE" w:rsidRPr="00C06F1B" w:rsidRDefault="00E17BBE">
      <w:pPr>
        <w:spacing w:after="0" w:line="240" w:lineRule="auto"/>
        <w:rPr>
          <w:rFonts w:ascii="Times New Roman" w:hAnsi="Times New Roman"/>
        </w:rPr>
      </w:pPr>
      <w:r w:rsidRPr="00E7515A">
        <w:rPr>
          <w:rFonts w:ascii="Times New Roman" w:hAnsi="Times New Roman"/>
          <w:noProof/>
        </w:rPr>
        <w:drawing>
          <wp:inline distT="0" distB="0" distL="0" distR="0" wp14:anchorId="70B25C2B" wp14:editId="162AD1CF">
            <wp:extent cx="8863965" cy="369175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965" cy="3691758"/>
                    </a:xfrm>
                    <a:prstGeom prst="rect">
                      <a:avLst/>
                    </a:prstGeom>
                    <a:noFill/>
                    <a:ln>
                      <a:noFill/>
                    </a:ln>
                  </pic:spPr>
                </pic:pic>
              </a:graphicData>
            </a:graphic>
          </wp:inline>
        </w:drawing>
      </w:r>
    </w:p>
    <w:p w14:paraId="03BFBC62" w14:textId="77777777" w:rsidR="00E17BBE" w:rsidRPr="00C06F1B" w:rsidRDefault="00E17BBE">
      <w:pPr>
        <w:spacing w:after="0" w:line="240" w:lineRule="auto"/>
        <w:rPr>
          <w:rFonts w:ascii="Times New Roman" w:hAnsi="Times New Roman"/>
        </w:rPr>
      </w:pPr>
    </w:p>
    <w:p w14:paraId="6DAAA855" w14:textId="77777777" w:rsidR="00E17BBE" w:rsidRPr="00C06F1B" w:rsidRDefault="00E17BBE">
      <w:pPr>
        <w:spacing w:after="0" w:line="240" w:lineRule="auto"/>
        <w:rPr>
          <w:rFonts w:ascii="Times New Roman" w:hAnsi="Times New Roman"/>
        </w:rPr>
      </w:pPr>
    </w:p>
    <w:p w14:paraId="4708AF94" w14:textId="77777777" w:rsidR="00E17BBE" w:rsidRPr="00C06F1B" w:rsidRDefault="00E17BBE">
      <w:pPr>
        <w:spacing w:after="0" w:line="240" w:lineRule="auto"/>
        <w:rPr>
          <w:rFonts w:ascii="Times New Roman" w:hAnsi="Times New Roman"/>
        </w:rPr>
      </w:pPr>
    </w:p>
    <w:p w14:paraId="33448D6B" w14:textId="77777777" w:rsidR="00E17BBE" w:rsidRPr="00C06F1B" w:rsidRDefault="00E17BBE">
      <w:pPr>
        <w:spacing w:after="0" w:line="240" w:lineRule="auto"/>
        <w:rPr>
          <w:rFonts w:ascii="Times New Roman" w:hAnsi="Times New Roman"/>
        </w:rPr>
      </w:pPr>
    </w:p>
    <w:p w14:paraId="67F214BD" w14:textId="77777777" w:rsidR="00E17BBE" w:rsidRPr="00C06F1B" w:rsidRDefault="00E17BBE">
      <w:pPr>
        <w:spacing w:after="0" w:line="240" w:lineRule="auto"/>
        <w:rPr>
          <w:rFonts w:ascii="Times New Roman" w:hAnsi="Times New Roman"/>
        </w:rPr>
      </w:pPr>
    </w:p>
    <w:p w14:paraId="4D1292D1" w14:textId="77777777" w:rsidR="00E17BBE" w:rsidRPr="00C06F1B" w:rsidRDefault="00E17BBE">
      <w:pPr>
        <w:spacing w:after="0" w:line="240" w:lineRule="auto"/>
        <w:rPr>
          <w:rFonts w:ascii="Times New Roman" w:hAnsi="Times New Roman"/>
        </w:rPr>
      </w:pPr>
    </w:p>
    <w:p w14:paraId="5C9734F0" w14:textId="77777777" w:rsidR="00E17BBE" w:rsidRPr="00C06F1B" w:rsidRDefault="00E17BBE">
      <w:pPr>
        <w:spacing w:after="0" w:line="240" w:lineRule="auto"/>
        <w:rPr>
          <w:rFonts w:ascii="Times New Roman" w:hAnsi="Times New Roman"/>
        </w:rPr>
      </w:pPr>
    </w:p>
    <w:p w14:paraId="2FD6D34D" w14:textId="77777777" w:rsidR="00E17BBE" w:rsidRPr="00C06F1B" w:rsidRDefault="00E17BBE">
      <w:pPr>
        <w:spacing w:after="0" w:line="240" w:lineRule="auto"/>
        <w:rPr>
          <w:rFonts w:ascii="Times New Roman" w:hAnsi="Times New Roman"/>
        </w:rPr>
      </w:pPr>
    </w:p>
    <w:p w14:paraId="5F74EAF7" w14:textId="77777777" w:rsidR="00E17BBE" w:rsidRPr="00C06F1B" w:rsidRDefault="00E17BBE">
      <w:pPr>
        <w:spacing w:after="0" w:line="240" w:lineRule="auto"/>
        <w:rPr>
          <w:rFonts w:ascii="Times New Roman" w:hAnsi="Times New Roman"/>
        </w:rPr>
      </w:pPr>
    </w:p>
    <w:p w14:paraId="2366F633" w14:textId="77777777" w:rsidR="00E17BBE" w:rsidRPr="00C06F1B" w:rsidRDefault="00E17BBE">
      <w:pPr>
        <w:spacing w:after="0" w:line="240" w:lineRule="auto"/>
        <w:rPr>
          <w:rFonts w:ascii="Times New Roman" w:hAnsi="Times New Roman"/>
        </w:rPr>
      </w:pPr>
    </w:p>
    <w:p w14:paraId="080B84A1" w14:textId="77777777" w:rsidR="0005734F" w:rsidRPr="00C06F1B" w:rsidRDefault="00E17BBE">
      <w:pPr>
        <w:spacing w:after="0" w:line="240" w:lineRule="auto"/>
        <w:rPr>
          <w:rFonts w:ascii="Times New Roman" w:hAnsi="Times New Roman"/>
        </w:rPr>
        <w:sectPr w:rsidR="0005734F" w:rsidRPr="00C06F1B" w:rsidSect="00E17BBE">
          <w:pgSz w:w="16839" w:h="11907" w:orient="landscape" w:code="9"/>
          <w:pgMar w:top="1440" w:right="1440" w:bottom="1440" w:left="1440" w:header="720" w:footer="720" w:gutter="0"/>
          <w:cols w:space="720"/>
          <w:noEndnote/>
          <w:docGrid w:linePitch="299"/>
        </w:sectPr>
      </w:pPr>
      <w:r w:rsidRPr="00E7515A">
        <w:rPr>
          <w:rFonts w:ascii="Times New Roman" w:hAnsi="Times New Roman"/>
          <w:noProof/>
        </w:rPr>
        <w:lastRenderedPageBreak/>
        <w:drawing>
          <wp:inline distT="0" distB="0" distL="0" distR="0" wp14:anchorId="7EDD4744" wp14:editId="118ECA0A">
            <wp:extent cx="8863965" cy="489975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965" cy="4899753"/>
                    </a:xfrm>
                    <a:prstGeom prst="rect">
                      <a:avLst/>
                    </a:prstGeom>
                    <a:noFill/>
                    <a:ln>
                      <a:noFill/>
                    </a:ln>
                  </pic:spPr>
                </pic:pic>
              </a:graphicData>
            </a:graphic>
          </wp:inline>
        </w:drawing>
      </w:r>
    </w:p>
    <w:p w14:paraId="3FFFCEA8" w14:textId="3ADFE9DA" w:rsidR="00E17BBE" w:rsidRPr="00C06F1B" w:rsidRDefault="0005734F">
      <w:pPr>
        <w:spacing w:after="0" w:line="240" w:lineRule="auto"/>
        <w:rPr>
          <w:rFonts w:ascii="Times New Roman" w:hAnsi="Times New Roman"/>
        </w:rPr>
      </w:pPr>
      <w:r w:rsidRPr="00E7515A">
        <w:rPr>
          <w:rFonts w:ascii="Times New Roman" w:hAnsi="Times New Roman"/>
          <w:noProof/>
        </w:rPr>
        <w:lastRenderedPageBreak/>
        <w:drawing>
          <wp:inline distT="0" distB="0" distL="0" distR="0" wp14:anchorId="66A04410" wp14:editId="429EE530">
            <wp:extent cx="5732145" cy="2860077"/>
            <wp:effectExtent l="0" t="0" r="825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2860077"/>
                    </a:xfrm>
                    <a:prstGeom prst="rect">
                      <a:avLst/>
                    </a:prstGeom>
                    <a:noFill/>
                    <a:ln>
                      <a:noFill/>
                    </a:ln>
                  </pic:spPr>
                </pic:pic>
              </a:graphicData>
            </a:graphic>
          </wp:inline>
        </w:drawing>
      </w:r>
    </w:p>
    <w:p w14:paraId="64CB2F16" w14:textId="77777777" w:rsidR="0005734F" w:rsidRPr="00C06F1B" w:rsidRDefault="0005734F">
      <w:pPr>
        <w:spacing w:after="0" w:line="240" w:lineRule="auto"/>
        <w:rPr>
          <w:rFonts w:ascii="Times New Roman" w:hAnsi="Times New Roman"/>
        </w:rPr>
      </w:pPr>
    </w:p>
    <w:p w14:paraId="61DA5839" w14:textId="77777777" w:rsidR="0005734F" w:rsidRPr="00C06F1B" w:rsidRDefault="0005734F">
      <w:pPr>
        <w:spacing w:after="0" w:line="240" w:lineRule="auto"/>
        <w:rPr>
          <w:rFonts w:ascii="Times New Roman" w:hAnsi="Times New Roman"/>
        </w:rPr>
      </w:pPr>
    </w:p>
    <w:p w14:paraId="10777EDE" w14:textId="77777777" w:rsidR="0005734F" w:rsidRPr="00C06F1B" w:rsidRDefault="0005734F">
      <w:pPr>
        <w:spacing w:after="0" w:line="240" w:lineRule="auto"/>
        <w:rPr>
          <w:rFonts w:ascii="Times New Roman" w:hAnsi="Times New Roman"/>
        </w:rPr>
      </w:pPr>
    </w:p>
    <w:p w14:paraId="4A0E3E3D" w14:textId="77777777" w:rsidR="004A754C" w:rsidRPr="00C06F1B" w:rsidRDefault="004A754C">
      <w:pPr>
        <w:spacing w:after="0" w:line="240" w:lineRule="auto"/>
        <w:rPr>
          <w:rFonts w:ascii="Times New Roman" w:hAnsi="Times New Roman"/>
        </w:rPr>
      </w:pPr>
    </w:p>
    <w:p w14:paraId="1F768AAC" w14:textId="77777777" w:rsidR="004A754C" w:rsidRPr="00C06F1B" w:rsidRDefault="004A754C">
      <w:pPr>
        <w:spacing w:after="0" w:line="240" w:lineRule="auto"/>
        <w:rPr>
          <w:rFonts w:ascii="Times New Roman" w:hAnsi="Times New Roman"/>
        </w:rPr>
      </w:pPr>
    </w:p>
    <w:p w14:paraId="21B29A2A" w14:textId="77777777" w:rsidR="004A754C" w:rsidRPr="00C06F1B" w:rsidRDefault="004A754C">
      <w:pPr>
        <w:spacing w:after="0" w:line="240" w:lineRule="auto"/>
        <w:rPr>
          <w:rFonts w:ascii="Times New Roman" w:hAnsi="Times New Roman"/>
        </w:rPr>
      </w:pPr>
    </w:p>
    <w:p w14:paraId="5BD10124" w14:textId="77777777" w:rsidR="004A754C" w:rsidRPr="00C06F1B" w:rsidRDefault="004A754C">
      <w:pPr>
        <w:spacing w:after="0" w:line="240" w:lineRule="auto"/>
        <w:rPr>
          <w:rFonts w:ascii="Times New Roman" w:hAnsi="Times New Roman"/>
        </w:rPr>
      </w:pPr>
    </w:p>
    <w:p w14:paraId="7C25B1A5" w14:textId="77777777" w:rsidR="004A754C" w:rsidRPr="00C06F1B" w:rsidRDefault="004A754C">
      <w:pPr>
        <w:spacing w:after="0" w:line="240" w:lineRule="auto"/>
        <w:rPr>
          <w:rFonts w:ascii="Times New Roman" w:hAnsi="Times New Roman"/>
        </w:rPr>
      </w:pPr>
    </w:p>
    <w:p w14:paraId="4D1CF28A" w14:textId="77777777" w:rsidR="004A754C" w:rsidRPr="00C06F1B" w:rsidRDefault="004A754C">
      <w:pPr>
        <w:spacing w:after="0" w:line="240" w:lineRule="auto"/>
        <w:rPr>
          <w:rFonts w:ascii="Times New Roman" w:hAnsi="Times New Roman"/>
        </w:rPr>
      </w:pPr>
    </w:p>
    <w:p w14:paraId="6A916BAD" w14:textId="77777777" w:rsidR="004A754C" w:rsidRPr="00C06F1B" w:rsidRDefault="004A754C">
      <w:pPr>
        <w:spacing w:after="0" w:line="240" w:lineRule="auto"/>
        <w:rPr>
          <w:rFonts w:ascii="Times New Roman" w:hAnsi="Times New Roman"/>
        </w:rPr>
      </w:pPr>
    </w:p>
    <w:p w14:paraId="67DCB9FD" w14:textId="77777777" w:rsidR="004A754C" w:rsidRPr="00C06F1B" w:rsidRDefault="004A754C">
      <w:pPr>
        <w:spacing w:after="0" w:line="240" w:lineRule="auto"/>
        <w:rPr>
          <w:rFonts w:ascii="Times New Roman" w:hAnsi="Times New Roman"/>
        </w:rPr>
      </w:pPr>
    </w:p>
    <w:p w14:paraId="19D81F91" w14:textId="77777777" w:rsidR="004A754C" w:rsidRPr="00C06F1B" w:rsidRDefault="004A754C">
      <w:pPr>
        <w:spacing w:after="0" w:line="240" w:lineRule="auto"/>
        <w:rPr>
          <w:rFonts w:ascii="Times New Roman" w:hAnsi="Times New Roman"/>
        </w:rPr>
      </w:pPr>
    </w:p>
    <w:p w14:paraId="133FAC6F" w14:textId="77777777" w:rsidR="004A754C" w:rsidRPr="00C06F1B" w:rsidRDefault="004A754C">
      <w:pPr>
        <w:spacing w:after="0" w:line="240" w:lineRule="auto"/>
        <w:rPr>
          <w:rFonts w:ascii="Times New Roman" w:hAnsi="Times New Roman"/>
        </w:rPr>
      </w:pPr>
    </w:p>
    <w:p w14:paraId="0CC6DEFE" w14:textId="77777777" w:rsidR="004A754C" w:rsidRPr="00C06F1B" w:rsidRDefault="004A754C">
      <w:pPr>
        <w:spacing w:after="0" w:line="240" w:lineRule="auto"/>
        <w:rPr>
          <w:rFonts w:ascii="Times New Roman" w:hAnsi="Times New Roman"/>
        </w:rPr>
      </w:pPr>
    </w:p>
    <w:p w14:paraId="44656062" w14:textId="77777777" w:rsidR="004A754C" w:rsidRPr="00C06F1B" w:rsidRDefault="004A754C">
      <w:pPr>
        <w:spacing w:after="0" w:line="240" w:lineRule="auto"/>
        <w:rPr>
          <w:rFonts w:ascii="Times New Roman" w:hAnsi="Times New Roman"/>
        </w:rPr>
      </w:pPr>
    </w:p>
    <w:p w14:paraId="002F6C97" w14:textId="77777777" w:rsidR="004A754C" w:rsidRPr="00C06F1B" w:rsidRDefault="004A754C">
      <w:pPr>
        <w:spacing w:after="0" w:line="240" w:lineRule="auto"/>
        <w:rPr>
          <w:rFonts w:ascii="Times New Roman" w:hAnsi="Times New Roman"/>
        </w:rPr>
      </w:pPr>
    </w:p>
    <w:p w14:paraId="3665A04B" w14:textId="77777777" w:rsidR="004A754C" w:rsidRPr="00C06F1B" w:rsidRDefault="004A754C">
      <w:pPr>
        <w:spacing w:after="0" w:line="240" w:lineRule="auto"/>
        <w:rPr>
          <w:rFonts w:ascii="Times New Roman" w:hAnsi="Times New Roman"/>
        </w:rPr>
      </w:pPr>
    </w:p>
    <w:p w14:paraId="73C32301" w14:textId="77777777" w:rsidR="004A754C" w:rsidRPr="00C06F1B" w:rsidRDefault="004A754C">
      <w:pPr>
        <w:spacing w:after="0" w:line="240" w:lineRule="auto"/>
        <w:rPr>
          <w:rFonts w:ascii="Times New Roman" w:hAnsi="Times New Roman"/>
        </w:rPr>
      </w:pPr>
    </w:p>
    <w:p w14:paraId="2022C9B6" w14:textId="77777777" w:rsidR="004A754C" w:rsidRPr="00C06F1B" w:rsidRDefault="004A754C">
      <w:pPr>
        <w:spacing w:after="0" w:line="240" w:lineRule="auto"/>
        <w:rPr>
          <w:rFonts w:ascii="Times New Roman" w:hAnsi="Times New Roman"/>
        </w:rPr>
      </w:pPr>
    </w:p>
    <w:p w14:paraId="71A117C4" w14:textId="77777777" w:rsidR="004A754C" w:rsidRPr="00C06F1B" w:rsidRDefault="004A754C">
      <w:pPr>
        <w:spacing w:after="0" w:line="240" w:lineRule="auto"/>
        <w:rPr>
          <w:rFonts w:ascii="Times New Roman" w:hAnsi="Times New Roman"/>
        </w:rPr>
      </w:pPr>
    </w:p>
    <w:p w14:paraId="4C19B370" w14:textId="77777777" w:rsidR="004A754C" w:rsidRPr="00C06F1B" w:rsidRDefault="004A754C">
      <w:pPr>
        <w:spacing w:after="0" w:line="240" w:lineRule="auto"/>
        <w:rPr>
          <w:rFonts w:ascii="Times New Roman" w:hAnsi="Times New Roman"/>
        </w:rPr>
      </w:pPr>
    </w:p>
    <w:p w14:paraId="1105A5A2" w14:textId="77777777" w:rsidR="004A754C" w:rsidRPr="00C06F1B" w:rsidRDefault="004A754C">
      <w:pPr>
        <w:spacing w:after="0" w:line="240" w:lineRule="auto"/>
        <w:rPr>
          <w:rFonts w:ascii="Times New Roman" w:hAnsi="Times New Roman"/>
        </w:rPr>
      </w:pPr>
    </w:p>
    <w:p w14:paraId="20AFF871" w14:textId="77777777" w:rsidR="004A754C" w:rsidRPr="00C06F1B" w:rsidRDefault="004A754C">
      <w:pPr>
        <w:spacing w:after="0" w:line="240" w:lineRule="auto"/>
        <w:rPr>
          <w:rFonts w:ascii="Times New Roman" w:hAnsi="Times New Roman"/>
        </w:rPr>
      </w:pPr>
    </w:p>
    <w:p w14:paraId="19DAD08F" w14:textId="77777777" w:rsidR="004A754C" w:rsidRPr="00C06F1B" w:rsidRDefault="004A754C">
      <w:pPr>
        <w:spacing w:after="0" w:line="240" w:lineRule="auto"/>
        <w:rPr>
          <w:rFonts w:ascii="Times New Roman" w:hAnsi="Times New Roman"/>
        </w:rPr>
      </w:pPr>
    </w:p>
    <w:p w14:paraId="7A7FB8B1" w14:textId="77777777" w:rsidR="004A754C" w:rsidRPr="00C06F1B" w:rsidRDefault="004A754C">
      <w:pPr>
        <w:spacing w:after="0" w:line="240" w:lineRule="auto"/>
        <w:rPr>
          <w:rFonts w:ascii="Times New Roman" w:hAnsi="Times New Roman"/>
        </w:rPr>
      </w:pPr>
    </w:p>
    <w:p w14:paraId="10DD47BA" w14:textId="77777777" w:rsidR="004A754C" w:rsidRPr="00C06F1B" w:rsidRDefault="004A754C">
      <w:pPr>
        <w:spacing w:after="0" w:line="240" w:lineRule="auto"/>
        <w:rPr>
          <w:rFonts w:ascii="Times New Roman" w:hAnsi="Times New Roman"/>
        </w:rPr>
      </w:pPr>
    </w:p>
    <w:p w14:paraId="141573EE" w14:textId="77777777" w:rsidR="004A754C" w:rsidRPr="00C06F1B" w:rsidRDefault="004A754C">
      <w:pPr>
        <w:spacing w:after="0" w:line="240" w:lineRule="auto"/>
        <w:rPr>
          <w:rFonts w:ascii="Times New Roman" w:hAnsi="Times New Roman"/>
        </w:rPr>
      </w:pPr>
    </w:p>
    <w:p w14:paraId="160D1E45" w14:textId="77777777" w:rsidR="004A754C" w:rsidRPr="00C06F1B" w:rsidRDefault="004A754C">
      <w:pPr>
        <w:spacing w:after="0" w:line="240" w:lineRule="auto"/>
        <w:rPr>
          <w:rFonts w:ascii="Times New Roman" w:hAnsi="Times New Roman"/>
        </w:rPr>
      </w:pPr>
    </w:p>
    <w:p w14:paraId="104F085F" w14:textId="77777777" w:rsidR="004A754C" w:rsidRPr="00C06F1B" w:rsidRDefault="004A754C">
      <w:pPr>
        <w:spacing w:after="0" w:line="240" w:lineRule="auto"/>
        <w:rPr>
          <w:rFonts w:ascii="Times New Roman" w:hAnsi="Times New Roman"/>
        </w:rPr>
      </w:pPr>
    </w:p>
    <w:p w14:paraId="4300ED0B" w14:textId="77777777" w:rsidR="004A754C" w:rsidRPr="00C06F1B" w:rsidRDefault="004A754C">
      <w:pPr>
        <w:spacing w:after="0" w:line="240" w:lineRule="auto"/>
        <w:rPr>
          <w:rFonts w:ascii="Times New Roman" w:hAnsi="Times New Roman"/>
        </w:rPr>
      </w:pPr>
    </w:p>
    <w:p w14:paraId="1592923F" w14:textId="77777777" w:rsidR="004A754C" w:rsidRPr="00C06F1B" w:rsidRDefault="004A754C">
      <w:pPr>
        <w:spacing w:after="0" w:line="240" w:lineRule="auto"/>
        <w:rPr>
          <w:rFonts w:ascii="Times New Roman" w:hAnsi="Times New Roman"/>
        </w:rPr>
      </w:pPr>
    </w:p>
    <w:p w14:paraId="330126CC" w14:textId="77777777" w:rsidR="004A754C" w:rsidRPr="00C06F1B" w:rsidRDefault="004A754C">
      <w:pPr>
        <w:spacing w:after="0" w:line="240" w:lineRule="auto"/>
        <w:rPr>
          <w:rFonts w:ascii="Times New Roman" w:hAnsi="Times New Roman"/>
        </w:rPr>
      </w:pPr>
    </w:p>
    <w:p w14:paraId="4E3A2485" w14:textId="77777777" w:rsidR="004A754C" w:rsidRPr="00C06F1B" w:rsidRDefault="004A754C">
      <w:pPr>
        <w:spacing w:after="0" w:line="240" w:lineRule="auto"/>
        <w:rPr>
          <w:rFonts w:ascii="Times New Roman" w:hAnsi="Times New Roman"/>
        </w:rPr>
      </w:pPr>
    </w:p>
    <w:p w14:paraId="2797D5F0" w14:textId="77777777" w:rsidR="004A754C" w:rsidRPr="00C06F1B" w:rsidRDefault="004A754C">
      <w:pPr>
        <w:spacing w:after="0" w:line="240" w:lineRule="auto"/>
        <w:rPr>
          <w:rFonts w:ascii="Times New Roman" w:hAnsi="Times New Roman"/>
        </w:rPr>
      </w:pPr>
    </w:p>
    <w:p w14:paraId="06F726F1" w14:textId="77777777" w:rsidR="004A754C" w:rsidRPr="00C06F1B" w:rsidRDefault="004A754C">
      <w:pPr>
        <w:spacing w:after="0" w:line="240" w:lineRule="auto"/>
        <w:rPr>
          <w:rFonts w:ascii="Times New Roman" w:hAnsi="Times New Roman"/>
        </w:rPr>
      </w:pPr>
    </w:p>
    <w:p w14:paraId="529D9B5B" w14:textId="77777777" w:rsidR="004A754C" w:rsidRPr="00C06F1B" w:rsidRDefault="004A754C">
      <w:pPr>
        <w:spacing w:after="0" w:line="240" w:lineRule="auto"/>
        <w:rPr>
          <w:rFonts w:ascii="Times New Roman" w:hAnsi="Times New Roman"/>
        </w:rPr>
      </w:pPr>
    </w:p>
    <w:p w14:paraId="035DC78E" w14:textId="77777777" w:rsidR="004A754C" w:rsidRPr="00C06F1B" w:rsidRDefault="004A754C">
      <w:pPr>
        <w:spacing w:after="0" w:line="240" w:lineRule="auto"/>
        <w:rPr>
          <w:rFonts w:ascii="Times New Roman" w:hAnsi="Times New Roman"/>
        </w:rPr>
      </w:pPr>
    </w:p>
    <w:p w14:paraId="5CA874CD" w14:textId="175F61E4" w:rsidR="004A754C" w:rsidRPr="00C06F1B" w:rsidRDefault="004A754C">
      <w:pPr>
        <w:spacing w:after="0" w:line="240" w:lineRule="auto"/>
        <w:rPr>
          <w:rFonts w:ascii="Times New Roman" w:hAnsi="Times New Roman"/>
        </w:rPr>
      </w:pPr>
      <w:r w:rsidRPr="00E7515A">
        <w:rPr>
          <w:rFonts w:ascii="Times New Roman" w:hAnsi="Times New Roman"/>
          <w:noProof/>
        </w:rPr>
        <w:lastRenderedPageBreak/>
        <w:drawing>
          <wp:inline distT="0" distB="0" distL="0" distR="0" wp14:anchorId="7BC6E88F" wp14:editId="6FA763EB">
            <wp:extent cx="5732145" cy="7845997"/>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7845997"/>
                    </a:xfrm>
                    <a:prstGeom prst="rect">
                      <a:avLst/>
                    </a:prstGeom>
                    <a:noFill/>
                    <a:ln>
                      <a:noFill/>
                    </a:ln>
                  </pic:spPr>
                </pic:pic>
              </a:graphicData>
            </a:graphic>
          </wp:inline>
        </w:drawing>
      </w:r>
    </w:p>
    <w:p w14:paraId="319A7B2A" w14:textId="77777777" w:rsidR="003E27B3" w:rsidRPr="00C06F1B" w:rsidRDefault="003E27B3">
      <w:pPr>
        <w:spacing w:after="0" w:line="240" w:lineRule="auto"/>
        <w:rPr>
          <w:rFonts w:ascii="Times New Roman" w:hAnsi="Times New Roman"/>
        </w:rPr>
      </w:pPr>
    </w:p>
    <w:p w14:paraId="0E73BBE6" w14:textId="77777777" w:rsidR="003E27B3" w:rsidRPr="00C06F1B" w:rsidRDefault="003E27B3">
      <w:pPr>
        <w:spacing w:after="0" w:line="240" w:lineRule="auto"/>
        <w:rPr>
          <w:rFonts w:ascii="Times New Roman" w:hAnsi="Times New Roman"/>
        </w:rPr>
      </w:pPr>
    </w:p>
    <w:p w14:paraId="6F75B698" w14:textId="77777777" w:rsidR="003E27B3" w:rsidRPr="00C06F1B" w:rsidRDefault="003E27B3">
      <w:pPr>
        <w:spacing w:after="0" w:line="240" w:lineRule="auto"/>
        <w:rPr>
          <w:rFonts w:ascii="Times New Roman" w:hAnsi="Times New Roman"/>
        </w:rPr>
        <w:sectPr w:rsidR="003E27B3" w:rsidRPr="00C06F1B" w:rsidSect="0005734F">
          <w:pgSz w:w="11907" w:h="16839" w:code="9"/>
          <w:pgMar w:top="1440" w:right="1440" w:bottom="1440" w:left="1440" w:header="720" w:footer="720" w:gutter="0"/>
          <w:cols w:space="720"/>
          <w:noEndnote/>
          <w:docGrid w:linePitch="299"/>
        </w:sectPr>
      </w:pPr>
    </w:p>
    <w:p w14:paraId="08FC1E88" w14:textId="7365D2D8" w:rsidR="003E27B3" w:rsidRPr="00C06F1B" w:rsidRDefault="003E27B3">
      <w:pPr>
        <w:spacing w:after="0" w:line="240" w:lineRule="auto"/>
        <w:rPr>
          <w:rFonts w:ascii="Times New Roman" w:hAnsi="Times New Roman"/>
        </w:rPr>
      </w:pPr>
      <w:r w:rsidRPr="00E7515A">
        <w:rPr>
          <w:rFonts w:ascii="Times New Roman" w:hAnsi="Times New Roman"/>
          <w:noProof/>
        </w:rPr>
        <w:lastRenderedPageBreak/>
        <w:drawing>
          <wp:inline distT="0" distB="0" distL="0" distR="0" wp14:anchorId="5005F077" wp14:editId="0C696DFA">
            <wp:extent cx="8863965" cy="409869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3965" cy="4098696"/>
                    </a:xfrm>
                    <a:prstGeom prst="rect">
                      <a:avLst/>
                    </a:prstGeom>
                    <a:noFill/>
                    <a:ln>
                      <a:noFill/>
                    </a:ln>
                  </pic:spPr>
                </pic:pic>
              </a:graphicData>
            </a:graphic>
          </wp:inline>
        </w:drawing>
      </w:r>
    </w:p>
    <w:p w14:paraId="68DA7CF4" w14:textId="77777777" w:rsidR="00ED360E" w:rsidRPr="00C06F1B" w:rsidRDefault="00ED360E">
      <w:pPr>
        <w:spacing w:after="0" w:line="240" w:lineRule="auto"/>
        <w:rPr>
          <w:rFonts w:ascii="Times New Roman" w:hAnsi="Times New Roman"/>
        </w:rPr>
      </w:pPr>
    </w:p>
    <w:p w14:paraId="20F89B92" w14:textId="77777777" w:rsidR="00ED360E" w:rsidRPr="00C06F1B" w:rsidRDefault="00ED360E">
      <w:pPr>
        <w:spacing w:after="0" w:line="240" w:lineRule="auto"/>
        <w:rPr>
          <w:rFonts w:ascii="Times New Roman" w:hAnsi="Times New Roman"/>
        </w:rPr>
      </w:pPr>
    </w:p>
    <w:p w14:paraId="6D11FFF1" w14:textId="77777777" w:rsidR="00ED360E" w:rsidRPr="00C06F1B" w:rsidRDefault="00ED360E">
      <w:pPr>
        <w:spacing w:after="0" w:line="240" w:lineRule="auto"/>
        <w:rPr>
          <w:rFonts w:ascii="Times New Roman" w:hAnsi="Times New Roman"/>
        </w:rPr>
      </w:pPr>
    </w:p>
    <w:p w14:paraId="6694A09B" w14:textId="77777777" w:rsidR="00ED360E" w:rsidRPr="00C06F1B" w:rsidRDefault="00ED360E">
      <w:pPr>
        <w:spacing w:after="0" w:line="240" w:lineRule="auto"/>
        <w:rPr>
          <w:rFonts w:ascii="Times New Roman" w:hAnsi="Times New Roman"/>
        </w:rPr>
      </w:pPr>
    </w:p>
    <w:p w14:paraId="6EE2556A" w14:textId="77777777" w:rsidR="00ED360E" w:rsidRPr="00C06F1B" w:rsidRDefault="00ED360E">
      <w:pPr>
        <w:spacing w:after="0" w:line="240" w:lineRule="auto"/>
        <w:rPr>
          <w:rFonts w:ascii="Times New Roman" w:hAnsi="Times New Roman"/>
        </w:rPr>
      </w:pPr>
    </w:p>
    <w:p w14:paraId="7BF3AE0D" w14:textId="77777777" w:rsidR="00ED360E" w:rsidRPr="00C06F1B" w:rsidRDefault="00ED360E">
      <w:pPr>
        <w:spacing w:after="0" w:line="240" w:lineRule="auto"/>
        <w:rPr>
          <w:rFonts w:ascii="Times New Roman" w:hAnsi="Times New Roman"/>
        </w:rPr>
      </w:pPr>
    </w:p>
    <w:p w14:paraId="4E693450" w14:textId="77777777" w:rsidR="00ED360E" w:rsidRPr="00C06F1B" w:rsidRDefault="00ED360E">
      <w:pPr>
        <w:spacing w:after="0" w:line="240" w:lineRule="auto"/>
        <w:rPr>
          <w:rFonts w:ascii="Times New Roman" w:hAnsi="Times New Roman"/>
        </w:rPr>
      </w:pPr>
    </w:p>
    <w:p w14:paraId="3508CA30" w14:textId="77777777" w:rsidR="00ED360E" w:rsidRPr="00C06F1B" w:rsidRDefault="00ED360E">
      <w:pPr>
        <w:spacing w:after="0" w:line="240" w:lineRule="auto"/>
        <w:rPr>
          <w:rFonts w:ascii="Times New Roman" w:hAnsi="Times New Roman"/>
        </w:rPr>
      </w:pPr>
    </w:p>
    <w:p w14:paraId="5223CF42" w14:textId="77777777" w:rsidR="00540F0F" w:rsidRPr="00C06F1B" w:rsidRDefault="00540F0F">
      <w:pPr>
        <w:spacing w:after="0" w:line="240" w:lineRule="auto"/>
        <w:rPr>
          <w:rFonts w:ascii="Times New Roman" w:hAnsi="Times New Roman"/>
        </w:rPr>
        <w:sectPr w:rsidR="00540F0F" w:rsidRPr="00C06F1B" w:rsidSect="003E27B3">
          <w:pgSz w:w="16839" w:h="11907" w:orient="landscape" w:code="9"/>
          <w:pgMar w:top="1440" w:right="1440" w:bottom="1440" w:left="1440" w:header="720" w:footer="720" w:gutter="0"/>
          <w:cols w:space="720"/>
          <w:noEndnote/>
          <w:docGrid w:linePitch="299"/>
        </w:sectPr>
      </w:pPr>
    </w:p>
    <w:p w14:paraId="311F532C" w14:textId="607E6CA2" w:rsidR="00D71C2A" w:rsidRPr="00C06F1B" w:rsidRDefault="00540F0F">
      <w:pPr>
        <w:spacing w:after="0" w:line="240" w:lineRule="auto"/>
        <w:rPr>
          <w:rFonts w:ascii="Times New Roman" w:hAnsi="Times New Roman"/>
        </w:rPr>
      </w:pPr>
      <w:r w:rsidRPr="00E7515A">
        <w:rPr>
          <w:rFonts w:ascii="Times New Roman" w:hAnsi="Times New Roman"/>
          <w:noProof/>
        </w:rPr>
        <w:lastRenderedPageBreak/>
        <w:drawing>
          <wp:inline distT="0" distB="0" distL="0" distR="0" wp14:anchorId="0660C8B5" wp14:editId="639C8CDD">
            <wp:extent cx="5732145" cy="757959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7579591"/>
                    </a:xfrm>
                    <a:prstGeom prst="rect">
                      <a:avLst/>
                    </a:prstGeom>
                    <a:noFill/>
                    <a:ln>
                      <a:noFill/>
                    </a:ln>
                  </pic:spPr>
                </pic:pic>
              </a:graphicData>
            </a:graphic>
          </wp:inline>
        </w:drawing>
      </w:r>
    </w:p>
    <w:p w14:paraId="07D4D52D" w14:textId="77777777" w:rsidR="00540F0F" w:rsidRPr="00C06F1B" w:rsidRDefault="00540F0F">
      <w:pPr>
        <w:spacing w:after="0" w:line="240" w:lineRule="auto"/>
        <w:rPr>
          <w:rFonts w:ascii="Times New Roman" w:hAnsi="Times New Roman"/>
        </w:rPr>
      </w:pPr>
    </w:p>
    <w:p w14:paraId="0B02DF7D" w14:textId="77777777" w:rsidR="00540F0F" w:rsidRPr="00C06F1B" w:rsidRDefault="00540F0F">
      <w:pPr>
        <w:spacing w:after="0" w:line="240" w:lineRule="auto"/>
        <w:rPr>
          <w:rFonts w:ascii="Times New Roman" w:hAnsi="Times New Roman"/>
        </w:rPr>
      </w:pPr>
    </w:p>
    <w:p w14:paraId="08448479" w14:textId="77777777" w:rsidR="00540F0F" w:rsidRPr="00C06F1B" w:rsidRDefault="00540F0F">
      <w:pPr>
        <w:spacing w:after="0" w:line="240" w:lineRule="auto"/>
        <w:rPr>
          <w:rFonts w:ascii="Times New Roman" w:hAnsi="Times New Roman"/>
        </w:rPr>
      </w:pPr>
    </w:p>
    <w:p w14:paraId="479AC310" w14:textId="77777777" w:rsidR="00540F0F" w:rsidRPr="00C06F1B" w:rsidRDefault="00540F0F">
      <w:pPr>
        <w:spacing w:after="0" w:line="240" w:lineRule="auto"/>
        <w:rPr>
          <w:rFonts w:ascii="Times New Roman" w:hAnsi="Times New Roman"/>
        </w:rPr>
      </w:pPr>
    </w:p>
    <w:p w14:paraId="173A23FE" w14:textId="77777777" w:rsidR="00540F0F" w:rsidRPr="00C06F1B" w:rsidRDefault="00540F0F">
      <w:pPr>
        <w:spacing w:after="0" w:line="240" w:lineRule="auto"/>
        <w:rPr>
          <w:rFonts w:ascii="Times New Roman" w:hAnsi="Times New Roman"/>
        </w:rPr>
      </w:pPr>
    </w:p>
    <w:p w14:paraId="2C837F52" w14:textId="77777777" w:rsidR="00540F0F" w:rsidRPr="00C06F1B" w:rsidRDefault="00540F0F">
      <w:pPr>
        <w:spacing w:after="0" w:line="240" w:lineRule="auto"/>
        <w:rPr>
          <w:rFonts w:ascii="Times New Roman" w:hAnsi="Times New Roman"/>
        </w:rPr>
      </w:pPr>
    </w:p>
    <w:p w14:paraId="4BB84188" w14:textId="77777777" w:rsidR="00540F0F" w:rsidRPr="00C06F1B" w:rsidRDefault="00540F0F">
      <w:pPr>
        <w:spacing w:after="0" w:line="240" w:lineRule="auto"/>
        <w:rPr>
          <w:rFonts w:ascii="Times New Roman" w:hAnsi="Times New Roman"/>
        </w:rPr>
      </w:pPr>
    </w:p>
    <w:p w14:paraId="0A3625CF" w14:textId="17FA1A82" w:rsidR="00D71C2A" w:rsidRPr="00C06F1B" w:rsidRDefault="00540F0F">
      <w:pPr>
        <w:spacing w:after="0" w:line="240" w:lineRule="auto"/>
        <w:rPr>
          <w:rFonts w:ascii="Times New Roman" w:hAnsi="Times New Roman"/>
        </w:rPr>
      </w:pPr>
      <w:r w:rsidRPr="00E7515A">
        <w:rPr>
          <w:rFonts w:ascii="Times New Roman" w:hAnsi="Times New Roman"/>
          <w:noProof/>
        </w:rPr>
        <w:lastRenderedPageBreak/>
        <w:drawing>
          <wp:inline distT="0" distB="0" distL="0" distR="0" wp14:anchorId="496537D8" wp14:editId="6FD9FC5A">
            <wp:extent cx="5732145" cy="864250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8642506"/>
                    </a:xfrm>
                    <a:prstGeom prst="rect">
                      <a:avLst/>
                    </a:prstGeom>
                    <a:noFill/>
                    <a:ln>
                      <a:noFill/>
                    </a:ln>
                  </pic:spPr>
                </pic:pic>
              </a:graphicData>
            </a:graphic>
          </wp:inline>
        </w:drawing>
      </w:r>
    </w:p>
    <w:sectPr w:rsidR="00D71C2A" w:rsidRPr="00C06F1B" w:rsidSect="00540F0F">
      <w:pgSz w:w="11907" w:h="16839"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99A85" w14:textId="77777777" w:rsidR="00217029" w:rsidRDefault="00217029" w:rsidP="00080EF3">
      <w:pPr>
        <w:spacing w:after="0" w:line="240" w:lineRule="auto"/>
      </w:pPr>
      <w:r>
        <w:separator/>
      </w:r>
    </w:p>
  </w:endnote>
  <w:endnote w:type="continuationSeparator" w:id="0">
    <w:p w14:paraId="1507434C" w14:textId="77777777" w:rsidR="00217029" w:rsidRDefault="00217029" w:rsidP="0008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330191"/>
      <w:docPartObj>
        <w:docPartGallery w:val="Page Numbers (Bottom of Page)"/>
        <w:docPartUnique/>
      </w:docPartObj>
    </w:sdtPr>
    <w:sdtEndPr>
      <w:rPr>
        <w:noProof/>
      </w:rPr>
    </w:sdtEndPr>
    <w:sdtContent>
      <w:p w14:paraId="4B65FAA0" w14:textId="77777777" w:rsidR="00CA52C9" w:rsidRDefault="00CA52C9">
        <w:pPr>
          <w:pStyle w:val="Footer"/>
          <w:jc w:val="right"/>
        </w:pPr>
        <w:r>
          <w:fldChar w:fldCharType="begin"/>
        </w:r>
        <w:r>
          <w:instrText xml:space="preserve"> PAGE   \* MERGEFORMAT </w:instrText>
        </w:r>
        <w:r>
          <w:fldChar w:fldCharType="separate"/>
        </w:r>
        <w:r w:rsidR="0069456E">
          <w:rPr>
            <w:noProof/>
          </w:rPr>
          <w:t>1</w:t>
        </w:r>
        <w:r>
          <w:rPr>
            <w:noProof/>
          </w:rPr>
          <w:fldChar w:fldCharType="end"/>
        </w:r>
      </w:p>
    </w:sdtContent>
  </w:sdt>
  <w:p w14:paraId="224CAF8F" w14:textId="77777777" w:rsidR="00CA52C9" w:rsidRDefault="00CA52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D26AA" w14:textId="77777777" w:rsidR="00217029" w:rsidRDefault="00217029" w:rsidP="00080EF3">
      <w:pPr>
        <w:spacing w:after="0" w:line="240" w:lineRule="auto"/>
      </w:pPr>
      <w:r>
        <w:separator/>
      </w:r>
    </w:p>
  </w:footnote>
  <w:footnote w:type="continuationSeparator" w:id="0">
    <w:p w14:paraId="355B1B8D" w14:textId="77777777" w:rsidR="00217029" w:rsidRDefault="00217029" w:rsidP="00080EF3">
      <w:pPr>
        <w:spacing w:after="0" w:line="240" w:lineRule="auto"/>
      </w:pPr>
      <w:r>
        <w:continuationSeparator/>
      </w:r>
    </w:p>
  </w:footnote>
  <w:footnote w:id="1">
    <w:p w14:paraId="109A087C" w14:textId="77777777" w:rsidR="00CA52C9" w:rsidRPr="00E73D67" w:rsidRDefault="00CA52C9" w:rsidP="000E7410">
      <w:pPr>
        <w:pStyle w:val="FootnoteText"/>
        <w:rPr>
          <w:rFonts w:ascii="Times New Roman" w:hAnsi="Times New Roman"/>
          <w:lang w:val="en-US"/>
        </w:rPr>
      </w:pPr>
      <w:r>
        <w:rPr>
          <w:rStyle w:val="FootnoteReference"/>
        </w:rPr>
        <w:footnoteRef/>
      </w:r>
      <w:r>
        <w:t xml:space="preserve"> </w:t>
      </w:r>
      <w:r w:rsidRPr="00E73D67">
        <w:rPr>
          <w:rFonts w:ascii="Times New Roman" w:hAnsi="Times New Roman"/>
        </w:rPr>
        <w:t xml:space="preserve">Note that there is a difference between </w:t>
      </w:r>
      <w:r w:rsidRPr="00E73D67">
        <w:rPr>
          <w:rFonts w:ascii="Times New Roman" w:hAnsi="Times New Roman"/>
          <w:lang w:val="en-US"/>
        </w:rPr>
        <w:t xml:space="preserve">leverage ratio and RWA (Risk Weighted Assets) capital ratios. Leverage ratio is </w:t>
      </w:r>
      <w:r>
        <w:rPr>
          <w:rFonts w:ascii="Times New Roman" w:hAnsi="Times New Roman"/>
          <w:lang w:val="en-US"/>
        </w:rPr>
        <w:t xml:space="preserve">the </w:t>
      </w:r>
      <w:r w:rsidRPr="00E73D67">
        <w:rPr>
          <w:rFonts w:ascii="Times New Roman" w:hAnsi="Times New Roman"/>
          <w:lang w:val="en-US"/>
        </w:rPr>
        <w:t xml:space="preserve">ratio of tier 1 capital to average total assets, </w:t>
      </w:r>
      <w:r>
        <w:rPr>
          <w:rFonts w:ascii="Times New Roman" w:hAnsi="Times New Roman"/>
          <w:lang w:val="en-US"/>
        </w:rPr>
        <w:t>whereas</w:t>
      </w:r>
      <w:r w:rsidRPr="00E73D67">
        <w:rPr>
          <w:rFonts w:ascii="Times New Roman" w:hAnsi="Times New Roman"/>
          <w:lang w:val="en-US"/>
        </w:rPr>
        <w:t xml:space="preserve"> RWA tier 1 capital ratio is the tier 1 capital divided by the risk weighted assets. RWA are the assets weighted according their risk.</w:t>
      </w:r>
    </w:p>
  </w:footnote>
  <w:footnote w:id="2">
    <w:p w14:paraId="004448F4" w14:textId="77777777" w:rsidR="00CA52C9" w:rsidRPr="00F418A2" w:rsidRDefault="00CA52C9" w:rsidP="000E7410">
      <w:pPr>
        <w:pStyle w:val="FootnoteText"/>
        <w:rPr>
          <w:rFonts w:ascii="Times New Roman" w:hAnsi="Times New Roman"/>
          <w:lang w:val="en-US"/>
        </w:rPr>
      </w:pPr>
      <w:r w:rsidRPr="00F418A2">
        <w:rPr>
          <w:rStyle w:val="FootnoteReference"/>
          <w:rFonts w:ascii="Times New Roman" w:hAnsi="Times New Roman"/>
        </w:rPr>
        <w:footnoteRef/>
      </w:r>
      <w:r w:rsidRPr="00F418A2">
        <w:rPr>
          <w:rFonts w:ascii="Times New Roman" w:hAnsi="Times New Roman"/>
        </w:rPr>
        <w:t xml:space="preserve"> </w:t>
      </w:r>
      <w:r w:rsidRPr="00F418A2">
        <w:rPr>
          <w:rFonts w:ascii="Times New Roman" w:hAnsi="Times New Roman"/>
          <w:lang w:val="en-US"/>
        </w:rPr>
        <w:t>In October 2014 it was anticipated that the Prudential Regulation Authority (PRA) at the Bank of England would set the rate at 5% and thus above the Basel requirements.</w:t>
      </w:r>
    </w:p>
  </w:footnote>
  <w:footnote w:id="3">
    <w:p w14:paraId="636666FD" w14:textId="1C710E1A" w:rsidR="00CA52C9" w:rsidRPr="00E7515A" w:rsidRDefault="00CA52C9" w:rsidP="00E7515A">
      <w:pPr>
        <w:pStyle w:val="FootnoteText"/>
        <w:spacing w:line="240" w:lineRule="auto"/>
        <w:rPr>
          <w:rFonts w:ascii="Times New Roman" w:hAnsi="Times New Roman"/>
          <w:lang w:val="en-US"/>
        </w:rPr>
      </w:pPr>
      <w:r w:rsidRPr="00E7515A">
        <w:rPr>
          <w:rStyle w:val="FootnoteReference"/>
          <w:rFonts w:ascii="Times New Roman" w:hAnsi="Times New Roman"/>
        </w:rPr>
        <w:footnoteRef/>
      </w:r>
      <w:r w:rsidRPr="00E7515A">
        <w:rPr>
          <w:rFonts w:ascii="Times New Roman" w:hAnsi="Times New Roman"/>
        </w:rPr>
        <w:t xml:space="preserve"> </w:t>
      </w:r>
      <w:r w:rsidRPr="00E7515A">
        <w:rPr>
          <w:rFonts w:ascii="Times New Roman" w:hAnsi="Times New Roman"/>
          <w:lang w:val="en-US"/>
        </w:rPr>
        <w:t xml:space="preserve">See </w:t>
      </w:r>
      <w:proofErr w:type="spellStart"/>
      <w:r w:rsidRPr="007142CC">
        <w:rPr>
          <w:rFonts w:ascii="Times New Roman" w:hAnsi="Times New Roman"/>
        </w:rPr>
        <w:t>Staderini</w:t>
      </w:r>
      <w:proofErr w:type="spellEnd"/>
      <w:r w:rsidRPr="007142CC">
        <w:rPr>
          <w:rFonts w:ascii="Times New Roman" w:hAnsi="Times New Roman"/>
        </w:rPr>
        <w:t xml:space="preserve"> (2001</w:t>
      </w:r>
      <w:r>
        <w:rPr>
          <w:rFonts w:ascii="Times New Roman" w:hAnsi="Times New Roman"/>
        </w:rPr>
        <w:t xml:space="preserve">), </w:t>
      </w:r>
      <w:proofErr w:type="spellStart"/>
      <w:r>
        <w:rPr>
          <w:rFonts w:ascii="Times New Roman" w:hAnsi="Times New Roman"/>
        </w:rPr>
        <w:t>Klemm</w:t>
      </w:r>
      <w:proofErr w:type="spellEnd"/>
      <w:r>
        <w:rPr>
          <w:rFonts w:ascii="Times New Roman" w:hAnsi="Times New Roman"/>
        </w:rPr>
        <w:t xml:space="preserve"> (2006),</w:t>
      </w:r>
      <w:r w:rsidRPr="00A834A6">
        <w:rPr>
          <w:rFonts w:ascii="Times New Roman" w:hAnsi="Times New Roman"/>
        </w:rPr>
        <w:t xml:space="preserve"> </w:t>
      </w:r>
      <w:proofErr w:type="spellStart"/>
      <w:r>
        <w:rPr>
          <w:rFonts w:ascii="Times New Roman" w:hAnsi="Times New Roman"/>
        </w:rPr>
        <w:t>Pricen</w:t>
      </w:r>
      <w:proofErr w:type="spellEnd"/>
      <w:r>
        <w:rPr>
          <w:rFonts w:ascii="Times New Roman" w:hAnsi="Times New Roman"/>
        </w:rPr>
        <w:t xml:space="preserve"> (2010) and </w:t>
      </w:r>
      <w:r w:rsidRPr="00E7515A">
        <w:rPr>
          <w:rFonts w:ascii="Times New Roman" w:hAnsi="Times New Roman"/>
          <w:lang w:val="en-US"/>
        </w:rPr>
        <w:t>EC (2011) for detail.</w:t>
      </w:r>
    </w:p>
  </w:footnote>
  <w:footnote w:id="4">
    <w:p w14:paraId="3000FFDB" w14:textId="77777777" w:rsidR="00CA52C9" w:rsidRDefault="00CA52C9" w:rsidP="00E7515A">
      <w:pPr>
        <w:pStyle w:val="FootnoteText"/>
        <w:spacing w:line="240" w:lineRule="auto"/>
      </w:pPr>
      <w:r>
        <w:rPr>
          <w:rStyle w:val="FootnoteReference"/>
        </w:rPr>
        <w:footnoteRef/>
      </w:r>
      <w:r>
        <w:t xml:space="preserve"> </w:t>
      </w:r>
      <w:r w:rsidRPr="002B411F">
        <w:rPr>
          <w:rFonts w:ascii="Times New Roman" w:hAnsi="Times New Roman"/>
        </w:rPr>
        <w:t>An</w:t>
      </w:r>
      <w:r>
        <w:t xml:space="preserve"> </w:t>
      </w:r>
      <w:r>
        <w:rPr>
          <w:rFonts w:ascii="Times New Roman" w:hAnsi="Times New Roman"/>
        </w:rPr>
        <w:t>o</w:t>
      </w:r>
      <w:r w:rsidRPr="004519C0">
        <w:rPr>
          <w:rFonts w:ascii="Times New Roman" w:hAnsi="Times New Roman"/>
        </w:rPr>
        <w:t xml:space="preserve">verview of </w:t>
      </w:r>
      <w:r>
        <w:rPr>
          <w:rFonts w:ascii="Times New Roman" w:hAnsi="Times New Roman"/>
        </w:rPr>
        <w:t xml:space="preserve">the </w:t>
      </w:r>
      <w:r w:rsidRPr="004519C0">
        <w:rPr>
          <w:rFonts w:ascii="Times New Roman" w:hAnsi="Times New Roman"/>
        </w:rPr>
        <w:t xml:space="preserve">design issues of ACE </w:t>
      </w:r>
      <w:r>
        <w:rPr>
          <w:rFonts w:ascii="Times New Roman" w:hAnsi="Times New Roman"/>
        </w:rPr>
        <w:t>can be found</w:t>
      </w:r>
      <w:r w:rsidRPr="004519C0">
        <w:rPr>
          <w:rFonts w:ascii="Times New Roman" w:hAnsi="Times New Roman"/>
        </w:rPr>
        <w:t xml:space="preserve"> in OECD (2007) and IMF (2009).</w:t>
      </w:r>
    </w:p>
  </w:footnote>
  <w:footnote w:id="5">
    <w:p w14:paraId="3164439C" w14:textId="77777777" w:rsidR="00CA52C9" w:rsidRPr="004519C0" w:rsidRDefault="00CA52C9" w:rsidP="004519C0">
      <w:pPr>
        <w:pStyle w:val="FootnoteText"/>
        <w:jc w:val="both"/>
        <w:rPr>
          <w:rFonts w:ascii="Times New Roman" w:hAnsi="Times New Roman"/>
        </w:rPr>
      </w:pPr>
      <w:r w:rsidRPr="004519C0">
        <w:rPr>
          <w:rStyle w:val="FootnoteReference"/>
          <w:rFonts w:ascii="Times New Roman" w:hAnsi="Times New Roman"/>
        </w:rPr>
        <w:footnoteRef/>
      </w:r>
      <w:r w:rsidRPr="004519C0">
        <w:rPr>
          <w:rFonts w:ascii="Times New Roman" w:hAnsi="Times New Roman"/>
        </w:rPr>
        <w:t xml:space="preserve"> The reason </w:t>
      </w:r>
      <w:r>
        <w:rPr>
          <w:rFonts w:ascii="Times New Roman" w:hAnsi="Times New Roman"/>
        </w:rPr>
        <w:t>is</w:t>
      </w:r>
      <w:r w:rsidRPr="004519C0">
        <w:rPr>
          <w:rFonts w:ascii="Times New Roman" w:hAnsi="Times New Roman"/>
        </w:rPr>
        <w:t xml:space="preserve"> that corrective taxes need to address the marginal social damage from some activity, which may differ from the average damage.</w:t>
      </w:r>
    </w:p>
  </w:footnote>
  <w:footnote w:id="6">
    <w:p w14:paraId="6E828359" w14:textId="77777777" w:rsidR="00CA52C9" w:rsidRPr="004519C0" w:rsidRDefault="00CA52C9" w:rsidP="004519C0">
      <w:pPr>
        <w:pStyle w:val="CM4"/>
        <w:jc w:val="both"/>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w:t>
      </w:r>
      <w:r>
        <w:rPr>
          <w:rFonts w:ascii="Times New Roman" w:hAnsi="Times New Roman"/>
          <w:sz w:val="20"/>
          <w:szCs w:val="20"/>
        </w:rPr>
        <w:t xml:space="preserve">The </w:t>
      </w:r>
      <w:r w:rsidRPr="004519C0">
        <w:rPr>
          <w:rFonts w:ascii="Times New Roman" w:hAnsi="Times New Roman"/>
          <w:sz w:val="20"/>
          <w:szCs w:val="20"/>
        </w:rPr>
        <w:t xml:space="preserve">EC (2010) reports other possibilities, including for instance a surcharge on the rate of corporate income tax applied to financial institutions. </w:t>
      </w:r>
    </w:p>
    <w:p w14:paraId="1FF5D8B5" w14:textId="77777777" w:rsidR="00CA52C9" w:rsidRDefault="00CA52C9" w:rsidP="0012588C">
      <w:pPr>
        <w:pStyle w:val="CM4"/>
      </w:pPr>
    </w:p>
  </w:footnote>
  <w:footnote w:id="7">
    <w:p w14:paraId="35875678" w14:textId="1094D323" w:rsidR="00CA52C9" w:rsidRPr="004519C0" w:rsidRDefault="00CA52C9" w:rsidP="004519C0">
      <w:pPr>
        <w:pStyle w:val="CM4"/>
        <w:jc w:val="both"/>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It should be noted that the revenue potential of financial transaction taxes will inter</w:t>
      </w:r>
      <w:r w:rsidRPr="004519C0">
        <w:rPr>
          <w:rFonts w:ascii="Cambria Math" w:hAnsi="Cambria Math" w:cs="Cambria Math"/>
          <w:sz w:val="20"/>
          <w:szCs w:val="20"/>
        </w:rPr>
        <w:t>‐</w:t>
      </w:r>
      <w:r w:rsidRPr="004519C0">
        <w:rPr>
          <w:rFonts w:ascii="Times New Roman" w:hAnsi="Times New Roman"/>
          <w:sz w:val="20"/>
          <w:szCs w:val="20"/>
        </w:rPr>
        <w:t xml:space="preserve">alia depend on </w:t>
      </w:r>
      <w:r>
        <w:rPr>
          <w:rFonts w:ascii="Times New Roman" w:hAnsi="Times New Roman"/>
          <w:sz w:val="20"/>
          <w:szCs w:val="20"/>
        </w:rPr>
        <w:t>their</w:t>
      </w:r>
      <w:r w:rsidRPr="004519C0">
        <w:rPr>
          <w:rFonts w:ascii="Times New Roman" w:hAnsi="Times New Roman"/>
          <w:sz w:val="20"/>
          <w:szCs w:val="20"/>
        </w:rPr>
        <w:t xml:space="preserve"> impact on trading volumes. For the estimates discussed, a </w:t>
      </w:r>
      <w:r>
        <w:rPr>
          <w:rFonts w:ascii="Times New Roman" w:hAnsi="Times New Roman"/>
          <w:sz w:val="20"/>
          <w:szCs w:val="20"/>
        </w:rPr>
        <w:t>‘</w:t>
      </w:r>
      <w:r w:rsidRPr="004519C0">
        <w:rPr>
          <w:rFonts w:ascii="Times New Roman" w:hAnsi="Times New Roman"/>
          <w:sz w:val="20"/>
          <w:szCs w:val="20"/>
        </w:rPr>
        <w:t>medium transaction</w:t>
      </w:r>
      <w:r w:rsidRPr="004519C0">
        <w:rPr>
          <w:rFonts w:ascii="Cambria Math" w:hAnsi="Cambria Math" w:cs="Cambria Math"/>
          <w:sz w:val="20"/>
          <w:szCs w:val="20"/>
        </w:rPr>
        <w:t>‐</w:t>
      </w:r>
      <w:r w:rsidRPr="004519C0">
        <w:rPr>
          <w:rFonts w:ascii="Times New Roman" w:hAnsi="Times New Roman"/>
          <w:sz w:val="20"/>
          <w:szCs w:val="20"/>
        </w:rPr>
        <w:t>reduction</w:t>
      </w:r>
      <w:r w:rsidRPr="004519C0">
        <w:rPr>
          <w:rFonts w:ascii="Cambria Math" w:hAnsi="Cambria Math" w:cs="Cambria Math"/>
          <w:sz w:val="20"/>
          <w:szCs w:val="20"/>
        </w:rPr>
        <w:t>‐</w:t>
      </w:r>
      <w:r w:rsidRPr="004519C0">
        <w:rPr>
          <w:rFonts w:ascii="Times New Roman" w:hAnsi="Times New Roman"/>
          <w:sz w:val="20"/>
          <w:szCs w:val="20"/>
        </w:rPr>
        <w:t>scenario</w:t>
      </w:r>
      <w:r>
        <w:rPr>
          <w:rFonts w:ascii="Times New Roman" w:hAnsi="Times New Roman"/>
          <w:sz w:val="20"/>
          <w:szCs w:val="20"/>
        </w:rPr>
        <w:t>’</w:t>
      </w:r>
      <w:r w:rsidRPr="004519C0">
        <w:rPr>
          <w:rFonts w:ascii="Times New Roman" w:hAnsi="Times New Roman"/>
          <w:sz w:val="20"/>
          <w:szCs w:val="20"/>
        </w:rPr>
        <w:t xml:space="preserve"> is assumed. In that situation, </w:t>
      </w:r>
      <w:proofErr w:type="spellStart"/>
      <w:r w:rsidRPr="004519C0">
        <w:rPr>
          <w:rFonts w:ascii="Times New Roman" w:hAnsi="Times New Roman"/>
          <w:sz w:val="20"/>
          <w:szCs w:val="20"/>
        </w:rPr>
        <w:t>Schulmeister</w:t>
      </w:r>
      <w:proofErr w:type="spellEnd"/>
      <w:r w:rsidRPr="004519C0">
        <w:rPr>
          <w:rFonts w:ascii="Times New Roman" w:hAnsi="Times New Roman"/>
          <w:sz w:val="20"/>
          <w:szCs w:val="20"/>
        </w:rPr>
        <w:t xml:space="preserve"> </w:t>
      </w:r>
      <w:r>
        <w:rPr>
          <w:rFonts w:ascii="Times New Roman" w:hAnsi="Times New Roman"/>
          <w:sz w:val="20"/>
          <w:szCs w:val="20"/>
        </w:rPr>
        <w:t>(2011</w:t>
      </w:r>
      <w:r w:rsidRPr="004519C0">
        <w:rPr>
          <w:rFonts w:ascii="Times New Roman" w:hAnsi="Times New Roman"/>
          <w:sz w:val="20"/>
          <w:szCs w:val="20"/>
        </w:rPr>
        <w:t>) assumes that the volume of spot transactions in the stock and bond market would decline by 10</w:t>
      </w:r>
      <w:r>
        <w:rPr>
          <w:rFonts w:ascii="Times New Roman" w:hAnsi="Times New Roman"/>
          <w:sz w:val="20"/>
          <w:szCs w:val="20"/>
        </w:rPr>
        <w:t>%</w:t>
      </w:r>
      <w:r w:rsidRPr="004519C0">
        <w:rPr>
          <w:rFonts w:ascii="Times New Roman" w:hAnsi="Times New Roman"/>
          <w:sz w:val="20"/>
          <w:szCs w:val="20"/>
        </w:rPr>
        <w:t xml:space="preserve"> and 5</w:t>
      </w:r>
      <w:r>
        <w:rPr>
          <w:rFonts w:ascii="Times New Roman" w:hAnsi="Times New Roman"/>
          <w:sz w:val="20"/>
          <w:szCs w:val="20"/>
        </w:rPr>
        <w:t>%</w:t>
      </w:r>
      <w:r w:rsidRPr="004519C0">
        <w:rPr>
          <w:rFonts w:ascii="Times New Roman" w:hAnsi="Times New Roman"/>
          <w:sz w:val="20"/>
          <w:szCs w:val="20"/>
        </w:rPr>
        <w:t xml:space="preserve"> respectively. Moreover, the reduction </w:t>
      </w:r>
      <w:r>
        <w:rPr>
          <w:rFonts w:ascii="Times New Roman" w:hAnsi="Times New Roman"/>
          <w:sz w:val="20"/>
          <w:szCs w:val="20"/>
        </w:rPr>
        <w:t>in</w:t>
      </w:r>
      <w:r w:rsidRPr="004519C0">
        <w:rPr>
          <w:rFonts w:ascii="Times New Roman" w:hAnsi="Times New Roman"/>
          <w:sz w:val="20"/>
          <w:szCs w:val="20"/>
        </w:rPr>
        <w:t xml:space="preserve"> trading volume of exchange</w:t>
      </w:r>
      <w:r w:rsidRPr="004519C0">
        <w:rPr>
          <w:rFonts w:ascii="Cambria Math" w:hAnsi="Cambria Math" w:cs="Cambria Math"/>
          <w:sz w:val="20"/>
          <w:szCs w:val="20"/>
        </w:rPr>
        <w:t>‐</w:t>
      </w:r>
      <w:r w:rsidRPr="004519C0">
        <w:rPr>
          <w:rFonts w:ascii="Times New Roman" w:hAnsi="Times New Roman"/>
          <w:sz w:val="20"/>
          <w:szCs w:val="20"/>
        </w:rPr>
        <w:t>traded derivatives as well as of over</w:t>
      </w:r>
      <w:r w:rsidRPr="004519C0">
        <w:rPr>
          <w:rFonts w:ascii="Cambria Math" w:hAnsi="Cambria Math" w:cs="Cambria Math"/>
          <w:sz w:val="20"/>
          <w:szCs w:val="20"/>
        </w:rPr>
        <w:t>‐</w:t>
      </w:r>
      <w:r w:rsidRPr="004519C0">
        <w:rPr>
          <w:rFonts w:ascii="Times New Roman" w:hAnsi="Times New Roman"/>
          <w:sz w:val="20"/>
          <w:szCs w:val="20"/>
        </w:rPr>
        <w:t>the</w:t>
      </w:r>
      <w:r w:rsidRPr="004519C0">
        <w:rPr>
          <w:rFonts w:ascii="Cambria Math" w:hAnsi="Cambria Math" w:cs="Cambria Math"/>
          <w:sz w:val="20"/>
          <w:szCs w:val="20"/>
        </w:rPr>
        <w:t>‐</w:t>
      </w:r>
      <w:r w:rsidRPr="004519C0">
        <w:rPr>
          <w:rFonts w:ascii="Times New Roman" w:hAnsi="Times New Roman"/>
          <w:sz w:val="20"/>
          <w:szCs w:val="20"/>
        </w:rPr>
        <w:t>counter (OTC) transactions would lie between 60 and 70</w:t>
      </w:r>
      <w:r>
        <w:rPr>
          <w:rFonts w:ascii="Times New Roman" w:hAnsi="Times New Roman"/>
          <w:sz w:val="20"/>
          <w:szCs w:val="20"/>
        </w:rPr>
        <w:t>%</w:t>
      </w:r>
      <w:r w:rsidRPr="004519C0">
        <w:rPr>
          <w:rFonts w:ascii="Times New Roman" w:hAnsi="Times New Roman"/>
          <w:sz w:val="20"/>
          <w:szCs w:val="20"/>
        </w:rPr>
        <w:t xml:space="preserve"> (</w:t>
      </w:r>
      <w:proofErr w:type="spellStart"/>
      <w:r w:rsidRPr="004519C0">
        <w:rPr>
          <w:rFonts w:ascii="Times New Roman" w:hAnsi="Times New Roman"/>
          <w:sz w:val="20"/>
          <w:szCs w:val="20"/>
        </w:rPr>
        <w:t>Schulmeister</w:t>
      </w:r>
      <w:proofErr w:type="spellEnd"/>
      <w:r w:rsidRPr="004519C0">
        <w:rPr>
          <w:rFonts w:ascii="Times New Roman" w:hAnsi="Times New Roman"/>
          <w:sz w:val="20"/>
          <w:szCs w:val="20"/>
        </w:rPr>
        <w:t xml:space="preserve"> et al. 2008) </w:t>
      </w:r>
    </w:p>
    <w:p w14:paraId="240D14B5" w14:textId="77777777" w:rsidR="00CA52C9" w:rsidRDefault="00CA52C9" w:rsidP="0012588C">
      <w:pPr>
        <w:pStyle w:val="CM4"/>
      </w:pPr>
    </w:p>
  </w:footnote>
  <w:footnote w:id="8">
    <w:p w14:paraId="114CE2F1" w14:textId="77777777" w:rsidR="00CA52C9" w:rsidRPr="004519C0" w:rsidRDefault="00CA52C9" w:rsidP="009F7929">
      <w:pPr>
        <w:pStyle w:val="Default"/>
        <w:spacing w:line="246" w:lineRule="atLeast"/>
        <w:ind w:right="210"/>
        <w:jc w:val="both"/>
        <w:rPr>
          <w:rFonts w:ascii="Times New Roman" w:hAnsi="Times New Roman" w:cs="Times New Roman"/>
          <w:color w:val="auto"/>
          <w:sz w:val="20"/>
          <w:szCs w:val="20"/>
        </w:rPr>
      </w:pPr>
      <w:r w:rsidRPr="004519C0">
        <w:rPr>
          <w:rStyle w:val="FootnoteReference"/>
          <w:rFonts w:ascii="Times New Roman" w:hAnsi="Times New Roman" w:cs="Times New Roman"/>
          <w:sz w:val="20"/>
          <w:szCs w:val="20"/>
        </w:rPr>
        <w:footnoteRef/>
      </w:r>
      <w:r w:rsidRPr="004519C0">
        <w:rPr>
          <w:rFonts w:ascii="Times New Roman" w:hAnsi="Times New Roman" w:cs="Times New Roman"/>
          <w:color w:val="auto"/>
          <w:position w:val="10"/>
          <w:sz w:val="20"/>
          <w:szCs w:val="20"/>
          <w:vertAlign w:val="superscript"/>
        </w:rPr>
        <w:t xml:space="preserve"> </w:t>
      </w:r>
      <w:proofErr w:type="spellStart"/>
      <w:r w:rsidRPr="004519C0">
        <w:rPr>
          <w:rFonts w:ascii="Times New Roman" w:hAnsi="Times New Roman" w:cs="Times New Roman"/>
          <w:color w:val="auto"/>
          <w:sz w:val="20"/>
          <w:szCs w:val="20"/>
        </w:rPr>
        <w:t>Schwert</w:t>
      </w:r>
      <w:proofErr w:type="spellEnd"/>
      <w:r w:rsidRPr="004519C0">
        <w:rPr>
          <w:rFonts w:ascii="Times New Roman" w:hAnsi="Times New Roman" w:cs="Times New Roman"/>
          <w:color w:val="auto"/>
          <w:sz w:val="20"/>
          <w:szCs w:val="20"/>
        </w:rPr>
        <w:t xml:space="preserve"> </w:t>
      </w:r>
      <w:r>
        <w:rPr>
          <w:rFonts w:ascii="Times New Roman" w:hAnsi="Times New Roman" w:cs="Times New Roman"/>
          <w:color w:val="auto"/>
          <w:sz w:val="20"/>
          <w:szCs w:val="20"/>
        </w:rPr>
        <w:t>&amp;</w:t>
      </w:r>
      <w:r w:rsidRPr="004519C0">
        <w:rPr>
          <w:rFonts w:ascii="Times New Roman" w:hAnsi="Times New Roman" w:cs="Times New Roman"/>
          <w:color w:val="auto"/>
          <w:sz w:val="20"/>
          <w:szCs w:val="20"/>
        </w:rPr>
        <w:t xml:space="preserve"> Seguin (1993) estimate that a 0.5</w:t>
      </w:r>
      <w:r>
        <w:rPr>
          <w:rFonts w:ascii="Times New Roman" w:hAnsi="Times New Roman" w:cs="Times New Roman"/>
          <w:color w:val="auto"/>
          <w:sz w:val="20"/>
          <w:szCs w:val="20"/>
        </w:rPr>
        <w:t>%</w:t>
      </w:r>
      <w:r w:rsidRPr="004519C0">
        <w:rPr>
          <w:rFonts w:ascii="Times New Roman" w:hAnsi="Times New Roman" w:cs="Times New Roman"/>
          <w:color w:val="auto"/>
          <w:sz w:val="20"/>
          <w:szCs w:val="20"/>
        </w:rPr>
        <w:t xml:space="preserve"> securities transaction tax in the U.S. would increase the cost of capital by 10</w:t>
      </w:r>
      <w:r w:rsidRPr="004519C0">
        <w:rPr>
          <w:rFonts w:ascii="Cambria Math" w:hAnsi="Cambria Math" w:cs="Cambria Math"/>
          <w:color w:val="auto"/>
          <w:sz w:val="20"/>
          <w:szCs w:val="20"/>
        </w:rPr>
        <w:t>‐</w:t>
      </w:r>
      <w:r w:rsidRPr="004519C0">
        <w:rPr>
          <w:rFonts w:ascii="Times New Roman" w:hAnsi="Times New Roman" w:cs="Times New Roman"/>
          <w:color w:val="auto"/>
          <w:sz w:val="20"/>
          <w:szCs w:val="20"/>
        </w:rPr>
        <w:t xml:space="preserve">18 basis points. </w:t>
      </w:r>
    </w:p>
    <w:p w14:paraId="4DAB0374" w14:textId="77777777" w:rsidR="00CA52C9" w:rsidRPr="004519C0" w:rsidRDefault="00CA52C9" w:rsidP="009F7929">
      <w:pPr>
        <w:pStyle w:val="Default"/>
        <w:spacing w:line="246" w:lineRule="atLeast"/>
        <w:ind w:right="210"/>
        <w:jc w:val="both"/>
        <w:rPr>
          <w:rFonts w:ascii="Times New Roman" w:hAnsi="Times New Roman" w:cs="Times New Roman"/>
          <w:sz w:val="20"/>
          <w:szCs w:val="20"/>
        </w:rPr>
      </w:pPr>
    </w:p>
  </w:footnote>
  <w:footnote w:id="9">
    <w:p w14:paraId="34B0530E" w14:textId="77777777" w:rsidR="00CA52C9" w:rsidRPr="004519C0" w:rsidRDefault="00CA52C9" w:rsidP="009F7929">
      <w:pPr>
        <w:pStyle w:val="FootnoteText"/>
        <w:jc w:val="both"/>
        <w:rPr>
          <w:rFonts w:ascii="Times New Roman" w:hAnsi="Times New Roman"/>
        </w:rPr>
      </w:pPr>
      <w:r w:rsidRPr="004519C0">
        <w:rPr>
          <w:rStyle w:val="FootnoteReference"/>
          <w:rFonts w:ascii="Times New Roman" w:hAnsi="Times New Roman"/>
        </w:rPr>
        <w:footnoteRef/>
      </w:r>
      <w:r w:rsidRPr="004519C0">
        <w:rPr>
          <w:rFonts w:ascii="Times New Roman" w:hAnsi="Times New Roman"/>
        </w:rPr>
        <w:t xml:space="preserve"> Although most current proponents of an FTT do not envisage that its base would include current account bank transactions, it is cautionary to recall that while some ha</w:t>
      </w:r>
      <w:r>
        <w:rPr>
          <w:rFonts w:ascii="Times New Roman" w:hAnsi="Times New Roman"/>
        </w:rPr>
        <w:t>ve</w:t>
      </w:r>
      <w:r w:rsidRPr="004519C0">
        <w:rPr>
          <w:rFonts w:ascii="Times New Roman" w:hAnsi="Times New Roman"/>
        </w:rPr>
        <w:t xml:space="preserve"> advocated this as a relatively progressive form of taxation, such evidence as there is suggests the opposite (</w:t>
      </w:r>
      <w:proofErr w:type="spellStart"/>
      <w:r w:rsidRPr="004519C0">
        <w:rPr>
          <w:rFonts w:ascii="Times New Roman" w:hAnsi="Times New Roman"/>
        </w:rPr>
        <w:t>Arbelaez</w:t>
      </w:r>
      <w:proofErr w:type="spellEnd"/>
      <w:r w:rsidRPr="004519C0">
        <w:rPr>
          <w:rFonts w:ascii="Times New Roman" w:hAnsi="Times New Roman"/>
        </w:rPr>
        <w:t xml:space="preserve"> et al., 2005)</w:t>
      </w:r>
      <w:r>
        <w:rPr>
          <w:rFonts w:ascii="Times New Roman" w:hAnsi="Times New Roman"/>
        </w:rPr>
        <w:t>.</w:t>
      </w:r>
    </w:p>
  </w:footnote>
  <w:footnote w:id="10">
    <w:p w14:paraId="6B6F18B9" w14:textId="77777777" w:rsidR="00CA52C9" w:rsidRDefault="00CA52C9" w:rsidP="009F7929">
      <w:pPr>
        <w:pStyle w:val="FootnoteText"/>
        <w:jc w:val="both"/>
      </w:pPr>
      <w:r w:rsidRPr="004519C0">
        <w:rPr>
          <w:rStyle w:val="FootnoteReference"/>
          <w:rFonts w:ascii="Times New Roman" w:hAnsi="Times New Roman"/>
        </w:rPr>
        <w:footnoteRef/>
      </w:r>
      <w:r w:rsidRPr="004519C0">
        <w:rPr>
          <w:rFonts w:ascii="Times New Roman" w:hAnsi="Times New Roman"/>
        </w:rPr>
        <w:t xml:space="preserve"> See Schmidt (2007), </w:t>
      </w:r>
      <w:proofErr w:type="spellStart"/>
      <w:r w:rsidRPr="004519C0">
        <w:rPr>
          <w:rFonts w:ascii="Times New Roman" w:hAnsi="Times New Roman"/>
        </w:rPr>
        <w:t>Schulmeister</w:t>
      </w:r>
      <w:proofErr w:type="spellEnd"/>
      <w:r w:rsidRPr="004519C0">
        <w:rPr>
          <w:rFonts w:ascii="Times New Roman" w:hAnsi="Times New Roman"/>
        </w:rPr>
        <w:t xml:space="preserve"> et al. (2008), and Spratt (2006) for further details.</w:t>
      </w:r>
    </w:p>
  </w:footnote>
  <w:footnote w:id="11">
    <w:p w14:paraId="20146CD7" w14:textId="77777777" w:rsidR="00CA52C9" w:rsidRPr="004519C0" w:rsidRDefault="00CA52C9" w:rsidP="009F7929">
      <w:pPr>
        <w:pStyle w:val="CM4"/>
        <w:jc w:val="both"/>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In </w:t>
      </w:r>
      <w:r>
        <w:rPr>
          <w:rFonts w:ascii="Times New Roman" w:hAnsi="Times New Roman"/>
          <w:sz w:val="20"/>
          <w:szCs w:val="20"/>
        </w:rPr>
        <w:t xml:space="preserve">the </w:t>
      </w:r>
      <w:r w:rsidRPr="004519C0">
        <w:rPr>
          <w:rFonts w:ascii="Times New Roman" w:hAnsi="Times New Roman"/>
          <w:sz w:val="20"/>
          <w:szCs w:val="20"/>
        </w:rPr>
        <w:t xml:space="preserve">case of a turnover tax, tax paid on inputs </w:t>
      </w:r>
      <w:r>
        <w:rPr>
          <w:rFonts w:ascii="Times New Roman" w:hAnsi="Times New Roman"/>
          <w:sz w:val="20"/>
          <w:szCs w:val="20"/>
        </w:rPr>
        <w:t>‘</w:t>
      </w:r>
      <w:r w:rsidRPr="004519C0">
        <w:rPr>
          <w:rFonts w:ascii="Times New Roman" w:hAnsi="Times New Roman"/>
          <w:sz w:val="20"/>
          <w:szCs w:val="20"/>
        </w:rPr>
        <w:t>sticks</w:t>
      </w:r>
      <w:r>
        <w:rPr>
          <w:rFonts w:ascii="Times New Roman" w:hAnsi="Times New Roman"/>
          <w:sz w:val="20"/>
          <w:szCs w:val="20"/>
        </w:rPr>
        <w:t>’</w:t>
      </w:r>
      <w:r w:rsidRPr="004519C0">
        <w:rPr>
          <w:rFonts w:ascii="Times New Roman" w:hAnsi="Times New Roman"/>
          <w:sz w:val="20"/>
          <w:szCs w:val="20"/>
        </w:rPr>
        <w:t xml:space="preserve">. However, </w:t>
      </w:r>
      <w:r>
        <w:rPr>
          <w:rFonts w:ascii="Times New Roman" w:hAnsi="Times New Roman"/>
          <w:sz w:val="20"/>
          <w:szCs w:val="20"/>
        </w:rPr>
        <w:t>with</w:t>
      </w:r>
      <w:r w:rsidRPr="004519C0">
        <w:rPr>
          <w:rFonts w:ascii="Times New Roman" w:hAnsi="Times New Roman"/>
          <w:sz w:val="20"/>
          <w:szCs w:val="20"/>
        </w:rPr>
        <w:t xml:space="preserve"> VAT, a credit is provided for input tax so as to ensure that, while tax is collected from the seller, it ultimately does not affect businesses’ input prices. </w:t>
      </w:r>
    </w:p>
    <w:p w14:paraId="4AA042DB" w14:textId="77777777" w:rsidR="00CA52C9" w:rsidRDefault="00CA52C9" w:rsidP="009F7929">
      <w:pPr>
        <w:pStyle w:val="CM4"/>
      </w:pPr>
    </w:p>
  </w:footnote>
  <w:footnote w:id="12">
    <w:p w14:paraId="2EC8A550" w14:textId="77777777" w:rsidR="00CA52C9" w:rsidRPr="00391291" w:rsidRDefault="00CA52C9" w:rsidP="00434D11">
      <w:pPr>
        <w:pStyle w:val="FootnoteText"/>
        <w:rPr>
          <w:rFonts w:ascii="Times New Roman" w:hAnsi="Times New Roman"/>
          <w:lang w:val="en-US"/>
        </w:rPr>
      </w:pPr>
      <w:r w:rsidRPr="00391291">
        <w:rPr>
          <w:rStyle w:val="FootnoteReference"/>
          <w:rFonts w:ascii="Times New Roman" w:hAnsi="Times New Roman"/>
        </w:rPr>
        <w:footnoteRef/>
      </w:r>
      <w:r w:rsidRPr="00391291">
        <w:rPr>
          <w:rFonts w:ascii="Times New Roman" w:hAnsi="Times New Roman"/>
        </w:rPr>
        <w:t xml:space="preserve"> </w:t>
      </w:r>
      <w:hyperlink r:id="rId1" w:history="1">
        <w:r w:rsidRPr="00391291">
          <w:rPr>
            <w:rStyle w:val="Hyperlink"/>
            <w:rFonts w:ascii="Times New Roman" w:hAnsi="Times New Roman"/>
          </w:rPr>
          <w:t>http://marketsmedia.com/italian-french-trading-volumes-hit-ftt/</w:t>
        </w:r>
      </w:hyperlink>
      <w:r w:rsidRPr="00646943">
        <w:rPr>
          <w:rFonts w:ascii="Times New Roman" w:hAnsi="Times New Roman"/>
        </w:rPr>
        <w:t xml:space="preserve"> </w:t>
      </w:r>
      <w:r w:rsidRPr="00391291">
        <w:rPr>
          <w:rFonts w:ascii="Times New Roman" w:hAnsi="Times New Roman"/>
        </w:rPr>
        <w:t>dated April 23, 2014</w:t>
      </w:r>
      <w:r w:rsidRPr="00646943">
        <w:rPr>
          <w:rFonts w:ascii="Times New Roman" w:hAnsi="Times New Roman"/>
        </w:rPr>
        <w:t xml:space="preserve">, </w:t>
      </w:r>
      <w:hyperlink r:id="rId2" w:history="1">
        <w:r w:rsidRPr="004121BE">
          <w:rPr>
            <w:rStyle w:val="Hyperlink"/>
            <w:rFonts w:ascii="Times New Roman" w:hAnsi="Times New Roman"/>
          </w:rPr>
          <w:t>http://www.ftseglobalmarkets.com/news/ftt-drags-down-italian-stock-trading-volumes.html</w:t>
        </w:r>
      </w:hyperlink>
      <w:r>
        <w:rPr>
          <w:rFonts w:ascii="Times New Roman" w:hAnsi="Times New Roman"/>
        </w:rPr>
        <w:t xml:space="preserve"> dated April 23, 2014.</w:t>
      </w:r>
    </w:p>
  </w:footnote>
  <w:footnote w:id="13">
    <w:p w14:paraId="09866C03" w14:textId="7E8F597F" w:rsidR="00CA52C9" w:rsidRDefault="00CA52C9">
      <w:pPr>
        <w:pStyle w:val="FootnoteText"/>
      </w:pPr>
      <w:r>
        <w:rPr>
          <w:rStyle w:val="FootnoteReference"/>
        </w:rPr>
        <w:footnoteRef/>
      </w:r>
      <w:r>
        <w:t xml:space="preserve"> </w:t>
      </w:r>
      <w:r w:rsidRPr="004519C0">
        <w:rPr>
          <w:rFonts w:ascii="Times New Roman" w:hAnsi="Times New Roman"/>
        </w:rPr>
        <w:t xml:space="preserve">Satya </w:t>
      </w:r>
      <w:r>
        <w:rPr>
          <w:rFonts w:ascii="Times New Roman" w:hAnsi="Times New Roman"/>
        </w:rPr>
        <w:t>&amp;</w:t>
      </w:r>
      <w:r w:rsidRPr="004519C0">
        <w:rPr>
          <w:rFonts w:ascii="Times New Roman" w:hAnsi="Times New Roman"/>
        </w:rPr>
        <w:t xml:space="preserve"> Morley (1997) propose the application of a transaction</w:t>
      </w:r>
      <w:r w:rsidRPr="004519C0">
        <w:rPr>
          <w:rFonts w:ascii="Cambria Math" w:hAnsi="Cambria Math" w:cs="Cambria Math"/>
        </w:rPr>
        <w:t>‐</w:t>
      </w:r>
      <w:r w:rsidRPr="004519C0">
        <w:rPr>
          <w:rFonts w:ascii="Times New Roman" w:hAnsi="Times New Roman"/>
        </w:rPr>
        <w:t>based VAT known as</w:t>
      </w:r>
      <w:r>
        <w:rPr>
          <w:rFonts w:ascii="Times New Roman" w:hAnsi="Times New Roman"/>
        </w:rPr>
        <w:t xml:space="preserve"> the</w:t>
      </w:r>
      <w:r w:rsidRPr="004519C0">
        <w:rPr>
          <w:rFonts w:ascii="Times New Roman" w:hAnsi="Times New Roman"/>
        </w:rPr>
        <w:t xml:space="preserve"> </w:t>
      </w:r>
      <w:r>
        <w:rPr>
          <w:rFonts w:ascii="Times New Roman" w:hAnsi="Times New Roman"/>
        </w:rPr>
        <w:t>‘</w:t>
      </w:r>
      <w:r w:rsidRPr="004519C0">
        <w:rPr>
          <w:rFonts w:ascii="Times New Roman" w:hAnsi="Times New Roman"/>
        </w:rPr>
        <w:t>Truncated Cash</w:t>
      </w:r>
      <w:r w:rsidRPr="004519C0">
        <w:rPr>
          <w:rFonts w:ascii="Cambria Math" w:hAnsi="Cambria Math" w:cs="Cambria Math"/>
        </w:rPr>
        <w:t>‐</w:t>
      </w:r>
      <w:r w:rsidRPr="004519C0">
        <w:rPr>
          <w:rFonts w:ascii="Times New Roman" w:hAnsi="Times New Roman"/>
        </w:rPr>
        <w:t>Flow Method with Tax Calculation Account</w:t>
      </w:r>
      <w:r>
        <w:rPr>
          <w:rFonts w:ascii="Times New Roman" w:hAnsi="Times New Roman"/>
        </w:rPr>
        <w:t>’</w:t>
      </w:r>
      <w:r w:rsidRPr="004519C0">
        <w:rPr>
          <w:rFonts w:ascii="Times New Roman" w:hAnsi="Times New Roman"/>
        </w:rPr>
        <w:t xml:space="preserve"> as another theoretical possibility.</w:t>
      </w:r>
      <w:r>
        <w:rPr>
          <w:rFonts w:ascii="Times New Roman" w:hAnsi="Times New Roman"/>
        </w:rPr>
        <w:t xml:space="preserve"> </w:t>
      </w:r>
      <w:r w:rsidRPr="004519C0">
        <w:rPr>
          <w:rFonts w:ascii="Times New Roman" w:hAnsi="Times New Roman"/>
        </w:rPr>
        <w:t xml:space="preserve">Ernst </w:t>
      </w:r>
      <w:r>
        <w:rPr>
          <w:rFonts w:ascii="Times New Roman" w:hAnsi="Times New Roman"/>
        </w:rPr>
        <w:t>&amp;</w:t>
      </w:r>
      <w:r w:rsidRPr="004519C0">
        <w:rPr>
          <w:rFonts w:ascii="Times New Roman" w:hAnsi="Times New Roman"/>
        </w:rPr>
        <w:t xml:space="preserve"> Young (1996) have considered such alternative approaches.</w:t>
      </w:r>
    </w:p>
  </w:footnote>
  <w:footnote w:id="14">
    <w:p w14:paraId="2ED42659" w14:textId="77777777" w:rsidR="00CA52C9" w:rsidRPr="004519C0" w:rsidRDefault="00CA52C9" w:rsidP="002B0FF9">
      <w:pPr>
        <w:pStyle w:val="CM4"/>
        <w:jc w:val="both"/>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See GST Guidelines for Working with New Zero Rating Rules for Financial Services, published by </w:t>
      </w:r>
      <w:r>
        <w:rPr>
          <w:rFonts w:ascii="Times New Roman" w:hAnsi="Times New Roman"/>
          <w:sz w:val="20"/>
          <w:szCs w:val="20"/>
        </w:rPr>
        <w:t xml:space="preserve">the </w:t>
      </w:r>
      <w:r w:rsidRPr="004519C0">
        <w:rPr>
          <w:rFonts w:ascii="Times New Roman" w:hAnsi="Times New Roman"/>
          <w:sz w:val="20"/>
          <w:szCs w:val="20"/>
        </w:rPr>
        <w:t xml:space="preserve">policy advice division of the Inland Revenue Department (New Zealand), October 2004. </w:t>
      </w:r>
    </w:p>
  </w:footnote>
  <w:footnote w:id="15">
    <w:p w14:paraId="1BCFFDB9" w14:textId="77777777" w:rsidR="00CA52C9" w:rsidRPr="004519C0" w:rsidRDefault="00CA52C9" w:rsidP="002B0FF9">
      <w:pPr>
        <w:pStyle w:val="CM4"/>
        <w:jc w:val="both"/>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The Value Added Tax Act, no 89 of 1991</w:t>
      </w:r>
      <w:r>
        <w:rPr>
          <w:rFonts w:ascii="Times New Roman" w:hAnsi="Times New Roman"/>
          <w:sz w:val="20"/>
          <w:szCs w:val="20"/>
        </w:rPr>
        <w:t>,</w:t>
      </w:r>
      <w:r w:rsidRPr="004519C0">
        <w:rPr>
          <w:rFonts w:ascii="Times New Roman" w:hAnsi="Times New Roman"/>
          <w:sz w:val="20"/>
          <w:szCs w:val="20"/>
        </w:rPr>
        <w:t xml:space="preserve"> states that various financial services are exempt from VAT</w:t>
      </w:r>
      <w:r>
        <w:rPr>
          <w:rFonts w:ascii="Times New Roman" w:hAnsi="Times New Roman"/>
          <w:sz w:val="20"/>
          <w:szCs w:val="20"/>
        </w:rPr>
        <w:t>,</w:t>
      </w:r>
      <w:r w:rsidRPr="004519C0">
        <w:rPr>
          <w:rFonts w:ascii="Times New Roman" w:hAnsi="Times New Roman"/>
          <w:sz w:val="20"/>
          <w:szCs w:val="20"/>
        </w:rPr>
        <w:t xml:space="preserve"> for example long term insurance (sec 2(1</w:t>
      </w:r>
      <w:proofErr w:type="gramStart"/>
      <w:r w:rsidRPr="004519C0">
        <w:rPr>
          <w:rFonts w:ascii="Times New Roman" w:hAnsi="Times New Roman"/>
          <w:sz w:val="20"/>
          <w:szCs w:val="20"/>
        </w:rPr>
        <w:t>)(</w:t>
      </w:r>
      <w:proofErr w:type="gramEnd"/>
      <w:r w:rsidRPr="004519C0">
        <w:rPr>
          <w:rFonts w:ascii="Times New Roman" w:hAnsi="Times New Roman"/>
          <w:sz w:val="20"/>
          <w:szCs w:val="20"/>
        </w:rPr>
        <w:t xml:space="preserve">i) and sec 12(a)). Yet short term insurance and commission received from selling long term and short term insurance are taxable supplies and subject to VAT at 14%. </w:t>
      </w:r>
    </w:p>
    <w:p w14:paraId="1545706F" w14:textId="77777777" w:rsidR="00CA52C9" w:rsidRDefault="00CA52C9" w:rsidP="002B0FF9">
      <w:pPr>
        <w:pStyle w:val="CM4"/>
      </w:pPr>
    </w:p>
  </w:footnote>
  <w:footnote w:id="16">
    <w:p w14:paraId="1FB6E64D" w14:textId="70E846EA" w:rsidR="00CA52C9" w:rsidRPr="00E7515A" w:rsidRDefault="00CA52C9">
      <w:pPr>
        <w:pStyle w:val="FootnoteText"/>
        <w:rPr>
          <w:rFonts w:ascii="Times New Roman" w:hAnsi="Times New Roman"/>
          <w:lang w:val="en-US"/>
        </w:rPr>
      </w:pPr>
      <w:r w:rsidRPr="00E7515A">
        <w:rPr>
          <w:rStyle w:val="FootnoteReference"/>
          <w:rFonts w:ascii="Times New Roman" w:hAnsi="Times New Roman"/>
        </w:rPr>
        <w:footnoteRef/>
      </w:r>
      <w:r w:rsidRPr="00E7515A">
        <w:rPr>
          <w:rFonts w:ascii="Times New Roman" w:hAnsi="Times New Roman"/>
        </w:rPr>
        <w:t xml:space="preserve"> </w:t>
      </w:r>
      <w:r>
        <w:rPr>
          <w:rFonts w:ascii="Times New Roman" w:hAnsi="Times New Roman"/>
          <w:lang w:val="en-US"/>
        </w:rPr>
        <w:t>See PWC (</w:t>
      </w:r>
      <w:r w:rsidRPr="00715190">
        <w:rPr>
          <w:rFonts w:ascii="Times New Roman" w:hAnsi="Times New Roman"/>
          <w:lang w:val="en-US"/>
        </w:rPr>
        <w:t>2006</w:t>
      </w:r>
      <w:r w:rsidRPr="00E7515A">
        <w:rPr>
          <w:rFonts w:ascii="Times New Roman" w:hAnsi="Times New Roman"/>
          <w:lang w:val="en-US"/>
        </w:rPr>
        <w:t>) report for detail.</w:t>
      </w:r>
    </w:p>
  </w:footnote>
  <w:footnote w:id="17">
    <w:p w14:paraId="23F71E14" w14:textId="77777777" w:rsidR="00CA52C9" w:rsidRPr="001934BA" w:rsidRDefault="00CA52C9" w:rsidP="002B0FF9">
      <w:pPr>
        <w:pStyle w:val="Default"/>
      </w:pPr>
      <w:r>
        <w:rPr>
          <w:rStyle w:val="FootnoteReference"/>
        </w:rPr>
        <w:footnoteRef/>
      </w:r>
      <w:r>
        <w:t xml:space="preserve"> </w:t>
      </w:r>
      <w:r w:rsidRPr="00172ADC">
        <w:rPr>
          <w:rFonts w:ascii="Times New Roman" w:hAnsi="Times New Roman" w:cs="Times New Roman"/>
          <w:iCs/>
          <w:color w:val="0B0B0A"/>
          <w:sz w:val="20"/>
          <w:szCs w:val="20"/>
          <w:lang w:val="en-US"/>
        </w:rPr>
        <w:t>GST/HST Memoranda Series, Canada Customs and Revenue Agency, April 2000</w:t>
      </w:r>
      <w:r>
        <w:rPr>
          <w:rFonts w:ascii="Times New Roman" w:hAnsi="Times New Roman" w:cs="Times New Roman"/>
          <w:iCs/>
          <w:color w:val="0B0B0A"/>
          <w:sz w:val="20"/>
          <w:szCs w:val="20"/>
          <w:lang w:val="en-US"/>
        </w:rPr>
        <w:t>.</w:t>
      </w:r>
    </w:p>
    <w:p w14:paraId="5A49B13E" w14:textId="77777777" w:rsidR="00CA52C9" w:rsidRPr="001934BA" w:rsidRDefault="00CA52C9" w:rsidP="002B0FF9">
      <w:pPr>
        <w:pStyle w:val="FootnoteText"/>
        <w:rPr>
          <w:lang w:val="en-US"/>
        </w:rPr>
      </w:pPr>
    </w:p>
  </w:footnote>
  <w:footnote w:id="18">
    <w:p w14:paraId="4337A080" w14:textId="77777777" w:rsidR="00CA52C9" w:rsidRPr="004519C0" w:rsidRDefault="00CA52C9" w:rsidP="00003617">
      <w:pPr>
        <w:pStyle w:val="Default"/>
        <w:spacing w:line="246" w:lineRule="atLeast"/>
        <w:ind w:right="702"/>
        <w:rPr>
          <w:rFonts w:ascii="Times New Roman" w:hAnsi="Times New Roman" w:cs="Times New Roman"/>
          <w:color w:val="auto"/>
          <w:sz w:val="20"/>
          <w:szCs w:val="20"/>
        </w:rPr>
      </w:pPr>
      <w:r w:rsidRPr="004519C0">
        <w:rPr>
          <w:rStyle w:val="FootnoteReference"/>
          <w:rFonts w:ascii="Times New Roman" w:hAnsi="Times New Roman" w:cs="Times New Roman"/>
          <w:sz w:val="20"/>
          <w:szCs w:val="20"/>
        </w:rPr>
        <w:footnoteRef/>
      </w:r>
      <w:r w:rsidRPr="004519C0">
        <w:rPr>
          <w:rFonts w:ascii="Times New Roman" w:hAnsi="Times New Roman" w:cs="Times New Roman"/>
          <w:sz w:val="20"/>
          <w:szCs w:val="20"/>
        </w:rPr>
        <w:t xml:space="preserve"> </w:t>
      </w:r>
      <w:r w:rsidRPr="004519C0">
        <w:rPr>
          <w:rFonts w:ascii="Times New Roman" w:hAnsi="Times New Roman" w:cs="Times New Roman"/>
          <w:color w:val="auto"/>
          <w:sz w:val="20"/>
          <w:szCs w:val="20"/>
        </w:rPr>
        <w:t>See Appendix 6 of the IMF (2010) report for</w:t>
      </w:r>
      <w:r>
        <w:rPr>
          <w:rFonts w:ascii="Times New Roman" w:hAnsi="Times New Roman" w:cs="Times New Roman"/>
          <w:color w:val="auto"/>
          <w:sz w:val="20"/>
          <w:szCs w:val="20"/>
        </w:rPr>
        <w:t xml:space="preserve"> </w:t>
      </w:r>
      <w:r w:rsidRPr="004519C0">
        <w:rPr>
          <w:rFonts w:ascii="Times New Roman" w:hAnsi="Times New Roman" w:cs="Times New Roman"/>
          <w:color w:val="auto"/>
          <w:sz w:val="20"/>
          <w:szCs w:val="20"/>
        </w:rPr>
        <w:t xml:space="preserve">elaboration on the design and revenue potential of these alternative forms of FAT. </w:t>
      </w:r>
    </w:p>
    <w:p w14:paraId="481517C8" w14:textId="77777777" w:rsidR="00CA52C9" w:rsidRPr="004519C0" w:rsidRDefault="00CA52C9" w:rsidP="00003617">
      <w:pPr>
        <w:pStyle w:val="Default"/>
        <w:spacing w:line="246" w:lineRule="atLeast"/>
        <w:ind w:right="702"/>
        <w:rPr>
          <w:rFonts w:ascii="Times New Roman" w:hAnsi="Times New Roman" w:cs="Times New Roman"/>
          <w:sz w:val="20"/>
          <w:szCs w:val="20"/>
        </w:rPr>
      </w:pPr>
    </w:p>
  </w:footnote>
  <w:footnote w:id="19">
    <w:p w14:paraId="6C3E1FDB" w14:textId="77777777" w:rsidR="00CA52C9" w:rsidRPr="004519C0" w:rsidRDefault="00CA52C9" w:rsidP="00003617">
      <w:pPr>
        <w:pStyle w:val="CM3"/>
        <w:rPr>
          <w:rFonts w:ascii="Times New Roman" w:hAnsi="Times New Roman"/>
          <w:sz w:val="20"/>
          <w:szCs w:val="20"/>
        </w:rPr>
      </w:pPr>
      <w:r w:rsidRPr="004519C0">
        <w:rPr>
          <w:rStyle w:val="FootnoteReference"/>
          <w:rFonts w:ascii="Times New Roman" w:hAnsi="Times New Roman"/>
          <w:sz w:val="20"/>
          <w:szCs w:val="20"/>
        </w:rPr>
        <w:footnoteRef/>
      </w:r>
      <w:r w:rsidRPr="004519C0">
        <w:rPr>
          <w:rFonts w:ascii="Times New Roman" w:hAnsi="Times New Roman"/>
          <w:sz w:val="20"/>
          <w:szCs w:val="20"/>
        </w:rPr>
        <w:t xml:space="preserve"> John et al. (1991) develop the argument for progressive profit taxation on these grounds. </w:t>
      </w:r>
    </w:p>
    <w:p w14:paraId="26590A59" w14:textId="77777777" w:rsidR="00CA52C9" w:rsidRDefault="00CA52C9" w:rsidP="00003617">
      <w:pPr>
        <w:pStyle w:val="CM3"/>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AE3AE"/>
    <w:multiLevelType w:val="hybridMultilevel"/>
    <w:tmpl w:val="CA9BC44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A9754AE0"/>
    <w:multiLevelType w:val="hybridMultilevel"/>
    <w:tmpl w:val="7F0538A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C787EC0F"/>
    <w:multiLevelType w:val="hybridMultilevel"/>
    <w:tmpl w:val="91F6015E"/>
    <w:lvl w:ilvl="0" w:tplc="AB8C90A2">
      <w:start w:val="1"/>
      <w:numFmt w:val="decimal"/>
      <w:lvlText w:val="%1."/>
      <w:lvlJc w:val="left"/>
      <w:rPr>
        <w:rFonts w:ascii="Times New Roman" w:eastAsia="Times New Roman"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C8BCECF0"/>
    <w:multiLevelType w:val="hybridMultilevel"/>
    <w:tmpl w:val="7CAE671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CB7572DB"/>
    <w:multiLevelType w:val="hybridMultilevel"/>
    <w:tmpl w:val="F5E836D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F063F6B9"/>
    <w:multiLevelType w:val="hybridMultilevel"/>
    <w:tmpl w:val="C14CF13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8345444"/>
    <w:multiLevelType w:val="hybridMultilevel"/>
    <w:tmpl w:val="51E4152A"/>
    <w:lvl w:ilvl="0" w:tplc="EC003B1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nsid w:val="188E6B7B"/>
    <w:multiLevelType w:val="hybridMultilevel"/>
    <w:tmpl w:val="1234BF32"/>
    <w:lvl w:ilvl="0" w:tplc="962A5828">
      <w:start w:val="1"/>
      <w:numFmt w:val="decimal"/>
      <w:lvlText w:val="%1."/>
      <w:lvlJc w:val="left"/>
      <w:rPr>
        <w:rFonts w:ascii="Calibri" w:eastAsia="Times New Roman" w:hAnsi="Calibri" w:cs="Calibri"/>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1D476B74"/>
    <w:multiLevelType w:val="hybridMultilevel"/>
    <w:tmpl w:val="5366E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74FC8"/>
    <w:multiLevelType w:val="hybridMultilevel"/>
    <w:tmpl w:val="24DED1F4"/>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438F7"/>
    <w:multiLevelType w:val="hybridMultilevel"/>
    <w:tmpl w:val="B89822FA"/>
    <w:lvl w:ilvl="0" w:tplc="20C0B00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44BED"/>
    <w:multiLevelType w:val="hybridMultilevel"/>
    <w:tmpl w:val="38EC3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D97126"/>
    <w:multiLevelType w:val="hybridMultilevel"/>
    <w:tmpl w:val="37AC2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C62145"/>
    <w:multiLevelType w:val="multilevel"/>
    <w:tmpl w:val="F4341A5C"/>
    <w:lvl w:ilvl="0">
      <w:start w:val="3"/>
      <w:numFmt w:val="decimal"/>
      <w:lvlText w:val="%1."/>
      <w:lvlJc w:val="left"/>
      <w:pPr>
        <w:ind w:left="495" w:hanging="495"/>
      </w:pPr>
      <w:rPr>
        <w:rFonts w:cs="Times New Roman" w:hint="default"/>
        <w:i/>
      </w:rPr>
    </w:lvl>
    <w:lvl w:ilvl="1">
      <w:start w:val="3"/>
      <w:numFmt w:val="decimal"/>
      <w:lvlText w:val="%1.%2."/>
      <w:lvlJc w:val="left"/>
      <w:pPr>
        <w:ind w:left="495" w:hanging="495"/>
      </w:pPr>
      <w:rPr>
        <w:rFonts w:cs="Times New Roman" w:hint="default"/>
        <w:i/>
      </w:rPr>
    </w:lvl>
    <w:lvl w:ilvl="2">
      <w:start w:val="3"/>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14">
    <w:nsid w:val="50A91A56"/>
    <w:multiLevelType w:val="hybridMultilevel"/>
    <w:tmpl w:val="0D18C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3A7592"/>
    <w:multiLevelType w:val="hybridMultilevel"/>
    <w:tmpl w:val="46DE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95667"/>
    <w:multiLevelType w:val="hybridMultilevel"/>
    <w:tmpl w:val="17AEE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6303B90"/>
    <w:multiLevelType w:val="hybridMultilevel"/>
    <w:tmpl w:val="967E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C54178"/>
    <w:multiLevelType w:val="hybridMultilevel"/>
    <w:tmpl w:val="06B2496E"/>
    <w:lvl w:ilvl="0" w:tplc="ED381EC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9">
    <w:nsid w:val="5DEE2B4A"/>
    <w:multiLevelType w:val="hybridMultilevel"/>
    <w:tmpl w:val="E9225B2E"/>
    <w:lvl w:ilvl="0" w:tplc="8020D88A">
      <w:start w:val="1"/>
      <w:numFmt w:val="bullet"/>
      <w:lvlText w:val="–"/>
      <w:lvlJc w:val="left"/>
      <w:pPr>
        <w:tabs>
          <w:tab w:val="num" w:pos="720"/>
        </w:tabs>
        <w:ind w:left="720" w:hanging="360"/>
      </w:pPr>
      <w:rPr>
        <w:rFonts w:ascii="Times New Roman" w:hAnsi="Times New Roman" w:hint="default"/>
      </w:rPr>
    </w:lvl>
    <w:lvl w:ilvl="1" w:tplc="9E7CA342">
      <w:start w:val="1"/>
      <w:numFmt w:val="bullet"/>
      <w:lvlText w:val="–"/>
      <w:lvlJc w:val="left"/>
      <w:pPr>
        <w:tabs>
          <w:tab w:val="num" w:pos="1440"/>
        </w:tabs>
        <w:ind w:left="1440" w:hanging="360"/>
      </w:pPr>
      <w:rPr>
        <w:rFonts w:ascii="Times New Roman" w:hAnsi="Times New Roman" w:hint="default"/>
      </w:rPr>
    </w:lvl>
    <w:lvl w:ilvl="2" w:tplc="B9163490" w:tentative="1">
      <w:start w:val="1"/>
      <w:numFmt w:val="bullet"/>
      <w:lvlText w:val="–"/>
      <w:lvlJc w:val="left"/>
      <w:pPr>
        <w:tabs>
          <w:tab w:val="num" w:pos="2160"/>
        </w:tabs>
        <w:ind w:left="2160" w:hanging="360"/>
      </w:pPr>
      <w:rPr>
        <w:rFonts w:ascii="Times New Roman" w:hAnsi="Times New Roman" w:hint="default"/>
      </w:rPr>
    </w:lvl>
    <w:lvl w:ilvl="3" w:tplc="D3FAB658" w:tentative="1">
      <w:start w:val="1"/>
      <w:numFmt w:val="bullet"/>
      <w:lvlText w:val="–"/>
      <w:lvlJc w:val="left"/>
      <w:pPr>
        <w:tabs>
          <w:tab w:val="num" w:pos="2880"/>
        </w:tabs>
        <w:ind w:left="2880" w:hanging="360"/>
      </w:pPr>
      <w:rPr>
        <w:rFonts w:ascii="Times New Roman" w:hAnsi="Times New Roman" w:hint="default"/>
      </w:rPr>
    </w:lvl>
    <w:lvl w:ilvl="4" w:tplc="F266F29E" w:tentative="1">
      <w:start w:val="1"/>
      <w:numFmt w:val="bullet"/>
      <w:lvlText w:val="–"/>
      <w:lvlJc w:val="left"/>
      <w:pPr>
        <w:tabs>
          <w:tab w:val="num" w:pos="3600"/>
        </w:tabs>
        <w:ind w:left="3600" w:hanging="360"/>
      </w:pPr>
      <w:rPr>
        <w:rFonts w:ascii="Times New Roman" w:hAnsi="Times New Roman" w:hint="default"/>
      </w:rPr>
    </w:lvl>
    <w:lvl w:ilvl="5" w:tplc="381CFFBC" w:tentative="1">
      <w:start w:val="1"/>
      <w:numFmt w:val="bullet"/>
      <w:lvlText w:val="–"/>
      <w:lvlJc w:val="left"/>
      <w:pPr>
        <w:tabs>
          <w:tab w:val="num" w:pos="4320"/>
        </w:tabs>
        <w:ind w:left="4320" w:hanging="360"/>
      </w:pPr>
      <w:rPr>
        <w:rFonts w:ascii="Times New Roman" w:hAnsi="Times New Roman" w:hint="default"/>
      </w:rPr>
    </w:lvl>
    <w:lvl w:ilvl="6" w:tplc="658E639A" w:tentative="1">
      <w:start w:val="1"/>
      <w:numFmt w:val="bullet"/>
      <w:lvlText w:val="–"/>
      <w:lvlJc w:val="left"/>
      <w:pPr>
        <w:tabs>
          <w:tab w:val="num" w:pos="5040"/>
        </w:tabs>
        <w:ind w:left="5040" w:hanging="360"/>
      </w:pPr>
      <w:rPr>
        <w:rFonts w:ascii="Times New Roman" w:hAnsi="Times New Roman" w:hint="default"/>
      </w:rPr>
    </w:lvl>
    <w:lvl w:ilvl="7" w:tplc="8D962132" w:tentative="1">
      <w:start w:val="1"/>
      <w:numFmt w:val="bullet"/>
      <w:lvlText w:val="–"/>
      <w:lvlJc w:val="left"/>
      <w:pPr>
        <w:tabs>
          <w:tab w:val="num" w:pos="5760"/>
        </w:tabs>
        <w:ind w:left="5760" w:hanging="360"/>
      </w:pPr>
      <w:rPr>
        <w:rFonts w:ascii="Times New Roman" w:hAnsi="Times New Roman" w:hint="default"/>
      </w:rPr>
    </w:lvl>
    <w:lvl w:ilvl="8" w:tplc="D0C844A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EAF1FEF"/>
    <w:multiLevelType w:val="hybridMultilevel"/>
    <w:tmpl w:val="8FA42EF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63D82CC8"/>
    <w:multiLevelType w:val="hybridMultilevel"/>
    <w:tmpl w:val="6D3AB8BE"/>
    <w:lvl w:ilvl="0" w:tplc="7868B1EE">
      <w:start w:val="1"/>
      <w:numFmt w:val="bullet"/>
      <w:lvlText w:val="-"/>
      <w:lvlJc w:val="left"/>
      <w:pPr>
        <w:ind w:left="708" w:hanging="360"/>
      </w:pPr>
      <w:rPr>
        <w:rFonts w:ascii="Calibri" w:eastAsiaTheme="minorHAnsi" w:hAnsi="Calibri" w:cstheme="minorBidi"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22">
    <w:nsid w:val="66C735D2"/>
    <w:multiLevelType w:val="hybridMultilevel"/>
    <w:tmpl w:val="A30A5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583432"/>
    <w:multiLevelType w:val="hybridMultilevel"/>
    <w:tmpl w:val="8014B3D8"/>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695A74D0"/>
    <w:multiLevelType w:val="multilevel"/>
    <w:tmpl w:val="2EC6EF4C"/>
    <w:lvl w:ilvl="0">
      <w:start w:val="3"/>
      <w:numFmt w:val="decimal"/>
      <w:lvlText w:val="%1."/>
      <w:lvlJc w:val="left"/>
      <w:pPr>
        <w:ind w:left="495" w:hanging="495"/>
      </w:pPr>
      <w:rPr>
        <w:rFonts w:cs="Times New Roman" w:hint="default"/>
        <w:i/>
      </w:rPr>
    </w:lvl>
    <w:lvl w:ilvl="1">
      <w:start w:val="2"/>
      <w:numFmt w:val="decimal"/>
      <w:lvlText w:val="%1.%2."/>
      <w:lvlJc w:val="left"/>
      <w:pPr>
        <w:ind w:left="495" w:hanging="495"/>
      </w:pPr>
      <w:rPr>
        <w:rFonts w:cs="Times New Roman" w:hint="default"/>
        <w:i/>
      </w:rPr>
    </w:lvl>
    <w:lvl w:ilvl="2">
      <w:start w:val="3"/>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num w:numId="1">
    <w:abstractNumId w:val="5"/>
  </w:num>
  <w:num w:numId="2">
    <w:abstractNumId w:val="3"/>
  </w:num>
  <w:num w:numId="3">
    <w:abstractNumId w:val="1"/>
  </w:num>
  <w:num w:numId="4">
    <w:abstractNumId w:val="7"/>
  </w:num>
  <w:num w:numId="5">
    <w:abstractNumId w:val="0"/>
  </w:num>
  <w:num w:numId="6">
    <w:abstractNumId w:val="4"/>
  </w:num>
  <w:num w:numId="7">
    <w:abstractNumId w:val="2"/>
  </w:num>
  <w:num w:numId="8">
    <w:abstractNumId w:val="13"/>
  </w:num>
  <w:num w:numId="9">
    <w:abstractNumId w:val="24"/>
  </w:num>
  <w:num w:numId="10">
    <w:abstractNumId w:val="20"/>
  </w:num>
  <w:num w:numId="11">
    <w:abstractNumId w:val="17"/>
  </w:num>
  <w:num w:numId="12">
    <w:abstractNumId w:val="10"/>
  </w:num>
  <w:num w:numId="13">
    <w:abstractNumId w:val="21"/>
  </w:num>
  <w:num w:numId="14">
    <w:abstractNumId w:val="22"/>
  </w:num>
  <w:num w:numId="15">
    <w:abstractNumId w:val="18"/>
  </w:num>
  <w:num w:numId="16">
    <w:abstractNumId w:val="9"/>
  </w:num>
  <w:num w:numId="17">
    <w:abstractNumId w:val="15"/>
  </w:num>
  <w:num w:numId="18">
    <w:abstractNumId w:val="12"/>
  </w:num>
  <w:num w:numId="19">
    <w:abstractNumId w:val="11"/>
  </w:num>
  <w:num w:numId="20">
    <w:abstractNumId w:val="8"/>
  </w:num>
  <w:num w:numId="21">
    <w:abstractNumId w:val="14"/>
  </w:num>
  <w:num w:numId="22">
    <w:abstractNumId w:val="19"/>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350C1A"/>
    <w:rsid w:val="00000B5C"/>
    <w:rsid w:val="00002668"/>
    <w:rsid w:val="00003617"/>
    <w:rsid w:val="0001073E"/>
    <w:rsid w:val="00013769"/>
    <w:rsid w:val="00015ACE"/>
    <w:rsid w:val="00016158"/>
    <w:rsid w:val="0001739A"/>
    <w:rsid w:val="00020F31"/>
    <w:rsid w:val="00021519"/>
    <w:rsid w:val="000221F1"/>
    <w:rsid w:val="00022DB5"/>
    <w:rsid w:val="00024DB2"/>
    <w:rsid w:val="000262A7"/>
    <w:rsid w:val="00030769"/>
    <w:rsid w:val="0003113F"/>
    <w:rsid w:val="00034FD7"/>
    <w:rsid w:val="00036B9E"/>
    <w:rsid w:val="00037807"/>
    <w:rsid w:val="00043675"/>
    <w:rsid w:val="000444B4"/>
    <w:rsid w:val="000473AC"/>
    <w:rsid w:val="000517CC"/>
    <w:rsid w:val="0005302B"/>
    <w:rsid w:val="00054E58"/>
    <w:rsid w:val="00056BCC"/>
    <w:rsid w:val="0005734F"/>
    <w:rsid w:val="00057688"/>
    <w:rsid w:val="000606F2"/>
    <w:rsid w:val="00060939"/>
    <w:rsid w:val="00060C74"/>
    <w:rsid w:val="00062201"/>
    <w:rsid w:val="000630C1"/>
    <w:rsid w:val="00066A43"/>
    <w:rsid w:val="00066D11"/>
    <w:rsid w:val="00070C85"/>
    <w:rsid w:val="00080144"/>
    <w:rsid w:val="00080EF3"/>
    <w:rsid w:val="00083314"/>
    <w:rsid w:val="00083C09"/>
    <w:rsid w:val="000859D8"/>
    <w:rsid w:val="00085A06"/>
    <w:rsid w:val="00090D6E"/>
    <w:rsid w:val="00093AA8"/>
    <w:rsid w:val="000949C2"/>
    <w:rsid w:val="00095849"/>
    <w:rsid w:val="0009652F"/>
    <w:rsid w:val="00096AD6"/>
    <w:rsid w:val="0009745A"/>
    <w:rsid w:val="00097E1B"/>
    <w:rsid w:val="000A06CA"/>
    <w:rsid w:val="000A17E4"/>
    <w:rsid w:val="000A6CC6"/>
    <w:rsid w:val="000A6F61"/>
    <w:rsid w:val="000B0259"/>
    <w:rsid w:val="000B0F86"/>
    <w:rsid w:val="000B3698"/>
    <w:rsid w:val="000B3BF6"/>
    <w:rsid w:val="000B52F4"/>
    <w:rsid w:val="000B69B0"/>
    <w:rsid w:val="000C0027"/>
    <w:rsid w:val="000C0BEF"/>
    <w:rsid w:val="000C2F4C"/>
    <w:rsid w:val="000C3832"/>
    <w:rsid w:val="000C7BC7"/>
    <w:rsid w:val="000D1749"/>
    <w:rsid w:val="000D3F3C"/>
    <w:rsid w:val="000E138E"/>
    <w:rsid w:val="000E1F09"/>
    <w:rsid w:val="000E2706"/>
    <w:rsid w:val="000E33DD"/>
    <w:rsid w:val="000E35B6"/>
    <w:rsid w:val="000E3C4F"/>
    <w:rsid w:val="000E406E"/>
    <w:rsid w:val="000E4BBD"/>
    <w:rsid w:val="000E4BEE"/>
    <w:rsid w:val="000E7410"/>
    <w:rsid w:val="000F231C"/>
    <w:rsid w:val="000F2B7B"/>
    <w:rsid w:val="000F2DBE"/>
    <w:rsid w:val="000F4107"/>
    <w:rsid w:val="000F42A0"/>
    <w:rsid w:val="000F4323"/>
    <w:rsid w:val="000F62AD"/>
    <w:rsid w:val="0010084E"/>
    <w:rsid w:val="00103559"/>
    <w:rsid w:val="00103E32"/>
    <w:rsid w:val="00104336"/>
    <w:rsid w:val="00104784"/>
    <w:rsid w:val="00105B39"/>
    <w:rsid w:val="001070D2"/>
    <w:rsid w:val="0011187F"/>
    <w:rsid w:val="00114457"/>
    <w:rsid w:val="0011532E"/>
    <w:rsid w:val="00116451"/>
    <w:rsid w:val="00120163"/>
    <w:rsid w:val="00121835"/>
    <w:rsid w:val="001228D4"/>
    <w:rsid w:val="001244AC"/>
    <w:rsid w:val="00124516"/>
    <w:rsid w:val="001255A1"/>
    <w:rsid w:val="0012588C"/>
    <w:rsid w:val="00126304"/>
    <w:rsid w:val="001267C4"/>
    <w:rsid w:val="00127486"/>
    <w:rsid w:val="00127524"/>
    <w:rsid w:val="001314B1"/>
    <w:rsid w:val="00142436"/>
    <w:rsid w:val="00151597"/>
    <w:rsid w:val="00151653"/>
    <w:rsid w:val="00153360"/>
    <w:rsid w:val="00153370"/>
    <w:rsid w:val="0015389A"/>
    <w:rsid w:val="00154541"/>
    <w:rsid w:val="00156B7E"/>
    <w:rsid w:val="00164E5C"/>
    <w:rsid w:val="0016544D"/>
    <w:rsid w:val="0016557F"/>
    <w:rsid w:val="00166FBF"/>
    <w:rsid w:val="001675FC"/>
    <w:rsid w:val="00171880"/>
    <w:rsid w:val="0017236A"/>
    <w:rsid w:val="00172ADC"/>
    <w:rsid w:val="00172CF1"/>
    <w:rsid w:val="00172E92"/>
    <w:rsid w:val="00173B4A"/>
    <w:rsid w:val="00173C60"/>
    <w:rsid w:val="001756A5"/>
    <w:rsid w:val="00175FFA"/>
    <w:rsid w:val="0017643E"/>
    <w:rsid w:val="00176580"/>
    <w:rsid w:val="001768F6"/>
    <w:rsid w:val="00180256"/>
    <w:rsid w:val="00182DFD"/>
    <w:rsid w:val="001872A5"/>
    <w:rsid w:val="0019167B"/>
    <w:rsid w:val="00192F2E"/>
    <w:rsid w:val="001934BA"/>
    <w:rsid w:val="00195D8C"/>
    <w:rsid w:val="00196AB9"/>
    <w:rsid w:val="00197E79"/>
    <w:rsid w:val="00197FA7"/>
    <w:rsid w:val="001A2A33"/>
    <w:rsid w:val="001A71EB"/>
    <w:rsid w:val="001B283B"/>
    <w:rsid w:val="001B2D3F"/>
    <w:rsid w:val="001B466E"/>
    <w:rsid w:val="001B47E0"/>
    <w:rsid w:val="001B4E1B"/>
    <w:rsid w:val="001B54A6"/>
    <w:rsid w:val="001B664E"/>
    <w:rsid w:val="001C0B1F"/>
    <w:rsid w:val="001C11E8"/>
    <w:rsid w:val="001C12D7"/>
    <w:rsid w:val="001C142E"/>
    <w:rsid w:val="001C152D"/>
    <w:rsid w:val="001C2B81"/>
    <w:rsid w:val="001C3A99"/>
    <w:rsid w:val="001C55D3"/>
    <w:rsid w:val="001C67FF"/>
    <w:rsid w:val="001C71C5"/>
    <w:rsid w:val="001C74D5"/>
    <w:rsid w:val="001D27C8"/>
    <w:rsid w:val="001D3F7A"/>
    <w:rsid w:val="001D63B9"/>
    <w:rsid w:val="001D66E4"/>
    <w:rsid w:val="001E01E7"/>
    <w:rsid w:val="001E39C2"/>
    <w:rsid w:val="001E6A6C"/>
    <w:rsid w:val="001E78B1"/>
    <w:rsid w:val="001E7CCF"/>
    <w:rsid w:val="001E7FDA"/>
    <w:rsid w:val="001F40AF"/>
    <w:rsid w:val="001F43F2"/>
    <w:rsid w:val="001F6E75"/>
    <w:rsid w:val="00201481"/>
    <w:rsid w:val="00203905"/>
    <w:rsid w:val="00204120"/>
    <w:rsid w:val="0020479F"/>
    <w:rsid w:val="00205477"/>
    <w:rsid w:val="002060DE"/>
    <w:rsid w:val="002109EB"/>
    <w:rsid w:val="00211653"/>
    <w:rsid w:val="002118AD"/>
    <w:rsid w:val="00212277"/>
    <w:rsid w:val="002125C8"/>
    <w:rsid w:val="00212817"/>
    <w:rsid w:val="00213701"/>
    <w:rsid w:val="0021421F"/>
    <w:rsid w:val="00215299"/>
    <w:rsid w:val="002152D5"/>
    <w:rsid w:val="00217029"/>
    <w:rsid w:val="00221E0F"/>
    <w:rsid w:val="00222EB2"/>
    <w:rsid w:val="002249CF"/>
    <w:rsid w:val="00227E71"/>
    <w:rsid w:val="00231FA9"/>
    <w:rsid w:val="00232DA6"/>
    <w:rsid w:val="00233046"/>
    <w:rsid w:val="002335A8"/>
    <w:rsid w:val="00242541"/>
    <w:rsid w:val="00243FD7"/>
    <w:rsid w:val="00245FCA"/>
    <w:rsid w:val="002468DD"/>
    <w:rsid w:val="002506F2"/>
    <w:rsid w:val="0025461E"/>
    <w:rsid w:val="00254E6E"/>
    <w:rsid w:val="0026346C"/>
    <w:rsid w:val="00264D68"/>
    <w:rsid w:val="002661D5"/>
    <w:rsid w:val="00270196"/>
    <w:rsid w:val="00270E4E"/>
    <w:rsid w:val="002723CB"/>
    <w:rsid w:val="002746B0"/>
    <w:rsid w:val="00274C80"/>
    <w:rsid w:val="00275D8E"/>
    <w:rsid w:val="002767C7"/>
    <w:rsid w:val="0027728E"/>
    <w:rsid w:val="00277347"/>
    <w:rsid w:val="00282021"/>
    <w:rsid w:val="00282C71"/>
    <w:rsid w:val="00282DF3"/>
    <w:rsid w:val="0028381D"/>
    <w:rsid w:val="00284C38"/>
    <w:rsid w:val="00286A8B"/>
    <w:rsid w:val="00287D27"/>
    <w:rsid w:val="00290E1E"/>
    <w:rsid w:val="002958BF"/>
    <w:rsid w:val="002958F5"/>
    <w:rsid w:val="00297A89"/>
    <w:rsid w:val="002A2DF9"/>
    <w:rsid w:val="002A39E6"/>
    <w:rsid w:val="002A7662"/>
    <w:rsid w:val="002A7973"/>
    <w:rsid w:val="002B0FF9"/>
    <w:rsid w:val="002B20F2"/>
    <w:rsid w:val="002B411F"/>
    <w:rsid w:val="002B438A"/>
    <w:rsid w:val="002B4EAE"/>
    <w:rsid w:val="002B52AC"/>
    <w:rsid w:val="002B64B3"/>
    <w:rsid w:val="002C16C7"/>
    <w:rsid w:val="002C2253"/>
    <w:rsid w:val="002C36CA"/>
    <w:rsid w:val="002C3D09"/>
    <w:rsid w:val="002C4611"/>
    <w:rsid w:val="002C5A42"/>
    <w:rsid w:val="002C678A"/>
    <w:rsid w:val="002C6979"/>
    <w:rsid w:val="002C7B7F"/>
    <w:rsid w:val="002C7BF4"/>
    <w:rsid w:val="002D0FBC"/>
    <w:rsid w:val="002D1307"/>
    <w:rsid w:val="002D1E07"/>
    <w:rsid w:val="002D344B"/>
    <w:rsid w:val="002D454D"/>
    <w:rsid w:val="002D6BA2"/>
    <w:rsid w:val="002E244F"/>
    <w:rsid w:val="002E3B75"/>
    <w:rsid w:val="002E4A07"/>
    <w:rsid w:val="002E5FBE"/>
    <w:rsid w:val="002E7F28"/>
    <w:rsid w:val="002F3D79"/>
    <w:rsid w:val="002F44AB"/>
    <w:rsid w:val="002F5BCA"/>
    <w:rsid w:val="00302A7A"/>
    <w:rsid w:val="003049B0"/>
    <w:rsid w:val="00307789"/>
    <w:rsid w:val="00307E30"/>
    <w:rsid w:val="003110CD"/>
    <w:rsid w:val="003127DA"/>
    <w:rsid w:val="0031345B"/>
    <w:rsid w:val="00315B27"/>
    <w:rsid w:val="00322E59"/>
    <w:rsid w:val="00323002"/>
    <w:rsid w:val="0032558D"/>
    <w:rsid w:val="00326079"/>
    <w:rsid w:val="00327C7D"/>
    <w:rsid w:val="00331488"/>
    <w:rsid w:val="00333EC9"/>
    <w:rsid w:val="003347F1"/>
    <w:rsid w:val="003353B5"/>
    <w:rsid w:val="00337CF9"/>
    <w:rsid w:val="003401A0"/>
    <w:rsid w:val="003437E8"/>
    <w:rsid w:val="00343D13"/>
    <w:rsid w:val="00345D9C"/>
    <w:rsid w:val="00345DDC"/>
    <w:rsid w:val="00345FB5"/>
    <w:rsid w:val="00346CDB"/>
    <w:rsid w:val="003473F6"/>
    <w:rsid w:val="00347A8B"/>
    <w:rsid w:val="00347E31"/>
    <w:rsid w:val="00347E67"/>
    <w:rsid w:val="00350C1A"/>
    <w:rsid w:val="003511D7"/>
    <w:rsid w:val="00352064"/>
    <w:rsid w:val="00354B6F"/>
    <w:rsid w:val="0036245E"/>
    <w:rsid w:val="00362FA6"/>
    <w:rsid w:val="003671BE"/>
    <w:rsid w:val="00374022"/>
    <w:rsid w:val="00375EFA"/>
    <w:rsid w:val="00377D7A"/>
    <w:rsid w:val="0038038F"/>
    <w:rsid w:val="003803AF"/>
    <w:rsid w:val="003803C2"/>
    <w:rsid w:val="003812F4"/>
    <w:rsid w:val="00382484"/>
    <w:rsid w:val="003847BD"/>
    <w:rsid w:val="00385D62"/>
    <w:rsid w:val="00386AD1"/>
    <w:rsid w:val="003959A9"/>
    <w:rsid w:val="00396A76"/>
    <w:rsid w:val="0039741D"/>
    <w:rsid w:val="003A1215"/>
    <w:rsid w:val="003A24EB"/>
    <w:rsid w:val="003A47A2"/>
    <w:rsid w:val="003A57ED"/>
    <w:rsid w:val="003A6B64"/>
    <w:rsid w:val="003B28AB"/>
    <w:rsid w:val="003B2F2B"/>
    <w:rsid w:val="003B459A"/>
    <w:rsid w:val="003B66F8"/>
    <w:rsid w:val="003C0C32"/>
    <w:rsid w:val="003C417A"/>
    <w:rsid w:val="003C6614"/>
    <w:rsid w:val="003C7B77"/>
    <w:rsid w:val="003D047E"/>
    <w:rsid w:val="003D1469"/>
    <w:rsid w:val="003D48DD"/>
    <w:rsid w:val="003D5E0F"/>
    <w:rsid w:val="003D6294"/>
    <w:rsid w:val="003E0505"/>
    <w:rsid w:val="003E14C7"/>
    <w:rsid w:val="003E27B3"/>
    <w:rsid w:val="003E5AFA"/>
    <w:rsid w:val="003E6D78"/>
    <w:rsid w:val="003E7126"/>
    <w:rsid w:val="003F17DD"/>
    <w:rsid w:val="003F183B"/>
    <w:rsid w:val="003F2A5B"/>
    <w:rsid w:val="003F477C"/>
    <w:rsid w:val="003F6F4D"/>
    <w:rsid w:val="003F6F9A"/>
    <w:rsid w:val="00400DBB"/>
    <w:rsid w:val="004058EF"/>
    <w:rsid w:val="0040685D"/>
    <w:rsid w:val="00412C6A"/>
    <w:rsid w:val="00417FAD"/>
    <w:rsid w:val="004201F1"/>
    <w:rsid w:val="004212DE"/>
    <w:rsid w:val="004245A7"/>
    <w:rsid w:val="004267ED"/>
    <w:rsid w:val="00427A18"/>
    <w:rsid w:val="00430CA6"/>
    <w:rsid w:val="004314DA"/>
    <w:rsid w:val="00431BBD"/>
    <w:rsid w:val="00431E1C"/>
    <w:rsid w:val="00433212"/>
    <w:rsid w:val="00434D11"/>
    <w:rsid w:val="00436F7A"/>
    <w:rsid w:val="004402B0"/>
    <w:rsid w:val="00441CA5"/>
    <w:rsid w:val="0044296F"/>
    <w:rsid w:val="0044532C"/>
    <w:rsid w:val="00450219"/>
    <w:rsid w:val="00451017"/>
    <w:rsid w:val="004519C0"/>
    <w:rsid w:val="004532F6"/>
    <w:rsid w:val="004566C5"/>
    <w:rsid w:val="00460B82"/>
    <w:rsid w:val="00460D39"/>
    <w:rsid w:val="00462801"/>
    <w:rsid w:val="00464A06"/>
    <w:rsid w:val="00466A4F"/>
    <w:rsid w:val="004725F2"/>
    <w:rsid w:val="00472BAF"/>
    <w:rsid w:val="004826F3"/>
    <w:rsid w:val="00483503"/>
    <w:rsid w:val="00483D2E"/>
    <w:rsid w:val="0048547B"/>
    <w:rsid w:val="0048587E"/>
    <w:rsid w:val="00486CE1"/>
    <w:rsid w:val="0049038A"/>
    <w:rsid w:val="004942C3"/>
    <w:rsid w:val="00495489"/>
    <w:rsid w:val="004A0792"/>
    <w:rsid w:val="004A4369"/>
    <w:rsid w:val="004A5AE2"/>
    <w:rsid w:val="004A754C"/>
    <w:rsid w:val="004B2110"/>
    <w:rsid w:val="004B21E2"/>
    <w:rsid w:val="004B2509"/>
    <w:rsid w:val="004B2CBF"/>
    <w:rsid w:val="004C10B9"/>
    <w:rsid w:val="004C1557"/>
    <w:rsid w:val="004C186B"/>
    <w:rsid w:val="004C2ED6"/>
    <w:rsid w:val="004C3FE2"/>
    <w:rsid w:val="004C40C3"/>
    <w:rsid w:val="004C535A"/>
    <w:rsid w:val="004C67E2"/>
    <w:rsid w:val="004D0501"/>
    <w:rsid w:val="004D2055"/>
    <w:rsid w:val="004D28AC"/>
    <w:rsid w:val="004D3571"/>
    <w:rsid w:val="004D3653"/>
    <w:rsid w:val="004D4B91"/>
    <w:rsid w:val="004D689D"/>
    <w:rsid w:val="004D6F30"/>
    <w:rsid w:val="004E0ABD"/>
    <w:rsid w:val="004E6217"/>
    <w:rsid w:val="004E6E0B"/>
    <w:rsid w:val="004E711A"/>
    <w:rsid w:val="004E7168"/>
    <w:rsid w:val="004F43B8"/>
    <w:rsid w:val="004F67C3"/>
    <w:rsid w:val="004F7465"/>
    <w:rsid w:val="004F7613"/>
    <w:rsid w:val="004F7CB6"/>
    <w:rsid w:val="00500363"/>
    <w:rsid w:val="00502379"/>
    <w:rsid w:val="00503264"/>
    <w:rsid w:val="00504EA5"/>
    <w:rsid w:val="005062D1"/>
    <w:rsid w:val="00506EC8"/>
    <w:rsid w:val="00511129"/>
    <w:rsid w:val="005113DF"/>
    <w:rsid w:val="00511614"/>
    <w:rsid w:val="00512579"/>
    <w:rsid w:val="00513629"/>
    <w:rsid w:val="00517B8A"/>
    <w:rsid w:val="00523E95"/>
    <w:rsid w:val="00526701"/>
    <w:rsid w:val="00526CB8"/>
    <w:rsid w:val="00526D50"/>
    <w:rsid w:val="00531DFA"/>
    <w:rsid w:val="0053205E"/>
    <w:rsid w:val="00533173"/>
    <w:rsid w:val="00533502"/>
    <w:rsid w:val="00534995"/>
    <w:rsid w:val="00535C6D"/>
    <w:rsid w:val="00535D03"/>
    <w:rsid w:val="00540F0F"/>
    <w:rsid w:val="00542C4C"/>
    <w:rsid w:val="00543F13"/>
    <w:rsid w:val="00550F34"/>
    <w:rsid w:val="00553165"/>
    <w:rsid w:val="005571E4"/>
    <w:rsid w:val="0055734F"/>
    <w:rsid w:val="00557F08"/>
    <w:rsid w:val="00561C67"/>
    <w:rsid w:val="00562871"/>
    <w:rsid w:val="005631D5"/>
    <w:rsid w:val="00564DA0"/>
    <w:rsid w:val="00570959"/>
    <w:rsid w:val="0057101B"/>
    <w:rsid w:val="005726D0"/>
    <w:rsid w:val="00573AEB"/>
    <w:rsid w:val="00580E73"/>
    <w:rsid w:val="005823B5"/>
    <w:rsid w:val="0058357D"/>
    <w:rsid w:val="00586330"/>
    <w:rsid w:val="005940C8"/>
    <w:rsid w:val="00594B7A"/>
    <w:rsid w:val="00597326"/>
    <w:rsid w:val="005A1223"/>
    <w:rsid w:val="005A474E"/>
    <w:rsid w:val="005A590C"/>
    <w:rsid w:val="005A6305"/>
    <w:rsid w:val="005A7401"/>
    <w:rsid w:val="005B2D9C"/>
    <w:rsid w:val="005B76A0"/>
    <w:rsid w:val="005B78AD"/>
    <w:rsid w:val="005C16F9"/>
    <w:rsid w:val="005C2B4B"/>
    <w:rsid w:val="005C47EF"/>
    <w:rsid w:val="005C5BCA"/>
    <w:rsid w:val="005C5D42"/>
    <w:rsid w:val="005D08DF"/>
    <w:rsid w:val="005D16BE"/>
    <w:rsid w:val="005D19A9"/>
    <w:rsid w:val="005D4A31"/>
    <w:rsid w:val="005D6152"/>
    <w:rsid w:val="005E52B1"/>
    <w:rsid w:val="005E56FD"/>
    <w:rsid w:val="005E6D1C"/>
    <w:rsid w:val="005F23A1"/>
    <w:rsid w:val="005F36EC"/>
    <w:rsid w:val="005F4738"/>
    <w:rsid w:val="005F7459"/>
    <w:rsid w:val="00600495"/>
    <w:rsid w:val="00601942"/>
    <w:rsid w:val="00603469"/>
    <w:rsid w:val="00606524"/>
    <w:rsid w:val="00606A77"/>
    <w:rsid w:val="00610CB9"/>
    <w:rsid w:val="00611E42"/>
    <w:rsid w:val="0061329F"/>
    <w:rsid w:val="00616C38"/>
    <w:rsid w:val="00617E94"/>
    <w:rsid w:val="00617ED4"/>
    <w:rsid w:val="006204EF"/>
    <w:rsid w:val="00621251"/>
    <w:rsid w:val="00621938"/>
    <w:rsid w:val="006221B2"/>
    <w:rsid w:val="006225D2"/>
    <w:rsid w:val="00622CF4"/>
    <w:rsid w:val="00623C8C"/>
    <w:rsid w:val="00623D8A"/>
    <w:rsid w:val="006305D9"/>
    <w:rsid w:val="006318EE"/>
    <w:rsid w:val="00632118"/>
    <w:rsid w:val="00634989"/>
    <w:rsid w:val="00637105"/>
    <w:rsid w:val="006412AC"/>
    <w:rsid w:val="006474A6"/>
    <w:rsid w:val="006519D5"/>
    <w:rsid w:val="006524AF"/>
    <w:rsid w:val="00653CE6"/>
    <w:rsid w:val="00655B23"/>
    <w:rsid w:val="00656728"/>
    <w:rsid w:val="00660AA4"/>
    <w:rsid w:val="0066233E"/>
    <w:rsid w:val="00665593"/>
    <w:rsid w:val="006710E7"/>
    <w:rsid w:val="0067235F"/>
    <w:rsid w:val="00672617"/>
    <w:rsid w:val="00672DE8"/>
    <w:rsid w:val="00673211"/>
    <w:rsid w:val="00673F34"/>
    <w:rsid w:val="006745E8"/>
    <w:rsid w:val="00680321"/>
    <w:rsid w:val="00681001"/>
    <w:rsid w:val="0068272E"/>
    <w:rsid w:val="00686FD2"/>
    <w:rsid w:val="0068776A"/>
    <w:rsid w:val="006943FB"/>
    <w:rsid w:val="0069456E"/>
    <w:rsid w:val="00695341"/>
    <w:rsid w:val="006953B9"/>
    <w:rsid w:val="00695814"/>
    <w:rsid w:val="006959E7"/>
    <w:rsid w:val="00695DE8"/>
    <w:rsid w:val="006A1EEF"/>
    <w:rsid w:val="006A2E4B"/>
    <w:rsid w:val="006A4574"/>
    <w:rsid w:val="006A5192"/>
    <w:rsid w:val="006A55B7"/>
    <w:rsid w:val="006A63CD"/>
    <w:rsid w:val="006A66AC"/>
    <w:rsid w:val="006B1632"/>
    <w:rsid w:val="006B394E"/>
    <w:rsid w:val="006B53E0"/>
    <w:rsid w:val="006B73D1"/>
    <w:rsid w:val="006B775A"/>
    <w:rsid w:val="006B7C08"/>
    <w:rsid w:val="006C017D"/>
    <w:rsid w:val="006C0387"/>
    <w:rsid w:val="006C04F1"/>
    <w:rsid w:val="006C060C"/>
    <w:rsid w:val="006C1768"/>
    <w:rsid w:val="006C366D"/>
    <w:rsid w:val="006C5A76"/>
    <w:rsid w:val="006C612B"/>
    <w:rsid w:val="006C694E"/>
    <w:rsid w:val="006C6EF2"/>
    <w:rsid w:val="006C7A38"/>
    <w:rsid w:val="006D15D5"/>
    <w:rsid w:val="006D44E2"/>
    <w:rsid w:val="006D57D1"/>
    <w:rsid w:val="006D6043"/>
    <w:rsid w:val="006D7B18"/>
    <w:rsid w:val="006E0E33"/>
    <w:rsid w:val="006E40CB"/>
    <w:rsid w:val="006E5590"/>
    <w:rsid w:val="006E55BE"/>
    <w:rsid w:val="006E55C2"/>
    <w:rsid w:val="006E5BD1"/>
    <w:rsid w:val="006E749A"/>
    <w:rsid w:val="006E77D0"/>
    <w:rsid w:val="006F0095"/>
    <w:rsid w:val="006F098B"/>
    <w:rsid w:val="006F1028"/>
    <w:rsid w:val="006F3793"/>
    <w:rsid w:val="006F5F1A"/>
    <w:rsid w:val="00701CCA"/>
    <w:rsid w:val="00702098"/>
    <w:rsid w:val="007021EB"/>
    <w:rsid w:val="0070273B"/>
    <w:rsid w:val="00703ADC"/>
    <w:rsid w:val="00705C18"/>
    <w:rsid w:val="0070688A"/>
    <w:rsid w:val="00711D07"/>
    <w:rsid w:val="007127E2"/>
    <w:rsid w:val="0071404A"/>
    <w:rsid w:val="00714566"/>
    <w:rsid w:val="00715190"/>
    <w:rsid w:val="00715B41"/>
    <w:rsid w:val="007161BB"/>
    <w:rsid w:val="00716658"/>
    <w:rsid w:val="00717A7D"/>
    <w:rsid w:val="0072159C"/>
    <w:rsid w:val="0072163A"/>
    <w:rsid w:val="00721E23"/>
    <w:rsid w:val="00726659"/>
    <w:rsid w:val="00726EC7"/>
    <w:rsid w:val="00730D9E"/>
    <w:rsid w:val="007310D6"/>
    <w:rsid w:val="00732853"/>
    <w:rsid w:val="007337C4"/>
    <w:rsid w:val="007341A1"/>
    <w:rsid w:val="007349AB"/>
    <w:rsid w:val="00734B86"/>
    <w:rsid w:val="00734DDF"/>
    <w:rsid w:val="007363E3"/>
    <w:rsid w:val="00737319"/>
    <w:rsid w:val="00740C2A"/>
    <w:rsid w:val="00745917"/>
    <w:rsid w:val="00745C45"/>
    <w:rsid w:val="007467FD"/>
    <w:rsid w:val="00746FDB"/>
    <w:rsid w:val="0074736F"/>
    <w:rsid w:val="007523E4"/>
    <w:rsid w:val="00754C96"/>
    <w:rsid w:val="00756B1D"/>
    <w:rsid w:val="00763A55"/>
    <w:rsid w:val="007654B2"/>
    <w:rsid w:val="00765D84"/>
    <w:rsid w:val="0077194E"/>
    <w:rsid w:val="007802F4"/>
    <w:rsid w:val="007814B8"/>
    <w:rsid w:val="0078170F"/>
    <w:rsid w:val="0078178F"/>
    <w:rsid w:val="00781C27"/>
    <w:rsid w:val="00784541"/>
    <w:rsid w:val="007860D6"/>
    <w:rsid w:val="00787166"/>
    <w:rsid w:val="007878A3"/>
    <w:rsid w:val="00792705"/>
    <w:rsid w:val="00793173"/>
    <w:rsid w:val="007946CC"/>
    <w:rsid w:val="0079534F"/>
    <w:rsid w:val="00797101"/>
    <w:rsid w:val="00797961"/>
    <w:rsid w:val="00797AB1"/>
    <w:rsid w:val="00797EF6"/>
    <w:rsid w:val="007A03A5"/>
    <w:rsid w:val="007A15D7"/>
    <w:rsid w:val="007A2FF7"/>
    <w:rsid w:val="007A48BD"/>
    <w:rsid w:val="007A55CF"/>
    <w:rsid w:val="007A6219"/>
    <w:rsid w:val="007A734D"/>
    <w:rsid w:val="007B0588"/>
    <w:rsid w:val="007B3068"/>
    <w:rsid w:val="007B3E77"/>
    <w:rsid w:val="007B749B"/>
    <w:rsid w:val="007C40FD"/>
    <w:rsid w:val="007C5AA1"/>
    <w:rsid w:val="007D0108"/>
    <w:rsid w:val="007D0A11"/>
    <w:rsid w:val="007D4714"/>
    <w:rsid w:val="007D6518"/>
    <w:rsid w:val="007D7203"/>
    <w:rsid w:val="007D7E3A"/>
    <w:rsid w:val="007E08D1"/>
    <w:rsid w:val="007E3AED"/>
    <w:rsid w:val="007E657A"/>
    <w:rsid w:val="007F239A"/>
    <w:rsid w:val="007F2A66"/>
    <w:rsid w:val="007F2D29"/>
    <w:rsid w:val="007F5948"/>
    <w:rsid w:val="007F76BA"/>
    <w:rsid w:val="007F7B25"/>
    <w:rsid w:val="00800C6B"/>
    <w:rsid w:val="00805AB0"/>
    <w:rsid w:val="008069FA"/>
    <w:rsid w:val="00810B36"/>
    <w:rsid w:val="00812E36"/>
    <w:rsid w:val="00812EE3"/>
    <w:rsid w:val="008132CE"/>
    <w:rsid w:val="00814569"/>
    <w:rsid w:val="00814B56"/>
    <w:rsid w:val="008151EB"/>
    <w:rsid w:val="00815D3A"/>
    <w:rsid w:val="00817AF8"/>
    <w:rsid w:val="00823084"/>
    <w:rsid w:val="00823CAF"/>
    <w:rsid w:val="00826ACA"/>
    <w:rsid w:val="00826D02"/>
    <w:rsid w:val="00830416"/>
    <w:rsid w:val="00833B42"/>
    <w:rsid w:val="00837144"/>
    <w:rsid w:val="008404C6"/>
    <w:rsid w:val="00841054"/>
    <w:rsid w:val="008420F7"/>
    <w:rsid w:val="0084465A"/>
    <w:rsid w:val="00845BCE"/>
    <w:rsid w:val="008460EF"/>
    <w:rsid w:val="00846399"/>
    <w:rsid w:val="008517C0"/>
    <w:rsid w:val="0085397F"/>
    <w:rsid w:val="00855201"/>
    <w:rsid w:val="0085591F"/>
    <w:rsid w:val="008575DB"/>
    <w:rsid w:val="008575FA"/>
    <w:rsid w:val="008611DF"/>
    <w:rsid w:val="0086139F"/>
    <w:rsid w:val="00861C69"/>
    <w:rsid w:val="0086251F"/>
    <w:rsid w:val="00865C03"/>
    <w:rsid w:val="008667DE"/>
    <w:rsid w:val="008703AA"/>
    <w:rsid w:val="00871BCE"/>
    <w:rsid w:val="008743CB"/>
    <w:rsid w:val="00874FDC"/>
    <w:rsid w:val="00875443"/>
    <w:rsid w:val="008758CB"/>
    <w:rsid w:val="00876B3B"/>
    <w:rsid w:val="00877F3F"/>
    <w:rsid w:val="00885799"/>
    <w:rsid w:val="00886075"/>
    <w:rsid w:val="0088710A"/>
    <w:rsid w:val="00887CC1"/>
    <w:rsid w:val="00887E45"/>
    <w:rsid w:val="008903A5"/>
    <w:rsid w:val="00890B24"/>
    <w:rsid w:val="008916EC"/>
    <w:rsid w:val="00891C82"/>
    <w:rsid w:val="00894279"/>
    <w:rsid w:val="008958D5"/>
    <w:rsid w:val="0089755C"/>
    <w:rsid w:val="008A051F"/>
    <w:rsid w:val="008A0F46"/>
    <w:rsid w:val="008A134F"/>
    <w:rsid w:val="008A6C7D"/>
    <w:rsid w:val="008B1ED3"/>
    <w:rsid w:val="008B2A9B"/>
    <w:rsid w:val="008B4E56"/>
    <w:rsid w:val="008B631A"/>
    <w:rsid w:val="008B6ABE"/>
    <w:rsid w:val="008B7692"/>
    <w:rsid w:val="008C0623"/>
    <w:rsid w:val="008C0728"/>
    <w:rsid w:val="008C21BF"/>
    <w:rsid w:val="008C2264"/>
    <w:rsid w:val="008C3AC9"/>
    <w:rsid w:val="008C552F"/>
    <w:rsid w:val="008C5689"/>
    <w:rsid w:val="008C5FEB"/>
    <w:rsid w:val="008C755C"/>
    <w:rsid w:val="008D5739"/>
    <w:rsid w:val="008D5E06"/>
    <w:rsid w:val="008D649E"/>
    <w:rsid w:val="008E21CD"/>
    <w:rsid w:val="008E5541"/>
    <w:rsid w:val="008E5C20"/>
    <w:rsid w:val="008E76E0"/>
    <w:rsid w:val="008E7D73"/>
    <w:rsid w:val="008F0D3F"/>
    <w:rsid w:val="008F0E8F"/>
    <w:rsid w:val="008F22DF"/>
    <w:rsid w:val="008F2DC6"/>
    <w:rsid w:val="008F5013"/>
    <w:rsid w:val="008F529E"/>
    <w:rsid w:val="009007AA"/>
    <w:rsid w:val="009029A0"/>
    <w:rsid w:val="009074EE"/>
    <w:rsid w:val="00907FEE"/>
    <w:rsid w:val="00910385"/>
    <w:rsid w:val="009107D9"/>
    <w:rsid w:val="00910E4D"/>
    <w:rsid w:val="00912A72"/>
    <w:rsid w:val="00915BE0"/>
    <w:rsid w:val="00916EF9"/>
    <w:rsid w:val="00920DDC"/>
    <w:rsid w:val="009218D9"/>
    <w:rsid w:val="0092526A"/>
    <w:rsid w:val="00925956"/>
    <w:rsid w:val="00927E3A"/>
    <w:rsid w:val="00931103"/>
    <w:rsid w:val="00931657"/>
    <w:rsid w:val="009327D7"/>
    <w:rsid w:val="0093621A"/>
    <w:rsid w:val="00942CA6"/>
    <w:rsid w:val="00943054"/>
    <w:rsid w:val="00944150"/>
    <w:rsid w:val="00945AE0"/>
    <w:rsid w:val="00951343"/>
    <w:rsid w:val="009531F8"/>
    <w:rsid w:val="009576F0"/>
    <w:rsid w:val="009608D2"/>
    <w:rsid w:val="00960E32"/>
    <w:rsid w:val="00963A78"/>
    <w:rsid w:val="00965F89"/>
    <w:rsid w:val="00967F61"/>
    <w:rsid w:val="00970DEA"/>
    <w:rsid w:val="00972ED5"/>
    <w:rsid w:val="0097421D"/>
    <w:rsid w:val="00974C07"/>
    <w:rsid w:val="009750E6"/>
    <w:rsid w:val="00975F38"/>
    <w:rsid w:val="00977279"/>
    <w:rsid w:val="0098146A"/>
    <w:rsid w:val="0098255F"/>
    <w:rsid w:val="0098324B"/>
    <w:rsid w:val="00983B11"/>
    <w:rsid w:val="00985245"/>
    <w:rsid w:val="00985BF3"/>
    <w:rsid w:val="009875C2"/>
    <w:rsid w:val="00990937"/>
    <w:rsid w:val="00994382"/>
    <w:rsid w:val="00994A90"/>
    <w:rsid w:val="00995D34"/>
    <w:rsid w:val="00996B62"/>
    <w:rsid w:val="00996FFB"/>
    <w:rsid w:val="009972F9"/>
    <w:rsid w:val="00997A27"/>
    <w:rsid w:val="00997B71"/>
    <w:rsid w:val="009A183E"/>
    <w:rsid w:val="009A219F"/>
    <w:rsid w:val="009A2B5B"/>
    <w:rsid w:val="009A36B9"/>
    <w:rsid w:val="009A4170"/>
    <w:rsid w:val="009A54E2"/>
    <w:rsid w:val="009C29C2"/>
    <w:rsid w:val="009C3390"/>
    <w:rsid w:val="009C3A22"/>
    <w:rsid w:val="009C3B09"/>
    <w:rsid w:val="009C4C3B"/>
    <w:rsid w:val="009D0F1C"/>
    <w:rsid w:val="009D199B"/>
    <w:rsid w:val="009D351A"/>
    <w:rsid w:val="009D73C1"/>
    <w:rsid w:val="009D7655"/>
    <w:rsid w:val="009E1E3E"/>
    <w:rsid w:val="009E2DCD"/>
    <w:rsid w:val="009E496E"/>
    <w:rsid w:val="009E5074"/>
    <w:rsid w:val="009E6FC4"/>
    <w:rsid w:val="009E732A"/>
    <w:rsid w:val="009E7697"/>
    <w:rsid w:val="009F02E4"/>
    <w:rsid w:val="009F2963"/>
    <w:rsid w:val="009F2C12"/>
    <w:rsid w:val="009F2DB2"/>
    <w:rsid w:val="009F68E9"/>
    <w:rsid w:val="009F6984"/>
    <w:rsid w:val="009F7929"/>
    <w:rsid w:val="009F7C2A"/>
    <w:rsid w:val="00A01D1D"/>
    <w:rsid w:val="00A03AC2"/>
    <w:rsid w:val="00A04EBE"/>
    <w:rsid w:val="00A05327"/>
    <w:rsid w:val="00A07BBB"/>
    <w:rsid w:val="00A1091F"/>
    <w:rsid w:val="00A116F9"/>
    <w:rsid w:val="00A15408"/>
    <w:rsid w:val="00A16BFB"/>
    <w:rsid w:val="00A17FEC"/>
    <w:rsid w:val="00A22AE6"/>
    <w:rsid w:val="00A2556F"/>
    <w:rsid w:val="00A27ABF"/>
    <w:rsid w:val="00A308A5"/>
    <w:rsid w:val="00A34041"/>
    <w:rsid w:val="00A35F6F"/>
    <w:rsid w:val="00A36B88"/>
    <w:rsid w:val="00A408C5"/>
    <w:rsid w:val="00A421E5"/>
    <w:rsid w:val="00A46538"/>
    <w:rsid w:val="00A55E5A"/>
    <w:rsid w:val="00A637EC"/>
    <w:rsid w:val="00A64D69"/>
    <w:rsid w:val="00A651DF"/>
    <w:rsid w:val="00A65780"/>
    <w:rsid w:val="00A67296"/>
    <w:rsid w:val="00A70059"/>
    <w:rsid w:val="00A71224"/>
    <w:rsid w:val="00A71C92"/>
    <w:rsid w:val="00A722B3"/>
    <w:rsid w:val="00A739CA"/>
    <w:rsid w:val="00A74A01"/>
    <w:rsid w:val="00A7780D"/>
    <w:rsid w:val="00A807FC"/>
    <w:rsid w:val="00A80FAF"/>
    <w:rsid w:val="00A81143"/>
    <w:rsid w:val="00A828BD"/>
    <w:rsid w:val="00A82B9A"/>
    <w:rsid w:val="00A82F12"/>
    <w:rsid w:val="00A834A6"/>
    <w:rsid w:val="00A84F5F"/>
    <w:rsid w:val="00A86987"/>
    <w:rsid w:val="00A92FFB"/>
    <w:rsid w:val="00A9337F"/>
    <w:rsid w:val="00A93CF1"/>
    <w:rsid w:val="00A945FA"/>
    <w:rsid w:val="00A9762E"/>
    <w:rsid w:val="00A97F4D"/>
    <w:rsid w:val="00AA02FA"/>
    <w:rsid w:val="00AA03F0"/>
    <w:rsid w:val="00AA087D"/>
    <w:rsid w:val="00AA6751"/>
    <w:rsid w:val="00AA6DEC"/>
    <w:rsid w:val="00AB19E2"/>
    <w:rsid w:val="00AB2122"/>
    <w:rsid w:val="00AB38C4"/>
    <w:rsid w:val="00AB41A4"/>
    <w:rsid w:val="00AB4757"/>
    <w:rsid w:val="00AB777F"/>
    <w:rsid w:val="00AC276C"/>
    <w:rsid w:val="00AC2C43"/>
    <w:rsid w:val="00AC71E2"/>
    <w:rsid w:val="00AC7256"/>
    <w:rsid w:val="00AD2A0D"/>
    <w:rsid w:val="00AD3735"/>
    <w:rsid w:val="00AD44F9"/>
    <w:rsid w:val="00AD6834"/>
    <w:rsid w:val="00AD7A68"/>
    <w:rsid w:val="00AD7D27"/>
    <w:rsid w:val="00AE34D0"/>
    <w:rsid w:val="00AE3D21"/>
    <w:rsid w:val="00AE5D08"/>
    <w:rsid w:val="00AF427C"/>
    <w:rsid w:val="00AF56F7"/>
    <w:rsid w:val="00AF5C7B"/>
    <w:rsid w:val="00AF644E"/>
    <w:rsid w:val="00AF793E"/>
    <w:rsid w:val="00B000A4"/>
    <w:rsid w:val="00B01832"/>
    <w:rsid w:val="00B11A47"/>
    <w:rsid w:val="00B12F1E"/>
    <w:rsid w:val="00B13C45"/>
    <w:rsid w:val="00B1409B"/>
    <w:rsid w:val="00B14F06"/>
    <w:rsid w:val="00B20AE4"/>
    <w:rsid w:val="00B216C3"/>
    <w:rsid w:val="00B30C5F"/>
    <w:rsid w:val="00B30E40"/>
    <w:rsid w:val="00B3127F"/>
    <w:rsid w:val="00B348AF"/>
    <w:rsid w:val="00B3527A"/>
    <w:rsid w:val="00B40237"/>
    <w:rsid w:val="00B41A0F"/>
    <w:rsid w:val="00B41BFA"/>
    <w:rsid w:val="00B41DD2"/>
    <w:rsid w:val="00B50F23"/>
    <w:rsid w:val="00B517E7"/>
    <w:rsid w:val="00B51CBA"/>
    <w:rsid w:val="00B53BC9"/>
    <w:rsid w:val="00B55A14"/>
    <w:rsid w:val="00B55F56"/>
    <w:rsid w:val="00B57B22"/>
    <w:rsid w:val="00B608C7"/>
    <w:rsid w:val="00B617BC"/>
    <w:rsid w:val="00B61F5B"/>
    <w:rsid w:val="00B61FE0"/>
    <w:rsid w:val="00B62F1C"/>
    <w:rsid w:val="00B63587"/>
    <w:rsid w:val="00B639FE"/>
    <w:rsid w:val="00B657C8"/>
    <w:rsid w:val="00B65AD1"/>
    <w:rsid w:val="00B66013"/>
    <w:rsid w:val="00B66AD0"/>
    <w:rsid w:val="00B724D8"/>
    <w:rsid w:val="00B73441"/>
    <w:rsid w:val="00B73BDB"/>
    <w:rsid w:val="00B76A92"/>
    <w:rsid w:val="00B824F5"/>
    <w:rsid w:val="00B830FB"/>
    <w:rsid w:val="00B86166"/>
    <w:rsid w:val="00B930D8"/>
    <w:rsid w:val="00B959AF"/>
    <w:rsid w:val="00B97C45"/>
    <w:rsid w:val="00BA0575"/>
    <w:rsid w:val="00BA5191"/>
    <w:rsid w:val="00BA5A42"/>
    <w:rsid w:val="00BA62BB"/>
    <w:rsid w:val="00BA7D9F"/>
    <w:rsid w:val="00BB0923"/>
    <w:rsid w:val="00BB1AA2"/>
    <w:rsid w:val="00BB3A7E"/>
    <w:rsid w:val="00BB47ED"/>
    <w:rsid w:val="00BC05A4"/>
    <w:rsid w:val="00BC3602"/>
    <w:rsid w:val="00BC3ECF"/>
    <w:rsid w:val="00BC3F42"/>
    <w:rsid w:val="00BC6686"/>
    <w:rsid w:val="00BD1B24"/>
    <w:rsid w:val="00BD2A24"/>
    <w:rsid w:val="00BD36CF"/>
    <w:rsid w:val="00BD7AD8"/>
    <w:rsid w:val="00BE0545"/>
    <w:rsid w:val="00BE2037"/>
    <w:rsid w:val="00BE232B"/>
    <w:rsid w:val="00BE394C"/>
    <w:rsid w:val="00BE3D20"/>
    <w:rsid w:val="00BE6367"/>
    <w:rsid w:val="00BF05B9"/>
    <w:rsid w:val="00BF1496"/>
    <w:rsid w:val="00BF31E9"/>
    <w:rsid w:val="00BF34D4"/>
    <w:rsid w:val="00BF3859"/>
    <w:rsid w:val="00BF5685"/>
    <w:rsid w:val="00BF5C3F"/>
    <w:rsid w:val="00BF67E1"/>
    <w:rsid w:val="00BF7C04"/>
    <w:rsid w:val="00C019A5"/>
    <w:rsid w:val="00C026EA"/>
    <w:rsid w:val="00C03707"/>
    <w:rsid w:val="00C04B70"/>
    <w:rsid w:val="00C05F62"/>
    <w:rsid w:val="00C06F1B"/>
    <w:rsid w:val="00C077D8"/>
    <w:rsid w:val="00C1008E"/>
    <w:rsid w:val="00C10425"/>
    <w:rsid w:val="00C10642"/>
    <w:rsid w:val="00C107E2"/>
    <w:rsid w:val="00C115FC"/>
    <w:rsid w:val="00C15B56"/>
    <w:rsid w:val="00C15DAE"/>
    <w:rsid w:val="00C17211"/>
    <w:rsid w:val="00C22C8D"/>
    <w:rsid w:val="00C25012"/>
    <w:rsid w:val="00C2538F"/>
    <w:rsid w:val="00C25462"/>
    <w:rsid w:val="00C275C8"/>
    <w:rsid w:val="00C32F75"/>
    <w:rsid w:val="00C33FA6"/>
    <w:rsid w:val="00C3436F"/>
    <w:rsid w:val="00C34D0D"/>
    <w:rsid w:val="00C3668A"/>
    <w:rsid w:val="00C373A2"/>
    <w:rsid w:val="00C37DEF"/>
    <w:rsid w:val="00C43C8E"/>
    <w:rsid w:val="00C43E37"/>
    <w:rsid w:val="00C44E75"/>
    <w:rsid w:val="00C5209A"/>
    <w:rsid w:val="00C53B2D"/>
    <w:rsid w:val="00C554C4"/>
    <w:rsid w:val="00C5566E"/>
    <w:rsid w:val="00C61523"/>
    <w:rsid w:val="00C622F3"/>
    <w:rsid w:val="00C63EE0"/>
    <w:rsid w:val="00C64689"/>
    <w:rsid w:val="00C64FB6"/>
    <w:rsid w:val="00C7020F"/>
    <w:rsid w:val="00C74F96"/>
    <w:rsid w:val="00C759D8"/>
    <w:rsid w:val="00C777C3"/>
    <w:rsid w:val="00C77B5E"/>
    <w:rsid w:val="00C817B2"/>
    <w:rsid w:val="00C81DB8"/>
    <w:rsid w:val="00C8220D"/>
    <w:rsid w:val="00C848D1"/>
    <w:rsid w:val="00C849DA"/>
    <w:rsid w:val="00C8605B"/>
    <w:rsid w:val="00C86CAA"/>
    <w:rsid w:val="00C90D6B"/>
    <w:rsid w:val="00C91461"/>
    <w:rsid w:val="00C92263"/>
    <w:rsid w:val="00C93C94"/>
    <w:rsid w:val="00C95E26"/>
    <w:rsid w:val="00C97B37"/>
    <w:rsid w:val="00CA0BFC"/>
    <w:rsid w:val="00CA1AA4"/>
    <w:rsid w:val="00CA52C9"/>
    <w:rsid w:val="00CA5AE9"/>
    <w:rsid w:val="00CA7728"/>
    <w:rsid w:val="00CB1B88"/>
    <w:rsid w:val="00CB1E18"/>
    <w:rsid w:val="00CB2C15"/>
    <w:rsid w:val="00CB6D57"/>
    <w:rsid w:val="00CC02BB"/>
    <w:rsid w:val="00CC10CA"/>
    <w:rsid w:val="00CC12AB"/>
    <w:rsid w:val="00CC3B1B"/>
    <w:rsid w:val="00CC4190"/>
    <w:rsid w:val="00CC765F"/>
    <w:rsid w:val="00CD0B49"/>
    <w:rsid w:val="00CD21F7"/>
    <w:rsid w:val="00CD324D"/>
    <w:rsid w:val="00CD4D39"/>
    <w:rsid w:val="00CD50C1"/>
    <w:rsid w:val="00CD76A5"/>
    <w:rsid w:val="00CE193F"/>
    <w:rsid w:val="00CE2439"/>
    <w:rsid w:val="00CE3F39"/>
    <w:rsid w:val="00CE4C94"/>
    <w:rsid w:val="00CE67F2"/>
    <w:rsid w:val="00CE7769"/>
    <w:rsid w:val="00CF10D2"/>
    <w:rsid w:val="00CF22FB"/>
    <w:rsid w:val="00CF4914"/>
    <w:rsid w:val="00CF73A3"/>
    <w:rsid w:val="00D00471"/>
    <w:rsid w:val="00D059C1"/>
    <w:rsid w:val="00D05EE0"/>
    <w:rsid w:val="00D07F65"/>
    <w:rsid w:val="00D1089E"/>
    <w:rsid w:val="00D12BD1"/>
    <w:rsid w:val="00D130EC"/>
    <w:rsid w:val="00D159DD"/>
    <w:rsid w:val="00D168F7"/>
    <w:rsid w:val="00D21582"/>
    <w:rsid w:val="00D21E77"/>
    <w:rsid w:val="00D246A2"/>
    <w:rsid w:val="00D27411"/>
    <w:rsid w:val="00D2768F"/>
    <w:rsid w:val="00D276E1"/>
    <w:rsid w:val="00D30084"/>
    <w:rsid w:val="00D303ED"/>
    <w:rsid w:val="00D30636"/>
    <w:rsid w:val="00D30AA0"/>
    <w:rsid w:val="00D31421"/>
    <w:rsid w:val="00D35FB9"/>
    <w:rsid w:val="00D361DB"/>
    <w:rsid w:val="00D36971"/>
    <w:rsid w:val="00D369F9"/>
    <w:rsid w:val="00D41553"/>
    <w:rsid w:val="00D4282A"/>
    <w:rsid w:val="00D42DC9"/>
    <w:rsid w:val="00D436C8"/>
    <w:rsid w:val="00D478DE"/>
    <w:rsid w:val="00D47920"/>
    <w:rsid w:val="00D51226"/>
    <w:rsid w:val="00D51A55"/>
    <w:rsid w:val="00D52EC9"/>
    <w:rsid w:val="00D5417E"/>
    <w:rsid w:val="00D6080B"/>
    <w:rsid w:val="00D641D2"/>
    <w:rsid w:val="00D651F0"/>
    <w:rsid w:val="00D67EC5"/>
    <w:rsid w:val="00D70610"/>
    <w:rsid w:val="00D71916"/>
    <w:rsid w:val="00D719A8"/>
    <w:rsid w:val="00D71C2A"/>
    <w:rsid w:val="00D721E7"/>
    <w:rsid w:val="00D754FD"/>
    <w:rsid w:val="00D76E3A"/>
    <w:rsid w:val="00D81422"/>
    <w:rsid w:val="00D841A4"/>
    <w:rsid w:val="00D843AE"/>
    <w:rsid w:val="00D852F9"/>
    <w:rsid w:val="00D855EA"/>
    <w:rsid w:val="00D86030"/>
    <w:rsid w:val="00D86213"/>
    <w:rsid w:val="00D86B60"/>
    <w:rsid w:val="00D86F85"/>
    <w:rsid w:val="00D90F34"/>
    <w:rsid w:val="00D925FB"/>
    <w:rsid w:val="00D92C84"/>
    <w:rsid w:val="00D9331C"/>
    <w:rsid w:val="00D953F8"/>
    <w:rsid w:val="00D976BD"/>
    <w:rsid w:val="00DA2AF9"/>
    <w:rsid w:val="00DA36DE"/>
    <w:rsid w:val="00DA3E93"/>
    <w:rsid w:val="00DA3F2B"/>
    <w:rsid w:val="00DA648B"/>
    <w:rsid w:val="00DA6C34"/>
    <w:rsid w:val="00DA77D9"/>
    <w:rsid w:val="00DB029B"/>
    <w:rsid w:val="00DB02D7"/>
    <w:rsid w:val="00DB0BB0"/>
    <w:rsid w:val="00DB2264"/>
    <w:rsid w:val="00DB2CC9"/>
    <w:rsid w:val="00DB30DC"/>
    <w:rsid w:val="00DB3F6B"/>
    <w:rsid w:val="00DB7F66"/>
    <w:rsid w:val="00DC251D"/>
    <w:rsid w:val="00DC3017"/>
    <w:rsid w:val="00DD1DEB"/>
    <w:rsid w:val="00DD51D3"/>
    <w:rsid w:val="00DD5D08"/>
    <w:rsid w:val="00DD6673"/>
    <w:rsid w:val="00DD7417"/>
    <w:rsid w:val="00DE322A"/>
    <w:rsid w:val="00DE4442"/>
    <w:rsid w:val="00DE4A41"/>
    <w:rsid w:val="00DE6B1F"/>
    <w:rsid w:val="00DF05B8"/>
    <w:rsid w:val="00DF2256"/>
    <w:rsid w:val="00DF3272"/>
    <w:rsid w:val="00DF3F88"/>
    <w:rsid w:val="00E0081D"/>
    <w:rsid w:val="00E01050"/>
    <w:rsid w:val="00E0163C"/>
    <w:rsid w:val="00E035F3"/>
    <w:rsid w:val="00E0498D"/>
    <w:rsid w:val="00E11E1F"/>
    <w:rsid w:val="00E120C4"/>
    <w:rsid w:val="00E1302C"/>
    <w:rsid w:val="00E13573"/>
    <w:rsid w:val="00E14D88"/>
    <w:rsid w:val="00E16218"/>
    <w:rsid w:val="00E1629A"/>
    <w:rsid w:val="00E16814"/>
    <w:rsid w:val="00E168BD"/>
    <w:rsid w:val="00E16E7F"/>
    <w:rsid w:val="00E170AD"/>
    <w:rsid w:val="00E171AE"/>
    <w:rsid w:val="00E17BBE"/>
    <w:rsid w:val="00E20373"/>
    <w:rsid w:val="00E20450"/>
    <w:rsid w:val="00E24313"/>
    <w:rsid w:val="00E302C4"/>
    <w:rsid w:val="00E32217"/>
    <w:rsid w:val="00E32DC8"/>
    <w:rsid w:val="00E33AB9"/>
    <w:rsid w:val="00E35F01"/>
    <w:rsid w:val="00E36245"/>
    <w:rsid w:val="00E36758"/>
    <w:rsid w:val="00E367B0"/>
    <w:rsid w:val="00E37FF1"/>
    <w:rsid w:val="00E406F7"/>
    <w:rsid w:val="00E42B56"/>
    <w:rsid w:val="00E435B7"/>
    <w:rsid w:val="00E4442C"/>
    <w:rsid w:val="00E449B3"/>
    <w:rsid w:val="00E47213"/>
    <w:rsid w:val="00E516A7"/>
    <w:rsid w:val="00E51F7C"/>
    <w:rsid w:val="00E5375B"/>
    <w:rsid w:val="00E53D67"/>
    <w:rsid w:val="00E544AC"/>
    <w:rsid w:val="00E54FF0"/>
    <w:rsid w:val="00E55888"/>
    <w:rsid w:val="00E55EEE"/>
    <w:rsid w:val="00E61758"/>
    <w:rsid w:val="00E653E4"/>
    <w:rsid w:val="00E65F7B"/>
    <w:rsid w:val="00E6660D"/>
    <w:rsid w:val="00E7058E"/>
    <w:rsid w:val="00E726DA"/>
    <w:rsid w:val="00E737E0"/>
    <w:rsid w:val="00E73D67"/>
    <w:rsid w:val="00E7515A"/>
    <w:rsid w:val="00E76FFD"/>
    <w:rsid w:val="00E77149"/>
    <w:rsid w:val="00E800DC"/>
    <w:rsid w:val="00E80EC2"/>
    <w:rsid w:val="00E82526"/>
    <w:rsid w:val="00E8522D"/>
    <w:rsid w:val="00E87D6D"/>
    <w:rsid w:val="00E91448"/>
    <w:rsid w:val="00E92C2E"/>
    <w:rsid w:val="00E93218"/>
    <w:rsid w:val="00E932FB"/>
    <w:rsid w:val="00E959BD"/>
    <w:rsid w:val="00E964F7"/>
    <w:rsid w:val="00EA08AB"/>
    <w:rsid w:val="00EA0A16"/>
    <w:rsid w:val="00EA1D4C"/>
    <w:rsid w:val="00EA2BC3"/>
    <w:rsid w:val="00EA2C64"/>
    <w:rsid w:val="00EA66CE"/>
    <w:rsid w:val="00EB2F8D"/>
    <w:rsid w:val="00EB3837"/>
    <w:rsid w:val="00EB7D4E"/>
    <w:rsid w:val="00EC2D14"/>
    <w:rsid w:val="00EC35E1"/>
    <w:rsid w:val="00EC3C79"/>
    <w:rsid w:val="00EC4559"/>
    <w:rsid w:val="00EC66BA"/>
    <w:rsid w:val="00EC6E2D"/>
    <w:rsid w:val="00ED0873"/>
    <w:rsid w:val="00ED0C05"/>
    <w:rsid w:val="00ED1C84"/>
    <w:rsid w:val="00ED360E"/>
    <w:rsid w:val="00ED4755"/>
    <w:rsid w:val="00EE480F"/>
    <w:rsid w:val="00EE4A11"/>
    <w:rsid w:val="00EE640E"/>
    <w:rsid w:val="00EF1C28"/>
    <w:rsid w:val="00EF22AC"/>
    <w:rsid w:val="00EF32EF"/>
    <w:rsid w:val="00EF4DC5"/>
    <w:rsid w:val="00EF5851"/>
    <w:rsid w:val="00EF5956"/>
    <w:rsid w:val="00EF5A4D"/>
    <w:rsid w:val="00EF6143"/>
    <w:rsid w:val="00F00943"/>
    <w:rsid w:val="00F01856"/>
    <w:rsid w:val="00F028E3"/>
    <w:rsid w:val="00F042EF"/>
    <w:rsid w:val="00F05C16"/>
    <w:rsid w:val="00F065DA"/>
    <w:rsid w:val="00F0698D"/>
    <w:rsid w:val="00F1066A"/>
    <w:rsid w:val="00F10E6D"/>
    <w:rsid w:val="00F113C4"/>
    <w:rsid w:val="00F13878"/>
    <w:rsid w:val="00F138A8"/>
    <w:rsid w:val="00F20BE4"/>
    <w:rsid w:val="00F20DA4"/>
    <w:rsid w:val="00F223F5"/>
    <w:rsid w:val="00F24C96"/>
    <w:rsid w:val="00F27068"/>
    <w:rsid w:val="00F2792B"/>
    <w:rsid w:val="00F30567"/>
    <w:rsid w:val="00F32386"/>
    <w:rsid w:val="00F3251E"/>
    <w:rsid w:val="00F33F33"/>
    <w:rsid w:val="00F35DB6"/>
    <w:rsid w:val="00F36130"/>
    <w:rsid w:val="00F40117"/>
    <w:rsid w:val="00F4012C"/>
    <w:rsid w:val="00F425BF"/>
    <w:rsid w:val="00F4373C"/>
    <w:rsid w:val="00F440C7"/>
    <w:rsid w:val="00F45D66"/>
    <w:rsid w:val="00F46AC0"/>
    <w:rsid w:val="00F46DD7"/>
    <w:rsid w:val="00F474B6"/>
    <w:rsid w:val="00F50A85"/>
    <w:rsid w:val="00F54105"/>
    <w:rsid w:val="00F55C4C"/>
    <w:rsid w:val="00F57C06"/>
    <w:rsid w:val="00F6031C"/>
    <w:rsid w:val="00F625AC"/>
    <w:rsid w:val="00F66B90"/>
    <w:rsid w:val="00F67551"/>
    <w:rsid w:val="00F70157"/>
    <w:rsid w:val="00F7028E"/>
    <w:rsid w:val="00F70408"/>
    <w:rsid w:val="00F708D4"/>
    <w:rsid w:val="00F710C9"/>
    <w:rsid w:val="00F73326"/>
    <w:rsid w:val="00F733DD"/>
    <w:rsid w:val="00F740EE"/>
    <w:rsid w:val="00F74DE9"/>
    <w:rsid w:val="00F75532"/>
    <w:rsid w:val="00F7789F"/>
    <w:rsid w:val="00F81A7C"/>
    <w:rsid w:val="00F8274E"/>
    <w:rsid w:val="00F82C0C"/>
    <w:rsid w:val="00F83F59"/>
    <w:rsid w:val="00F864D7"/>
    <w:rsid w:val="00F908BC"/>
    <w:rsid w:val="00F91FFB"/>
    <w:rsid w:val="00F92EF5"/>
    <w:rsid w:val="00F9456F"/>
    <w:rsid w:val="00F972BC"/>
    <w:rsid w:val="00FA36E5"/>
    <w:rsid w:val="00FA4389"/>
    <w:rsid w:val="00FB2064"/>
    <w:rsid w:val="00FB7416"/>
    <w:rsid w:val="00FC3AC5"/>
    <w:rsid w:val="00FC4734"/>
    <w:rsid w:val="00FC769E"/>
    <w:rsid w:val="00FD3E95"/>
    <w:rsid w:val="00FD547A"/>
    <w:rsid w:val="00FD7862"/>
    <w:rsid w:val="00FE1EBE"/>
    <w:rsid w:val="00FE24F1"/>
    <w:rsid w:val="00FE25DA"/>
    <w:rsid w:val="00FE3FC5"/>
    <w:rsid w:val="00FE54A3"/>
    <w:rsid w:val="00FE6896"/>
    <w:rsid w:val="00FF016A"/>
    <w:rsid w:val="00FF0C03"/>
    <w:rsid w:val="00FF1AAF"/>
    <w:rsid w:val="00FF3C06"/>
    <w:rsid w:val="00FF4F81"/>
    <w:rsid w:val="00FF583F"/>
    <w:rsid w:val="00FF5A55"/>
    <w:rsid w:val="00FF6832"/>
    <w:rsid w:val="00FF7032"/>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11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3">
    <w:name w:val="heading 3"/>
    <w:basedOn w:val="Normal"/>
    <w:next w:val="Normal"/>
    <w:link w:val="Heading3Char"/>
    <w:uiPriority w:val="9"/>
    <w:unhideWhenUsed/>
    <w:qFormat/>
    <w:rsid w:val="007C5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rPr>
  </w:style>
  <w:style w:type="paragraph" w:customStyle="1" w:styleId="CM1">
    <w:name w:val="CM1"/>
    <w:basedOn w:val="Default"/>
    <w:next w:val="Default"/>
    <w:uiPriority w:val="99"/>
    <w:rPr>
      <w:rFonts w:cs="Times New Roman"/>
      <w:color w:val="auto"/>
    </w:rPr>
  </w:style>
  <w:style w:type="paragraph" w:customStyle="1" w:styleId="CM19">
    <w:name w:val="CM19"/>
    <w:basedOn w:val="Default"/>
    <w:next w:val="Default"/>
    <w:uiPriority w:val="99"/>
    <w:rPr>
      <w:rFonts w:cs="Times New Roman"/>
      <w:color w:val="auto"/>
    </w:rPr>
  </w:style>
  <w:style w:type="paragraph" w:customStyle="1" w:styleId="CM27">
    <w:name w:val="CM27"/>
    <w:basedOn w:val="Default"/>
    <w:next w:val="Default"/>
    <w:uiPriority w:val="99"/>
    <w:rPr>
      <w:rFonts w:cs="Times New Roman"/>
      <w:color w:val="auto"/>
    </w:rPr>
  </w:style>
  <w:style w:type="paragraph" w:customStyle="1" w:styleId="CM2">
    <w:name w:val="CM2"/>
    <w:basedOn w:val="Default"/>
    <w:next w:val="Default"/>
    <w:uiPriority w:val="99"/>
    <w:pPr>
      <w:spacing w:line="403" w:lineRule="atLeast"/>
    </w:pPr>
    <w:rPr>
      <w:rFonts w:cs="Times New Roman"/>
      <w:color w:val="auto"/>
    </w:rPr>
  </w:style>
  <w:style w:type="paragraph" w:customStyle="1" w:styleId="CM20">
    <w:name w:val="CM20"/>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22">
    <w:name w:val="CM22"/>
    <w:basedOn w:val="Default"/>
    <w:next w:val="Default"/>
    <w:uiPriority w:val="99"/>
    <w:rPr>
      <w:rFonts w:cs="Times New Roman"/>
      <w:color w:val="auto"/>
    </w:rPr>
  </w:style>
  <w:style w:type="paragraph" w:customStyle="1" w:styleId="CM4">
    <w:name w:val="CM4"/>
    <w:basedOn w:val="Default"/>
    <w:next w:val="Default"/>
    <w:uiPriority w:val="99"/>
    <w:pPr>
      <w:spacing w:line="246" w:lineRule="atLeast"/>
    </w:pPr>
    <w:rPr>
      <w:rFonts w:cs="Times New Roman"/>
      <w:color w:val="auto"/>
    </w:rPr>
  </w:style>
  <w:style w:type="paragraph" w:customStyle="1" w:styleId="CM23">
    <w:name w:val="CM23"/>
    <w:basedOn w:val="Default"/>
    <w:next w:val="Default"/>
    <w:uiPriority w:val="99"/>
    <w:rPr>
      <w:rFonts w:cs="Times New Roman"/>
      <w:color w:val="auto"/>
    </w:rPr>
  </w:style>
  <w:style w:type="paragraph" w:customStyle="1" w:styleId="CM5">
    <w:name w:val="CM5"/>
    <w:basedOn w:val="Default"/>
    <w:next w:val="Default"/>
    <w:uiPriority w:val="99"/>
    <w:pPr>
      <w:spacing w:line="403" w:lineRule="atLeast"/>
    </w:pPr>
    <w:rPr>
      <w:rFonts w:cs="Times New Roman"/>
      <w:color w:val="auto"/>
    </w:rPr>
  </w:style>
  <w:style w:type="paragraph" w:customStyle="1" w:styleId="CM6">
    <w:name w:val="CM6"/>
    <w:basedOn w:val="Default"/>
    <w:next w:val="Default"/>
    <w:uiPriority w:val="99"/>
    <w:pPr>
      <w:spacing w:line="296" w:lineRule="atLeast"/>
    </w:pPr>
    <w:rPr>
      <w:rFonts w:cs="Times New Roman"/>
      <w:color w:val="auto"/>
    </w:rPr>
  </w:style>
  <w:style w:type="paragraph" w:customStyle="1" w:styleId="CM25">
    <w:name w:val="CM25"/>
    <w:basedOn w:val="Default"/>
    <w:next w:val="Default"/>
    <w:uiPriority w:val="99"/>
    <w:rPr>
      <w:rFonts w:cs="Times New Roman"/>
      <w:color w:val="auto"/>
    </w:rPr>
  </w:style>
  <w:style w:type="paragraph" w:customStyle="1" w:styleId="CM8">
    <w:name w:val="CM8"/>
    <w:basedOn w:val="Default"/>
    <w:next w:val="Default"/>
    <w:uiPriority w:val="99"/>
    <w:pPr>
      <w:spacing w:line="286" w:lineRule="atLeast"/>
    </w:pPr>
    <w:rPr>
      <w:rFonts w:cs="Times New Roman"/>
      <w:color w:val="auto"/>
    </w:rPr>
  </w:style>
  <w:style w:type="paragraph" w:customStyle="1" w:styleId="CM26">
    <w:name w:val="CM26"/>
    <w:basedOn w:val="Default"/>
    <w:next w:val="Default"/>
    <w:uiPriority w:val="99"/>
    <w:rPr>
      <w:rFonts w:cs="Times New Roman"/>
      <w:color w:val="auto"/>
    </w:rPr>
  </w:style>
  <w:style w:type="paragraph" w:customStyle="1" w:styleId="CM9">
    <w:name w:val="CM9"/>
    <w:basedOn w:val="Default"/>
    <w:next w:val="Default"/>
    <w:uiPriority w:val="99"/>
    <w:pPr>
      <w:spacing w:line="403"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0">
    <w:name w:val="CM10"/>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3" w:lineRule="atLeast"/>
    </w:pPr>
    <w:rPr>
      <w:rFonts w:cs="Times New Roman"/>
      <w:color w:val="auto"/>
    </w:rPr>
  </w:style>
  <w:style w:type="paragraph" w:customStyle="1" w:styleId="CM15">
    <w:name w:val="CM15"/>
    <w:basedOn w:val="Default"/>
    <w:next w:val="Default"/>
    <w:uiPriority w:val="99"/>
    <w:pPr>
      <w:spacing w:line="403" w:lineRule="atLeast"/>
    </w:pPr>
    <w:rPr>
      <w:rFonts w:cs="Times New Roman"/>
      <w:color w:val="auto"/>
    </w:rPr>
  </w:style>
  <w:style w:type="paragraph" w:customStyle="1" w:styleId="CM16">
    <w:name w:val="CM16"/>
    <w:basedOn w:val="Default"/>
    <w:next w:val="Default"/>
    <w:uiPriority w:val="99"/>
    <w:pPr>
      <w:spacing w:line="403"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18">
    <w:name w:val="CM18"/>
    <w:basedOn w:val="Default"/>
    <w:next w:val="Default"/>
    <w:uiPriority w:val="99"/>
    <w:pPr>
      <w:spacing w:line="440" w:lineRule="atLeast"/>
    </w:pPr>
    <w:rPr>
      <w:rFonts w:cs="Times New Roman"/>
      <w:color w:val="auto"/>
    </w:rPr>
  </w:style>
  <w:style w:type="paragraph" w:styleId="FootnoteText">
    <w:name w:val="footnote text"/>
    <w:basedOn w:val="Normal"/>
    <w:link w:val="FootnoteTextChar"/>
    <w:uiPriority w:val="99"/>
    <w:unhideWhenUsed/>
    <w:rsid w:val="00080EF3"/>
    <w:rPr>
      <w:sz w:val="20"/>
      <w:szCs w:val="20"/>
    </w:rPr>
  </w:style>
  <w:style w:type="character" w:customStyle="1" w:styleId="FootnoteTextChar">
    <w:name w:val="Footnote Text Char"/>
    <w:basedOn w:val="DefaultParagraphFont"/>
    <w:link w:val="FootnoteText"/>
    <w:uiPriority w:val="99"/>
    <w:locked/>
    <w:rsid w:val="00080EF3"/>
    <w:rPr>
      <w:sz w:val="20"/>
    </w:rPr>
  </w:style>
  <w:style w:type="character" w:styleId="FootnoteReference">
    <w:name w:val="footnote reference"/>
    <w:basedOn w:val="DefaultParagraphFont"/>
    <w:uiPriority w:val="99"/>
    <w:unhideWhenUsed/>
    <w:rsid w:val="00080EF3"/>
    <w:rPr>
      <w:vertAlign w:val="superscript"/>
    </w:rPr>
  </w:style>
  <w:style w:type="paragraph" w:styleId="EndnoteText">
    <w:name w:val="endnote text"/>
    <w:basedOn w:val="Normal"/>
    <w:link w:val="EndnoteTextChar"/>
    <w:uiPriority w:val="99"/>
    <w:semiHidden/>
    <w:unhideWhenUsed/>
    <w:rsid w:val="00080EF3"/>
    <w:rPr>
      <w:sz w:val="20"/>
      <w:szCs w:val="20"/>
    </w:rPr>
  </w:style>
  <w:style w:type="character" w:customStyle="1" w:styleId="EndnoteTextChar">
    <w:name w:val="Endnote Text Char"/>
    <w:basedOn w:val="DefaultParagraphFont"/>
    <w:link w:val="EndnoteText"/>
    <w:uiPriority w:val="99"/>
    <w:semiHidden/>
    <w:locked/>
    <w:rsid w:val="00080EF3"/>
    <w:rPr>
      <w:sz w:val="20"/>
    </w:rPr>
  </w:style>
  <w:style w:type="character" w:styleId="EndnoteReference">
    <w:name w:val="endnote reference"/>
    <w:basedOn w:val="DefaultParagraphFont"/>
    <w:uiPriority w:val="99"/>
    <w:semiHidden/>
    <w:unhideWhenUsed/>
    <w:rsid w:val="00080EF3"/>
    <w:rPr>
      <w:vertAlign w:val="superscript"/>
    </w:rPr>
  </w:style>
  <w:style w:type="character" w:styleId="Hyperlink">
    <w:name w:val="Hyperlink"/>
    <w:basedOn w:val="DefaultParagraphFont"/>
    <w:uiPriority w:val="99"/>
    <w:unhideWhenUsed/>
    <w:rsid w:val="003E14C7"/>
    <w:rPr>
      <w:color w:val="0000FF"/>
      <w:u w:val="single"/>
    </w:rPr>
  </w:style>
  <w:style w:type="paragraph" w:styleId="NormalWeb">
    <w:name w:val="Normal (Web)"/>
    <w:basedOn w:val="Normal"/>
    <w:uiPriority w:val="99"/>
    <w:unhideWhenUsed/>
    <w:rsid w:val="003E14C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3E14C7"/>
    <w:rPr>
      <w:b/>
    </w:rPr>
  </w:style>
  <w:style w:type="paragraph" w:styleId="ListParagraph">
    <w:name w:val="List Paragraph"/>
    <w:basedOn w:val="Normal"/>
    <w:uiPriority w:val="34"/>
    <w:qFormat/>
    <w:rsid w:val="000F42A0"/>
    <w:pPr>
      <w:ind w:left="720"/>
      <w:contextualSpacing/>
    </w:pPr>
    <w:rPr>
      <w:lang w:eastAsia="en-US"/>
    </w:rPr>
  </w:style>
  <w:style w:type="table" w:styleId="TableGrid">
    <w:name w:val="Table Grid"/>
    <w:basedOn w:val="TableNormal"/>
    <w:uiPriority w:val="59"/>
    <w:rsid w:val="0098255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8255F"/>
    <w:pPr>
      <w:spacing w:line="240" w:lineRule="auto"/>
    </w:pPr>
    <w:rPr>
      <w:rFonts w:asciiTheme="minorHAnsi" w:eastAsiaTheme="minorHAnsi" w:hAnsiTheme="minorHAnsi" w:cstheme="minorBidi"/>
      <w:b/>
      <w:bCs/>
      <w:color w:val="4F81BD" w:themeColor="accent1"/>
      <w:sz w:val="18"/>
      <w:szCs w:val="18"/>
      <w:lang w:eastAsia="en-US"/>
    </w:rPr>
  </w:style>
  <w:style w:type="paragraph" w:styleId="Header">
    <w:name w:val="header"/>
    <w:basedOn w:val="Normal"/>
    <w:link w:val="HeaderChar"/>
    <w:uiPriority w:val="99"/>
    <w:unhideWhenUsed/>
    <w:rsid w:val="00215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299"/>
    <w:rPr>
      <w:rFonts w:cs="Times New Roman"/>
      <w:sz w:val="22"/>
      <w:szCs w:val="22"/>
    </w:rPr>
  </w:style>
  <w:style w:type="paragraph" w:styleId="Footer">
    <w:name w:val="footer"/>
    <w:basedOn w:val="Normal"/>
    <w:link w:val="FooterChar"/>
    <w:uiPriority w:val="99"/>
    <w:unhideWhenUsed/>
    <w:rsid w:val="00215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299"/>
    <w:rPr>
      <w:rFonts w:cs="Times New Roman"/>
      <w:sz w:val="22"/>
      <w:szCs w:val="22"/>
    </w:rPr>
  </w:style>
  <w:style w:type="paragraph" w:styleId="BalloonText">
    <w:name w:val="Balloon Text"/>
    <w:basedOn w:val="Normal"/>
    <w:link w:val="BalloonTextChar"/>
    <w:uiPriority w:val="99"/>
    <w:semiHidden/>
    <w:unhideWhenUsed/>
    <w:rsid w:val="00421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2DE"/>
    <w:rPr>
      <w:rFonts w:ascii="Tahoma" w:hAnsi="Tahoma" w:cs="Tahoma"/>
      <w:sz w:val="16"/>
      <w:szCs w:val="16"/>
    </w:rPr>
  </w:style>
  <w:style w:type="character" w:customStyle="1" w:styleId="Heading3Char">
    <w:name w:val="Heading 3 Char"/>
    <w:basedOn w:val="DefaultParagraphFont"/>
    <w:link w:val="Heading3"/>
    <w:uiPriority w:val="9"/>
    <w:rsid w:val="007C5AA1"/>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095849"/>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66233E"/>
    <w:rPr>
      <w:sz w:val="18"/>
      <w:szCs w:val="18"/>
    </w:rPr>
  </w:style>
  <w:style w:type="paragraph" w:styleId="CommentText">
    <w:name w:val="annotation text"/>
    <w:basedOn w:val="Normal"/>
    <w:link w:val="CommentTextChar"/>
    <w:uiPriority w:val="99"/>
    <w:semiHidden/>
    <w:unhideWhenUsed/>
    <w:rsid w:val="0066233E"/>
    <w:pPr>
      <w:spacing w:line="240" w:lineRule="auto"/>
    </w:pPr>
    <w:rPr>
      <w:sz w:val="24"/>
      <w:szCs w:val="24"/>
    </w:rPr>
  </w:style>
  <w:style w:type="character" w:customStyle="1" w:styleId="CommentTextChar">
    <w:name w:val="Comment Text Char"/>
    <w:basedOn w:val="DefaultParagraphFont"/>
    <w:link w:val="CommentText"/>
    <w:uiPriority w:val="99"/>
    <w:semiHidden/>
    <w:rsid w:val="0066233E"/>
    <w:rPr>
      <w:rFonts w:cs="Times New Roman"/>
      <w:sz w:val="24"/>
      <w:szCs w:val="24"/>
    </w:rPr>
  </w:style>
  <w:style w:type="paragraph" w:styleId="CommentSubject">
    <w:name w:val="annotation subject"/>
    <w:basedOn w:val="CommentText"/>
    <w:next w:val="CommentText"/>
    <w:link w:val="CommentSubjectChar"/>
    <w:uiPriority w:val="99"/>
    <w:semiHidden/>
    <w:unhideWhenUsed/>
    <w:rsid w:val="0066233E"/>
    <w:rPr>
      <w:b/>
      <w:bCs/>
      <w:sz w:val="20"/>
      <w:szCs w:val="20"/>
    </w:rPr>
  </w:style>
  <w:style w:type="character" w:customStyle="1" w:styleId="CommentSubjectChar">
    <w:name w:val="Comment Subject Char"/>
    <w:basedOn w:val="CommentTextChar"/>
    <w:link w:val="CommentSubject"/>
    <w:uiPriority w:val="99"/>
    <w:semiHidden/>
    <w:rsid w:val="0066233E"/>
    <w:rPr>
      <w:rFonts w:cs="Times New Roman"/>
      <w:b/>
      <w:bCs/>
      <w:sz w:val="24"/>
      <w:szCs w:val="24"/>
    </w:rPr>
  </w:style>
  <w:style w:type="paragraph" w:styleId="Revision">
    <w:name w:val="Revision"/>
    <w:hidden/>
    <w:uiPriority w:val="99"/>
    <w:semiHidden/>
    <w:rsid w:val="00BF7C04"/>
    <w:rPr>
      <w:rFonts w:cs="Times New Roman"/>
      <w:sz w:val="22"/>
      <w:szCs w:val="22"/>
    </w:rPr>
  </w:style>
  <w:style w:type="character" w:styleId="FollowedHyperlink">
    <w:name w:val="FollowedHyperlink"/>
    <w:basedOn w:val="DefaultParagraphFont"/>
    <w:uiPriority w:val="99"/>
    <w:semiHidden/>
    <w:unhideWhenUsed/>
    <w:rsid w:val="00466A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rPr>
  </w:style>
  <w:style w:type="paragraph" w:styleId="Heading3">
    <w:name w:val="heading 3"/>
    <w:basedOn w:val="Normal"/>
    <w:next w:val="Normal"/>
    <w:link w:val="Heading3Char"/>
    <w:uiPriority w:val="9"/>
    <w:unhideWhenUsed/>
    <w:qFormat/>
    <w:rsid w:val="007C5AA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rPr>
  </w:style>
  <w:style w:type="paragraph" w:customStyle="1" w:styleId="CM1">
    <w:name w:val="CM1"/>
    <w:basedOn w:val="Default"/>
    <w:next w:val="Default"/>
    <w:uiPriority w:val="99"/>
    <w:rPr>
      <w:rFonts w:cs="Times New Roman"/>
      <w:color w:val="auto"/>
    </w:rPr>
  </w:style>
  <w:style w:type="paragraph" w:customStyle="1" w:styleId="CM19">
    <w:name w:val="CM19"/>
    <w:basedOn w:val="Default"/>
    <w:next w:val="Default"/>
    <w:uiPriority w:val="99"/>
    <w:rPr>
      <w:rFonts w:cs="Times New Roman"/>
      <w:color w:val="auto"/>
    </w:rPr>
  </w:style>
  <w:style w:type="paragraph" w:customStyle="1" w:styleId="CM27">
    <w:name w:val="CM27"/>
    <w:basedOn w:val="Default"/>
    <w:next w:val="Default"/>
    <w:uiPriority w:val="99"/>
    <w:rPr>
      <w:rFonts w:cs="Times New Roman"/>
      <w:color w:val="auto"/>
    </w:rPr>
  </w:style>
  <w:style w:type="paragraph" w:customStyle="1" w:styleId="CM2">
    <w:name w:val="CM2"/>
    <w:basedOn w:val="Default"/>
    <w:next w:val="Default"/>
    <w:uiPriority w:val="99"/>
    <w:pPr>
      <w:spacing w:line="403" w:lineRule="atLeast"/>
    </w:pPr>
    <w:rPr>
      <w:rFonts w:cs="Times New Roman"/>
      <w:color w:val="auto"/>
    </w:rPr>
  </w:style>
  <w:style w:type="paragraph" w:customStyle="1" w:styleId="CM20">
    <w:name w:val="CM20"/>
    <w:basedOn w:val="Default"/>
    <w:next w:val="Default"/>
    <w:uiPriority w:val="99"/>
    <w:rPr>
      <w:rFonts w:cs="Times New Roman"/>
      <w:color w:val="auto"/>
    </w:rPr>
  </w:style>
  <w:style w:type="paragraph" w:customStyle="1" w:styleId="CM3">
    <w:name w:val="CM3"/>
    <w:basedOn w:val="Default"/>
    <w:next w:val="Default"/>
    <w:uiPriority w:val="99"/>
    <w:rPr>
      <w:rFonts w:cs="Times New Roman"/>
      <w:color w:val="auto"/>
    </w:rPr>
  </w:style>
  <w:style w:type="paragraph" w:customStyle="1" w:styleId="CM22">
    <w:name w:val="CM22"/>
    <w:basedOn w:val="Default"/>
    <w:next w:val="Default"/>
    <w:uiPriority w:val="99"/>
    <w:rPr>
      <w:rFonts w:cs="Times New Roman"/>
      <w:color w:val="auto"/>
    </w:rPr>
  </w:style>
  <w:style w:type="paragraph" w:customStyle="1" w:styleId="CM4">
    <w:name w:val="CM4"/>
    <w:basedOn w:val="Default"/>
    <w:next w:val="Default"/>
    <w:uiPriority w:val="99"/>
    <w:pPr>
      <w:spacing w:line="246" w:lineRule="atLeast"/>
    </w:pPr>
    <w:rPr>
      <w:rFonts w:cs="Times New Roman"/>
      <w:color w:val="auto"/>
    </w:rPr>
  </w:style>
  <w:style w:type="paragraph" w:customStyle="1" w:styleId="CM23">
    <w:name w:val="CM23"/>
    <w:basedOn w:val="Default"/>
    <w:next w:val="Default"/>
    <w:uiPriority w:val="99"/>
    <w:rPr>
      <w:rFonts w:cs="Times New Roman"/>
      <w:color w:val="auto"/>
    </w:rPr>
  </w:style>
  <w:style w:type="paragraph" w:customStyle="1" w:styleId="CM5">
    <w:name w:val="CM5"/>
    <w:basedOn w:val="Default"/>
    <w:next w:val="Default"/>
    <w:uiPriority w:val="99"/>
    <w:pPr>
      <w:spacing w:line="403" w:lineRule="atLeast"/>
    </w:pPr>
    <w:rPr>
      <w:rFonts w:cs="Times New Roman"/>
      <w:color w:val="auto"/>
    </w:rPr>
  </w:style>
  <w:style w:type="paragraph" w:customStyle="1" w:styleId="CM6">
    <w:name w:val="CM6"/>
    <w:basedOn w:val="Default"/>
    <w:next w:val="Default"/>
    <w:uiPriority w:val="99"/>
    <w:pPr>
      <w:spacing w:line="296" w:lineRule="atLeast"/>
    </w:pPr>
    <w:rPr>
      <w:rFonts w:cs="Times New Roman"/>
      <w:color w:val="auto"/>
    </w:rPr>
  </w:style>
  <w:style w:type="paragraph" w:customStyle="1" w:styleId="CM25">
    <w:name w:val="CM25"/>
    <w:basedOn w:val="Default"/>
    <w:next w:val="Default"/>
    <w:uiPriority w:val="99"/>
    <w:rPr>
      <w:rFonts w:cs="Times New Roman"/>
      <w:color w:val="auto"/>
    </w:rPr>
  </w:style>
  <w:style w:type="paragraph" w:customStyle="1" w:styleId="CM8">
    <w:name w:val="CM8"/>
    <w:basedOn w:val="Default"/>
    <w:next w:val="Default"/>
    <w:uiPriority w:val="99"/>
    <w:pPr>
      <w:spacing w:line="286" w:lineRule="atLeast"/>
    </w:pPr>
    <w:rPr>
      <w:rFonts w:cs="Times New Roman"/>
      <w:color w:val="auto"/>
    </w:rPr>
  </w:style>
  <w:style w:type="paragraph" w:customStyle="1" w:styleId="CM26">
    <w:name w:val="CM26"/>
    <w:basedOn w:val="Default"/>
    <w:next w:val="Default"/>
    <w:uiPriority w:val="99"/>
    <w:rPr>
      <w:rFonts w:cs="Times New Roman"/>
      <w:color w:val="auto"/>
    </w:rPr>
  </w:style>
  <w:style w:type="paragraph" w:customStyle="1" w:styleId="CM9">
    <w:name w:val="CM9"/>
    <w:basedOn w:val="Default"/>
    <w:next w:val="Default"/>
    <w:uiPriority w:val="99"/>
    <w:pPr>
      <w:spacing w:line="403" w:lineRule="atLeast"/>
    </w:pPr>
    <w:rPr>
      <w:rFonts w:cs="Times New Roman"/>
      <w:color w:val="auto"/>
    </w:rPr>
  </w:style>
  <w:style w:type="paragraph" w:customStyle="1" w:styleId="CM11">
    <w:name w:val="CM11"/>
    <w:basedOn w:val="Default"/>
    <w:next w:val="Default"/>
    <w:uiPriority w:val="99"/>
    <w:pPr>
      <w:spacing w:line="403" w:lineRule="atLeast"/>
    </w:pPr>
    <w:rPr>
      <w:rFonts w:cs="Times New Roman"/>
      <w:color w:val="auto"/>
    </w:rPr>
  </w:style>
  <w:style w:type="paragraph" w:customStyle="1" w:styleId="CM10">
    <w:name w:val="CM10"/>
    <w:basedOn w:val="Default"/>
    <w:next w:val="Default"/>
    <w:uiPriority w:val="99"/>
    <w:pPr>
      <w:spacing w:line="403" w:lineRule="atLeast"/>
    </w:pPr>
    <w:rPr>
      <w:rFonts w:cs="Times New Roman"/>
      <w:color w:val="auto"/>
    </w:rPr>
  </w:style>
  <w:style w:type="paragraph" w:customStyle="1" w:styleId="CM12">
    <w:name w:val="CM12"/>
    <w:basedOn w:val="Default"/>
    <w:next w:val="Default"/>
    <w:uiPriority w:val="99"/>
    <w:pPr>
      <w:spacing w:line="403" w:lineRule="atLeast"/>
    </w:pPr>
    <w:rPr>
      <w:rFonts w:cs="Times New Roman"/>
      <w:color w:val="auto"/>
    </w:rPr>
  </w:style>
  <w:style w:type="paragraph" w:customStyle="1" w:styleId="CM15">
    <w:name w:val="CM15"/>
    <w:basedOn w:val="Default"/>
    <w:next w:val="Default"/>
    <w:uiPriority w:val="99"/>
    <w:pPr>
      <w:spacing w:line="403" w:lineRule="atLeast"/>
    </w:pPr>
    <w:rPr>
      <w:rFonts w:cs="Times New Roman"/>
      <w:color w:val="auto"/>
    </w:rPr>
  </w:style>
  <w:style w:type="paragraph" w:customStyle="1" w:styleId="CM16">
    <w:name w:val="CM16"/>
    <w:basedOn w:val="Default"/>
    <w:next w:val="Default"/>
    <w:uiPriority w:val="99"/>
    <w:pPr>
      <w:spacing w:line="403" w:lineRule="atLeast"/>
    </w:pPr>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18">
    <w:name w:val="CM18"/>
    <w:basedOn w:val="Default"/>
    <w:next w:val="Default"/>
    <w:uiPriority w:val="99"/>
    <w:pPr>
      <w:spacing w:line="440" w:lineRule="atLeast"/>
    </w:pPr>
    <w:rPr>
      <w:rFonts w:cs="Times New Roman"/>
      <w:color w:val="auto"/>
    </w:rPr>
  </w:style>
  <w:style w:type="paragraph" w:styleId="FootnoteText">
    <w:name w:val="footnote text"/>
    <w:basedOn w:val="Normal"/>
    <w:link w:val="FootnoteTextChar"/>
    <w:uiPriority w:val="99"/>
    <w:unhideWhenUsed/>
    <w:rsid w:val="00080EF3"/>
    <w:rPr>
      <w:sz w:val="20"/>
      <w:szCs w:val="20"/>
    </w:rPr>
  </w:style>
  <w:style w:type="character" w:customStyle="1" w:styleId="FootnoteTextChar">
    <w:name w:val="Footnote Text Char"/>
    <w:basedOn w:val="DefaultParagraphFont"/>
    <w:link w:val="FootnoteText"/>
    <w:uiPriority w:val="99"/>
    <w:locked/>
    <w:rsid w:val="00080EF3"/>
    <w:rPr>
      <w:sz w:val="20"/>
    </w:rPr>
  </w:style>
  <w:style w:type="character" w:styleId="FootnoteReference">
    <w:name w:val="footnote reference"/>
    <w:basedOn w:val="DefaultParagraphFont"/>
    <w:uiPriority w:val="99"/>
    <w:unhideWhenUsed/>
    <w:rsid w:val="00080EF3"/>
    <w:rPr>
      <w:vertAlign w:val="superscript"/>
    </w:rPr>
  </w:style>
  <w:style w:type="paragraph" w:styleId="EndnoteText">
    <w:name w:val="endnote text"/>
    <w:basedOn w:val="Normal"/>
    <w:link w:val="EndnoteTextChar"/>
    <w:uiPriority w:val="99"/>
    <w:semiHidden/>
    <w:unhideWhenUsed/>
    <w:rsid w:val="00080EF3"/>
    <w:rPr>
      <w:sz w:val="20"/>
      <w:szCs w:val="20"/>
    </w:rPr>
  </w:style>
  <w:style w:type="character" w:customStyle="1" w:styleId="EndnoteTextChar">
    <w:name w:val="Endnote Text Char"/>
    <w:basedOn w:val="DefaultParagraphFont"/>
    <w:link w:val="EndnoteText"/>
    <w:uiPriority w:val="99"/>
    <w:semiHidden/>
    <w:locked/>
    <w:rsid w:val="00080EF3"/>
    <w:rPr>
      <w:sz w:val="20"/>
    </w:rPr>
  </w:style>
  <w:style w:type="character" w:styleId="EndnoteReference">
    <w:name w:val="endnote reference"/>
    <w:basedOn w:val="DefaultParagraphFont"/>
    <w:uiPriority w:val="99"/>
    <w:semiHidden/>
    <w:unhideWhenUsed/>
    <w:rsid w:val="00080EF3"/>
    <w:rPr>
      <w:vertAlign w:val="superscript"/>
    </w:rPr>
  </w:style>
  <w:style w:type="character" w:styleId="Hyperlink">
    <w:name w:val="Hyperlink"/>
    <w:basedOn w:val="DefaultParagraphFont"/>
    <w:uiPriority w:val="99"/>
    <w:unhideWhenUsed/>
    <w:rsid w:val="003E14C7"/>
    <w:rPr>
      <w:color w:val="0000FF"/>
      <w:u w:val="single"/>
    </w:rPr>
  </w:style>
  <w:style w:type="paragraph" w:styleId="NormalWeb">
    <w:name w:val="Normal (Web)"/>
    <w:basedOn w:val="Normal"/>
    <w:uiPriority w:val="99"/>
    <w:unhideWhenUsed/>
    <w:rsid w:val="003E14C7"/>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3E14C7"/>
    <w:rPr>
      <w:b/>
    </w:rPr>
  </w:style>
  <w:style w:type="paragraph" w:styleId="ListParagraph">
    <w:name w:val="List Paragraph"/>
    <w:basedOn w:val="Normal"/>
    <w:uiPriority w:val="34"/>
    <w:qFormat/>
    <w:rsid w:val="000F42A0"/>
    <w:pPr>
      <w:ind w:left="720"/>
      <w:contextualSpacing/>
    </w:pPr>
    <w:rPr>
      <w:lang w:eastAsia="en-US"/>
    </w:rPr>
  </w:style>
  <w:style w:type="table" w:styleId="TableGrid">
    <w:name w:val="Table Grid"/>
    <w:basedOn w:val="TableNormal"/>
    <w:uiPriority w:val="59"/>
    <w:rsid w:val="0098255F"/>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8255F"/>
    <w:pPr>
      <w:spacing w:line="240" w:lineRule="auto"/>
    </w:pPr>
    <w:rPr>
      <w:rFonts w:asciiTheme="minorHAnsi" w:eastAsiaTheme="minorHAnsi" w:hAnsiTheme="minorHAnsi" w:cstheme="minorBidi"/>
      <w:b/>
      <w:bCs/>
      <w:color w:val="4F81BD" w:themeColor="accent1"/>
      <w:sz w:val="18"/>
      <w:szCs w:val="18"/>
      <w:lang w:eastAsia="en-US"/>
    </w:rPr>
  </w:style>
  <w:style w:type="paragraph" w:styleId="Header">
    <w:name w:val="header"/>
    <w:basedOn w:val="Normal"/>
    <w:link w:val="HeaderChar"/>
    <w:uiPriority w:val="99"/>
    <w:unhideWhenUsed/>
    <w:rsid w:val="002152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299"/>
    <w:rPr>
      <w:rFonts w:cs="Times New Roman"/>
      <w:sz w:val="22"/>
      <w:szCs w:val="22"/>
    </w:rPr>
  </w:style>
  <w:style w:type="paragraph" w:styleId="Footer">
    <w:name w:val="footer"/>
    <w:basedOn w:val="Normal"/>
    <w:link w:val="FooterChar"/>
    <w:uiPriority w:val="99"/>
    <w:unhideWhenUsed/>
    <w:rsid w:val="002152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299"/>
    <w:rPr>
      <w:rFonts w:cs="Times New Roman"/>
      <w:sz w:val="22"/>
      <w:szCs w:val="22"/>
    </w:rPr>
  </w:style>
  <w:style w:type="paragraph" w:styleId="BalloonText">
    <w:name w:val="Balloon Text"/>
    <w:basedOn w:val="Normal"/>
    <w:link w:val="BalloonTextChar"/>
    <w:uiPriority w:val="99"/>
    <w:semiHidden/>
    <w:unhideWhenUsed/>
    <w:rsid w:val="00421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2DE"/>
    <w:rPr>
      <w:rFonts w:ascii="Tahoma" w:hAnsi="Tahoma" w:cs="Tahoma"/>
      <w:sz w:val="16"/>
      <w:szCs w:val="16"/>
    </w:rPr>
  </w:style>
  <w:style w:type="character" w:customStyle="1" w:styleId="Heading3Char">
    <w:name w:val="Heading 3 Char"/>
    <w:basedOn w:val="DefaultParagraphFont"/>
    <w:link w:val="Heading3"/>
    <w:uiPriority w:val="9"/>
    <w:rsid w:val="007C5AA1"/>
    <w:rPr>
      <w:rFonts w:asciiTheme="majorHAnsi" w:eastAsiaTheme="majorEastAsia" w:hAnsiTheme="majorHAnsi" w:cstheme="majorBidi"/>
      <w:b/>
      <w:bCs/>
      <w:color w:val="4F81BD" w:themeColor="accent1"/>
      <w:sz w:val="22"/>
      <w:szCs w:val="22"/>
    </w:rPr>
  </w:style>
  <w:style w:type="paragraph" w:styleId="NoSpacing">
    <w:name w:val="No Spacing"/>
    <w:uiPriority w:val="1"/>
    <w:qFormat/>
    <w:rsid w:val="00095849"/>
    <w:rPr>
      <w:rFonts w:asciiTheme="minorHAnsi" w:eastAsiaTheme="minorEastAsia" w:hAnsiTheme="minorHAnsi" w:cstheme="minorBidi"/>
      <w:sz w:val="22"/>
      <w:szCs w:val="22"/>
    </w:rPr>
  </w:style>
  <w:style w:type="character" w:styleId="CommentReference">
    <w:name w:val="annotation reference"/>
    <w:basedOn w:val="DefaultParagraphFont"/>
    <w:uiPriority w:val="99"/>
    <w:semiHidden/>
    <w:unhideWhenUsed/>
    <w:rsid w:val="0066233E"/>
    <w:rPr>
      <w:sz w:val="18"/>
      <w:szCs w:val="18"/>
    </w:rPr>
  </w:style>
  <w:style w:type="paragraph" w:styleId="CommentText">
    <w:name w:val="annotation text"/>
    <w:basedOn w:val="Normal"/>
    <w:link w:val="CommentTextChar"/>
    <w:uiPriority w:val="99"/>
    <w:semiHidden/>
    <w:unhideWhenUsed/>
    <w:rsid w:val="0066233E"/>
    <w:pPr>
      <w:spacing w:line="240" w:lineRule="auto"/>
    </w:pPr>
    <w:rPr>
      <w:sz w:val="24"/>
      <w:szCs w:val="24"/>
    </w:rPr>
  </w:style>
  <w:style w:type="character" w:customStyle="1" w:styleId="CommentTextChar">
    <w:name w:val="Comment Text Char"/>
    <w:basedOn w:val="DefaultParagraphFont"/>
    <w:link w:val="CommentText"/>
    <w:uiPriority w:val="99"/>
    <w:semiHidden/>
    <w:rsid w:val="0066233E"/>
    <w:rPr>
      <w:rFonts w:cs="Times New Roman"/>
      <w:sz w:val="24"/>
      <w:szCs w:val="24"/>
    </w:rPr>
  </w:style>
  <w:style w:type="paragraph" w:styleId="CommentSubject">
    <w:name w:val="annotation subject"/>
    <w:basedOn w:val="CommentText"/>
    <w:next w:val="CommentText"/>
    <w:link w:val="CommentSubjectChar"/>
    <w:uiPriority w:val="99"/>
    <w:semiHidden/>
    <w:unhideWhenUsed/>
    <w:rsid w:val="0066233E"/>
    <w:rPr>
      <w:b/>
      <w:bCs/>
      <w:sz w:val="20"/>
      <w:szCs w:val="20"/>
    </w:rPr>
  </w:style>
  <w:style w:type="character" w:customStyle="1" w:styleId="CommentSubjectChar">
    <w:name w:val="Comment Subject Char"/>
    <w:basedOn w:val="CommentTextChar"/>
    <w:link w:val="CommentSubject"/>
    <w:uiPriority w:val="99"/>
    <w:semiHidden/>
    <w:rsid w:val="0066233E"/>
    <w:rPr>
      <w:rFonts w:cs="Times New Roman"/>
      <w:b/>
      <w:bCs/>
      <w:sz w:val="24"/>
      <w:szCs w:val="24"/>
    </w:rPr>
  </w:style>
  <w:style w:type="paragraph" w:styleId="Revision">
    <w:name w:val="Revision"/>
    <w:hidden/>
    <w:uiPriority w:val="99"/>
    <w:semiHidden/>
    <w:rsid w:val="00BF7C04"/>
    <w:rPr>
      <w:rFonts w:cs="Times New Roman"/>
      <w:sz w:val="22"/>
      <w:szCs w:val="22"/>
    </w:rPr>
  </w:style>
  <w:style w:type="character" w:styleId="FollowedHyperlink">
    <w:name w:val="FollowedHyperlink"/>
    <w:basedOn w:val="DefaultParagraphFont"/>
    <w:uiPriority w:val="99"/>
    <w:semiHidden/>
    <w:unhideWhenUsed/>
    <w:rsid w:val="00466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29752">
      <w:marLeft w:val="0"/>
      <w:marRight w:val="0"/>
      <w:marTop w:val="0"/>
      <w:marBottom w:val="0"/>
      <w:divBdr>
        <w:top w:val="none" w:sz="0" w:space="0" w:color="auto"/>
        <w:left w:val="none" w:sz="0" w:space="0" w:color="auto"/>
        <w:bottom w:val="none" w:sz="0" w:space="0" w:color="auto"/>
        <w:right w:val="none" w:sz="0" w:space="0" w:color="auto"/>
      </w:divBdr>
      <w:divsChild>
        <w:div w:id="247429750">
          <w:marLeft w:val="0"/>
          <w:marRight w:val="0"/>
          <w:marTop w:val="0"/>
          <w:marBottom w:val="0"/>
          <w:divBdr>
            <w:top w:val="none" w:sz="0" w:space="0" w:color="auto"/>
            <w:left w:val="none" w:sz="0" w:space="0" w:color="auto"/>
            <w:bottom w:val="none" w:sz="0" w:space="0" w:color="auto"/>
            <w:right w:val="none" w:sz="0" w:space="0" w:color="auto"/>
          </w:divBdr>
          <w:divsChild>
            <w:div w:id="247429748">
              <w:marLeft w:val="0"/>
              <w:marRight w:val="0"/>
              <w:marTop w:val="0"/>
              <w:marBottom w:val="0"/>
              <w:divBdr>
                <w:top w:val="none" w:sz="0" w:space="0" w:color="auto"/>
                <w:left w:val="none" w:sz="0" w:space="0" w:color="auto"/>
                <w:bottom w:val="none" w:sz="0" w:space="0" w:color="auto"/>
                <w:right w:val="none" w:sz="0" w:space="0" w:color="auto"/>
              </w:divBdr>
              <w:divsChild>
                <w:div w:id="247429749">
                  <w:marLeft w:val="0"/>
                  <w:marRight w:val="0"/>
                  <w:marTop w:val="0"/>
                  <w:marBottom w:val="0"/>
                  <w:divBdr>
                    <w:top w:val="none" w:sz="0" w:space="0" w:color="auto"/>
                    <w:left w:val="none" w:sz="0" w:space="0" w:color="auto"/>
                    <w:bottom w:val="none" w:sz="0" w:space="0" w:color="auto"/>
                    <w:right w:val="none" w:sz="0" w:space="0" w:color="auto"/>
                  </w:divBdr>
                  <w:divsChild>
                    <w:div w:id="2474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429757">
      <w:marLeft w:val="0"/>
      <w:marRight w:val="0"/>
      <w:marTop w:val="0"/>
      <w:marBottom w:val="0"/>
      <w:divBdr>
        <w:top w:val="none" w:sz="0" w:space="0" w:color="auto"/>
        <w:left w:val="none" w:sz="0" w:space="0" w:color="auto"/>
        <w:bottom w:val="none" w:sz="0" w:space="0" w:color="auto"/>
        <w:right w:val="none" w:sz="0" w:space="0" w:color="auto"/>
      </w:divBdr>
      <w:divsChild>
        <w:div w:id="247429753">
          <w:marLeft w:val="0"/>
          <w:marRight w:val="0"/>
          <w:marTop w:val="0"/>
          <w:marBottom w:val="0"/>
          <w:divBdr>
            <w:top w:val="none" w:sz="0" w:space="0" w:color="auto"/>
            <w:left w:val="none" w:sz="0" w:space="0" w:color="auto"/>
            <w:bottom w:val="none" w:sz="0" w:space="0" w:color="auto"/>
            <w:right w:val="none" w:sz="0" w:space="0" w:color="auto"/>
          </w:divBdr>
          <w:divsChild>
            <w:div w:id="247429756">
              <w:marLeft w:val="0"/>
              <w:marRight w:val="0"/>
              <w:marTop w:val="0"/>
              <w:marBottom w:val="0"/>
              <w:divBdr>
                <w:top w:val="none" w:sz="0" w:space="0" w:color="auto"/>
                <w:left w:val="none" w:sz="0" w:space="0" w:color="auto"/>
                <w:bottom w:val="none" w:sz="0" w:space="0" w:color="auto"/>
                <w:right w:val="none" w:sz="0" w:space="0" w:color="auto"/>
              </w:divBdr>
              <w:divsChild>
                <w:div w:id="247429751">
                  <w:marLeft w:val="0"/>
                  <w:marRight w:val="0"/>
                  <w:marTop w:val="0"/>
                  <w:marBottom w:val="0"/>
                  <w:divBdr>
                    <w:top w:val="none" w:sz="0" w:space="0" w:color="auto"/>
                    <w:left w:val="none" w:sz="0" w:space="0" w:color="auto"/>
                    <w:bottom w:val="none" w:sz="0" w:space="0" w:color="auto"/>
                    <w:right w:val="none" w:sz="0" w:space="0" w:color="auto"/>
                  </w:divBdr>
                  <w:divsChild>
                    <w:div w:id="2474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6263">
      <w:bodyDiv w:val="1"/>
      <w:marLeft w:val="0"/>
      <w:marRight w:val="0"/>
      <w:marTop w:val="0"/>
      <w:marBottom w:val="0"/>
      <w:divBdr>
        <w:top w:val="none" w:sz="0" w:space="0" w:color="auto"/>
        <w:left w:val="none" w:sz="0" w:space="0" w:color="auto"/>
        <w:bottom w:val="none" w:sz="0" w:space="0" w:color="auto"/>
        <w:right w:val="none" w:sz="0" w:space="0" w:color="auto"/>
      </w:divBdr>
      <w:divsChild>
        <w:div w:id="1047149146">
          <w:marLeft w:val="1166"/>
          <w:marRight w:val="0"/>
          <w:marTop w:val="125"/>
          <w:marBottom w:val="0"/>
          <w:divBdr>
            <w:top w:val="none" w:sz="0" w:space="0" w:color="auto"/>
            <w:left w:val="none" w:sz="0" w:space="0" w:color="auto"/>
            <w:bottom w:val="none" w:sz="0" w:space="0" w:color="auto"/>
            <w:right w:val="none" w:sz="0" w:space="0" w:color="auto"/>
          </w:divBdr>
        </w:div>
        <w:div w:id="1226716904">
          <w:marLeft w:val="1166"/>
          <w:marRight w:val="0"/>
          <w:marTop w:val="125"/>
          <w:marBottom w:val="0"/>
          <w:divBdr>
            <w:top w:val="none" w:sz="0" w:space="0" w:color="auto"/>
            <w:left w:val="none" w:sz="0" w:space="0" w:color="auto"/>
            <w:bottom w:val="none" w:sz="0" w:space="0" w:color="auto"/>
            <w:right w:val="none" w:sz="0" w:space="0" w:color="auto"/>
          </w:divBdr>
        </w:div>
      </w:divsChild>
    </w:div>
    <w:div w:id="1483280096">
      <w:bodyDiv w:val="1"/>
      <w:marLeft w:val="0"/>
      <w:marRight w:val="0"/>
      <w:marTop w:val="0"/>
      <w:marBottom w:val="0"/>
      <w:divBdr>
        <w:top w:val="none" w:sz="0" w:space="0" w:color="auto"/>
        <w:left w:val="none" w:sz="0" w:space="0" w:color="auto"/>
        <w:bottom w:val="none" w:sz="0" w:space="0" w:color="auto"/>
        <w:right w:val="none" w:sz="0" w:space="0" w:color="auto"/>
      </w:divBdr>
    </w:div>
    <w:div w:id="187947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europa.eu"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experts.foreignpolicy.com/posts/2009/03/30/to_regulate_finance_try_the_market"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nancialstabilityboard.org/publications/r_111104bb.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ec.gov/rules/final/2013/bhca-1.pdf" TargetMode="External"/><Relationship Id="rId23" Type="http://schemas.openxmlformats.org/officeDocument/2006/relationships/image" Target="media/image7.png"/><Relationship Id="rId10" Type="http://schemas.openxmlformats.org/officeDocument/2006/relationships/hyperlink" Target="http://fincris.net/"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s.m.chaudhry@bham.ac.uk" TargetMode="External"/><Relationship Id="rId14" Type="http://schemas.openxmlformats.org/officeDocument/2006/relationships/hyperlink" Target="http://www.parliament.uk" TargetMode="External"/><Relationship Id="rId22"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www.ftseglobalmarkets.com/news/ftt-drags-down-italian-stock-trading-volumes.html" TargetMode="External"/><Relationship Id="rId1" Type="http://schemas.openxmlformats.org/officeDocument/2006/relationships/hyperlink" Target="http://marketsmedia.com/italian-french-trading-volumes-hit-f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21BB6-9048-4CB2-8AC4-B15542C0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12199</Words>
  <Characters>69536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Microsoft Word - Final</vt:lpstr>
    </vt:vector>
  </TitlesOfParts>
  <Company>Bournemouth University</Company>
  <LinksUpToDate>false</LinksUpToDate>
  <CharactersWithSpaces>81572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dc:title>
  <dc:creator>lexna5</dc:creator>
  <cp:lastModifiedBy>Sajid Chaudhry</cp:lastModifiedBy>
  <cp:revision>2</cp:revision>
  <cp:lastPrinted>2014-11-07T10:26:00Z</cp:lastPrinted>
  <dcterms:created xsi:type="dcterms:W3CDTF">2015-11-14T09:50:00Z</dcterms:created>
  <dcterms:modified xsi:type="dcterms:W3CDTF">2015-11-14T09:50:00Z</dcterms:modified>
</cp:coreProperties>
</file>