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A9" w:rsidRDefault="00074E18" w:rsidP="00405FDA">
      <w:pPr>
        <w:pStyle w:val="Heading1"/>
        <w:spacing w:line="480" w:lineRule="auto"/>
      </w:pPr>
      <w:r>
        <w:t xml:space="preserve">A care bundles approach to improving standard of care in </w:t>
      </w:r>
      <w:r w:rsidR="00405FDA">
        <w:t>AE</w:t>
      </w:r>
      <w:r>
        <w:t>COPD</w:t>
      </w:r>
      <w:r w:rsidR="00405FDA">
        <w:t xml:space="preserve"> admissions: results of a national</w:t>
      </w:r>
      <w:r>
        <w:t xml:space="preserve"> project</w:t>
      </w:r>
    </w:p>
    <w:p w:rsidR="00074E18" w:rsidRPr="00074E18" w:rsidRDefault="00074E18" w:rsidP="00405FDA">
      <w:pPr>
        <w:spacing w:line="480" w:lineRule="auto"/>
      </w:pPr>
      <w:r w:rsidRPr="00074E18">
        <w:t>AM Turner</w:t>
      </w:r>
      <w:r w:rsidRPr="00074E18">
        <w:rPr>
          <w:vertAlign w:val="superscript"/>
        </w:rPr>
        <w:t>1</w:t>
      </w:r>
      <w:proofErr w:type="gramStart"/>
      <w:r w:rsidRPr="00074E18">
        <w:rPr>
          <w:vertAlign w:val="superscript"/>
        </w:rPr>
        <w:t>,2</w:t>
      </w:r>
      <w:proofErr w:type="gramEnd"/>
      <w:r w:rsidRPr="00074E18">
        <w:t xml:space="preserve">, </w:t>
      </w:r>
      <w:r w:rsidR="00AB6944">
        <w:t>WS Lim</w:t>
      </w:r>
      <w:r w:rsidR="00AB6944">
        <w:rPr>
          <w:vertAlign w:val="superscript"/>
        </w:rPr>
        <w:t>3</w:t>
      </w:r>
      <w:r w:rsidR="00AB6944">
        <w:t>, R Chamira</w:t>
      </w:r>
      <w:r w:rsidR="00AB6944" w:rsidRPr="00AB6944">
        <w:rPr>
          <w:vertAlign w:val="superscript"/>
        </w:rPr>
        <w:t>3</w:t>
      </w:r>
      <w:r w:rsidR="00AB6944">
        <w:t xml:space="preserve">, </w:t>
      </w:r>
      <w:r w:rsidRPr="00074E18">
        <w:t>S</w:t>
      </w:r>
      <w:r w:rsidR="00AB6944">
        <w:t>A</w:t>
      </w:r>
      <w:r w:rsidRPr="00074E18">
        <w:t xml:space="preserve"> Welham</w:t>
      </w:r>
      <w:r w:rsidR="00023230">
        <w:rPr>
          <w:vertAlign w:val="superscript"/>
        </w:rPr>
        <w:t>4</w:t>
      </w:r>
      <w:r w:rsidRPr="00074E18">
        <w:t>, JC Calvert</w:t>
      </w:r>
      <w:r w:rsidR="00023230">
        <w:rPr>
          <w:vertAlign w:val="superscript"/>
        </w:rPr>
        <w:t>5</w:t>
      </w:r>
    </w:p>
    <w:p w:rsidR="00074E18" w:rsidRDefault="00074E18" w:rsidP="00405FDA">
      <w:pPr>
        <w:spacing w:line="480" w:lineRule="auto"/>
        <w:rPr>
          <w:rFonts w:cs="Arial"/>
          <w:color w:val="333333"/>
        </w:rPr>
      </w:pPr>
      <w:r w:rsidRPr="00074E18">
        <w:rPr>
          <w:rFonts w:cs="Arial"/>
          <w:color w:val="333333"/>
        </w:rPr>
        <w:t xml:space="preserve">1 </w:t>
      </w:r>
      <w:r w:rsidR="00AB6944">
        <w:rPr>
          <w:rFonts w:cs="Arial"/>
          <w:color w:val="333333"/>
        </w:rPr>
        <w:t>Centre for Translational Inflammation Research</w:t>
      </w:r>
      <w:r>
        <w:rPr>
          <w:rFonts w:cs="Arial"/>
          <w:color w:val="333333"/>
        </w:rPr>
        <w:t xml:space="preserve">, </w:t>
      </w:r>
      <w:r w:rsidRPr="00074E18">
        <w:rPr>
          <w:rFonts w:cs="Arial"/>
          <w:color w:val="333333"/>
        </w:rPr>
        <w:t>University of Birmingham</w:t>
      </w:r>
      <w:r w:rsidR="00AB6944">
        <w:rPr>
          <w:rFonts w:cs="Arial"/>
          <w:color w:val="333333"/>
        </w:rPr>
        <w:t>, Birmingham, B15 2WB</w:t>
      </w:r>
    </w:p>
    <w:p w:rsidR="00074E18" w:rsidRDefault="00074E18" w:rsidP="00405FDA">
      <w:pPr>
        <w:spacing w:line="480" w:lineRule="auto"/>
        <w:rPr>
          <w:rFonts w:cs="Arial"/>
          <w:color w:val="333333"/>
        </w:rPr>
      </w:pPr>
      <w:r>
        <w:rPr>
          <w:rFonts w:cs="Arial"/>
          <w:color w:val="333333"/>
        </w:rPr>
        <w:t xml:space="preserve">2 Heart of England NHS Foundation Trust, </w:t>
      </w:r>
      <w:proofErr w:type="spellStart"/>
      <w:r>
        <w:rPr>
          <w:rFonts w:cs="Arial"/>
          <w:color w:val="333333"/>
        </w:rPr>
        <w:t>Bordesley</w:t>
      </w:r>
      <w:proofErr w:type="spellEnd"/>
      <w:r>
        <w:rPr>
          <w:rFonts w:cs="Arial"/>
          <w:color w:val="333333"/>
        </w:rPr>
        <w:t xml:space="preserve"> Green East, Birmingham, B9 5SS</w:t>
      </w:r>
    </w:p>
    <w:p w:rsidR="00AB6944" w:rsidRDefault="00074E18" w:rsidP="00405FDA">
      <w:pPr>
        <w:spacing w:line="480" w:lineRule="auto"/>
        <w:rPr>
          <w:rFonts w:cs="Arial"/>
          <w:color w:val="333333"/>
        </w:rPr>
      </w:pPr>
      <w:r>
        <w:rPr>
          <w:rFonts w:cs="Arial"/>
          <w:color w:val="333333"/>
        </w:rPr>
        <w:t xml:space="preserve">3 </w:t>
      </w:r>
      <w:r w:rsidR="00AB6944">
        <w:t xml:space="preserve">Respiratory </w:t>
      </w:r>
      <w:proofErr w:type="gramStart"/>
      <w:r w:rsidR="00AB6944">
        <w:t>Medicine</w:t>
      </w:r>
      <w:proofErr w:type="gramEnd"/>
      <w:r w:rsidR="00AB6944">
        <w:t xml:space="preserve">, Nottingham University Hospitals NHS Trust, </w:t>
      </w:r>
      <w:proofErr w:type="spellStart"/>
      <w:r w:rsidR="00AB6944">
        <w:t>Hucknall</w:t>
      </w:r>
      <w:proofErr w:type="spellEnd"/>
      <w:r w:rsidR="00AB6944">
        <w:t xml:space="preserve"> Road, Nottingham NG5 1PB</w:t>
      </w:r>
    </w:p>
    <w:p w:rsidR="00074E18" w:rsidRDefault="00AB6944" w:rsidP="00405FDA">
      <w:pPr>
        <w:spacing w:line="480" w:lineRule="auto"/>
        <w:rPr>
          <w:rFonts w:cs="Arial"/>
          <w:color w:val="333333"/>
        </w:rPr>
      </w:pPr>
      <w:r>
        <w:rPr>
          <w:rFonts w:cs="Arial"/>
          <w:color w:val="333333"/>
        </w:rPr>
        <w:t xml:space="preserve">4 </w:t>
      </w:r>
      <w:r w:rsidR="00074E18">
        <w:rPr>
          <w:rFonts w:cs="Arial"/>
          <w:color w:val="333333"/>
        </w:rPr>
        <w:t xml:space="preserve">British Thoracic </w:t>
      </w:r>
      <w:proofErr w:type="gramStart"/>
      <w:r w:rsidR="00074E18">
        <w:rPr>
          <w:rFonts w:cs="Arial"/>
          <w:color w:val="333333"/>
        </w:rPr>
        <w:t>Society</w:t>
      </w:r>
      <w:proofErr w:type="gramEnd"/>
      <w:r w:rsidR="00074E18">
        <w:rPr>
          <w:rFonts w:cs="Arial"/>
          <w:color w:val="333333"/>
        </w:rPr>
        <w:t xml:space="preserve">, </w:t>
      </w:r>
      <w:r>
        <w:rPr>
          <w:rFonts w:cs="Arial"/>
          <w:color w:val="333333"/>
        </w:rPr>
        <w:t xml:space="preserve">17 Doughty Street, </w:t>
      </w:r>
      <w:r w:rsidR="00074E18">
        <w:rPr>
          <w:rFonts w:cs="Arial"/>
          <w:color w:val="333333"/>
        </w:rPr>
        <w:t>London</w:t>
      </w:r>
      <w:r>
        <w:rPr>
          <w:rFonts w:cs="Arial"/>
          <w:color w:val="333333"/>
        </w:rPr>
        <w:t>, WC1N 2PL</w:t>
      </w:r>
    </w:p>
    <w:p w:rsidR="00074E18" w:rsidRPr="00074E18" w:rsidRDefault="00AB6944" w:rsidP="00405FDA">
      <w:pPr>
        <w:spacing w:line="480" w:lineRule="auto"/>
        <w:rPr>
          <w:rFonts w:cs="Arial"/>
          <w:color w:val="333333"/>
        </w:rPr>
      </w:pPr>
      <w:r>
        <w:rPr>
          <w:rFonts w:cs="Arial"/>
          <w:color w:val="333333"/>
        </w:rPr>
        <w:t>5</w:t>
      </w:r>
      <w:r w:rsidR="00074E18">
        <w:rPr>
          <w:rFonts w:cs="Arial"/>
          <w:color w:val="333333"/>
        </w:rPr>
        <w:t xml:space="preserve"> North Bristol NHS Trust</w:t>
      </w:r>
    </w:p>
    <w:p w:rsidR="00074E18" w:rsidRDefault="00074E18" w:rsidP="00405FDA">
      <w:pPr>
        <w:spacing w:line="480" w:lineRule="auto"/>
        <w:rPr>
          <w:rFonts w:cs="Arial"/>
          <w:color w:val="333333"/>
        </w:rPr>
      </w:pPr>
    </w:p>
    <w:p w:rsidR="00405FDA" w:rsidRDefault="00405FDA" w:rsidP="00405FDA">
      <w:pPr>
        <w:spacing w:line="480" w:lineRule="auto"/>
        <w:rPr>
          <w:rFonts w:cs="Arial"/>
          <w:color w:val="333333"/>
        </w:rPr>
      </w:pPr>
      <w:r w:rsidRPr="00405FDA">
        <w:rPr>
          <w:rFonts w:cs="Arial"/>
          <w:b/>
          <w:color w:val="333333"/>
        </w:rPr>
        <w:t>Corresponding author</w:t>
      </w:r>
      <w:r>
        <w:rPr>
          <w:rFonts w:cs="Arial"/>
          <w:color w:val="333333"/>
        </w:rPr>
        <w:t xml:space="preserve">: JC Calvert, address as above. Email: </w:t>
      </w:r>
      <w:r w:rsidR="00AB6944">
        <w:rPr>
          <w:rFonts w:cs="Arial"/>
          <w:color w:val="333333"/>
        </w:rPr>
        <w:t>james.calvert@nbt.nhs.uk</w:t>
      </w:r>
    </w:p>
    <w:p w:rsidR="00405FDA" w:rsidRDefault="00405FDA" w:rsidP="00405FDA">
      <w:pPr>
        <w:spacing w:line="480" w:lineRule="auto"/>
        <w:rPr>
          <w:rFonts w:cs="Arial"/>
          <w:color w:val="333333"/>
        </w:rPr>
      </w:pPr>
    </w:p>
    <w:p w:rsidR="00074E18" w:rsidRDefault="00074E18" w:rsidP="00405FDA">
      <w:pPr>
        <w:spacing w:line="480" w:lineRule="auto"/>
        <w:rPr>
          <w:rFonts w:cs="Arial"/>
          <w:color w:val="333333"/>
        </w:rPr>
      </w:pPr>
      <w:r w:rsidRPr="00405FDA">
        <w:rPr>
          <w:rFonts w:cs="Arial"/>
          <w:b/>
          <w:color w:val="333333"/>
        </w:rPr>
        <w:t>Keywords:</w:t>
      </w:r>
      <w:r>
        <w:rPr>
          <w:rFonts w:cs="Arial"/>
          <w:color w:val="333333"/>
        </w:rPr>
        <w:t xml:space="preserve"> Chronic obstructive pulmonary disease</w:t>
      </w:r>
      <w:r w:rsidR="00AB6944">
        <w:rPr>
          <w:rFonts w:cs="Arial"/>
          <w:color w:val="333333"/>
        </w:rPr>
        <w:t>, exacerbations</w:t>
      </w:r>
    </w:p>
    <w:p w:rsidR="00405FDA" w:rsidRDefault="00405FDA" w:rsidP="00405FDA">
      <w:pPr>
        <w:spacing w:line="480" w:lineRule="auto"/>
        <w:rPr>
          <w:rFonts w:cs="Arial"/>
          <w:color w:val="333333"/>
        </w:rPr>
      </w:pPr>
    </w:p>
    <w:p w:rsidR="00865BF9" w:rsidRDefault="00EB2BC4" w:rsidP="00405FDA">
      <w:pPr>
        <w:spacing w:line="480" w:lineRule="auto"/>
        <w:rPr>
          <w:rFonts w:cs="Arial"/>
          <w:color w:val="333333"/>
        </w:rPr>
      </w:pPr>
      <w:r>
        <w:rPr>
          <w:rFonts w:cs="Arial"/>
          <w:color w:val="333333"/>
        </w:rPr>
        <w:t>Wo</w:t>
      </w:r>
      <w:r w:rsidR="00B26DB6">
        <w:rPr>
          <w:rFonts w:cs="Arial"/>
          <w:color w:val="333333"/>
        </w:rPr>
        <w:t>rd count: 1639</w:t>
      </w:r>
      <w:r w:rsidR="00074E18" w:rsidRPr="00074E18">
        <w:rPr>
          <w:rFonts w:cs="Arial"/>
          <w:color w:val="333333"/>
        </w:rPr>
        <w:br/>
        <w:t xml:space="preserve">Unstructured abstract: </w:t>
      </w:r>
      <w:r>
        <w:rPr>
          <w:rFonts w:cs="Arial"/>
          <w:color w:val="333333"/>
        </w:rPr>
        <w:t xml:space="preserve">100 </w:t>
      </w:r>
      <w:r w:rsidR="00074E18" w:rsidRPr="00074E18">
        <w:rPr>
          <w:rFonts w:cs="Arial"/>
          <w:color w:val="333333"/>
        </w:rPr>
        <w:br/>
        <w:t xml:space="preserve">Tables/illustrations: </w:t>
      </w:r>
      <w:r w:rsidR="00AB6944">
        <w:rPr>
          <w:rFonts w:cs="Arial"/>
          <w:color w:val="333333"/>
        </w:rPr>
        <w:t>1</w:t>
      </w:r>
      <w:r w:rsidR="00074E18" w:rsidRPr="00074E18">
        <w:rPr>
          <w:rFonts w:cs="Arial"/>
          <w:color w:val="333333"/>
        </w:rPr>
        <w:br/>
        <w:t xml:space="preserve">References: </w:t>
      </w:r>
      <w:r w:rsidR="00AB6944">
        <w:rPr>
          <w:rFonts w:cs="Arial"/>
          <w:color w:val="333333"/>
        </w:rPr>
        <w:t>5</w:t>
      </w:r>
    </w:p>
    <w:p w:rsidR="00865BF9" w:rsidRDefault="00865BF9">
      <w:pPr>
        <w:rPr>
          <w:rFonts w:cs="Arial"/>
          <w:color w:val="333333"/>
        </w:rPr>
      </w:pPr>
      <w:r>
        <w:rPr>
          <w:rFonts w:cs="Arial"/>
          <w:color w:val="333333"/>
        </w:rPr>
        <w:br w:type="page"/>
      </w:r>
    </w:p>
    <w:p w:rsidR="00074E18" w:rsidRDefault="00865BF9" w:rsidP="0040122D">
      <w:pPr>
        <w:pStyle w:val="Heading2"/>
        <w:spacing w:line="480" w:lineRule="auto"/>
      </w:pPr>
      <w:r>
        <w:lastRenderedPageBreak/>
        <w:t>Abstract</w:t>
      </w:r>
    </w:p>
    <w:p w:rsidR="0040122D" w:rsidRDefault="00865BF9" w:rsidP="0040122D">
      <w:pPr>
        <w:spacing w:line="480" w:lineRule="auto"/>
        <w:jc w:val="both"/>
      </w:pPr>
      <w:r w:rsidRPr="003E5DFB">
        <w:t xml:space="preserve">This report describes </w:t>
      </w:r>
      <w:r>
        <w:t xml:space="preserve">a </w:t>
      </w:r>
      <w:r w:rsidRPr="003E5DFB">
        <w:t>care bundle</w:t>
      </w:r>
      <w:r>
        <w:t>s implementation project for Chronic Obstructive Pulmonary Disease (COPD) undertaken during 2013 in England and Wales. H</w:t>
      </w:r>
      <w:r w:rsidRPr="00865BF9">
        <w:t>igh</w:t>
      </w:r>
      <w:r w:rsidR="0040122D">
        <w:t xml:space="preserve"> level data was collected on</w:t>
      </w:r>
      <w:r w:rsidRPr="00865BF9">
        <w:t xml:space="preserve"> outcomes of care for </w:t>
      </w:r>
      <w:r w:rsidR="003D62FE">
        <w:t>11</w:t>
      </w:r>
      <w:r>
        <w:t>748 patients admitted with acute exacerbation of COPD (AECOPD)</w:t>
      </w:r>
      <w:r w:rsidRPr="00865BF9">
        <w:t>. Patient level data on processes and outcomes</w:t>
      </w:r>
      <w:r w:rsidR="003D62FE">
        <w:t xml:space="preserve"> of care were collected on 3272</w:t>
      </w:r>
      <w:r w:rsidRPr="00865BF9">
        <w:t xml:space="preserve"> COPD admissions</w:t>
      </w:r>
      <w:r>
        <w:t xml:space="preserve">, </w:t>
      </w:r>
      <w:r w:rsidR="003D62FE">
        <w:t>amongst which 1</w:t>
      </w:r>
      <w:r w:rsidR="0073469B">
        <w:t>174</w:t>
      </w:r>
      <w:r>
        <w:t xml:space="preserve"> bundles were delivered.</w:t>
      </w:r>
      <w:r w:rsidRPr="00865BF9">
        <w:t xml:space="preserve"> </w:t>
      </w:r>
      <w:r>
        <w:t>Analysis demonstrated a statistically significant reduction in mortality and length of hospital stay from some bundle elements. Outcomes, including bundle completion rates, were better when specialist respiratory review occurred. The results support wider use of care bundles for AECOPD.</w:t>
      </w:r>
    </w:p>
    <w:p w:rsidR="0040122D" w:rsidRDefault="0040122D" w:rsidP="0040122D">
      <w:pPr>
        <w:spacing w:line="480" w:lineRule="auto"/>
      </w:pPr>
      <w:r>
        <w:br w:type="page"/>
      </w:r>
    </w:p>
    <w:p w:rsidR="00013947" w:rsidRDefault="00013947" w:rsidP="00013947">
      <w:pPr>
        <w:pStyle w:val="Heading2"/>
        <w:spacing w:line="480" w:lineRule="auto"/>
      </w:pPr>
      <w:r>
        <w:lastRenderedPageBreak/>
        <w:t>Introduction</w:t>
      </w:r>
    </w:p>
    <w:p w:rsidR="0040122D" w:rsidRPr="00247AE0" w:rsidRDefault="00013947" w:rsidP="00013947">
      <w:pPr>
        <w:widowControl w:val="0"/>
        <w:autoSpaceDE w:val="0"/>
        <w:autoSpaceDN w:val="0"/>
        <w:adjustRightInd w:val="0"/>
        <w:spacing w:line="480" w:lineRule="auto"/>
        <w:jc w:val="both"/>
        <w:rPr>
          <w:rFonts w:cs="Arial"/>
        </w:rPr>
      </w:pPr>
      <w:r>
        <w:rPr>
          <w:rFonts w:cs="Arial"/>
        </w:rPr>
        <w:t xml:space="preserve">     </w:t>
      </w:r>
      <w:r w:rsidR="0040122D" w:rsidRPr="00BA2FBA">
        <w:rPr>
          <w:rFonts w:cs="Arial"/>
        </w:rPr>
        <w:t>COPD accounts for 10% of hospital medical admissions (over 90,000 annually) in the United Kingdom. The number of admissions has increased by 50% in the last decade and accounts for o</w:t>
      </w:r>
      <w:r w:rsidR="0040122D">
        <w:rPr>
          <w:rFonts w:cs="Arial"/>
        </w:rPr>
        <w:t xml:space="preserve">ne million bed days per annum. </w:t>
      </w:r>
      <w:r w:rsidR="00247AE0">
        <w:rPr>
          <w:rFonts w:cs="Arial"/>
        </w:rPr>
        <w:t>Despite the improvements in COPD care that have occurred in hospitals over the last 10 years,</w:t>
      </w:r>
      <w:r w:rsidR="002C6C66">
        <w:rPr>
          <w:rFonts w:cs="Arial"/>
        </w:rPr>
        <w:t xml:space="preserve"> wide variation </w:t>
      </w:r>
      <w:r w:rsidR="00247AE0">
        <w:rPr>
          <w:rFonts w:cs="Arial"/>
        </w:rPr>
        <w:t>remains</w:t>
      </w:r>
      <w:r w:rsidR="0040122D" w:rsidRPr="00BA2FBA">
        <w:rPr>
          <w:rFonts w:cs="Arial"/>
        </w:rPr>
        <w:t xml:space="preserve"> between hospitals</w:t>
      </w:r>
      <w:r w:rsidR="002C6C66">
        <w:rPr>
          <w:rFonts w:cs="Arial"/>
        </w:rPr>
        <w:t xml:space="preserve"> in the 2014</w:t>
      </w:r>
      <w:r w:rsidR="0040122D">
        <w:rPr>
          <w:rFonts w:cs="Arial"/>
        </w:rPr>
        <w:t xml:space="preserve"> audit; i</w:t>
      </w:r>
      <w:r w:rsidR="0040122D" w:rsidRPr="00BA2FBA">
        <w:rPr>
          <w:rFonts w:cs="Arial"/>
        </w:rPr>
        <w:t xml:space="preserve">n particular the </w:t>
      </w:r>
      <w:r w:rsidR="0040122D">
        <w:rPr>
          <w:rFonts w:cs="Arial"/>
        </w:rPr>
        <w:t xml:space="preserve">range for </w:t>
      </w:r>
      <w:r w:rsidR="0029367D">
        <w:rPr>
          <w:rFonts w:cs="Arial"/>
        </w:rPr>
        <w:t xml:space="preserve">in-patient </w:t>
      </w:r>
      <w:r w:rsidR="0040122D">
        <w:rPr>
          <w:rFonts w:cs="Arial"/>
        </w:rPr>
        <w:t xml:space="preserve">mortality was </w:t>
      </w:r>
      <w:r w:rsidR="00247AE0">
        <w:rPr>
          <w:rFonts w:cs="Arial"/>
        </w:rPr>
        <w:t>0-16%</w:t>
      </w:r>
      <w:r w:rsidR="00150FA7">
        <w:rPr>
          <w:rFonts w:cs="Arial"/>
        </w:rPr>
        <w:fldChar w:fldCharType="begin"/>
      </w:r>
      <w:r w:rsidR="00B26DB6">
        <w:rPr>
          <w:rFonts w:cs="Arial"/>
        </w:rPr>
        <w:instrText xml:space="preserve"> ADDIN EN.CITE &lt;EndNote&gt;&lt;Cite&gt;&lt;Author&gt;Stone&lt;/Author&gt;&lt;Year&gt;2015&lt;/Year&gt;&lt;RecNum&gt;787&lt;/RecNum&gt;&lt;DisplayText&gt;[1]&lt;/DisplayText&gt;&lt;record&gt;&lt;rec-number&gt;787&lt;/rec-number&gt;&lt;foreign-keys&gt;&lt;key app="EN" db-id="srv9exf582a5pkewvs8przzoze9efv2wdaew"&gt;787&lt;/key&gt;&lt;/foreign-keys&gt;&lt;ref-type name="Report"&gt;27&lt;/ref-type&gt;&lt;contributors&gt;&lt;authors&gt;&lt;author&gt;Stone, R.A.&lt;/author&gt;&lt;author&gt;Roberts, C.M.&lt;/author&gt;&lt;author&gt;Lowe, D.&lt;/author&gt;&lt;author&gt;Welham, S.&lt;/author&gt;&lt;author&gt;Searle, L.&lt;/author&gt;&lt;author&gt;Skipper, E.&lt;/author&gt;&lt;author&gt;Holzhauer-Barrie, J.&lt;/author&gt;&lt;/authors&gt;&lt;secondary-authors&gt;&lt;author&gt;Royal College of Physicians&lt;/author&gt;&lt;/secondary-authors&gt;&lt;/contributors&gt;&lt;titles&gt;&lt;title&gt;COPD: Who cares matters. National Chronic Obstructive Pulmonary Disease (COPD) Audit Programme: Clinical audit of COPD exacerbations admitted to acute units in England and Wales 2014&lt;/title&gt;&lt;/titles&gt;&lt;dates&gt;&lt;year&gt;2015&lt;/year&gt;&lt;/dates&gt;&lt;pub-location&gt;London&lt;/pub-location&gt;&lt;publisher&gt;Royal College of Physicians&lt;/publisher&gt;&lt;urls&gt;&lt;related-urls&gt;&lt;url&gt;https://www.rcplondon.ac.uk/sites/default/files/nat_copd_audit_prog_secondary_care_clinical_audit_national_full_report_2014_final_web.pdf&lt;/url&gt;&lt;/related-urls&gt;&lt;/urls&gt;&lt;/record&gt;&lt;/Cite&gt;&lt;/EndNote&gt;</w:instrText>
      </w:r>
      <w:r w:rsidR="00150FA7">
        <w:rPr>
          <w:rFonts w:cs="Arial"/>
        </w:rPr>
        <w:fldChar w:fldCharType="separate"/>
      </w:r>
      <w:r w:rsidR="00247AE0">
        <w:rPr>
          <w:rFonts w:cs="Arial"/>
          <w:noProof/>
        </w:rPr>
        <w:t>[</w:t>
      </w:r>
      <w:hyperlink w:anchor="_ENREF_1" w:tooltip="Stone, 2015 #787" w:history="1">
        <w:r w:rsidR="0073469B">
          <w:rPr>
            <w:rFonts w:cs="Arial"/>
            <w:noProof/>
          </w:rPr>
          <w:t>1</w:t>
        </w:r>
      </w:hyperlink>
      <w:r w:rsidR="00247AE0">
        <w:rPr>
          <w:rFonts w:cs="Arial"/>
          <w:noProof/>
        </w:rPr>
        <w:t>]</w:t>
      </w:r>
      <w:r w:rsidR="00150FA7">
        <w:rPr>
          <w:rFonts w:cs="Arial"/>
        </w:rPr>
        <w:fldChar w:fldCharType="end"/>
      </w:r>
      <w:r w:rsidR="007D7079">
        <w:rPr>
          <w:rFonts w:cs="Arial"/>
        </w:rPr>
        <w:t>.</w:t>
      </w:r>
      <w:r w:rsidR="0040122D">
        <w:rPr>
          <w:rFonts w:cs="Arial"/>
        </w:rPr>
        <w:t xml:space="preserve"> </w:t>
      </w:r>
      <w:r w:rsidR="00247AE0">
        <w:rPr>
          <w:rFonts w:cs="Arial"/>
        </w:rPr>
        <w:t>A</w:t>
      </w:r>
      <w:r w:rsidR="0040122D" w:rsidRPr="00BA2FBA">
        <w:rPr>
          <w:rFonts w:cs="Arial"/>
        </w:rPr>
        <w:t xml:space="preserve">ccess to expert care </w:t>
      </w:r>
      <w:r w:rsidR="00247AE0">
        <w:rPr>
          <w:rFonts w:cs="Arial"/>
        </w:rPr>
        <w:t xml:space="preserve">continues to be an issue – in some </w:t>
      </w:r>
      <w:proofErr w:type="spellStart"/>
      <w:r w:rsidR="00247AE0">
        <w:rPr>
          <w:rFonts w:cs="Arial"/>
        </w:rPr>
        <w:t>centres</w:t>
      </w:r>
      <w:proofErr w:type="spellEnd"/>
      <w:r w:rsidR="00247AE0">
        <w:rPr>
          <w:rFonts w:cs="Arial"/>
        </w:rPr>
        <w:t xml:space="preserve">, all COPD patients were seen by </w:t>
      </w:r>
      <w:r w:rsidR="0040122D" w:rsidRPr="00BA2FBA">
        <w:rPr>
          <w:rFonts w:cs="Arial"/>
        </w:rPr>
        <w:t>respiratory specialists</w:t>
      </w:r>
      <w:r w:rsidR="00247AE0">
        <w:rPr>
          <w:rFonts w:cs="Arial"/>
        </w:rPr>
        <w:t xml:space="preserve"> whilst in others almost none received specialist care</w:t>
      </w:r>
      <w:r w:rsidR="00150FA7">
        <w:rPr>
          <w:rFonts w:cs="Arial"/>
        </w:rPr>
        <w:fldChar w:fldCharType="begin"/>
      </w:r>
      <w:r w:rsidR="00B26DB6">
        <w:rPr>
          <w:rFonts w:cs="Arial"/>
        </w:rPr>
        <w:instrText xml:space="preserve"> ADDIN EN.CITE &lt;EndNote&gt;&lt;Cite&gt;&lt;Author&gt;Stone&lt;/Author&gt;&lt;Year&gt;2015&lt;/Year&gt;&lt;RecNum&gt;787&lt;/RecNum&gt;&lt;DisplayText&gt;[1]&lt;/DisplayText&gt;&lt;record&gt;&lt;rec-number&gt;787&lt;/rec-number&gt;&lt;foreign-keys&gt;&lt;key app="EN" db-id="srv9exf582a5pkewvs8przzoze9efv2wdaew"&gt;787&lt;/key&gt;&lt;/foreign-keys&gt;&lt;ref-type name="Report"&gt;27&lt;/ref-type&gt;&lt;contributors&gt;&lt;authors&gt;&lt;author&gt;Stone, R.A.&lt;/author&gt;&lt;author&gt;Roberts, C.M.&lt;/author&gt;&lt;author&gt;Lowe, D.&lt;/author&gt;&lt;author&gt;Welham, S.&lt;/author&gt;&lt;author&gt;Searle, L.&lt;/author&gt;&lt;author&gt;Skipper, E.&lt;/author&gt;&lt;author&gt;Holzhauer-Barrie, J.&lt;/author&gt;&lt;/authors&gt;&lt;secondary-authors&gt;&lt;author&gt;Royal College of Physicians&lt;/author&gt;&lt;/secondary-authors&gt;&lt;/contributors&gt;&lt;titles&gt;&lt;title&gt;COPD: Who cares matters. National Chronic Obstructive Pulmonary Disease (COPD) Audit Programme: Clinical audit of COPD exacerbations admitted to acute units in England and Wales 2014&lt;/title&gt;&lt;/titles&gt;&lt;dates&gt;&lt;year&gt;2015&lt;/year&gt;&lt;/dates&gt;&lt;pub-location&gt;London&lt;/pub-location&gt;&lt;publisher&gt;Royal College of Physicians&lt;/publisher&gt;&lt;urls&gt;&lt;related-urls&gt;&lt;url&gt;https://www.rcplondon.ac.uk/sites/default/files/nat_copd_audit_prog_secondary_care_clinical_audit_national_full_report_2014_final_web.pdf&lt;/url&gt;&lt;/related-urls&gt;&lt;/urls&gt;&lt;/record&gt;&lt;/Cite&gt;&lt;/EndNote&gt;</w:instrText>
      </w:r>
      <w:r w:rsidR="00150FA7">
        <w:rPr>
          <w:rFonts w:cs="Arial"/>
        </w:rPr>
        <w:fldChar w:fldCharType="separate"/>
      </w:r>
      <w:r w:rsidR="00247AE0">
        <w:rPr>
          <w:rFonts w:cs="Arial"/>
          <w:noProof/>
        </w:rPr>
        <w:t>[</w:t>
      </w:r>
      <w:hyperlink w:anchor="_ENREF_1" w:tooltip="Stone, 2015 #787" w:history="1">
        <w:r w:rsidR="0073469B">
          <w:rPr>
            <w:rFonts w:cs="Arial"/>
            <w:noProof/>
          </w:rPr>
          <w:t>1</w:t>
        </w:r>
      </w:hyperlink>
      <w:r w:rsidR="00247AE0">
        <w:rPr>
          <w:rFonts w:cs="Arial"/>
          <w:noProof/>
        </w:rPr>
        <w:t>]</w:t>
      </w:r>
      <w:r w:rsidR="00150FA7">
        <w:rPr>
          <w:rFonts w:cs="Arial"/>
        </w:rPr>
        <w:fldChar w:fldCharType="end"/>
      </w:r>
      <w:r w:rsidR="0040122D" w:rsidRPr="00083561">
        <w:rPr>
          <w:rFonts w:cs="Arial"/>
        </w:rPr>
        <w:t>.</w:t>
      </w:r>
      <w:r w:rsidR="0040122D" w:rsidRPr="00BA2FBA">
        <w:rPr>
          <w:rFonts w:cs="Arial"/>
        </w:rPr>
        <w:t xml:space="preserve">  There is therefore an opportunity for improving outcomes for patients by ensuring </w:t>
      </w:r>
      <w:r w:rsidR="00F04EBB">
        <w:rPr>
          <w:rFonts w:cs="Arial"/>
        </w:rPr>
        <w:t xml:space="preserve">high quality </w:t>
      </w:r>
      <w:r w:rsidR="0040122D" w:rsidRPr="00BA2FBA">
        <w:rPr>
          <w:rFonts w:cs="Arial"/>
        </w:rPr>
        <w:t>care is consistently provided.</w:t>
      </w:r>
      <w:r w:rsidR="0040122D" w:rsidRPr="0040122D">
        <w:rPr>
          <w:rFonts w:cs="OTNEJMQuadraat"/>
        </w:rPr>
        <w:t xml:space="preserve"> </w:t>
      </w:r>
    </w:p>
    <w:p w:rsidR="0040122D" w:rsidRDefault="00013947" w:rsidP="0040122D">
      <w:pPr>
        <w:spacing w:line="480" w:lineRule="auto"/>
        <w:jc w:val="both"/>
      </w:pPr>
      <w:r>
        <w:rPr>
          <w:rFonts w:cs="Calibri"/>
        </w:rPr>
        <w:t xml:space="preserve">     </w:t>
      </w:r>
      <w:r w:rsidR="0040122D" w:rsidRPr="00BA2FBA">
        <w:rPr>
          <w:rFonts w:cs="Calibri"/>
        </w:rPr>
        <w:t xml:space="preserve">A bundle is a structured way of improving the process of care and thereby improving patient outcomes.  </w:t>
      </w:r>
      <w:r w:rsidR="0040122D">
        <w:rPr>
          <w:rFonts w:cs="Calibri"/>
        </w:rPr>
        <w:t xml:space="preserve">It is a </w:t>
      </w:r>
      <w:r w:rsidR="0040122D" w:rsidRPr="00BA2FBA">
        <w:rPr>
          <w:rFonts w:cs="Calibri"/>
        </w:rPr>
        <w:t>small, straightforward set of evidence</w:t>
      </w:r>
      <w:r w:rsidR="0040122D">
        <w:rPr>
          <w:rFonts w:cs="Calibri"/>
        </w:rPr>
        <w:t>-</w:t>
      </w:r>
      <w:r w:rsidR="0040122D" w:rsidRPr="00BA2FBA">
        <w:rPr>
          <w:rFonts w:cs="Calibri"/>
        </w:rPr>
        <w:t>based clinica</w:t>
      </w:r>
      <w:r w:rsidR="00F04EBB">
        <w:rPr>
          <w:rFonts w:cs="Calibri"/>
        </w:rPr>
        <w:t>l interventions or actions</w:t>
      </w:r>
      <w:r w:rsidR="0040122D" w:rsidRPr="00BA2FBA">
        <w:rPr>
          <w:rFonts w:cs="Calibri"/>
        </w:rPr>
        <w:t xml:space="preserve">, which when performed reliably improve patient outcomes.  The bundle resembles a list, </w:t>
      </w:r>
      <w:r w:rsidR="00936C21">
        <w:rPr>
          <w:rFonts w:cs="Calibri"/>
        </w:rPr>
        <w:t xml:space="preserve">but </w:t>
      </w:r>
      <w:r w:rsidR="00EE7502">
        <w:rPr>
          <w:rFonts w:cs="Calibri"/>
        </w:rPr>
        <w:t>is</w:t>
      </w:r>
      <w:r w:rsidR="0040122D" w:rsidRPr="00BA2FBA">
        <w:rPr>
          <w:rFonts w:cs="Calibri"/>
        </w:rPr>
        <w:t xml:space="preserve"> a cohesive unit </w:t>
      </w:r>
      <w:r w:rsidR="00936C21">
        <w:rPr>
          <w:rFonts w:cs="Calibri"/>
        </w:rPr>
        <w:t xml:space="preserve">where all elements must </w:t>
      </w:r>
      <w:r w:rsidR="0040122D" w:rsidRPr="00BA2FBA">
        <w:rPr>
          <w:rFonts w:cs="Calibri"/>
        </w:rPr>
        <w:t xml:space="preserve">be completed to </w:t>
      </w:r>
      <w:r w:rsidR="0040122D">
        <w:rPr>
          <w:rFonts w:cs="Calibri"/>
        </w:rPr>
        <w:t>achieve the best outcomes</w:t>
      </w:r>
      <w:r w:rsidR="0040122D" w:rsidRPr="00BA2FBA">
        <w:rPr>
          <w:rFonts w:cs="Calibri"/>
        </w:rPr>
        <w:t>.</w:t>
      </w:r>
      <w:r w:rsidR="0040122D" w:rsidRPr="0040122D">
        <w:rPr>
          <w:rFonts w:cs="Arial"/>
        </w:rPr>
        <w:t xml:space="preserve"> </w:t>
      </w:r>
      <w:r w:rsidR="0040122D" w:rsidRPr="00BA2FBA">
        <w:rPr>
          <w:rFonts w:cs="Arial"/>
        </w:rPr>
        <w:t xml:space="preserve">The value </w:t>
      </w:r>
      <w:r w:rsidR="0040122D">
        <w:rPr>
          <w:rFonts w:cs="Arial"/>
        </w:rPr>
        <w:t xml:space="preserve">of care bundles </w:t>
      </w:r>
      <w:r w:rsidR="0040122D" w:rsidRPr="00BA2FBA">
        <w:rPr>
          <w:rFonts w:cs="Arial"/>
        </w:rPr>
        <w:t>has been demonstrated in a UK</w:t>
      </w:r>
      <w:r w:rsidR="00936C21">
        <w:rPr>
          <w:rFonts w:cs="Arial"/>
        </w:rPr>
        <w:t xml:space="preserve"> setting;</w:t>
      </w:r>
      <w:r w:rsidR="0040122D" w:rsidRPr="00BA2FBA">
        <w:rPr>
          <w:rFonts w:cs="Arial"/>
        </w:rPr>
        <w:t xml:space="preserve"> a fall of 18.5 </w:t>
      </w:r>
      <w:r w:rsidR="0040122D">
        <w:rPr>
          <w:rFonts w:cs="Arial"/>
        </w:rPr>
        <w:t xml:space="preserve">points </w:t>
      </w:r>
      <w:r w:rsidR="0040122D" w:rsidRPr="00BA2FBA">
        <w:rPr>
          <w:rFonts w:cs="Arial"/>
        </w:rPr>
        <w:t xml:space="preserve">in the hospital </w:t>
      </w:r>
      <w:proofErr w:type="spellStart"/>
      <w:r w:rsidR="0040122D" w:rsidRPr="00BA2FBA">
        <w:rPr>
          <w:rFonts w:cs="Arial"/>
        </w:rPr>
        <w:t>standardised</w:t>
      </w:r>
      <w:proofErr w:type="spellEnd"/>
      <w:r w:rsidR="0040122D" w:rsidRPr="00BA2FBA">
        <w:rPr>
          <w:rFonts w:cs="Arial"/>
        </w:rPr>
        <w:t xml:space="preserve"> mortality </w:t>
      </w:r>
      <w:r w:rsidR="00936C21">
        <w:rPr>
          <w:rFonts w:cs="Arial"/>
        </w:rPr>
        <w:t>occurred</w:t>
      </w:r>
      <w:r w:rsidR="0040122D">
        <w:rPr>
          <w:rFonts w:cs="Arial"/>
        </w:rPr>
        <w:t xml:space="preserve"> following bundle</w:t>
      </w:r>
      <w:r w:rsidR="0040122D" w:rsidRPr="00BA2FBA">
        <w:rPr>
          <w:rFonts w:cs="Arial"/>
        </w:rPr>
        <w:t xml:space="preserve"> implementation for 13 diagnoses</w:t>
      </w:r>
      <w:r w:rsidR="00936C21">
        <w:rPr>
          <w:rFonts w:cs="Arial"/>
        </w:rPr>
        <w:t xml:space="preserve"> </w:t>
      </w:r>
      <w:r w:rsidR="00150FA7">
        <w:rPr>
          <w:rFonts w:cs="Arial"/>
        </w:rPr>
        <w:fldChar w:fldCharType="begin"/>
      </w:r>
      <w:r w:rsidR="00247AE0">
        <w:rPr>
          <w:rFonts w:cs="Arial"/>
        </w:rPr>
        <w:instrText xml:space="preserve"> ADDIN EN.CITE &lt;EndNote&gt;&lt;Cite&gt;&lt;Author&gt;Robb&lt;/Author&gt;&lt;Year&gt;2010&lt;/Year&gt;&lt;RecNum&gt;71&lt;/RecNum&gt;&lt;DisplayText&gt;[2]&lt;/DisplayText&gt;&lt;record&gt;&lt;rec-number&gt;71&lt;/rec-number&gt;&lt;foreign-keys&gt;&lt;key app="EN" db-id="e9pwrefwpfv0vwept285tvr4fzaxatxadsw2" timestamp="1406759573"&gt;71&lt;/key&gt;&lt;/foreign-keys&gt;&lt;ref-type name="Journal Article"&gt;17&lt;/ref-type&gt;&lt;contributors&gt;&lt;authors&gt;&lt;author&gt;Robb, E.&lt;/author&gt;&lt;author&gt;Jarman, B.&lt;/author&gt;&lt;author&gt;Suntharalingam, G.&lt;/author&gt;&lt;author&gt;Higgens, C.&lt;/author&gt;&lt;author&gt;Tennant, R.&lt;/author&gt;&lt;author&gt;Elcock, K.&lt;/author&gt;&lt;/authors&gt;&lt;/contributors&gt;&lt;auth-address&gt;North West London Hospitals NHS Trust, Harrow HA1 3UJ.&lt;/auth-address&gt;&lt;titles&gt;&lt;title&gt;Using care bundles to reduce in-hospital mortality: quantitative survey&lt;/title&gt;&lt;secondary-title&gt;BMJ&lt;/secondary-title&gt;&lt;alt-title&gt;Bmj&lt;/alt-title&gt;&lt;/titles&gt;&lt;periodical&gt;&lt;full-title&gt;BMJ&lt;/full-title&gt;&lt;/periodical&gt;&lt;alt-periodical&gt;&lt;full-title&gt;BMJ&lt;/full-title&gt;&lt;/alt-periodical&gt;&lt;pages&gt;c1234&lt;/pages&gt;&lt;volume&gt;340&lt;/volume&gt;&lt;keywords&gt;&lt;keyword&gt;Critical Pathways/*standards&lt;/keyword&gt;&lt;keyword&gt;Health Surveys&lt;/keyword&gt;&lt;keyword&gt;*Hospital Mortality&lt;/keyword&gt;&lt;keyword&gt;Hospitals, Urban/*statistics &amp;amp; numerical data&lt;/keyword&gt;&lt;keyword&gt;Humans&lt;/keyword&gt;&lt;keyword&gt;London&lt;/keyword&gt;&lt;keyword&gt;Practice Guidelines as Topic&lt;/keyword&gt;&lt;keyword&gt;*Quality of Health Care&lt;/keyword&gt;&lt;/keywords&gt;&lt;dates&gt;&lt;year&gt;2010&lt;/year&gt;&lt;/dates&gt;&lt;isbn&gt;1756-1833 (Electronic)&amp;#xD;0959-535X (Linking)&lt;/isbn&gt;&lt;accession-num&gt;20360220&lt;/accession-num&gt;&lt;urls&gt;&lt;related-urls&gt;&lt;url&gt;http://www.ncbi.nlm.nih.gov/pubmed/20360220&lt;/url&gt;&lt;/related-urls&gt;&lt;/urls&gt;&lt;electronic-resource-num&gt;10.1136/bmj.c1234&lt;/electronic-resource-num&gt;&lt;/record&gt;&lt;/Cite&gt;&lt;/EndNote&gt;</w:instrText>
      </w:r>
      <w:r w:rsidR="00150FA7">
        <w:rPr>
          <w:rFonts w:cs="Arial"/>
        </w:rPr>
        <w:fldChar w:fldCharType="separate"/>
      </w:r>
      <w:r w:rsidR="00247AE0">
        <w:rPr>
          <w:rFonts w:cs="Arial"/>
          <w:noProof/>
        </w:rPr>
        <w:t>[</w:t>
      </w:r>
      <w:hyperlink w:anchor="_ENREF_2" w:tooltip="Robb, 2010 #71" w:history="1">
        <w:r w:rsidR="0073469B">
          <w:rPr>
            <w:rFonts w:cs="Arial"/>
            <w:noProof/>
          </w:rPr>
          <w:t>2</w:t>
        </w:r>
      </w:hyperlink>
      <w:r w:rsidR="00247AE0">
        <w:rPr>
          <w:rFonts w:cs="Arial"/>
          <w:noProof/>
        </w:rPr>
        <w:t>]</w:t>
      </w:r>
      <w:r w:rsidR="00150FA7">
        <w:rPr>
          <w:rFonts w:cs="Arial"/>
        </w:rPr>
        <w:fldChar w:fldCharType="end"/>
      </w:r>
      <w:r w:rsidR="0040122D" w:rsidRPr="00BA2FBA">
        <w:rPr>
          <w:rFonts w:cs="Arial"/>
        </w:rPr>
        <w:t>.</w:t>
      </w:r>
      <w:r w:rsidR="0040122D">
        <w:rPr>
          <w:rFonts w:cs="Calibri"/>
        </w:rPr>
        <w:t xml:space="preserve"> </w:t>
      </w:r>
      <w:r w:rsidR="0040122D" w:rsidRPr="00BA2FBA">
        <w:rPr>
          <w:rFonts w:cs="OTNEJMQuadraat"/>
        </w:rPr>
        <w:t xml:space="preserve">Results of a </w:t>
      </w:r>
      <w:r w:rsidR="0040122D">
        <w:rPr>
          <w:rFonts w:cs="OTNEJMQuadraat"/>
        </w:rPr>
        <w:t xml:space="preserve">smaller </w:t>
      </w:r>
      <w:r w:rsidR="0040122D" w:rsidRPr="00BA2FBA">
        <w:rPr>
          <w:rFonts w:cs="OTNEJMQuadraat"/>
        </w:rPr>
        <w:t xml:space="preserve">single hospital study of a </w:t>
      </w:r>
      <w:r w:rsidR="00EE7502">
        <w:rPr>
          <w:rFonts w:cs="OTNEJMQuadraat"/>
        </w:rPr>
        <w:t xml:space="preserve">COPD discharge bundle </w:t>
      </w:r>
      <w:r w:rsidR="00936C21">
        <w:rPr>
          <w:rFonts w:cs="OTNEJMQuadraat"/>
        </w:rPr>
        <w:t>demonstrated reduced</w:t>
      </w:r>
      <w:r w:rsidR="0040122D" w:rsidRPr="00BA2FBA">
        <w:rPr>
          <w:rFonts w:cs="OTNEJMQuadraat"/>
        </w:rPr>
        <w:t xml:space="preserve"> 30 day readmission rate and improved compliance with key processes of care </w:t>
      </w:r>
      <w:r w:rsidR="00936C21">
        <w:rPr>
          <w:rFonts w:cs="OTNEJMQuadraat"/>
        </w:rPr>
        <w:t xml:space="preserve">(e.g. </w:t>
      </w:r>
      <w:r w:rsidR="0040122D" w:rsidRPr="00BA2FBA">
        <w:rPr>
          <w:rFonts w:cs="OTNEJMQuadraat"/>
        </w:rPr>
        <w:t>smoking cessation</w:t>
      </w:r>
      <w:r w:rsidR="00936C21">
        <w:rPr>
          <w:rFonts w:cs="OTNEJMQuadraat"/>
        </w:rPr>
        <w:t>)</w:t>
      </w:r>
      <w:r w:rsidR="00F04EBB">
        <w:rPr>
          <w:rFonts w:cs="OTNEJMQuadraat"/>
        </w:rPr>
        <w:t xml:space="preserve"> </w:t>
      </w:r>
      <w:r w:rsidR="00150FA7">
        <w:rPr>
          <w:rFonts w:cs="OTNEJMQuadraat"/>
        </w:rPr>
        <w:fldChar w:fldCharType="begin"/>
      </w:r>
      <w:r w:rsidR="00247AE0">
        <w:rPr>
          <w:rFonts w:cs="OTNEJMQuadraat"/>
        </w:rPr>
        <w:instrText xml:space="preserve"> ADDIN EN.CITE &lt;EndNote&gt;&lt;Cite&gt;&lt;Author&gt;Hopkinson&lt;/Author&gt;&lt;Year&gt;2012&lt;/Year&gt;&lt;RecNum&gt;61&lt;/RecNum&gt;&lt;DisplayText&gt;[3]&lt;/DisplayText&gt;&lt;record&gt;&lt;rec-number&gt;61&lt;/rec-number&gt;&lt;foreign-keys&gt;&lt;key app="EN" db-id="e9pwrefwpfv0vwept285tvr4fzaxatxadsw2" timestamp="1401623297"&gt;61&lt;/key&gt;&lt;key app="ENWeb" db-id=""&gt;0&lt;/key&gt;&lt;/foreign-keys&gt;&lt;ref-type name="Journal Article"&gt;17&lt;/ref-type&gt;&lt;contributors&gt;&lt;authors&gt;&lt;author&gt;Hopkinson, N. S.&lt;/author&gt;&lt;author&gt;Englebretsen, C.&lt;/author&gt;&lt;author&gt;Cooley, N.&lt;/author&gt;&lt;author&gt;Kennie, K.&lt;/author&gt;&lt;author&gt;Lim, M.&lt;/author&gt;&lt;author&gt;Woodcock, T.&lt;/author&gt;&lt;author&gt;Laverty, A. A.&lt;/author&gt;&lt;author&gt;Wilson, S.&lt;/author&gt;&lt;author&gt;Elkin, S. L.&lt;/author&gt;&lt;author&gt;Caneja, C.&lt;/author&gt;&lt;author&gt;Falzon, C.&lt;/author&gt;&lt;author&gt;Burgess, H.&lt;/author&gt;&lt;author&gt;Bell, D.&lt;/author&gt;&lt;author&gt;Lai, D.&lt;/author&gt;&lt;/authors&gt;&lt;/contributors&gt;&lt;auth-address&gt;NIHR Respiratory Biomedical Research Unit of Royal Brompton and Harefield NHS Foundation Trust and Imperial College, London SW3 6NP, UK. n.hopkinson@ic.ac.uk.&lt;/auth-address&gt;&lt;titles&gt;&lt;title&gt;Designing and implementing a COPD discharge care bundle&lt;/title&gt;&lt;secondary-title&gt;Thorax&lt;/secondary-title&gt;&lt;alt-title&gt;Thorax&lt;/alt-title&gt;&lt;/titles&gt;&lt;periodical&gt;&lt;full-title&gt;Thorax&lt;/full-title&gt;&lt;abbr-1&gt;Thorax&lt;/abbr-1&gt;&lt;/periodical&gt;&lt;alt-periodical&gt;&lt;full-title&gt;Thorax&lt;/full-title&gt;&lt;abbr-1&gt;Thorax&lt;/abbr-1&gt;&lt;/alt-periodical&gt;&lt;pages&gt;90-2&lt;/pages&gt;&lt;volume&gt;67&lt;/volume&gt;&lt;number&gt;1&lt;/number&gt;&lt;edition&gt;2011/08/19&lt;/edition&gt;&lt;dates&gt;&lt;year&gt;2012&lt;/year&gt;&lt;pub-dates&gt;&lt;date&gt;Jan&lt;/date&gt;&lt;/pub-dates&gt;&lt;/dates&gt;&lt;isbn&gt;1468-3296 (Electronic)&amp;#xD;0040-6376 (Linking)&lt;/isbn&gt;&lt;accession-num&gt;21846790&lt;/accession-num&gt;&lt;urls&gt;&lt;related-urls&gt;&lt;url&gt;http://www.ncbi.nlm.nih.gov/pubmed/21846790&lt;/url&gt;&lt;/related-urls&gt;&lt;/urls&gt;&lt;custom2&gt;3240777&lt;/custom2&gt;&lt;electronic-resource-num&gt;10.1136/thoraxjnl-2011-200233&lt;/electronic-resource-num&gt;&lt;language&gt;eng&lt;/language&gt;&lt;/record&gt;&lt;/Cite&gt;&lt;/EndNote&gt;</w:instrText>
      </w:r>
      <w:r w:rsidR="00150FA7">
        <w:rPr>
          <w:rFonts w:cs="OTNEJMQuadraat"/>
        </w:rPr>
        <w:fldChar w:fldCharType="separate"/>
      </w:r>
      <w:r w:rsidR="00247AE0">
        <w:rPr>
          <w:rFonts w:cs="OTNEJMQuadraat"/>
          <w:noProof/>
        </w:rPr>
        <w:t>[</w:t>
      </w:r>
      <w:hyperlink w:anchor="_ENREF_3" w:tooltip="Hopkinson, 2012 #61" w:history="1">
        <w:r w:rsidR="0073469B">
          <w:rPr>
            <w:rFonts w:cs="OTNEJMQuadraat"/>
            <w:noProof/>
          </w:rPr>
          <w:t>3</w:t>
        </w:r>
      </w:hyperlink>
      <w:r w:rsidR="00247AE0">
        <w:rPr>
          <w:rFonts w:cs="OTNEJMQuadraat"/>
          <w:noProof/>
        </w:rPr>
        <w:t>]</w:t>
      </w:r>
      <w:r w:rsidR="00150FA7">
        <w:rPr>
          <w:rFonts w:cs="OTNEJMQuadraat"/>
        </w:rPr>
        <w:fldChar w:fldCharType="end"/>
      </w:r>
      <w:r w:rsidR="0040122D">
        <w:rPr>
          <w:rFonts w:cs="OTNEJMQuadraat"/>
        </w:rPr>
        <w:t xml:space="preserve">. This </w:t>
      </w:r>
      <w:r>
        <w:rPr>
          <w:rFonts w:cs="OTNEJMQuadraat"/>
        </w:rPr>
        <w:t xml:space="preserve">short </w:t>
      </w:r>
      <w:r w:rsidR="0040122D">
        <w:rPr>
          <w:rFonts w:cs="OTNEJMQuadraat"/>
        </w:rPr>
        <w:t>report</w:t>
      </w:r>
      <w:r>
        <w:rPr>
          <w:rFonts w:cs="OTNEJMQuadraat"/>
        </w:rPr>
        <w:t xml:space="preserve"> </w:t>
      </w:r>
      <w:r>
        <w:t>describes the results of a</w:t>
      </w:r>
      <w:r w:rsidR="00DD25D9">
        <w:t>n AECOPD</w:t>
      </w:r>
      <w:r>
        <w:t xml:space="preserve"> </w:t>
      </w:r>
      <w:r w:rsidR="00DD25D9" w:rsidRPr="003E5DFB">
        <w:t>care bundle</w:t>
      </w:r>
      <w:r w:rsidR="00DD25D9">
        <w:t xml:space="preserve">s implementation </w:t>
      </w:r>
      <w:r>
        <w:t>s</w:t>
      </w:r>
      <w:r w:rsidR="00DD25D9">
        <w:t xml:space="preserve">tudy </w:t>
      </w:r>
      <w:r>
        <w:t xml:space="preserve">undertaken </w:t>
      </w:r>
      <w:r w:rsidRPr="003E5DFB">
        <w:t>by the British Thoracic Society</w:t>
      </w:r>
      <w:r>
        <w:t xml:space="preserve"> (BTS)</w:t>
      </w:r>
      <w:r w:rsidRPr="003E5DFB">
        <w:t xml:space="preserve"> </w:t>
      </w:r>
      <w:r>
        <w:t xml:space="preserve">with the support of </w:t>
      </w:r>
      <w:r w:rsidRPr="003E5DFB">
        <w:t>NHS Improvement</w:t>
      </w:r>
      <w:r>
        <w:t xml:space="preserve">. </w:t>
      </w:r>
    </w:p>
    <w:p w:rsidR="00EE7502" w:rsidRDefault="00EE7502" w:rsidP="0040122D">
      <w:pPr>
        <w:spacing w:line="480" w:lineRule="auto"/>
        <w:jc w:val="both"/>
      </w:pPr>
    </w:p>
    <w:p w:rsidR="00013947" w:rsidRPr="0040122D" w:rsidRDefault="00013947" w:rsidP="00EE7502">
      <w:pPr>
        <w:pStyle w:val="Heading2"/>
        <w:spacing w:line="480" w:lineRule="auto"/>
        <w:rPr>
          <w:rFonts w:cs="Calibri"/>
          <w:szCs w:val="22"/>
        </w:rPr>
      </w:pPr>
      <w:r>
        <w:t>Methods</w:t>
      </w:r>
    </w:p>
    <w:p w:rsidR="00B81739" w:rsidRDefault="00EB2BC4" w:rsidP="00DD25D9">
      <w:pPr>
        <w:spacing w:after="0" w:line="480" w:lineRule="auto"/>
        <w:jc w:val="both"/>
        <w:rPr>
          <w:rFonts w:cs="Arial"/>
        </w:rPr>
      </w:pPr>
      <w:r>
        <w:rPr>
          <w:rFonts w:cs="Arial"/>
        </w:rPr>
        <w:t xml:space="preserve">     </w:t>
      </w:r>
      <w:r w:rsidR="00B81739">
        <w:rPr>
          <w:rFonts w:cs="Arial"/>
        </w:rPr>
        <w:t>B</w:t>
      </w:r>
      <w:r w:rsidR="00013947">
        <w:rPr>
          <w:rFonts w:cs="Arial"/>
        </w:rPr>
        <w:t xml:space="preserve">undle content for AECOPD at admission and at discharge was developed by an expert panel put together by the BTS and NHS improvement, who met initially in October 2011. </w:t>
      </w:r>
    </w:p>
    <w:p w:rsidR="00B81739" w:rsidRDefault="00B81739" w:rsidP="00DD25D9">
      <w:pPr>
        <w:spacing w:after="0" w:line="480" w:lineRule="auto"/>
        <w:jc w:val="both"/>
        <w:rPr>
          <w:rFonts w:cs="Arial"/>
        </w:rPr>
      </w:pPr>
      <w:r>
        <w:rPr>
          <w:rFonts w:cs="Arial"/>
        </w:rPr>
        <w:t>The admission bundle elements were:</w:t>
      </w:r>
    </w:p>
    <w:p w:rsidR="00B81739" w:rsidRDefault="00B81739" w:rsidP="00DD25D9">
      <w:pPr>
        <w:spacing w:after="0" w:line="480" w:lineRule="auto"/>
        <w:ind w:left="720"/>
        <w:jc w:val="both"/>
      </w:pPr>
      <w:r>
        <w:lastRenderedPageBreak/>
        <w:t>1)</w:t>
      </w:r>
      <w:r w:rsidR="00EE7502">
        <w:t xml:space="preserve"> </w:t>
      </w:r>
      <w:r>
        <w:t>Establishing</w:t>
      </w:r>
      <w:r w:rsidR="00F04EBB">
        <w:t xml:space="preserve"> a correct diagnosis of AECOPD - </w:t>
      </w:r>
      <w:r>
        <w:t xml:space="preserve">this required </w:t>
      </w:r>
      <w:r w:rsidR="00AB6944">
        <w:t>chest X ray and electrocardiogram (</w:t>
      </w:r>
      <w:r>
        <w:t>CXR and ECG</w:t>
      </w:r>
      <w:r w:rsidR="00AB6944">
        <w:t>)</w:t>
      </w:r>
      <w:r>
        <w:t xml:space="preserve"> perfor</w:t>
      </w:r>
      <w:r w:rsidR="00F04EBB">
        <w:t xml:space="preserve">med within 4 hours of admission, together with </w:t>
      </w:r>
      <w:r w:rsidR="00DD25D9">
        <w:t xml:space="preserve">a record of </w:t>
      </w:r>
      <w:proofErr w:type="spellStart"/>
      <w:r w:rsidR="00F04EBB">
        <w:t>spiro</w:t>
      </w:r>
      <w:r w:rsidR="00DD25D9">
        <w:t>metry</w:t>
      </w:r>
      <w:proofErr w:type="spellEnd"/>
      <w:r>
        <w:t>;</w:t>
      </w:r>
    </w:p>
    <w:p w:rsidR="00B81739" w:rsidRDefault="00B81739" w:rsidP="00DD25D9">
      <w:pPr>
        <w:spacing w:after="0" w:line="480" w:lineRule="auto"/>
        <w:ind w:left="720"/>
        <w:jc w:val="both"/>
      </w:pPr>
      <w:r>
        <w:t>2) Assessing oxygenation and</w:t>
      </w:r>
      <w:r w:rsidR="00F04EBB">
        <w:t xml:space="preserve"> prescribing a target range </w:t>
      </w:r>
      <w:r>
        <w:t>within 1 hour of admission;</w:t>
      </w:r>
    </w:p>
    <w:p w:rsidR="00B81739" w:rsidRDefault="00B81739" w:rsidP="00DD25D9">
      <w:pPr>
        <w:spacing w:after="0" w:line="480" w:lineRule="auto"/>
        <w:ind w:left="720"/>
        <w:jc w:val="both"/>
      </w:pPr>
      <w:r>
        <w:t xml:space="preserve">3) </w:t>
      </w:r>
      <w:proofErr w:type="spellStart"/>
      <w:r>
        <w:t>Recognising</w:t>
      </w:r>
      <w:proofErr w:type="spellEnd"/>
      <w:r>
        <w:t xml:space="preserve"> and responding to respiratory</w:t>
      </w:r>
      <w:r w:rsidR="00DD25D9">
        <w:t xml:space="preserve"> acidosis</w:t>
      </w:r>
      <w:r>
        <w:t xml:space="preserve">; </w:t>
      </w:r>
    </w:p>
    <w:p w:rsidR="00B81739" w:rsidRDefault="00B81739" w:rsidP="00DD25D9">
      <w:pPr>
        <w:spacing w:after="0" w:line="480" w:lineRule="auto"/>
        <w:ind w:left="720"/>
        <w:jc w:val="both"/>
      </w:pPr>
      <w:r>
        <w:t>4)</w:t>
      </w:r>
      <w:r w:rsidR="00EE7502">
        <w:t xml:space="preserve"> </w:t>
      </w:r>
      <w:r w:rsidR="00F04EBB">
        <w:t>Initia</w:t>
      </w:r>
      <w:r w:rsidR="00DD25D9">
        <w:t>ting correct treatment -</w:t>
      </w:r>
      <w:r w:rsidR="00F04EBB">
        <w:t xml:space="preserve"> t</w:t>
      </w:r>
      <w:r>
        <w:t xml:space="preserve">his required administration of steroids, antibiotics </w:t>
      </w:r>
      <w:r w:rsidR="00F04EBB">
        <w:t xml:space="preserve">(if appropriate) </w:t>
      </w:r>
      <w:r>
        <w:t xml:space="preserve">and </w:t>
      </w:r>
      <w:proofErr w:type="spellStart"/>
      <w:r>
        <w:t>nebulised</w:t>
      </w:r>
      <w:proofErr w:type="spellEnd"/>
      <w:r>
        <w:t xml:space="preserve"> therapy within 4 hours of admission; </w:t>
      </w:r>
    </w:p>
    <w:p w:rsidR="00B81739" w:rsidRDefault="00B81739" w:rsidP="00DD25D9">
      <w:pPr>
        <w:spacing w:after="0" w:line="480" w:lineRule="auto"/>
        <w:ind w:left="720"/>
        <w:jc w:val="both"/>
      </w:pPr>
      <w:r>
        <w:t>5) Review by a member of the respiratory specialist team within 24 hours of admission.</w:t>
      </w:r>
    </w:p>
    <w:p w:rsidR="00B81739" w:rsidRPr="00B81739" w:rsidRDefault="00DD25D9" w:rsidP="00DD25D9">
      <w:pPr>
        <w:spacing w:after="0" w:line="480" w:lineRule="auto"/>
        <w:jc w:val="both"/>
      </w:pPr>
      <w:r>
        <w:t>Documentation of the following discharge bundle elements was required</w:t>
      </w:r>
      <w:r w:rsidR="00B81739" w:rsidRPr="00B81739">
        <w:t>:</w:t>
      </w:r>
    </w:p>
    <w:p w:rsidR="00B81739" w:rsidRPr="00B81739" w:rsidRDefault="00B81739" w:rsidP="00DD25D9">
      <w:pPr>
        <w:spacing w:after="0" w:line="480" w:lineRule="auto"/>
        <w:ind w:left="720"/>
        <w:jc w:val="both"/>
      </w:pPr>
      <w:r w:rsidRPr="00B81739">
        <w:t xml:space="preserve">1) </w:t>
      </w:r>
      <w:r w:rsidR="00DD25D9">
        <w:t>I</w:t>
      </w:r>
      <w:r w:rsidRPr="00B81739">
        <w:t xml:space="preserve">nhaler technique had been checked and medications reviewed </w:t>
      </w:r>
      <w:r w:rsidR="007D7079">
        <w:t>(‘Treatment bundle’)</w:t>
      </w:r>
      <w:r w:rsidRPr="00B81739">
        <w:t xml:space="preserve">; </w:t>
      </w:r>
    </w:p>
    <w:p w:rsidR="00B81739" w:rsidRPr="00B81739" w:rsidRDefault="00B81739" w:rsidP="00DD25D9">
      <w:pPr>
        <w:spacing w:after="0" w:line="480" w:lineRule="auto"/>
        <w:ind w:left="720"/>
        <w:jc w:val="both"/>
      </w:pPr>
      <w:r w:rsidRPr="00B81739">
        <w:t>2)</w:t>
      </w:r>
      <w:r>
        <w:t xml:space="preserve"> </w:t>
      </w:r>
      <w:r w:rsidR="00DD25D9">
        <w:t>W</w:t>
      </w:r>
      <w:r w:rsidRPr="00B81739">
        <w:t>ritt</w:t>
      </w:r>
      <w:r w:rsidR="00DD25D9">
        <w:t xml:space="preserve">en self management plan and </w:t>
      </w:r>
      <w:r w:rsidRPr="00B81739">
        <w:t>emergency drug pack</w:t>
      </w:r>
      <w:r w:rsidR="007845DB">
        <w:t>, if appropriate</w:t>
      </w:r>
      <w:r w:rsidR="00DD25D9">
        <w:t>, were in place</w:t>
      </w:r>
      <w:r w:rsidR="000F462C">
        <w:t xml:space="preserve"> (</w:t>
      </w:r>
      <w:r w:rsidR="007845DB">
        <w:t>‘</w:t>
      </w:r>
      <w:r w:rsidR="000F462C">
        <w:t>SM bundle</w:t>
      </w:r>
      <w:r w:rsidR="007845DB">
        <w:t>’</w:t>
      </w:r>
      <w:r w:rsidR="000F462C">
        <w:t>)</w:t>
      </w:r>
      <w:r w:rsidRPr="00B81739">
        <w:t xml:space="preserve">; </w:t>
      </w:r>
    </w:p>
    <w:p w:rsidR="00B81739" w:rsidRPr="00B81739" w:rsidRDefault="00B81739" w:rsidP="00DD25D9">
      <w:pPr>
        <w:spacing w:after="0" w:line="480" w:lineRule="auto"/>
        <w:ind w:left="720"/>
        <w:jc w:val="both"/>
      </w:pPr>
      <w:r w:rsidRPr="00B81739">
        <w:t>3)</w:t>
      </w:r>
      <w:r>
        <w:t xml:space="preserve"> </w:t>
      </w:r>
      <w:r w:rsidR="00DD25D9">
        <w:t>S</w:t>
      </w:r>
      <w:r w:rsidRPr="00B81739">
        <w:t>moking status and assistance to quit where appropriate</w:t>
      </w:r>
      <w:r w:rsidR="007D7079">
        <w:t xml:space="preserve"> (‘Smoking bundle’)</w:t>
      </w:r>
      <w:r w:rsidRPr="00B81739">
        <w:t xml:space="preserve">; </w:t>
      </w:r>
    </w:p>
    <w:p w:rsidR="00B81739" w:rsidRPr="00B81739" w:rsidRDefault="00B81739" w:rsidP="00DD25D9">
      <w:pPr>
        <w:spacing w:after="0" w:line="480" w:lineRule="auto"/>
        <w:ind w:left="720"/>
        <w:jc w:val="both"/>
      </w:pPr>
      <w:r w:rsidRPr="00B81739">
        <w:t xml:space="preserve">4) </w:t>
      </w:r>
      <w:r w:rsidR="00DD25D9">
        <w:t>S</w:t>
      </w:r>
      <w:r w:rsidRPr="00B81739">
        <w:t>uitability for pulmon</w:t>
      </w:r>
      <w:r w:rsidR="007845DB">
        <w:t>ary rehabilitation</w:t>
      </w:r>
      <w:r w:rsidR="00DD25D9">
        <w:t xml:space="preserve"> (PR)</w:t>
      </w:r>
      <w:r w:rsidR="007845DB">
        <w:t xml:space="preserve"> had been assessed and </w:t>
      </w:r>
      <w:r w:rsidR="00DD25D9">
        <w:t>PR</w:t>
      </w:r>
      <w:r w:rsidR="007845DB">
        <w:t xml:space="preserve"> offered, if </w:t>
      </w:r>
      <w:r w:rsidRPr="00B81739">
        <w:t>appropriate</w:t>
      </w:r>
      <w:r w:rsidR="000F462C">
        <w:t xml:space="preserve"> (</w:t>
      </w:r>
      <w:r w:rsidR="007845DB">
        <w:t>‘</w:t>
      </w:r>
      <w:r w:rsidR="000F462C">
        <w:t>PR bundle</w:t>
      </w:r>
      <w:r w:rsidR="007845DB">
        <w:t>’</w:t>
      </w:r>
      <w:r w:rsidR="000F462C">
        <w:t>)</w:t>
      </w:r>
      <w:r w:rsidRPr="00B81739">
        <w:t xml:space="preserve">; </w:t>
      </w:r>
    </w:p>
    <w:p w:rsidR="00B81739" w:rsidRPr="00B81739" w:rsidRDefault="00B81739" w:rsidP="00DD25D9">
      <w:pPr>
        <w:spacing w:after="0" w:line="480" w:lineRule="auto"/>
        <w:ind w:left="720"/>
        <w:jc w:val="both"/>
      </w:pPr>
      <w:r w:rsidRPr="00B81739">
        <w:t xml:space="preserve">5) </w:t>
      </w:r>
      <w:r w:rsidR="00DD25D9">
        <w:t>F</w:t>
      </w:r>
      <w:r w:rsidRPr="00B81739">
        <w:t>ollow up (</w:t>
      </w:r>
      <w:r w:rsidR="00DD25D9">
        <w:t>by phone or in person) within 72</w:t>
      </w:r>
      <w:r w:rsidRPr="00B81739">
        <w:t xml:space="preserve"> hours of discharge.</w:t>
      </w:r>
    </w:p>
    <w:p w:rsidR="00B81739" w:rsidRPr="00B81739" w:rsidRDefault="00B81739" w:rsidP="00DD25D9">
      <w:pPr>
        <w:spacing w:after="0" w:line="480" w:lineRule="auto"/>
        <w:jc w:val="both"/>
        <w:rPr>
          <w:rFonts w:cs="Arial"/>
        </w:rPr>
      </w:pPr>
    </w:p>
    <w:p w:rsidR="00B81739" w:rsidRDefault="00013947" w:rsidP="00DD25D9">
      <w:pPr>
        <w:spacing w:after="0" w:line="480" w:lineRule="auto"/>
        <w:jc w:val="both"/>
        <w:rPr>
          <w:rFonts w:cs="Arial"/>
        </w:rPr>
      </w:pPr>
      <w:r w:rsidRPr="00B81739">
        <w:rPr>
          <w:rFonts w:cs="Arial"/>
        </w:rPr>
        <w:t>Hospitals ac</w:t>
      </w:r>
      <w:r w:rsidR="00DD25D9">
        <w:rPr>
          <w:rFonts w:cs="Arial"/>
        </w:rPr>
        <w:t>ross England and Wales were</w:t>
      </w:r>
      <w:r w:rsidRPr="00B81739">
        <w:rPr>
          <w:rFonts w:cs="Arial"/>
        </w:rPr>
        <w:t xml:space="preserve"> invited to participate in the project</w:t>
      </w:r>
      <w:r w:rsidR="00B81739">
        <w:rPr>
          <w:rFonts w:cs="Arial"/>
        </w:rPr>
        <w:t xml:space="preserve"> in July</w:t>
      </w:r>
      <w:r w:rsidRPr="00B81739">
        <w:rPr>
          <w:rFonts w:cs="Arial"/>
        </w:rPr>
        <w:t xml:space="preserve"> 2012, gaining executive support from their bo</w:t>
      </w:r>
      <w:r w:rsidR="00DD25D9">
        <w:rPr>
          <w:rFonts w:cs="Arial"/>
        </w:rPr>
        <w:t xml:space="preserve">ard to do so. </w:t>
      </w:r>
      <w:r w:rsidR="0064247B">
        <w:rPr>
          <w:rFonts w:cs="Arial"/>
        </w:rPr>
        <w:t>Individual Trusts determined who would deliver the bundles</w:t>
      </w:r>
      <w:r w:rsidR="003D62FE">
        <w:rPr>
          <w:rFonts w:cs="Arial"/>
        </w:rPr>
        <w:t xml:space="preserve"> locally</w:t>
      </w:r>
      <w:r w:rsidR="0064247B">
        <w:rPr>
          <w:rFonts w:cs="Arial"/>
        </w:rPr>
        <w:t xml:space="preserve">; this may have been a mixture of staff (e.g. doctors, clinical nurse specialists, physiotherapists). </w:t>
      </w:r>
      <w:r w:rsidR="00DD25D9">
        <w:rPr>
          <w:rFonts w:cs="Arial"/>
        </w:rPr>
        <w:t xml:space="preserve">In November 2012 </w:t>
      </w:r>
      <w:r w:rsidRPr="00B81739">
        <w:rPr>
          <w:rFonts w:cs="Arial"/>
        </w:rPr>
        <w:t xml:space="preserve">project teams met and underwent training; data collection began thereafter, and </w:t>
      </w:r>
      <w:r w:rsidR="00E633E3">
        <w:rPr>
          <w:rFonts w:cs="Arial"/>
        </w:rPr>
        <w:t xml:space="preserve">continued to the end of October 2013. It </w:t>
      </w:r>
      <w:r w:rsidRPr="00B81739">
        <w:rPr>
          <w:rFonts w:cs="Arial"/>
        </w:rPr>
        <w:t>used standardized forms, entered via the</w:t>
      </w:r>
      <w:r w:rsidR="000D6A19">
        <w:rPr>
          <w:rFonts w:cs="Arial"/>
        </w:rPr>
        <w:t xml:space="preserve"> BTS audit website, plu</w:t>
      </w:r>
      <w:r w:rsidR="007845DB">
        <w:rPr>
          <w:rFonts w:cs="Arial"/>
        </w:rPr>
        <w:t>s a patient satisfaction survey</w:t>
      </w:r>
      <w:r w:rsidR="000D6A19">
        <w:rPr>
          <w:rFonts w:cs="Arial"/>
        </w:rPr>
        <w:t>.</w:t>
      </w:r>
      <w:r w:rsidR="00B81739" w:rsidRPr="00B81739">
        <w:rPr>
          <w:rFonts w:cs="Arial"/>
        </w:rPr>
        <w:t xml:space="preserve"> </w:t>
      </w:r>
      <w:r w:rsidR="00AB6944">
        <w:rPr>
          <w:rFonts w:cs="Arial"/>
        </w:rPr>
        <w:t>Patient level data were</w:t>
      </w:r>
      <w:r w:rsidR="00EE7502">
        <w:rPr>
          <w:rFonts w:cs="Arial"/>
        </w:rPr>
        <w:t xml:space="preserve"> similar to the national COPD audit dataset. High</w:t>
      </w:r>
      <w:r w:rsidR="00EE7502" w:rsidRPr="00B81739">
        <w:rPr>
          <w:rFonts w:cs="Arial"/>
        </w:rPr>
        <w:t xml:space="preserve"> </w:t>
      </w:r>
      <w:r w:rsidR="00B81739" w:rsidRPr="00B81739">
        <w:rPr>
          <w:rFonts w:cs="Arial"/>
        </w:rPr>
        <w:t>level</w:t>
      </w:r>
      <w:r w:rsidR="00AB6944">
        <w:rPr>
          <w:rFonts w:cs="Arial"/>
        </w:rPr>
        <w:t xml:space="preserve"> data were</w:t>
      </w:r>
      <w:r w:rsidR="00B81739">
        <w:rPr>
          <w:rFonts w:cs="Arial"/>
        </w:rPr>
        <w:t xml:space="preserve"> collected from hospital episo</w:t>
      </w:r>
      <w:r w:rsidR="007D7079">
        <w:rPr>
          <w:rFonts w:cs="Arial"/>
        </w:rPr>
        <w:t>de statistics, and notes</w:t>
      </w:r>
      <w:r w:rsidR="00B81739">
        <w:rPr>
          <w:rFonts w:cs="Arial"/>
        </w:rPr>
        <w:t xml:space="preserve">, where </w:t>
      </w:r>
      <w:r w:rsidR="00B81739" w:rsidRPr="00BA2FBA">
        <w:t>COPD was defined as all patients receiving an ICD-10 diagnostic code of J41-44 as the primary diagnosis</w:t>
      </w:r>
      <w:r w:rsidR="00B81739">
        <w:t>. Data collected (per month) included</w:t>
      </w:r>
      <w:r w:rsidR="00DD25D9">
        <w:t xml:space="preserve"> t</w:t>
      </w:r>
      <w:r w:rsidR="00B81739" w:rsidRPr="00BA2FBA">
        <w:rPr>
          <w:rFonts w:cs="Arial"/>
        </w:rPr>
        <w:t xml:space="preserve">otal </w:t>
      </w:r>
      <w:r w:rsidR="00B81739" w:rsidRPr="00BA2FBA">
        <w:rPr>
          <w:rFonts w:cs="Arial"/>
        </w:rPr>
        <w:lastRenderedPageBreak/>
        <w:t>number of</w:t>
      </w:r>
      <w:r w:rsidR="00DD25D9">
        <w:rPr>
          <w:rFonts w:cs="Arial"/>
        </w:rPr>
        <w:t xml:space="preserve">: </w:t>
      </w:r>
      <w:r w:rsidR="00B81739">
        <w:rPr>
          <w:rFonts w:cs="Arial"/>
        </w:rPr>
        <w:t>COPD admissions</w:t>
      </w:r>
      <w:r w:rsidR="00DD25D9">
        <w:rPr>
          <w:rFonts w:cs="Arial"/>
        </w:rPr>
        <w:t xml:space="preserve">, </w:t>
      </w:r>
      <w:r w:rsidR="00B81739" w:rsidRPr="00BA2FBA">
        <w:rPr>
          <w:rFonts w:cs="Arial"/>
        </w:rPr>
        <w:t xml:space="preserve">COPD patients </w:t>
      </w:r>
      <w:r w:rsidR="00B81739">
        <w:rPr>
          <w:rFonts w:cs="Arial"/>
        </w:rPr>
        <w:t xml:space="preserve">discharged from </w:t>
      </w:r>
      <w:r w:rsidR="00B81739" w:rsidRPr="00BA2FBA">
        <w:rPr>
          <w:rFonts w:cs="Arial"/>
        </w:rPr>
        <w:t>Emergency Medicine</w:t>
      </w:r>
      <w:r w:rsidR="00DD25D9">
        <w:rPr>
          <w:rFonts w:cs="Arial"/>
        </w:rPr>
        <w:t xml:space="preserve">, and </w:t>
      </w:r>
      <w:r w:rsidR="00B81739" w:rsidRPr="00BA2FBA">
        <w:rPr>
          <w:rFonts w:cs="Arial"/>
        </w:rPr>
        <w:t>patients in whom</w:t>
      </w:r>
      <w:r w:rsidR="00B81739">
        <w:rPr>
          <w:rFonts w:cs="Arial"/>
        </w:rPr>
        <w:t xml:space="preserve"> a</w:t>
      </w:r>
      <w:r w:rsidR="00B81739" w:rsidRPr="00BA2FBA">
        <w:rPr>
          <w:rFonts w:cs="Arial"/>
        </w:rPr>
        <w:t xml:space="preserve"> bundle </w:t>
      </w:r>
      <w:r w:rsidR="00B81739">
        <w:rPr>
          <w:rFonts w:cs="Arial"/>
        </w:rPr>
        <w:t xml:space="preserve">was </w:t>
      </w:r>
      <w:r w:rsidR="00B81739" w:rsidRPr="00BA2FBA">
        <w:rPr>
          <w:rFonts w:cs="Arial"/>
        </w:rPr>
        <w:t>used</w:t>
      </w:r>
      <w:r w:rsidR="00DD25D9">
        <w:rPr>
          <w:rFonts w:cs="Arial"/>
        </w:rPr>
        <w:t>, i</w:t>
      </w:r>
      <w:r w:rsidR="00B81739" w:rsidRPr="00BA2FBA">
        <w:rPr>
          <w:rFonts w:cs="Arial"/>
        </w:rPr>
        <w:t>n-hospital mortality</w:t>
      </w:r>
      <w:r w:rsidR="00DD25D9">
        <w:rPr>
          <w:rFonts w:cs="Arial"/>
        </w:rPr>
        <w:t xml:space="preserve">, LOS and </w:t>
      </w:r>
      <w:r w:rsidR="00B81739" w:rsidRPr="00B81739">
        <w:rPr>
          <w:rFonts w:cs="Arial"/>
        </w:rPr>
        <w:t>readmission rate at 28 days.</w:t>
      </w:r>
    </w:p>
    <w:p w:rsidR="00B81739" w:rsidRDefault="00DD25D9" w:rsidP="00DD25D9">
      <w:pPr>
        <w:spacing w:after="0" w:line="480" w:lineRule="auto"/>
        <w:jc w:val="both"/>
        <w:rPr>
          <w:rFonts w:cs="Arial"/>
        </w:rPr>
      </w:pPr>
      <w:r>
        <w:t xml:space="preserve">     </w:t>
      </w:r>
      <w:r w:rsidR="00EE7502">
        <w:t xml:space="preserve">All data were </w:t>
      </w:r>
      <w:proofErr w:type="spellStart"/>
      <w:r w:rsidR="00EE7502">
        <w:t>analysed</w:t>
      </w:r>
      <w:proofErr w:type="spellEnd"/>
      <w:r w:rsidR="00EE7502">
        <w:t xml:space="preserve"> in SPSS version v21.0. Initial comparisons between patients receiving and not receiving a bundle were conducted using Chi square for frequency variables and Mann-Whitney for scale variables. Adjustment for centre and other covariates </w:t>
      </w:r>
      <w:r>
        <w:t xml:space="preserve">on admission bundle outcome </w:t>
      </w:r>
      <w:r w:rsidR="00EE7502">
        <w:t xml:space="preserve">was carried out using </w:t>
      </w:r>
      <w:proofErr w:type="spellStart"/>
      <w:r w:rsidR="00EE7502">
        <w:t>generalised</w:t>
      </w:r>
      <w:proofErr w:type="spellEnd"/>
      <w:r w:rsidR="00EE7502">
        <w:t xml:space="preserve"> estimating equations in order to adjust for clustering due to </w:t>
      </w:r>
      <w:proofErr w:type="spellStart"/>
      <w:r w:rsidR="00EE7502">
        <w:t>centres</w:t>
      </w:r>
      <w:proofErr w:type="spellEnd"/>
      <w:r w:rsidR="00EE7502">
        <w:t xml:space="preserve">. </w:t>
      </w:r>
      <w:r w:rsidR="004B544D">
        <w:t>T</w:t>
      </w:r>
      <w:r w:rsidR="00EE7502">
        <w:t xml:space="preserve">he LOS data was too skewed to construct a robust linear regression, hence a logistic model </w:t>
      </w:r>
      <w:proofErr w:type="spellStart"/>
      <w:r w:rsidR="00EE7502">
        <w:t>utilising</w:t>
      </w:r>
      <w:proofErr w:type="spellEnd"/>
      <w:r w:rsidR="00EE7502">
        <w:t xml:space="preserve"> the outcome of LOS&lt;median (5 days) was used instead</w:t>
      </w:r>
      <w:r w:rsidR="004B544D">
        <w:t xml:space="preserve">. </w:t>
      </w:r>
      <w:r w:rsidR="00EE7502">
        <w:t xml:space="preserve">Significance was taken as p&lt;0.05. </w:t>
      </w:r>
    </w:p>
    <w:p w:rsidR="00EE7502" w:rsidRDefault="00EE7502" w:rsidP="00E7379F">
      <w:pPr>
        <w:spacing w:line="480" w:lineRule="auto"/>
        <w:jc w:val="both"/>
        <w:rPr>
          <w:rFonts w:cs="Arial"/>
        </w:rPr>
      </w:pPr>
    </w:p>
    <w:p w:rsidR="00EE7502" w:rsidRDefault="00EE7502" w:rsidP="00E7379F">
      <w:pPr>
        <w:pStyle w:val="Heading2"/>
        <w:spacing w:line="480" w:lineRule="auto"/>
      </w:pPr>
      <w:r>
        <w:t>Results</w:t>
      </w:r>
    </w:p>
    <w:p w:rsidR="009D1123" w:rsidRDefault="00E633E3" w:rsidP="00E7379F">
      <w:pPr>
        <w:spacing w:line="480" w:lineRule="auto"/>
      </w:pPr>
      <w:r>
        <w:t xml:space="preserve">     </w:t>
      </w:r>
      <w:r w:rsidR="000F462C">
        <w:t xml:space="preserve">21 hospitals participated. </w:t>
      </w:r>
      <w:r w:rsidR="007D7079">
        <w:t>H</w:t>
      </w:r>
      <w:r w:rsidR="007D7079" w:rsidRPr="00865BF9">
        <w:t>igh</w:t>
      </w:r>
      <w:r w:rsidR="007D7079">
        <w:t xml:space="preserve"> level data was collected </w:t>
      </w:r>
      <w:r w:rsidR="007D7079" w:rsidRPr="00865BF9">
        <w:t xml:space="preserve">for </w:t>
      </w:r>
      <w:r w:rsidR="00DA665A">
        <w:t>11</w:t>
      </w:r>
      <w:r w:rsidR="007D7079">
        <w:t>748 patients and p</w:t>
      </w:r>
      <w:r w:rsidR="007D7079" w:rsidRPr="00865BF9">
        <w:t xml:space="preserve">atient level data </w:t>
      </w:r>
      <w:r w:rsidR="004B544D">
        <w:t>for</w:t>
      </w:r>
      <w:r w:rsidR="00DA665A">
        <w:t xml:space="preserve"> 3</w:t>
      </w:r>
      <w:r w:rsidR="003D62FE">
        <w:t>272</w:t>
      </w:r>
      <w:r w:rsidR="007D7079" w:rsidRPr="00865BF9">
        <w:t xml:space="preserve"> COPD admissions</w:t>
      </w:r>
      <w:r w:rsidR="003D62FE">
        <w:t xml:space="preserve"> and 2263 discharges</w:t>
      </w:r>
      <w:r w:rsidR="007D7079">
        <w:t xml:space="preserve">. </w:t>
      </w:r>
      <w:r w:rsidR="000F462C">
        <w:t>T</w:t>
      </w:r>
      <w:r w:rsidR="00DA665A">
        <w:t>able 1</w:t>
      </w:r>
      <w:r w:rsidR="0064247B">
        <w:t xml:space="preserve"> shows patient characteristics. The </w:t>
      </w:r>
      <w:r w:rsidR="00DA665A">
        <w:t>admission and discharge dat</w:t>
      </w:r>
      <w:r w:rsidR="0064247B">
        <w:t>asets were collected separately, albeit in the same time period, therefore there will have been overlap, but this was not complete</w:t>
      </w:r>
      <w:r w:rsidR="00DA665A">
        <w:t>. For example, some Trusts already had a discharge bundle in place, so only submitted data on the admission bundle.</w:t>
      </w:r>
    </w:p>
    <w:p w:rsidR="00EE7502" w:rsidRDefault="00E633E3" w:rsidP="00E7379F">
      <w:pPr>
        <w:spacing w:line="480" w:lineRule="auto"/>
      </w:pPr>
      <w:r>
        <w:t xml:space="preserve">     </w:t>
      </w:r>
      <w:r w:rsidR="00EE7502">
        <w:t>Admission bundle completion rates rose gradually from 1.8% to 13.2%</w:t>
      </w:r>
      <w:r w:rsidR="00DA665A">
        <w:t xml:space="preserve"> by the end of the project</w:t>
      </w:r>
      <w:r w:rsidR="009D1123">
        <w:t xml:space="preserve">. </w:t>
      </w:r>
      <w:r w:rsidR="00EE7502">
        <w:t xml:space="preserve">Many patients </w:t>
      </w:r>
      <w:r>
        <w:t>received</w:t>
      </w:r>
      <w:r w:rsidR="00EE7502">
        <w:t xml:space="preserve"> bundle elements, even without formal use of an admission bundle, however patients in whom a bundle was applied </w:t>
      </w:r>
      <w:r w:rsidR="00DA665A">
        <w:t xml:space="preserve">were more likely to have ≥4 bundle elements completed </w:t>
      </w:r>
      <w:r w:rsidR="007845DB">
        <w:t>(</w:t>
      </w:r>
      <w:r w:rsidR="00DA665A">
        <w:t>26.8% v 18.2%, p=0.005)</w:t>
      </w:r>
      <w:r w:rsidR="00EE7502">
        <w:t>.</w:t>
      </w:r>
      <w:r w:rsidR="009D1123" w:rsidRPr="009D1123">
        <w:t xml:space="preserve"> </w:t>
      </w:r>
      <w:proofErr w:type="spellStart"/>
      <w:r>
        <w:t>U</w:t>
      </w:r>
      <w:r w:rsidR="009D1123">
        <w:t>nivariate</w:t>
      </w:r>
      <w:proofErr w:type="spellEnd"/>
      <w:r w:rsidR="009D1123">
        <w:t xml:space="preserve"> analysis, adjusting for centre, did not reveal any impact of a bundle on mortal</w:t>
      </w:r>
      <w:r w:rsidR="007845DB">
        <w:t>ity (p=0.17) or LOS (</w:t>
      </w:r>
      <w:r w:rsidR="009D1123">
        <w:t>p=0.35). In multivariate analys</w:t>
      </w:r>
      <w:r>
        <w:t xml:space="preserve">es, adjusted for centre and </w:t>
      </w:r>
      <w:r w:rsidR="009D1123">
        <w:t>gender (since this differed between patients receiving the bundle and not), several parts of the admission bundle related to outcome</w:t>
      </w:r>
      <w:r w:rsidR="009B7FE7">
        <w:t>. Specifically mortality was reduced by correct use of oxygen (OR 0.22 (0.05-0.88), p=0.03) and treatment within 4 hours (OR 0.60 (0.42-0.87, p&lt;0.01), whilst LOS fell below the median if acidosis and oxygen were managed properly (OR 1.84 (1.38-2.46) and 1.41 (1.20-1.67), both p&lt;0.01). Patients re</w:t>
      </w:r>
      <w:r w:rsidR="004B544D">
        <w:t xml:space="preserve">viewed </w:t>
      </w:r>
      <w:r w:rsidR="004B544D">
        <w:lastRenderedPageBreak/>
        <w:t xml:space="preserve">by the respiratory team at any time </w:t>
      </w:r>
      <w:r w:rsidR="009B7FE7">
        <w:t>were more likely to receive a bundle (17.3% v 9.1%, p&lt;0.0001), to have the diagnosis, oxygen and acidosis elements of the bundle completed (all p&lt;0.0001) and had a slightly lower death rate (4.4 v 6.3%)</w:t>
      </w:r>
      <w:r w:rsidR="004B544D">
        <w:t>, despite higher admission pCO2 (6.10 v 5.61; p&lt;0.0001) and higher NIV rates (61.2 v 44.8%; p=0.003)</w:t>
      </w:r>
      <w:r w:rsidR="009B7FE7">
        <w:t>.</w:t>
      </w:r>
    </w:p>
    <w:p w:rsidR="009B7FE7" w:rsidRDefault="007845DB" w:rsidP="00956DA2">
      <w:pPr>
        <w:spacing w:line="480" w:lineRule="auto"/>
        <w:sectPr w:rsidR="009B7FE7" w:rsidSect="00322D54">
          <w:pgSz w:w="11906" w:h="16838"/>
          <w:pgMar w:top="1440" w:right="1440" w:bottom="1440" w:left="1440" w:header="708" w:footer="708" w:gutter="0"/>
          <w:cols w:space="708"/>
          <w:docGrid w:linePitch="360"/>
        </w:sectPr>
      </w:pPr>
      <w:r>
        <w:t xml:space="preserve">     </w:t>
      </w:r>
      <w:r w:rsidR="009B7FE7">
        <w:t xml:space="preserve">Discharge bundle completion rates rose gradually from 4.1% </w:t>
      </w:r>
      <w:r w:rsidR="00956DA2">
        <w:t>to 14.1%</w:t>
      </w:r>
      <w:r w:rsidR="004B544D">
        <w:t xml:space="preserve">. Again, </w:t>
      </w:r>
      <w:r w:rsidR="009B7FE7">
        <w:t xml:space="preserve">patients in whom a bundle was applied were more likely to receive </w:t>
      </w:r>
      <w:r w:rsidR="004B544D">
        <w:t xml:space="preserve">most </w:t>
      </w:r>
      <w:r w:rsidR="009B7FE7">
        <w:t>bundle elements</w:t>
      </w:r>
      <w:r w:rsidR="00DA665A">
        <w:t xml:space="preserve"> (≥4 bundle elements completed 2</w:t>
      </w:r>
      <w:r w:rsidR="009B7FE7">
        <w:t xml:space="preserve">6.8% </w:t>
      </w:r>
      <w:r w:rsidR="00DA665A">
        <w:t xml:space="preserve">v 18.2%, </w:t>
      </w:r>
      <w:r w:rsidR="00956DA2">
        <w:t>p=0.005</w:t>
      </w:r>
      <w:r w:rsidR="004B544D">
        <w:t>, see also table 1</w:t>
      </w:r>
      <w:r w:rsidR="00956DA2">
        <w:t>)</w:t>
      </w:r>
      <w:r w:rsidR="000F462C">
        <w:t xml:space="preserve">. </w:t>
      </w:r>
      <w:r w:rsidR="00C9194F">
        <w:t>D</w:t>
      </w:r>
      <w:r w:rsidR="000F462C">
        <w:t>ata submitted by Trusts regarding readmiss</w:t>
      </w:r>
      <w:r w:rsidR="00956DA2">
        <w:t>ion rates was patchy and</w:t>
      </w:r>
      <w:r w:rsidR="000F462C">
        <w:t xml:space="preserve"> insufficient to </w:t>
      </w:r>
      <w:r w:rsidR="00956DA2">
        <w:t xml:space="preserve">judge </w:t>
      </w:r>
      <w:r w:rsidR="000F462C">
        <w:t xml:space="preserve">the effect of the bundle, or its elements.  </w:t>
      </w:r>
      <w:r w:rsidR="000D6A19">
        <w:t>Patients reviewed by the respiratory team were more likely to receive a bundle (</w:t>
      </w:r>
      <w:r w:rsidR="004B544D">
        <w:t xml:space="preserve">34.9% v 10.8%, p&lt;0.0001) and </w:t>
      </w:r>
      <w:r w:rsidR="000D6A19">
        <w:t xml:space="preserve">have </w:t>
      </w:r>
      <w:r w:rsidR="004B544D">
        <w:t>≥4 bundle elements completed (28.7% v</w:t>
      </w:r>
      <w:r w:rsidR="000D6A19">
        <w:t xml:space="preserve"> 4.2%</w:t>
      </w:r>
      <w:r w:rsidR="004B544D">
        <w:t xml:space="preserve">, </w:t>
      </w:r>
      <w:r w:rsidR="00956DA2">
        <w:t>p&lt;0.0001). S</w:t>
      </w:r>
      <w:r w:rsidR="000D6A19">
        <w:t xml:space="preserve">ignificance </w:t>
      </w:r>
      <w:r w:rsidR="00956DA2">
        <w:t xml:space="preserve">was not affected by </w:t>
      </w:r>
      <w:r w:rsidR="000D6A19">
        <w:t>adjustment for centre</w:t>
      </w:r>
      <w:r>
        <w:t>.</w:t>
      </w:r>
      <w:r w:rsidR="00956DA2" w:rsidRPr="00956DA2">
        <w:t xml:space="preserve"> </w:t>
      </w:r>
      <w:r w:rsidR="00956DA2">
        <w:t>156 patient satisfaction qu</w:t>
      </w:r>
      <w:r w:rsidR="004B544D">
        <w:t>estionnaires were comple</w:t>
      </w:r>
      <w:r w:rsidR="00956DA2">
        <w:t>ted; from Trusts where pre and post bundle implementation data was submitted patients’ self-reported ability to understand and self-manage their COPD improved post implementation, although low numbers of respondents limit the conclusions that can be drawn.</w:t>
      </w:r>
    </w:p>
    <w:tbl>
      <w:tblPr>
        <w:tblStyle w:val="TableGrid"/>
        <w:tblW w:w="0" w:type="auto"/>
        <w:tblLook w:val="04A0"/>
      </w:tblPr>
      <w:tblGrid>
        <w:gridCol w:w="2219"/>
        <w:gridCol w:w="1410"/>
        <w:gridCol w:w="1417"/>
        <w:gridCol w:w="1410"/>
        <w:gridCol w:w="737"/>
        <w:gridCol w:w="2132"/>
        <w:gridCol w:w="1395"/>
        <w:gridCol w:w="1363"/>
        <w:gridCol w:w="1354"/>
        <w:gridCol w:w="737"/>
      </w:tblGrid>
      <w:tr w:rsidR="000F462C" w:rsidTr="000F462C">
        <w:tc>
          <w:tcPr>
            <w:tcW w:w="0" w:type="auto"/>
            <w:gridSpan w:val="5"/>
            <w:tcBorders>
              <w:right w:val="double" w:sz="12" w:space="0" w:color="auto"/>
            </w:tcBorders>
          </w:tcPr>
          <w:p w:rsidR="000F462C" w:rsidRPr="00EE7502" w:rsidRDefault="000F462C" w:rsidP="00EE7502">
            <w:pPr>
              <w:jc w:val="center"/>
              <w:rPr>
                <w:b/>
                <w:sz w:val="24"/>
                <w:szCs w:val="24"/>
              </w:rPr>
            </w:pPr>
            <w:r w:rsidRPr="00EE7502">
              <w:rPr>
                <w:b/>
                <w:sz w:val="24"/>
                <w:szCs w:val="24"/>
              </w:rPr>
              <w:lastRenderedPageBreak/>
              <w:t>Admission bundle</w:t>
            </w:r>
            <w:r w:rsidR="007740C6">
              <w:rPr>
                <w:b/>
                <w:sz w:val="24"/>
                <w:szCs w:val="24"/>
              </w:rPr>
              <w:t xml:space="preserve"> n=3272</w:t>
            </w:r>
          </w:p>
        </w:tc>
        <w:tc>
          <w:tcPr>
            <w:tcW w:w="0" w:type="auto"/>
            <w:gridSpan w:val="5"/>
            <w:tcBorders>
              <w:top w:val="single" w:sz="4" w:space="0" w:color="000000" w:themeColor="text1"/>
              <w:left w:val="double" w:sz="12" w:space="0" w:color="auto"/>
              <w:bottom w:val="nil"/>
              <w:right w:val="single" w:sz="4" w:space="0" w:color="000000" w:themeColor="text1"/>
            </w:tcBorders>
          </w:tcPr>
          <w:p w:rsidR="000F462C" w:rsidRPr="00EE7502" w:rsidRDefault="000F462C" w:rsidP="00EE7502">
            <w:pPr>
              <w:jc w:val="center"/>
              <w:rPr>
                <w:b/>
                <w:sz w:val="24"/>
                <w:szCs w:val="24"/>
              </w:rPr>
            </w:pPr>
            <w:r>
              <w:rPr>
                <w:b/>
                <w:sz w:val="24"/>
                <w:szCs w:val="24"/>
              </w:rPr>
              <w:t>Discharge bundle</w:t>
            </w:r>
            <w:r w:rsidR="007740C6">
              <w:rPr>
                <w:b/>
                <w:sz w:val="24"/>
                <w:szCs w:val="24"/>
              </w:rPr>
              <w:t xml:space="preserve"> n=</w:t>
            </w:r>
            <w:r w:rsidR="003D62FE">
              <w:rPr>
                <w:b/>
                <w:sz w:val="24"/>
                <w:szCs w:val="24"/>
              </w:rPr>
              <w:t>2263</w:t>
            </w:r>
          </w:p>
        </w:tc>
      </w:tr>
      <w:tr w:rsidR="009B7FE7" w:rsidTr="000F462C">
        <w:tc>
          <w:tcPr>
            <w:tcW w:w="0" w:type="auto"/>
          </w:tcPr>
          <w:p w:rsidR="009B7FE7" w:rsidRDefault="009B7FE7" w:rsidP="009560BB"/>
        </w:tc>
        <w:tc>
          <w:tcPr>
            <w:tcW w:w="0" w:type="auto"/>
          </w:tcPr>
          <w:p w:rsidR="009B7FE7" w:rsidRPr="00EE7502" w:rsidRDefault="009B7FE7" w:rsidP="009560BB">
            <w:pPr>
              <w:rPr>
                <w:i/>
              </w:rPr>
            </w:pPr>
            <w:r w:rsidRPr="00EE7502">
              <w:rPr>
                <w:i/>
              </w:rPr>
              <w:t>Whole group</w:t>
            </w:r>
          </w:p>
        </w:tc>
        <w:tc>
          <w:tcPr>
            <w:tcW w:w="0" w:type="auto"/>
          </w:tcPr>
          <w:p w:rsidR="009B7FE7" w:rsidRDefault="009B7FE7" w:rsidP="009560BB">
            <w:pPr>
              <w:rPr>
                <w:i/>
              </w:rPr>
            </w:pPr>
            <w:r w:rsidRPr="00EE7502">
              <w:rPr>
                <w:i/>
              </w:rPr>
              <w:t>No bundle</w:t>
            </w:r>
          </w:p>
          <w:p w:rsidR="007740C6" w:rsidRPr="00EE7502" w:rsidRDefault="007740C6" w:rsidP="009560BB">
            <w:pPr>
              <w:rPr>
                <w:i/>
              </w:rPr>
            </w:pPr>
            <w:r>
              <w:rPr>
                <w:i/>
              </w:rPr>
              <w:t>N=2576</w:t>
            </w:r>
          </w:p>
        </w:tc>
        <w:tc>
          <w:tcPr>
            <w:tcW w:w="0" w:type="auto"/>
          </w:tcPr>
          <w:p w:rsidR="009B7FE7" w:rsidRDefault="009B7FE7" w:rsidP="009560BB">
            <w:pPr>
              <w:rPr>
                <w:i/>
              </w:rPr>
            </w:pPr>
            <w:r w:rsidRPr="00EE7502">
              <w:rPr>
                <w:i/>
              </w:rPr>
              <w:t>Bundle</w:t>
            </w:r>
          </w:p>
          <w:p w:rsidR="007740C6" w:rsidRPr="00EE7502" w:rsidRDefault="007740C6" w:rsidP="009560BB">
            <w:pPr>
              <w:rPr>
                <w:i/>
              </w:rPr>
            </w:pPr>
            <w:r>
              <w:rPr>
                <w:i/>
              </w:rPr>
              <w:t>N=515</w:t>
            </w:r>
          </w:p>
        </w:tc>
        <w:tc>
          <w:tcPr>
            <w:tcW w:w="0" w:type="auto"/>
            <w:tcBorders>
              <w:right w:val="double" w:sz="12" w:space="0" w:color="auto"/>
            </w:tcBorders>
          </w:tcPr>
          <w:p w:rsidR="009B7FE7" w:rsidRPr="00EE7502" w:rsidRDefault="009B7FE7" w:rsidP="009560BB">
            <w:pPr>
              <w:rPr>
                <w:i/>
              </w:rPr>
            </w:pPr>
            <w:r w:rsidRPr="00EE7502">
              <w:rPr>
                <w:i/>
              </w:rPr>
              <w:t>p</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9B7FE7" w:rsidRDefault="009B7FE7" w:rsidP="009560BB"/>
        </w:tc>
        <w:tc>
          <w:tcPr>
            <w:tcW w:w="0" w:type="auto"/>
            <w:tcBorders>
              <w:left w:val="single" w:sz="4" w:space="0" w:color="000000" w:themeColor="text1"/>
            </w:tcBorders>
          </w:tcPr>
          <w:p w:rsidR="009B7FE7" w:rsidRPr="000F462C" w:rsidRDefault="009B7FE7" w:rsidP="009560BB">
            <w:pPr>
              <w:rPr>
                <w:i/>
              </w:rPr>
            </w:pPr>
            <w:r w:rsidRPr="000F462C">
              <w:rPr>
                <w:i/>
              </w:rPr>
              <w:t>Whole group</w:t>
            </w:r>
          </w:p>
        </w:tc>
        <w:tc>
          <w:tcPr>
            <w:tcW w:w="0" w:type="auto"/>
          </w:tcPr>
          <w:p w:rsidR="009B7FE7" w:rsidRDefault="009B7FE7" w:rsidP="009560BB">
            <w:pPr>
              <w:rPr>
                <w:i/>
              </w:rPr>
            </w:pPr>
            <w:r w:rsidRPr="000F462C">
              <w:rPr>
                <w:i/>
              </w:rPr>
              <w:t>No bundle</w:t>
            </w:r>
          </w:p>
          <w:p w:rsidR="003D62FE" w:rsidRPr="000F462C" w:rsidRDefault="003D62FE" w:rsidP="009560BB">
            <w:pPr>
              <w:rPr>
                <w:i/>
              </w:rPr>
            </w:pPr>
            <w:r>
              <w:rPr>
                <w:i/>
              </w:rPr>
              <w:t>N=1547</w:t>
            </w:r>
          </w:p>
        </w:tc>
        <w:tc>
          <w:tcPr>
            <w:tcW w:w="0" w:type="auto"/>
          </w:tcPr>
          <w:p w:rsidR="009B7FE7" w:rsidRDefault="009B7FE7" w:rsidP="009560BB">
            <w:pPr>
              <w:rPr>
                <w:i/>
              </w:rPr>
            </w:pPr>
            <w:r w:rsidRPr="000F462C">
              <w:rPr>
                <w:i/>
              </w:rPr>
              <w:t xml:space="preserve">Bundle </w:t>
            </w:r>
          </w:p>
          <w:p w:rsidR="003D62FE" w:rsidRPr="000F462C" w:rsidRDefault="003D62FE" w:rsidP="009560BB">
            <w:pPr>
              <w:rPr>
                <w:i/>
              </w:rPr>
            </w:pPr>
            <w:r>
              <w:rPr>
                <w:i/>
              </w:rPr>
              <w:t>N=659</w:t>
            </w:r>
          </w:p>
        </w:tc>
        <w:tc>
          <w:tcPr>
            <w:tcW w:w="0" w:type="auto"/>
          </w:tcPr>
          <w:p w:rsidR="009B7FE7" w:rsidRPr="000F462C" w:rsidRDefault="009B7FE7" w:rsidP="009560BB">
            <w:pPr>
              <w:rPr>
                <w:i/>
              </w:rPr>
            </w:pPr>
            <w:r w:rsidRPr="000F462C">
              <w:rPr>
                <w:i/>
              </w:rPr>
              <w:t>p</w:t>
            </w:r>
          </w:p>
        </w:tc>
      </w:tr>
      <w:tr w:rsidR="009B7FE7" w:rsidRPr="000F462C" w:rsidTr="000F462C">
        <w:tc>
          <w:tcPr>
            <w:tcW w:w="0" w:type="auto"/>
          </w:tcPr>
          <w:p w:rsidR="009B7FE7" w:rsidRPr="000F462C" w:rsidRDefault="009B7FE7" w:rsidP="009560BB">
            <w:pPr>
              <w:rPr>
                <w:sz w:val="20"/>
                <w:szCs w:val="20"/>
              </w:rPr>
            </w:pPr>
            <w:r w:rsidRPr="000F462C">
              <w:rPr>
                <w:sz w:val="20"/>
                <w:szCs w:val="20"/>
              </w:rPr>
              <w:t>Male</w:t>
            </w:r>
          </w:p>
        </w:tc>
        <w:tc>
          <w:tcPr>
            <w:tcW w:w="0" w:type="auto"/>
          </w:tcPr>
          <w:p w:rsidR="009B7FE7" w:rsidRPr="000F462C" w:rsidRDefault="009B7FE7" w:rsidP="009560BB">
            <w:pPr>
              <w:rPr>
                <w:sz w:val="20"/>
                <w:szCs w:val="20"/>
              </w:rPr>
            </w:pPr>
            <w:r w:rsidRPr="000F462C">
              <w:rPr>
                <w:sz w:val="20"/>
                <w:szCs w:val="20"/>
              </w:rPr>
              <w:t>1608 (49.1%)</w:t>
            </w:r>
          </w:p>
        </w:tc>
        <w:tc>
          <w:tcPr>
            <w:tcW w:w="0" w:type="auto"/>
          </w:tcPr>
          <w:p w:rsidR="009B7FE7" w:rsidRPr="000F462C" w:rsidRDefault="009B7FE7" w:rsidP="009560BB">
            <w:pPr>
              <w:rPr>
                <w:sz w:val="20"/>
                <w:szCs w:val="20"/>
              </w:rPr>
            </w:pPr>
            <w:r w:rsidRPr="000F462C">
              <w:rPr>
                <w:sz w:val="20"/>
                <w:szCs w:val="20"/>
              </w:rPr>
              <w:t>1346 (52.3%)</w:t>
            </w:r>
          </w:p>
        </w:tc>
        <w:tc>
          <w:tcPr>
            <w:tcW w:w="0" w:type="auto"/>
          </w:tcPr>
          <w:p w:rsidR="009B7FE7" w:rsidRPr="000F462C" w:rsidRDefault="009B7FE7" w:rsidP="009560BB">
            <w:pPr>
              <w:rPr>
                <w:sz w:val="20"/>
                <w:szCs w:val="20"/>
              </w:rPr>
            </w:pPr>
            <w:r w:rsidRPr="000F462C">
              <w:rPr>
                <w:sz w:val="20"/>
                <w:szCs w:val="20"/>
              </w:rPr>
              <w:t>231 (44.9%)</w:t>
            </w:r>
          </w:p>
        </w:tc>
        <w:tc>
          <w:tcPr>
            <w:tcW w:w="0" w:type="auto"/>
            <w:tcBorders>
              <w:right w:val="double" w:sz="12" w:space="0" w:color="auto"/>
            </w:tcBorders>
          </w:tcPr>
          <w:p w:rsidR="009B7FE7" w:rsidRPr="000F462C" w:rsidRDefault="009B7FE7" w:rsidP="009560BB">
            <w:pPr>
              <w:rPr>
                <w:b/>
                <w:sz w:val="20"/>
                <w:szCs w:val="20"/>
              </w:rPr>
            </w:pPr>
            <w:r w:rsidRPr="000F462C">
              <w:rPr>
                <w:b/>
                <w:sz w:val="20"/>
                <w:szCs w:val="20"/>
              </w:rPr>
              <w:t>0.002</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9B7FE7" w:rsidRPr="000F462C" w:rsidRDefault="009B7FE7" w:rsidP="009560BB">
            <w:pPr>
              <w:rPr>
                <w:sz w:val="20"/>
                <w:szCs w:val="20"/>
              </w:rPr>
            </w:pPr>
            <w:r w:rsidRPr="000F462C">
              <w:rPr>
                <w:sz w:val="20"/>
                <w:szCs w:val="20"/>
              </w:rPr>
              <w:t>Male</w:t>
            </w:r>
          </w:p>
        </w:tc>
        <w:tc>
          <w:tcPr>
            <w:tcW w:w="0" w:type="auto"/>
            <w:tcBorders>
              <w:left w:val="single" w:sz="4" w:space="0" w:color="000000" w:themeColor="text1"/>
            </w:tcBorders>
          </w:tcPr>
          <w:p w:rsidR="009B7FE7" w:rsidRPr="000F462C" w:rsidRDefault="009B7FE7" w:rsidP="009560BB">
            <w:pPr>
              <w:rPr>
                <w:sz w:val="20"/>
                <w:szCs w:val="20"/>
              </w:rPr>
            </w:pPr>
            <w:r w:rsidRPr="000F462C">
              <w:rPr>
                <w:sz w:val="20"/>
                <w:szCs w:val="20"/>
              </w:rPr>
              <w:t>1088 (48.2%)</w:t>
            </w:r>
          </w:p>
        </w:tc>
        <w:tc>
          <w:tcPr>
            <w:tcW w:w="0" w:type="auto"/>
          </w:tcPr>
          <w:p w:rsidR="009B7FE7" w:rsidRPr="000F462C" w:rsidRDefault="009B7FE7" w:rsidP="009560BB">
            <w:pPr>
              <w:rPr>
                <w:sz w:val="20"/>
                <w:szCs w:val="20"/>
              </w:rPr>
            </w:pPr>
            <w:r w:rsidRPr="000F462C">
              <w:rPr>
                <w:sz w:val="20"/>
                <w:szCs w:val="20"/>
              </w:rPr>
              <w:t>750 (48.5%)</w:t>
            </w:r>
          </w:p>
        </w:tc>
        <w:tc>
          <w:tcPr>
            <w:tcW w:w="0" w:type="auto"/>
          </w:tcPr>
          <w:p w:rsidR="009B7FE7" w:rsidRPr="000F462C" w:rsidRDefault="009B7FE7" w:rsidP="009560BB">
            <w:pPr>
              <w:tabs>
                <w:tab w:val="left" w:pos="1305"/>
              </w:tabs>
              <w:rPr>
                <w:sz w:val="20"/>
                <w:szCs w:val="20"/>
              </w:rPr>
            </w:pPr>
            <w:r w:rsidRPr="000F462C">
              <w:rPr>
                <w:sz w:val="20"/>
                <w:szCs w:val="20"/>
              </w:rPr>
              <w:t>311 (47.2%)</w:t>
            </w:r>
            <w:r w:rsidRPr="000F462C">
              <w:rPr>
                <w:sz w:val="20"/>
                <w:szCs w:val="20"/>
              </w:rPr>
              <w:tab/>
            </w:r>
          </w:p>
        </w:tc>
        <w:tc>
          <w:tcPr>
            <w:tcW w:w="0" w:type="auto"/>
          </w:tcPr>
          <w:p w:rsidR="009B7FE7" w:rsidRPr="000F462C" w:rsidRDefault="009B7FE7" w:rsidP="009560BB">
            <w:pPr>
              <w:tabs>
                <w:tab w:val="left" w:pos="1305"/>
              </w:tabs>
              <w:rPr>
                <w:sz w:val="20"/>
                <w:szCs w:val="20"/>
              </w:rPr>
            </w:pPr>
            <w:r w:rsidRPr="000F462C">
              <w:rPr>
                <w:sz w:val="20"/>
                <w:szCs w:val="20"/>
              </w:rPr>
              <w:t>0.60</w:t>
            </w:r>
          </w:p>
        </w:tc>
      </w:tr>
      <w:tr w:rsidR="009B7FE7" w:rsidRPr="000F462C" w:rsidTr="000F462C">
        <w:tc>
          <w:tcPr>
            <w:tcW w:w="0" w:type="auto"/>
          </w:tcPr>
          <w:p w:rsidR="009B7FE7" w:rsidRPr="000F462C" w:rsidRDefault="009B7FE7" w:rsidP="009560BB">
            <w:pPr>
              <w:rPr>
                <w:sz w:val="20"/>
                <w:szCs w:val="20"/>
              </w:rPr>
            </w:pPr>
            <w:r w:rsidRPr="000F462C">
              <w:rPr>
                <w:sz w:val="20"/>
                <w:szCs w:val="20"/>
              </w:rPr>
              <w:t>Age</w:t>
            </w:r>
          </w:p>
        </w:tc>
        <w:tc>
          <w:tcPr>
            <w:tcW w:w="0" w:type="auto"/>
          </w:tcPr>
          <w:p w:rsidR="009B7FE7" w:rsidRPr="000F462C" w:rsidRDefault="009B7FE7" w:rsidP="009560BB">
            <w:pPr>
              <w:rPr>
                <w:sz w:val="20"/>
                <w:szCs w:val="20"/>
              </w:rPr>
            </w:pPr>
            <w:r w:rsidRPr="000F462C">
              <w:rPr>
                <w:sz w:val="20"/>
                <w:szCs w:val="20"/>
              </w:rPr>
              <w:t>72.2 (64.5-79.6)</w:t>
            </w:r>
          </w:p>
        </w:tc>
        <w:tc>
          <w:tcPr>
            <w:tcW w:w="0" w:type="auto"/>
          </w:tcPr>
          <w:p w:rsidR="009B7FE7" w:rsidRPr="000F462C" w:rsidRDefault="009B7FE7" w:rsidP="009560BB">
            <w:pPr>
              <w:rPr>
                <w:sz w:val="20"/>
                <w:szCs w:val="20"/>
              </w:rPr>
            </w:pPr>
            <w:r w:rsidRPr="000F462C">
              <w:rPr>
                <w:sz w:val="20"/>
                <w:szCs w:val="20"/>
              </w:rPr>
              <w:t>72.3 (64.7-79.4)</w:t>
            </w:r>
          </w:p>
        </w:tc>
        <w:tc>
          <w:tcPr>
            <w:tcW w:w="0" w:type="auto"/>
          </w:tcPr>
          <w:p w:rsidR="009B7FE7" w:rsidRPr="000F462C" w:rsidRDefault="009B7FE7" w:rsidP="009560BB">
            <w:pPr>
              <w:rPr>
                <w:sz w:val="20"/>
                <w:szCs w:val="20"/>
              </w:rPr>
            </w:pPr>
            <w:r w:rsidRPr="000F462C">
              <w:rPr>
                <w:sz w:val="20"/>
                <w:szCs w:val="20"/>
              </w:rPr>
              <w:t>71.2 (64.0-80.0)</w:t>
            </w:r>
          </w:p>
        </w:tc>
        <w:tc>
          <w:tcPr>
            <w:tcW w:w="0" w:type="auto"/>
            <w:tcBorders>
              <w:right w:val="double" w:sz="12" w:space="0" w:color="auto"/>
            </w:tcBorders>
          </w:tcPr>
          <w:p w:rsidR="009B7FE7" w:rsidRPr="000F462C" w:rsidRDefault="009B7FE7" w:rsidP="009560BB">
            <w:pPr>
              <w:rPr>
                <w:sz w:val="20"/>
                <w:szCs w:val="20"/>
              </w:rPr>
            </w:pPr>
            <w:r w:rsidRPr="000F462C">
              <w:rPr>
                <w:sz w:val="20"/>
                <w:szCs w:val="20"/>
              </w:rPr>
              <w:t>0.12</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9B7FE7" w:rsidRPr="000F462C" w:rsidRDefault="009B7FE7" w:rsidP="009560BB">
            <w:pPr>
              <w:rPr>
                <w:sz w:val="20"/>
                <w:szCs w:val="20"/>
              </w:rPr>
            </w:pPr>
            <w:r w:rsidRPr="000F462C">
              <w:rPr>
                <w:sz w:val="20"/>
                <w:szCs w:val="20"/>
              </w:rPr>
              <w:t>Age</w:t>
            </w:r>
          </w:p>
        </w:tc>
        <w:tc>
          <w:tcPr>
            <w:tcW w:w="0" w:type="auto"/>
            <w:tcBorders>
              <w:left w:val="single" w:sz="4" w:space="0" w:color="000000" w:themeColor="text1"/>
            </w:tcBorders>
          </w:tcPr>
          <w:p w:rsidR="009B7FE7" w:rsidRPr="000F462C" w:rsidRDefault="009B7FE7" w:rsidP="009560BB">
            <w:pPr>
              <w:rPr>
                <w:sz w:val="20"/>
                <w:szCs w:val="20"/>
              </w:rPr>
            </w:pPr>
            <w:r w:rsidRPr="000F462C">
              <w:rPr>
                <w:sz w:val="20"/>
                <w:szCs w:val="20"/>
              </w:rPr>
              <w:t>72 (64-79)</w:t>
            </w:r>
          </w:p>
        </w:tc>
        <w:tc>
          <w:tcPr>
            <w:tcW w:w="0" w:type="auto"/>
          </w:tcPr>
          <w:p w:rsidR="009B7FE7" w:rsidRPr="000F462C" w:rsidRDefault="009B7FE7" w:rsidP="009560BB">
            <w:pPr>
              <w:rPr>
                <w:sz w:val="20"/>
                <w:szCs w:val="20"/>
              </w:rPr>
            </w:pPr>
            <w:r w:rsidRPr="000F462C">
              <w:rPr>
                <w:sz w:val="20"/>
                <w:szCs w:val="20"/>
              </w:rPr>
              <w:t>72 (64-79)</w:t>
            </w:r>
          </w:p>
        </w:tc>
        <w:tc>
          <w:tcPr>
            <w:tcW w:w="0" w:type="auto"/>
          </w:tcPr>
          <w:p w:rsidR="009B7FE7" w:rsidRPr="000F462C" w:rsidRDefault="009B7FE7" w:rsidP="009560BB">
            <w:pPr>
              <w:rPr>
                <w:sz w:val="20"/>
                <w:szCs w:val="20"/>
              </w:rPr>
            </w:pPr>
            <w:r w:rsidRPr="000F462C">
              <w:rPr>
                <w:sz w:val="20"/>
                <w:szCs w:val="20"/>
              </w:rPr>
              <w:t>71 (65-78)</w:t>
            </w:r>
          </w:p>
        </w:tc>
        <w:tc>
          <w:tcPr>
            <w:tcW w:w="0" w:type="auto"/>
          </w:tcPr>
          <w:p w:rsidR="009B7FE7" w:rsidRPr="000F462C" w:rsidRDefault="009B7FE7" w:rsidP="009560BB">
            <w:pPr>
              <w:rPr>
                <w:sz w:val="20"/>
                <w:szCs w:val="20"/>
              </w:rPr>
            </w:pPr>
            <w:r w:rsidRPr="000F462C">
              <w:rPr>
                <w:sz w:val="20"/>
                <w:szCs w:val="20"/>
              </w:rPr>
              <w:t>0.22</w:t>
            </w:r>
          </w:p>
        </w:tc>
      </w:tr>
      <w:tr w:rsidR="000F462C" w:rsidRPr="000F462C" w:rsidTr="000F462C">
        <w:tc>
          <w:tcPr>
            <w:tcW w:w="0" w:type="auto"/>
          </w:tcPr>
          <w:p w:rsidR="000F462C" w:rsidRPr="000F462C" w:rsidRDefault="000F462C" w:rsidP="009560BB">
            <w:pPr>
              <w:rPr>
                <w:sz w:val="20"/>
                <w:szCs w:val="20"/>
              </w:rPr>
            </w:pPr>
            <w:r w:rsidRPr="000F462C">
              <w:rPr>
                <w:sz w:val="20"/>
                <w:szCs w:val="20"/>
              </w:rPr>
              <w:t>LOS (days)</w:t>
            </w:r>
          </w:p>
        </w:tc>
        <w:tc>
          <w:tcPr>
            <w:tcW w:w="0" w:type="auto"/>
          </w:tcPr>
          <w:p w:rsidR="000F462C" w:rsidRPr="000F462C" w:rsidRDefault="000F462C" w:rsidP="009560BB">
            <w:pPr>
              <w:rPr>
                <w:sz w:val="20"/>
                <w:szCs w:val="20"/>
              </w:rPr>
            </w:pPr>
            <w:r w:rsidRPr="000F462C">
              <w:rPr>
                <w:sz w:val="20"/>
                <w:szCs w:val="20"/>
              </w:rPr>
              <w:t>5 (2-9)</w:t>
            </w:r>
          </w:p>
        </w:tc>
        <w:tc>
          <w:tcPr>
            <w:tcW w:w="0" w:type="auto"/>
          </w:tcPr>
          <w:p w:rsidR="000F462C" w:rsidRPr="000F462C" w:rsidRDefault="000F462C" w:rsidP="009560BB">
            <w:pPr>
              <w:rPr>
                <w:sz w:val="20"/>
                <w:szCs w:val="20"/>
              </w:rPr>
            </w:pPr>
            <w:r w:rsidRPr="000F462C">
              <w:rPr>
                <w:sz w:val="20"/>
                <w:szCs w:val="20"/>
              </w:rPr>
              <w:t>5 (2-9)</w:t>
            </w:r>
          </w:p>
        </w:tc>
        <w:tc>
          <w:tcPr>
            <w:tcW w:w="0" w:type="auto"/>
          </w:tcPr>
          <w:p w:rsidR="000F462C" w:rsidRPr="000F462C" w:rsidRDefault="000F462C" w:rsidP="009560BB">
            <w:pPr>
              <w:rPr>
                <w:sz w:val="20"/>
                <w:szCs w:val="20"/>
              </w:rPr>
            </w:pPr>
            <w:r w:rsidRPr="000F462C">
              <w:rPr>
                <w:sz w:val="20"/>
                <w:szCs w:val="20"/>
              </w:rPr>
              <w:t>5 (2-8)</w:t>
            </w:r>
          </w:p>
        </w:tc>
        <w:tc>
          <w:tcPr>
            <w:tcW w:w="0" w:type="auto"/>
            <w:tcBorders>
              <w:right w:val="double" w:sz="12" w:space="0" w:color="auto"/>
            </w:tcBorders>
          </w:tcPr>
          <w:p w:rsidR="000F462C" w:rsidRPr="000F462C" w:rsidRDefault="000F462C" w:rsidP="009560BB">
            <w:pPr>
              <w:rPr>
                <w:sz w:val="20"/>
                <w:szCs w:val="20"/>
              </w:rPr>
            </w:pPr>
            <w:r w:rsidRPr="000F462C">
              <w:rPr>
                <w:sz w:val="20"/>
                <w:szCs w:val="20"/>
              </w:rPr>
              <w:t>0.36</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0F462C" w:rsidRPr="000F462C" w:rsidRDefault="000F462C" w:rsidP="009560BB">
            <w:pPr>
              <w:rPr>
                <w:sz w:val="20"/>
                <w:szCs w:val="20"/>
              </w:rPr>
            </w:pPr>
            <w:r w:rsidRPr="000F462C">
              <w:rPr>
                <w:sz w:val="20"/>
                <w:szCs w:val="20"/>
              </w:rPr>
              <w:t>LOS (days)</w:t>
            </w:r>
          </w:p>
        </w:tc>
        <w:tc>
          <w:tcPr>
            <w:tcW w:w="0" w:type="auto"/>
            <w:tcBorders>
              <w:left w:val="single" w:sz="4" w:space="0" w:color="000000" w:themeColor="text1"/>
            </w:tcBorders>
          </w:tcPr>
          <w:p w:rsidR="000F462C" w:rsidRPr="000F462C" w:rsidRDefault="000F462C" w:rsidP="009560BB">
            <w:pPr>
              <w:rPr>
                <w:sz w:val="20"/>
                <w:szCs w:val="20"/>
              </w:rPr>
            </w:pPr>
            <w:r w:rsidRPr="000F462C">
              <w:rPr>
                <w:sz w:val="20"/>
                <w:szCs w:val="20"/>
              </w:rPr>
              <w:t xml:space="preserve"> 5 (2-9)</w:t>
            </w:r>
          </w:p>
        </w:tc>
        <w:tc>
          <w:tcPr>
            <w:tcW w:w="0" w:type="auto"/>
          </w:tcPr>
          <w:p w:rsidR="000F462C" w:rsidRPr="000F462C" w:rsidRDefault="000F462C" w:rsidP="009560BB">
            <w:pPr>
              <w:rPr>
                <w:sz w:val="20"/>
                <w:szCs w:val="20"/>
              </w:rPr>
            </w:pPr>
            <w:r w:rsidRPr="000F462C">
              <w:rPr>
                <w:sz w:val="20"/>
                <w:szCs w:val="20"/>
              </w:rPr>
              <w:t>5 (2-9)</w:t>
            </w:r>
          </w:p>
        </w:tc>
        <w:tc>
          <w:tcPr>
            <w:tcW w:w="0" w:type="auto"/>
          </w:tcPr>
          <w:p w:rsidR="000F462C" w:rsidRPr="000F462C" w:rsidRDefault="000F462C" w:rsidP="009560BB">
            <w:pPr>
              <w:rPr>
                <w:sz w:val="20"/>
                <w:szCs w:val="20"/>
              </w:rPr>
            </w:pPr>
            <w:r w:rsidRPr="000F462C">
              <w:rPr>
                <w:sz w:val="20"/>
                <w:szCs w:val="20"/>
              </w:rPr>
              <w:t>5 (3-9)</w:t>
            </w:r>
          </w:p>
        </w:tc>
        <w:tc>
          <w:tcPr>
            <w:tcW w:w="0" w:type="auto"/>
          </w:tcPr>
          <w:p w:rsidR="000F462C" w:rsidRPr="000F462C" w:rsidRDefault="000F462C" w:rsidP="009560BB">
            <w:pPr>
              <w:rPr>
                <w:b/>
                <w:sz w:val="20"/>
                <w:szCs w:val="20"/>
              </w:rPr>
            </w:pPr>
            <w:r w:rsidRPr="000F462C">
              <w:rPr>
                <w:b/>
                <w:sz w:val="20"/>
                <w:szCs w:val="20"/>
              </w:rPr>
              <w:t>0.05</w:t>
            </w:r>
          </w:p>
        </w:tc>
      </w:tr>
      <w:tr w:rsidR="000F462C" w:rsidRPr="000F462C" w:rsidTr="000F462C">
        <w:tc>
          <w:tcPr>
            <w:tcW w:w="0" w:type="auto"/>
          </w:tcPr>
          <w:p w:rsidR="000F462C" w:rsidRPr="000F462C" w:rsidRDefault="000F462C" w:rsidP="009560BB">
            <w:pPr>
              <w:rPr>
                <w:sz w:val="20"/>
                <w:szCs w:val="20"/>
              </w:rPr>
            </w:pPr>
            <w:r w:rsidRPr="000F462C">
              <w:rPr>
                <w:sz w:val="20"/>
                <w:szCs w:val="20"/>
              </w:rPr>
              <w:t>Discharged from ED/AMU</w:t>
            </w:r>
          </w:p>
        </w:tc>
        <w:tc>
          <w:tcPr>
            <w:tcW w:w="0" w:type="auto"/>
          </w:tcPr>
          <w:p w:rsidR="000F462C" w:rsidRPr="000F462C" w:rsidRDefault="000F462C" w:rsidP="009560BB">
            <w:pPr>
              <w:rPr>
                <w:sz w:val="20"/>
                <w:szCs w:val="20"/>
              </w:rPr>
            </w:pPr>
            <w:r w:rsidRPr="000F462C">
              <w:rPr>
                <w:sz w:val="20"/>
                <w:szCs w:val="20"/>
              </w:rPr>
              <w:t>317 (9.7%)</w:t>
            </w:r>
          </w:p>
        </w:tc>
        <w:tc>
          <w:tcPr>
            <w:tcW w:w="0" w:type="auto"/>
          </w:tcPr>
          <w:p w:rsidR="000F462C" w:rsidRPr="000F462C" w:rsidRDefault="000F462C" w:rsidP="009560BB">
            <w:pPr>
              <w:rPr>
                <w:sz w:val="20"/>
                <w:szCs w:val="20"/>
              </w:rPr>
            </w:pPr>
            <w:r w:rsidRPr="000F462C">
              <w:rPr>
                <w:sz w:val="20"/>
                <w:szCs w:val="20"/>
              </w:rPr>
              <w:t>245 (9.5%)</w:t>
            </w:r>
          </w:p>
        </w:tc>
        <w:tc>
          <w:tcPr>
            <w:tcW w:w="0" w:type="auto"/>
          </w:tcPr>
          <w:p w:rsidR="000F462C" w:rsidRPr="000F462C" w:rsidRDefault="000F462C" w:rsidP="009560BB">
            <w:pPr>
              <w:rPr>
                <w:sz w:val="20"/>
                <w:szCs w:val="20"/>
              </w:rPr>
            </w:pPr>
            <w:r w:rsidRPr="000F462C">
              <w:rPr>
                <w:sz w:val="20"/>
                <w:szCs w:val="20"/>
              </w:rPr>
              <w:t>54 (10.5%)</w:t>
            </w:r>
          </w:p>
        </w:tc>
        <w:tc>
          <w:tcPr>
            <w:tcW w:w="0" w:type="auto"/>
            <w:tcBorders>
              <w:right w:val="double" w:sz="12" w:space="0" w:color="auto"/>
            </w:tcBorders>
          </w:tcPr>
          <w:p w:rsidR="000F462C" w:rsidRPr="000F462C" w:rsidRDefault="000F462C" w:rsidP="009560BB">
            <w:pPr>
              <w:rPr>
                <w:sz w:val="20"/>
                <w:szCs w:val="20"/>
              </w:rPr>
            </w:pPr>
            <w:r w:rsidRPr="000F462C">
              <w:rPr>
                <w:sz w:val="20"/>
                <w:szCs w:val="20"/>
              </w:rPr>
              <w:t>0.50</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0F462C" w:rsidRPr="000F462C" w:rsidRDefault="000F462C" w:rsidP="009560BB">
            <w:pPr>
              <w:rPr>
                <w:sz w:val="20"/>
                <w:szCs w:val="20"/>
              </w:rPr>
            </w:pPr>
            <w:r w:rsidRPr="000F462C">
              <w:rPr>
                <w:sz w:val="20"/>
                <w:szCs w:val="20"/>
              </w:rPr>
              <w:t>Discharged from ED/AMU</w:t>
            </w:r>
          </w:p>
        </w:tc>
        <w:tc>
          <w:tcPr>
            <w:tcW w:w="0" w:type="auto"/>
            <w:tcBorders>
              <w:left w:val="single" w:sz="4" w:space="0" w:color="000000" w:themeColor="text1"/>
            </w:tcBorders>
          </w:tcPr>
          <w:p w:rsidR="000F462C" w:rsidRPr="000F462C" w:rsidRDefault="000F462C" w:rsidP="009560BB">
            <w:pPr>
              <w:rPr>
                <w:sz w:val="20"/>
                <w:szCs w:val="20"/>
              </w:rPr>
            </w:pPr>
            <w:r w:rsidRPr="000F462C">
              <w:rPr>
                <w:sz w:val="20"/>
                <w:szCs w:val="20"/>
              </w:rPr>
              <w:t>184 (8.6%)</w:t>
            </w:r>
          </w:p>
        </w:tc>
        <w:tc>
          <w:tcPr>
            <w:tcW w:w="0" w:type="auto"/>
          </w:tcPr>
          <w:p w:rsidR="000F462C" w:rsidRPr="000F462C" w:rsidRDefault="000F462C" w:rsidP="009560BB">
            <w:pPr>
              <w:rPr>
                <w:sz w:val="20"/>
                <w:szCs w:val="20"/>
              </w:rPr>
            </w:pPr>
            <w:r w:rsidRPr="000F462C">
              <w:rPr>
                <w:sz w:val="20"/>
                <w:szCs w:val="20"/>
              </w:rPr>
              <w:t>131 (8.5%)</w:t>
            </w:r>
          </w:p>
        </w:tc>
        <w:tc>
          <w:tcPr>
            <w:tcW w:w="0" w:type="auto"/>
          </w:tcPr>
          <w:p w:rsidR="000F462C" w:rsidRPr="000F462C" w:rsidRDefault="000F462C" w:rsidP="009560BB">
            <w:pPr>
              <w:rPr>
                <w:sz w:val="20"/>
                <w:szCs w:val="20"/>
              </w:rPr>
            </w:pPr>
            <w:r w:rsidRPr="000F462C">
              <w:rPr>
                <w:sz w:val="20"/>
                <w:szCs w:val="20"/>
              </w:rPr>
              <w:t>59 (9.0%)</w:t>
            </w:r>
          </w:p>
        </w:tc>
        <w:tc>
          <w:tcPr>
            <w:tcW w:w="0" w:type="auto"/>
          </w:tcPr>
          <w:p w:rsidR="000F462C" w:rsidRPr="000F462C" w:rsidRDefault="000F462C" w:rsidP="009560BB">
            <w:pPr>
              <w:rPr>
                <w:sz w:val="20"/>
                <w:szCs w:val="20"/>
              </w:rPr>
            </w:pPr>
            <w:r w:rsidRPr="000F462C">
              <w:rPr>
                <w:sz w:val="20"/>
                <w:szCs w:val="20"/>
              </w:rPr>
              <w:t>0.72</w:t>
            </w:r>
          </w:p>
        </w:tc>
      </w:tr>
      <w:tr w:rsidR="00405FDA" w:rsidRPr="000F462C" w:rsidTr="000F462C">
        <w:tc>
          <w:tcPr>
            <w:tcW w:w="0" w:type="auto"/>
          </w:tcPr>
          <w:p w:rsidR="00405FDA" w:rsidRPr="00405FDA" w:rsidRDefault="00405FDA" w:rsidP="00EB7FB3">
            <w:pPr>
              <w:rPr>
                <w:sz w:val="20"/>
                <w:szCs w:val="20"/>
              </w:rPr>
            </w:pPr>
            <w:r w:rsidRPr="00405FDA">
              <w:rPr>
                <w:sz w:val="20"/>
                <w:szCs w:val="20"/>
              </w:rPr>
              <w:t>Outcome</w:t>
            </w:r>
          </w:p>
          <w:p w:rsidR="00405FDA" w:rsidRPr="00405FDA" w:rsidRDefault="00405FDA" w:rsidP="00EB7FB3">
            <w:pPr>
              <w:rPr>
                <w:sz w:val="20"/>
                <w:szCs w:val="20"/>
              </w:rPr>
            </w:pPr>
            <w:r w:rsidRPr="00405FDA">
              <w:rPr>
                <w:sz w:val="20"/>
                <w:szCs w:val="20"/>
              </w:rPr>
              <w:t xml:space="preserve">   Discharged</w:t>
            </w:r>
          </w:p>
          <w:p w:rsidR="00405FDA" w:rsidRPr="00405FDA" w:rsidRDefault="00405FDA" w:rsidP="00EB7FB3">
            <w:pPr>
              <w:rPr>
                <w:sz w:val="20"/>
                <w:szCs w:val="20"/>
              </w:rPr>
            </w:pPr>
            <w:r>
              <w:rPr>
                <w:sz w:val="20"/>
                <w:szCs w:val="20"/>
              </w:rPr>
              <w:t xml:space="preserve">   EDS</w:t>
            </w:r>
          </w:p>
          <w:p w:rsidR="00405FDA" w:rsidRPr="00405FDA" w:rsidRDefault="00405FDA" w:rsidP="00EB7FB3">
            <w:pPr>
              <w:rPr>
                <w:sz w:val="20"/>
                <w:szCs w:val="20"/>
              </w:rPr>
            </w:pPr>
            <w:r w:rsidRPr="00405FDA">
              <w:rPr>
                <w:sz w:val="20"/>
                <w:szCs w:val="20"/>
              </w:rPr>
              <w:t xml:space="preserve">   Died</w:t>
            </w:r>
          </w:p>
        </w:tc>
        <w:tc>
          <w:tcPr>
            <w:tcW w:w="0" w:type="auto"/>
          </w:tcPr>
          <w:p w:rsidR="00405FDA" w:rsidRPr="00405FDA" w:rsidRDefault="00405FDA" w:rsidP="00EB7FB3">
            <w:pPr>
              <w:rPr>
                <w:sz w:val="20"/>
                <w:szCs w:val="20"/>
              </w:rPr>
            </w:pPr>
          </w:p>
          <w:p w:rsidR="00405FDA" w:rsidRPr="00405FDA" w:rsidRDefault="00405FDA" w:rsidP="00EB7FB3">
            <w:pPr>
              <w:rPr>
                <w:sz w:val="20"/>
                <w:szCs w:val="20"/>
              </w:rPr>
            </w:pPr>
            <w:r w:rsidRPr="00405FDA">
              <w:rPr>
                <w:sz w:val="20"/>
                <w:szCs w:val="20"/>
              </w:rPr>
              <w:t>2391 (77.7%)</w:t>
            </w:r>
          </w:p>
          <w:p w:rsidR="00405FDA" w:rsidRPr="00405FDA" w:rsidRDefault="00405FDA" w:rsidP="00EB7FB3">
            <w:pPr>
              <w:rPr>
                <w:sz w:val="20"/>
                <w:szCs w:val="20"/>
              </w:rPr>
            </w:pPr>
            <w:r w:rsidRPr="00405FDA">
              <w:rPr>
                <w:sz w:val="20"/>
                <w:szCs w:val="20"/>
              </w:rPr>
              <w:t>543 (17.7%)</w:t>
            </w:r>
          </w:p>
          <w:p w:rsidR="00405FDA" w:rsidRPr="00405FDA" w:rsidRDefault="00405FDA" w:rsidP="00EB7FB3">
            <w:pPr>
              <w:rPr>
                <w:sz w:val="20"/>
                <w:szCs w:val="20"/>
              </w:rPr>
            </w:pPr>
            <w:r w:rsidRPr="00405FDA">
              <w:rPr>
                <w:sz w:val="20"/>
                <w:szCs w:val="20"/>
              </w:rPr>
              <w:t>142 (4.6%)</w:t>
            </w:r>
          </w:p>
        </w:tc>
        <w:tc>
          <w:tcPr>
            <w:tcW w:w="0" w:type="auto"/>
          </w:tcPr>
          <w:p w:rsidR="00405FDA" w:rsidRPr="00405FDA" w:rsidRDefault="00405FDA" w:rsidP="00EB7FB3">
            <w:pPr>
              <w:rPr>
                <w:sz w:val="20"/>
                <w:szCs w:val="20"/>
              </w:rPr>
            </w:pPr>
          </w:p>
          <w:p w:rsidR="00405FDA" w:rsidRPr="00405FDA" w:rsidRDefault="00405FDA" w:rsidP="00EB7FB3">
            <w:pPr>
              <w:rPr>
                <w:sz w:val="20"/>
                <w:szCs w:val="20"/>
              </w:rPr>
            </w:pPr>
            <w:r w:rsidRPr="00405FDA">
              <w:rPr>
                <w:sz w:val="20"/>
                <w:szCs w:val="20"/>
              </w:rPr>
              <w:t>1917 (74.4%)</w:t>
            </w:r>
          </w:p>
          <w:p w:rsidR="00405FDA" w:rsidRPr="00405FDA" w:rsidRDefault="00405FDA" w:rsidP="00EB7FB3">
            <w:pPr>
              <w:rPr>
                <w:sz w:val="20"/>
                <w:szCs w:val="20"/>
              </w:rPr>
            </w:pPr>
            <w:r w:rsidRPr="00405FDA">
              <w:rPr>
                <w:sz w:val="20"/>
                <w:szCs w:val="20"/>
              </w:rPr>
              <w:t>424 (16.5%)</w:t>
            </w:r>
          </w:p>
          <w:p w:rsidR="00405FDA" w:rsidRPr="00405FDA" w:rsidRDefault="00405FDA" w:rsidP="00EB7FB3">
            <w:pPr>
              <w:rPr>
                <w:sz w:val="20"/>
                <w:szCs w:val="20"/>
              </w:rPr>
            </w:pPr>
            <w:r w:rsidRPr="00405FDA">
              <w:rPr>
                <w:sz w:val="20"/>
                <w:szCs w:val="20"/>
              </w:rPr>
              <w:t>114 (4.4%)</w:t>
            </w:r>
          </w:p>
        </w:tc>
        <w:tc>
          <w:tcPr>
            <w:tcW w:w="0" w:type="auto"/>
          </w:tcPr>
          <w:p w:rsidR="00405FDA" w:rsidRPr="00405FDA" w:rsidRDefault="00405FDA" w:rsidP="00EB7FB3">
            <w:pPr>
              <w:rPr>
                <w:sz w:val="20"/>
                <w:szCs w:val="20"/>
              </w:rPr>
            </w:pPr>
          </w:p>
          <w:p w:rsidR="00405FDA" w:rsidRPr="00405FDA" w:rsidRDefault="00405FDA" w:rsidP="00EB7FB3">
            <w:pPr>
              <w:rPr>
                <w:sz w:val="20"/>
                <w:szCs w:val="20"/>
              </w:rPr>
            </w:pPr>
            <w:r w:rsidRPr="00405FDA">
              <w:rPr>
                <w:sz w:val="20"/>
                <w:szCs w:val="20"/>
              </w:rPr>
              <w:t>355 (68.9%)</w:t>
            </w:r>
          </w:p>
          <w:p w:rsidR="00405FDA" w:rsidRPr="00405FDA" w:rsidRDefault="00405FDA" w:rsidP="00EB7FB3">
            <w:pPr>
              <w:rPr>
                <w:sz w:val="20"/>
                <w:szCs w:val="20"/>
              </w:rPr>
            </w:pPr>
            <w:r w:rsidRPr="00405FDA">
              <w:rPr>
                <w:sz w:val="20"/>
                <w:szCs w:val="20"/>
              </w:rPr>
              <w:t>73 (14.2%)</w:t>
            </w:r>
          </w:p>
          <w:p w:rsidR="00405FDA" w:rsidRPr="00405FDA" w:rsidRDefault="00405FDA" w:rsidP="00EB7FB3">
            <w:pPr>
              <w:rPr>
                <w:sz w:val="20"/>
                <w:szCs w:val="20"/>
              </w:rPr>
            </w:pPr>
            <w:r w:rsidRPr="00405FDA">
              <w:rPr>
                <w:sz w:val="20"/>
                <w:szCs w:val="20"/>
              </w:rPr>
              <w:t>24 (4.7%)</w:t>
            </w:r>
          </w:p>
        </w:tc>
        <w:tc>
          <w:tcPr>
            <w:tcW w:w="0" w:type="auto"/>
            <w:tcBorders>
              <w:right w:val="double" w:sz="12" w:space="0" w:color="auto"/>
            </w:tcBorders>
          </w:tcPr>
          <w:p w:rsidR="00405FDA" w:rsidRPr="00405FDA" w:rsidRDefault="00405FDA" w:rsidP="00EB7FB3">
            <w:pPr>
              <w:rPr>
                <w:sz w:val="20"/>
                <w:szCs w:val="20"/>
              </w:rPr>
            </w:pPr>
            <w:r w:rsidRPr="00405FDA">
              <w:rPr>
                <w:sz w:val="20"/>
                <w:szCs w:val="20"/>
              </w:rPr>
              <w:t>0.72</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405FDA" w:rsidRPr="000F462C" w:rsidRDefault="00405FDA" w:rsidP="009560BB">
            <w:pPr>
              <w:rPr>
                <w:sz w:val="20"/>
                <w:szCs w:val="20"/>
              </w:rPr>
            </w:pPr>
          </w:p>
        </w:tc>
        <w:tc>
          <w:tcPr>
            <w:tcW w:w="0" w:type="auto"/>
            <w:tcBorders>
              <w:left w:val="single" w:sz="4" w:space="0" w:color="000000" w:themeColor="text1"/>
            </w:tcBorders>
          </w:tcPr>
          <w:p w:rsidR="00405FDA" w:rsidRPr="000F462C" w:rsidRDefault="00405FDA" w:rsidP="009560BB">
            <w:pPr>
              <w:rPr>
                <w:sz w:val="20"/>
                <w:szCs w:val="20"/>
              </w:rPr>
            </w:pPr>
          </w:p>
        </w:tc>
        <w:tc>
          <w:tcPr>
            <w:tcW w:w="0" w:type="auto"/>
          </w:tcPr>
          <w:p w:rsidR="00405FDA" w:rsidRPr="000F462C" w:rsidRDefault="00405FDA" w:rsidP="009560BB">
            <w:pPr>
              <w:rPr>
                <w:sz w:val="20"/>
                <w:szCs w:val="20"/>
              </w:rPr>
            </w:pPr>
          </w:p>
        </w:tc>
        <w:tc>
          <w:tcPr>
            <w:tcW w:w="0" w:type="auto"/>
          </w:tcPr>
          <w:p w:rsidR="00405FDA" w:rsidRPr="000F462C" w:rsidRDefault="00405FDA" w:rsidP="009560BB">
            <w:pPr>
              <w:rPr>
                <w:sz w:val="20"/>
                <w:szCs w:val="20"/>
              </w:rPr>
            </w:pPr>
          </w:p>
        </w:tc>
        <w:tc>
          <w:tcPr>
            <w:tcW w:w="0" w:type="auto"/>
          </w:tcPr>
          <w:p w:rsidR="00405FDA" w:rsidRPr="000F462C" w:rsidRDefault="00405FDA" w:rsidP="009560BB">
            <w:pPr>
              <w:rPr>
                <w:sz w:val="20"/>
                <w:szCs w:val="20"/>
              </w:rPr>
            </w:pPr>
          </w:p>
        </w:tc>
      </w:tr>
      <w:tr w:rsidR="00405FDA" w:rsidRPr="000F462C" w:rsidTr="000F462C">
        <w:tc>
          <w:tcPr>
            <w:tcW w:w="0" w:type="auto"/>
          </w:tcPr>
          <w:p w:rsidR="00405FDA" w:rsidRPr="000F462C" w:rsidRDefault="00405FDA" w:rsidP="009560BB">
            <w:pPr>
              <w:rPr>
                <w:sz w:val="20"/>
                <w:szCs w:val="20"/>
              </w:rPr>
            </w:pPr>
            <w:r w:rsidRPr="000F462C">
              <w:rPr>
                <w:sz w:val="20"/>
                <w:szCs w:val="20"/>
              </w:rPr>
              <w:t>Diagnostic assessment</w:t>
            </w:r>
          </w:p>
        </w:tc>
        <w:tc>
          <w:tcPr>
            <w:tcW w:w="0" w:type="auto"/>
          </w:tcPr>
          <w:p w:rsidR="00405FDA" w:rsidRPr="000F462C" w:rsidRDefault="00405FDA" w:rsidP="009560BB">
            <w:pPr>
              <w:rPr>
                <w:sz w:val="20"/>
                <w:szCs w:val="20"/>
              </w:rPr>
            </w:pPr>
            <w:r w:rsidRPr="000F462C">
              <w:rPr>
                <w:sz w:val="20"/>
                <w:szCs w:val="20"/>
              </w:rPr>
              <w:t>1365 (41.7%)</w:t>
            </w:r>
          </w:p>
        </w:tc>
        <w:tc>
          <w:tcPr>
            <w:tcW w:w="0" w:type="auto"/>
          </w:tcPr>
          <w:p w:rsidR="00405FDA" w:rsidRPr="000F462C" w:rsidRDefault="00405FDA" w:rsidP="009560BB">
            <w:pPr>
              <w:rPr>
                <w:sz w:val="20"/>
                <w:szCs w:val="20"/>
              </w:rPr>
            </w:pPr>
            <w:r w:rsidRPr="000F462C">
              <w:rPr>
                <w:sz w:val="20"/>
                <w:szCs w:val="20"/>
              </w:rPr>
              <w:t>1071 (41.6%)</w:t>
            </w:r>
          </w:p>
        </w:tc>
        <w:tc>
          <w:tcPr>
            <w:tcW w:w="0" w:type="auto"/>
          </w:tcPr>
          <w:p w:rsidR="00405FDA" w:rsidRPr="000F462C" w:rsidRDefault="00405FDA" w:rsidP="009560BB">
            <w:pPr>
              <w:rPr>
                <w:sz w:val="20"/>
                <w:szCs w:val="20"/>
              </w:rPr>
            </w:pPr>
            <w:r w:rsidRPr="000F462C">
              <w:rPr>
                <w:sz w:val="20"/>
                <w:szCs w:val="20"/>
              </w:rPr>
              <w:t>233 (45.2%)</w:t>
            </w:r>
          </w:p>
        </w:tc>
        <w:tc>
          <w:tcPr>
            <w:tcW w:w="0" w:type="auto"/>
            <w:tcBorders>
              <w:right w:val="double" w:sz="12" w:space="0" w:color="auto"/>
            </w:tcBorders>
          </w:tcPr>
          <w:p w:rsidR="00405FDA" w:rsidRPr="000F462C" w:rsidRDefault="00405FDA" w:rsidP="009560BB">
            <w:pPr>
              <w:rPr>
                <w:sz w:val="20"/>
                <w:szCs w:val="20"/>
              </w:rPr>
            </w:pPr>
            <w:r w:rsidRPr="000F462C">
              <w:rPr>
                <w:sz w:val="20"/>
                <w:szCs w:val="20"/>
              </w:rPr>
              <w:t>0.13</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405FDA" w:rsidRPr="000F462C" w:rsidRDefault="00405FDA" w:rsidP="009560BB">
            <w:pPr>
              <w:rPr>
                <w:sz w:val="20"/>
                <w:szCs w:val="20"/>
              </w:rPr>
            </w:pPr>
            <w:r w:rsidRPr="000F462C">
              <w:rPr>
                <w:sz w:val="20"/>
                <w:szCs w:val="20"/>
              </w:rPr>
              <w:t>Treatment bundle</w:t>
            </w:r>
          </w:p>
        </w:tc>
        <w:tc>
          <w:tcPr>
            <w:tcW w:w="0" w:type="auto"/>
            <w:tcBorders>
              <w:left w:val="single" w:sz="4" w:space="0" w:color="000000" w:themeColor="text1"/>
            </w:tcBorders>
          </w:tcPr>
          <w:p w:rsidR="00405FDA" w:rsidRPr="000F462C" w:rsidRDefault="00405FDA" w:rsidP="009560BB">
            <w:pPr>
              <w:rPr>
                <w:sz w:val="20"/>
                <w:szCs w:val="20"/>
              </w:rPr>
            </w:pPr>
            <w:r w:rsidRPr="000F462C">
              <w:rPr>
                <w:sz w:val="20"/>
                <w:szCs w:val="20"/>
              </w:rPr>
              <w:t>819 (36.2%)</w:t>
            </w:r>
          </w:p>
        </w:tc>
        <w:tc>
          <w:tcPr>
            <w:tcW w:w="0" w:type="auto"/>
          </w:tcPr>
          <w:p w:rsidR="00405FDA" w:rsidRPr="000F462C" w:rsidRDefault="00405FDA" w:rsidP="009560BB">
            <w:pPr>
              <w:rPr>
                <w:sz w:val="20"/>
                <w:szCs w:val="20"/>
              </w:rPr>
            </w:pPr>
            <w:r w:rsidRPr="000F462C">
              <w:rPr>
                <w:sz w:val="20"/>
                <w:szCs w:val="20"/>
              </w:rPr>
              <w:t>311 (20.1%)</w:t>
            </w:r>
          </w:p>
        </w:tc>
        <w:tc>
          <w:tcPr>
            <w:tcW w:w="0" w:type="auto"/>
          </w:tcPr>
          <w:p w:rsidR="00405FDA" w:rsidRPr="000F462C" w:rsidRDefault="00405FDA" w:rsidP="009560BB">
            <w:pPr>
              <w:rPr>
                <w:sz w:val="20"/>
                <w:szCs w:val="20"/>
              </w:rPr>
            </w:pPr>
            <w:r w:rsidRPr="000F462C">
              <w:rPr>
                <w:sz w:val="20"/>
                <w:szCs w:val="20"/>
              </w:rPr>
              <w:t>490 (74.4%)</w:t>
            </w:r>
          </w:p>
        </w:tc>
        <w:tc>
          <w:tcPr>
            <w:tcW w:w="0" w:type="auto"/>
          </w:tcPr>
          <w:p w:rsidR="00405FDA" w:rsidRPr="000F462C" w:rsidRDefault="00405FDA" w:rsidP="009560BB">
            <w:pPr>
              <w:rPr>
                <w:b/>
                <w:sz w:val="20"/>
                <w:szCs w:val="20"/>
              </w:rPr>
            </w:pPr>
            <w:r>
              <w:rPr>
                <w:b/>
                <w:sz w:val="20"/>
                <w:szCs w:val="20"/>
              </w:rPr>
              <w:t>&lt;0.0</w:t>
            </w:r>
            <w:r w:rsidRPr="000F462C">
              <w:rPr>
                <w:b/>
                <w:sz w:val="20"/>
                <w:szCs w:val="20"/>
              </w:rPr>
              <w:t>1</w:t>
            </w:r>
          </w:p>
        </w:tc>
      </w:tr>
      <w:tr w:rsidR="00405FDA" w:rsidRPr="000F462C" w:rsidTr="000F462C">
        <w:tc>
          <w:tcPr>
            <w:tcW w:w="0" w:type="auto"/>
          </w:tcPr>
          <w:p w:rsidR="00405FDA" w:rsidRPr="000F462C" w:rsidRDefault="00405FDA" w:rsidP="009560BB">
            <w:pPr>
              <w:rPr>
                <w:sz w:val="20"/>
                <w:szCs w:val="20"/>
              </w:rPr>
            </w:pPr>
            <w:r w:rsidRPr="000F462C">
              <w:rPr>
                <w:sz w:val="20"/>
                <w:szCs w:val="20"/>
              </w:rPr>
              <w:t>Oxygen management</w:t>
            </w:r>
          </w:p>
        </w:tc>
        <w:tc>
          <w:tcPr>
            <w:tcW w:w="0" w:type="auto"/>
          </w:tcPr>
          <w:p w:rsidR="00405FDA" w:rsidRPr="000F462C" w:rsidRDefault="007740C6" w:rsidP="009560BB">
            <w:pPr>
              <w:rPr>
                <w:sz w:val="20"/>
                <w:szCs w:val="20"/>
              </w:rPr>
            </w:pPr>
            <w:r>
              <w:rPr>
                <w:sz w:val="20"/>
                <w:szCs w:val="20"/>
              </w:rPr>
              <w:t>3024 (92</w:t>
            </w:r>
            <w:r w:rsidR="00405FDA" w:rsidRPr="000F462C">
              <w:rPr>
                <w:sz w:val="20"/>
                <w:szCs w:val="20"/>
              </w:rPr>
              <w:t>.4%)</w:t>
            </w:r>
          </w:p>
        </w:tc>
        <w:tc>
          <w:tcPr>
            <w:tcW w:w="0" w:type="auto"/>
          </w:tcPr>
          <w:p w:rsidR="00405FDA" w:rsidRPr="000F462C" w:rsidRDefault="00405FDA" w:rsidP="009560BB">
            <w:pPr>
              <w:rPr>
                <w:sz w:val="20"/>
                <w:szCs w:val="20"/>
              </w:rPr>
            </w:pPr>
            <w:r w:rsidRPr="000F462C">
              <w:rPr>
                <w:sz w:val="20"/>
                <w:szCs w:val="20"/>
              </w:rPr>
              <w:t>2384 (92.5%)</w:t>
            </w:r>
          </w:p>
        </w:tc>
        <w:tc>
          <w:tcPr>
            <w:tcW w:w="0" w:type="auto"/>
          </w:tcPr>
          <w:p w:rsidR="00405FDA" w:rsidRPr="000F462C" w:rsidRDefault="00405FDA" w:rsidP="009560BB">
            <w:pPr>
              <w:rPr>
                <w:sz w:val="20"/>
                <w:szCs w:val="20"/>
              </w:rPr>
            </w:pPr>
            <w:r w:rsidRPr="000F462C">
              <w:rPr>
                <w:sz w:val="20"/>
                <w:szCs w:val="20"/>
              </w:rPr>
              <w:t>470 (91.3%)</w:t>
            </w:r>
          </w:p>
        </w:tc>
        <w:tc>
          <w:tcPr>
            <w:tcW w:w="0" w:type="auto"/>
            <w:tcBorders>
              <w:right w:val="double" w:sz="12" w:space="0" w:color="auto"/>
            </w:tcBorders>
          </w:tcPr>
          <w:p w:rsidR="00405FDA" w:rsidRPr="000F462C" w:rsidRDefault="00405FDA" w:rsidP="009560BB">
            <w:pPr>
              <w:rPr>
                <w:sz w:val="20"/>
                <w:szCs w:val="20"/>
              </w:rPr>
            </w:pPr>
            <w:r w:rsidRPr="000F462C">
              <w:rPr>
                <w:sz w:val="20"/>
                <w:szCs w:val="20"/>
              </w:rPr>
              <w:t>0.32</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405FDA" w:rsidRPr="000F462C" w:rsidRDefault="00405FDA" w:rsidP="009560BB">
            <w:pPr>
              <w:rPr>
                <w:sz w:val="20"/>
                <w:szCs w:val="20"/>
              </w:rPr>
            </w:pPr>
            <w:r w:rsidRPr="000F462C">
              <w:rPr>
                <w:sz w:val="20"/>
                <w:szCs w:val="20"/>
              </w:rPr>
              <w:t>SM bundle</w:t>
            </w:r>
          </w:p>
        </w:tc>
        <w:tc>
          <w:tcPr>
            <w:tcW w:w="0" w:type="auto"/>
            <w:tcBorders>
              <w:left w:val="single" w:sz="4" w:space="0" w:color="000000" w:themeColor="text1"/>
            </w:tcBorders>
          </w:tcPr>
          <w:p w:rsidR="00405FDA" w:rsidRPr="000F462C" w:rsidRDefault="00405FDA" w:rsidP="009560BB">
            <w:pPr>
              <w:rPr>
                <w:sz w:val="20"/>
                <w:szCs w:val="20"/>
              </w:rPr>
            </w:pPr>
            <w:r w:rsidRPr="000F462C">
              <w:rPr>
                <w:sz w:val="20"/>
                <w:szCs w:val="20"/>
              </w:rPr>
              <w:t>643 (28.4%)</w:t>
            </w:r>
          </w:p>
        </w:tc>
        <w:tc>
          <w:tcPr>
            <w:tcW w:w="0" w:type="auto"/>
          </w:tcPr>
          <w:p w:rsidR="00405FDA" w:rsidRPr="000F462C" w:rsidRDefault="00405FDA" w:rsidP="009560BB">
            <w:pPr>
              <w:rPr>
                <w:sz w:val="20"/>
                <w:szCs w:val="20"/>
              </w:rPr>
            </w:pPr>
            <w:r w:rsidRPr="000F462C">
              <w:rPr>
                <w:sz w:val="20"/>
                <w:szCs w:val="20"/>
              </w:rPr>
              <w:t>198 (12.8%)</w:t>
            </w:r>
          </w:p>
        </w:tc>
        <w:tc>
          <w:tcPr>
            <w:tcW w:w="0" w:type="auto"/>
          </w:tcPr>
          <w:p w:rsidR="00405FDA" w:rsidRPr="000F462C" w:rsidRDefault="00405FDA" w:rsidP="009560BB">
            <w:pPr>
              <w:rPr>
                <w:sz w:val="20"/>
                <w:szCs w:val="20"/>
              </w:rPr>
            </w:pPr>
            <w:r w:rsidRPr="000F462C">
              <w:rPr>
                <w:sz w:val="20"/>
                <w:szCs w:val="20"/>
              </w:rPr>
              <w:t>425 (64.5%)</w:t>
            </w:r>
          </w:p>
        </w:tc>
        <w:tc>
          <w:tcPr>
            <w:tcW w:w="0" w:type="auto"/>
          </w:tcPr>
          <w:p w:rsidR="00405FDA" w:rsidRPr="000F462C" w:rsidRDefault="00405FDA" w:rsidP="009560BB">
            <w:pPr>
              <w:rPr>
                <w:b/>
                <w:sz w:val="20"/>
                <w:szCs w:val="20"/>
              </w:rPr>
            </w:pPr>
            <w:r>
              <w:rPr>
                <w:b/>
                <w:sz w:val="20"/>
                <w:szCs w:val="20"/>
              </w:rPr>
              <w:t>&lt;0.</w:t>
            </w:r>
            <w:r w:rsidRPr="000F462C">
              <w:rPr>
                <w:b/>
                <w:sz w:val="20"/>
                <w:szCs w:val="20"/>
              </w:rPr>
              <w:t>01</w:t>
            </w:r>
          </w:p>
        </w:tc>
      </w:tr>
      <w:tr w:rsidR="00405FDA" w:rsidRPr="000F462C" w:rsidTr="000F462C">
        <w:tc>
          <w:tcPr>
            <w:tcW w:w="0" w:type="auto"/>
          </w:tcPr>
          <w:p w:rsidR="00405FDA" w:rsidRPr="000F462C" w:rsidRDefault="00405FDA" w:rsidP="009560BB">
            <w:pPr>
              <w:rPr>
                <w:sz w:val="20"/>
                <w:szCs w:val="20"/>
              </w:rPr>
            </w:pPr>
            <w:r w:rsidRPr="000F462C">
              <w:rPr>
                <w:sz w:val="20"/>
                <w:szCs w:val="20"/>
              </w:rPr>
              <w:t>Acidosis management</w:t>
            </w:r>
          </w:p>
        </w:tc>
        <w:tc>
          <w:tcPr>
            <w:tcW w:w="0" w:type="auto"/>
          </w:tcPr>
          <w:p w:rsidR="00405FDA" w:rsidRPr="000F462C" w:rsidRDefault="00405FDA" w:rsidP="009560BB">
            <w:pPr>
              <w:rPr>
                <w:sz w:val="20"/>
                <w:szCs w:val="20"/>
              </w:rPr>
            </w:pPr>
            <w:r w:rsidRPr="000F462C">
              <w:rPr>
                <w:sz w:val="20"/>
                <w:szCs w:val="20"/>
              </w:rPr>
              <w:t>1117 (34.1%)</w:t>
            </w:r>
          </w:p>
        </w:tc>
        <w:tc>
          <w:tcPr>
            <w:tcW w:w="0" w:type="auto"/>
          </w:tcPr>
          <w:p w:rsidR="00405FDA" w:rsidRPr="000F462C" w:rsidRDefault="00405FDA" w:rsidP="009560BB">
            <w:pPr>
              <w:rPr>
                <w:sz w:val="20"/>
                <w:szCs w:val="20"/>
              </w:rPr>
            </w:pPr>
            <w:r w:rsidRPr="000F462C">
              <w:rPr>
                <w:sz w:val="20"/>
                <w:szCs w:val="20"/>
              </w:rPr>
              <w:t>872 (33.9%)</w:t>
            </w:r>
          </w:p>
        </w:tc>
        <w:tc>
          <w:tcPr>
            <w:tcW w:w="0" w:type="auto"/>
          </w:tcPr>
          <w:p w:rsidR="00405FDA" w:rsidRPr="000F462C" w:rsidRDefault="00405FDA" w:rsidP="009560BB">
            <w:pPr>
              <w:rPr>
                <w:sz w:val="20"/>
                <w:szCs w:val="20"/>
              </w:rPr>
            </w:pPr>
            <w:r w:rsidRPr="000F462C">
              <w:rPr>
                <w:sz w:val="20"/>
                <w:szCs w:val="20"/>
              </w:rPr>
              <w:t>184 (35.7%)</w:t>
            </w:r>
          </w:p>
        </w:tc>
        <w:tc>
          <w:tcPr>
            <w:tcW w:w="0" w:type="auto"/>
            <w:tcBorders>
              <w:right w:val="double" w:sz="12" w:space="0" w:color="auto"/>
            </w:tcBorders>
          </w:tcPr>
          <w:p w:rsidR="00405FDA" w:rsidRPr="000F462C" w:rsidRDefault="00405FDA" w:rsidP="009560BB">
            <w:pPr>
              <w:rPr>
                <w:sz w:val="20"/>
                <w:szCs w:val="20"/>
              </w:rPr>
            </w:pPr>
            <w:r w:rsidRPr="000F462C">
              <w:rPr>
                <w:sz w:val="20"/>
                <w:szCs w:val="20"/>
              </w:rPr>
              <w:t>0.41</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405FDA" w:rsidRPr="000F462C" w:rsidRDefault="00405FDA" w:rsidP="009560BB">
            <w:pPr>
              <w:rPr>
                <w:sz w:val="20"/>
                <w:szCs w:val="20"/>
              </w:rPr>
            </w:pPr>
            <w:r w:rsidRPr="000F462C">
              <w:rPr>
                <w:sz w:val="20"/>
                <w:szCs w:val="20"/>
              </w:rPr>
              <w:t>Smoking bundle</w:t>
            </w:r>
          </w:p>
        </w:tc>
        <w:tc>
          <w:tcPr>
            <w:tcW w:w="0" w:type="auto"/>
            <w:tcBorders>
              <w:left w:val="single" w:sz="4" w:space="0" w:color="000000" w:themeColor="text1"/>
            </w:tcBorders>
          </w:tcPr>
          <w:p w:rsidR="00405FDA" w:rsidRPr="000F462C" w:rsidRDefault="00405FDA" w:rsidP="009560BB">
            <w:pPr>
              <w:rPr>
                <w:sz w:val="20"/>
                <w:szCs w:val="20"/>
              </w:rPr>
            </w:pPr>
            <w:r>
              <w:rPr>
                <w:sz w:val="20"/>
                <w:szCs w:val="20"/>
              </w:rPr>
              <w:t>1673</w:t>
            </w:r>
            <w:r w:rsidRPr="000F462C">
              <w:rPr>
                <w:sz w:val="20"/>
                <w:szCs w:val="20"/>
              </w:rPr>
              <w:t>(73.9%)</w:t>
            </w:r>
          </w:p>
        </w:tc>
        <w:tc>
          <w:tcPr>
            <w:tcW w:w="0" w:type="auto"/>
          </w:tcPr>
          <w:p w:rsidR="00405FDA" w:rsidRPr="000F462C" w:rsidRDefault="00405FDA" w:rsidP="009560BB">
            <w:pPr>
              <w:rPr>
                <w:sz w:val="20"/>
                <w:szCs w:val="20"/>
              </w:rPr>
            </w:pPr>
            <w:r>
              <w:rPr>
                <w:sz w:val="20"/>
                <w:szCs w:val="20"/>
              </w:rPr>
              <w:t>1034</w:t>
            </w:r>
            <w:r w:rsidRPr="000F462C">
              <w:rPr>
                <w:sz w:val="20"/>
                <w:szCs w:val="20"/>
              </w:rPr>
              <w:t>(66.8%)</w:t>
            </w:r>
          </w:p>
        </w:tc>
        <w:tc>
          <w:tcPr>
            <w:tcW w:w="0" w:type="auto"/>
          </w:tcPr>
          <w:p w:rsidR="00405FDA" w:rsidRPr="000F462C" w:rsidRDefault="00405FDA" w:rsidP="009560BB">
            <w:pPr>
              <w:rPr>
                <w:sz w:val="20"/>
                <w:szCs w:val="20"/>
              </w:rPr>
            </w:pPr>
            <w:r w:rsidRPr="000F462C">
              <w:rPr>
                <w:sz w:val="20"/>
                <w:szCs w:val="20"/>
              </w:rPr>
              <w:t>593 (90.0%)</w:t>
            </w:r>
          </w:p>
        </w:tc>
        <w:tc>
          <w:tcPr>
            <w:tcW w:w="0" w:type="auto"/>
          </w:tcPr>
          <w:p w:rsidR="00405FDA" w:rsidRPr="000F462C" w:rsidRDefault="00405FDA" w:rsidP="009560BB">
            <w:pPr>
              <w:rPr>
                <w:b/>
                <w:sz w:val="20"/>
                <w:szCs w:val="20"/>
              </w:rPr>
            </w:pPr>
            <w:r>
              <w:rPr>
                <w:b/>
                <w:sz w:val="20"/>
                <w:szCs w:val="20"/>
              </w:rPr>
              <w:t>&lt;0.</w:t>
            </w:r>
            <w:r w:rsidRPr="000F462C">
              <w:rPr>
                <w:b/>
                <w:sz w:val="20"/>
                <w:szCs w:val="20"/>
              </w:rPr>
              <w:t>01</w:t>
            </w:r>
          </w:p>
        </w:tc>
      </w:tr>
      <w:tr w:rsidR="00405FDA" w:rsidRPr="000F462C" w:rsidTr="000F462C">
        <w:tc>
          <w:tcPr>
            <w:tcW w:w="0" w:type="auto"/>
          </w:tcPr>
          <w:p w:rsidR="00405FDA" w:rsidRPr="000F462C" w:rsidRDefault="00405FDA" w:rsidP="009560BB">
            <w:pPr>
              <w:rPr>
                <w:sz w:val="20"/>
                <w:szCs w:val="20"/>
              </w:rPr>
            </w:pPr>
            <w:r w:rsidRPr="000F462C">
              <w:rPr>
                <w:sz w:val="20"/>
                <w:szCs w:val="20"/>
              </w:rPr>
              <w:t>Treatment within 4 hrs</w:t>
            </w:r>
          </w:p>
        </w:tc>
        <w:tc>
          <w:tcPr>
            <w:tcW w:w="0" w:type="auto"/>
          </w:tcPr>
          <w:p w:rsidR="00405FDA" w:rsidRPr="000F462C" w:rsidRDefault="00405FDA" w:rsidP="009560BB">
            <w:pPr>
              <w:rPr>
                <w:sz w:val="20"/>
                <w:szCs w:val="20"/>
              </w:rPr>
            </w:pPr>
            <w:r w:rsidRPr="000F462C">
              <w:rPr>
                <w:sz w:val="20"/>
                <w:szCs w:val="20"/>
              </w:rPr>
              <w:t>1555 (47.5%</w:t>
            </w:r>
          </w:p>
        </w:tc>
        <w:tc>
          <w:tcPr>
            <w:tcW w:w="0" w:type="auto"/>
          </w:tcPr>
          <w:p w:rsidR="00405FDA" w:rsidRPr="000F462C" w:rsidRDefault="00405FDA" w:rsidP="009560BB">
            <w:pPr>
              <w:rPr>
                <w:sz w:val="20"/>
                <w:szCs w:val="20"/>
              </w:rPr>
            </w:pPr>
            <w:r w:rsidRPr="000F462C">
              <w:rPr>
                <w:sz w:val="20"/>
                <w:szCs w:val="20"/>
              </w:rPr>
              <w:t>1241 (48.2%)</w:t>
            </w:r>
          </w:p>
        </w:tc>
        <w:tc>
          <w:tcPr>
            <w:tcW w:w="0" w:type="auto"/>
          </w:tcPr>
          <w:p w:rsidR="00405FDA" w:rsidRPr="000F462C" w:rsidRDefault="00405FDA" w:rsidP="009560BB">
            <w:pPr>
              <w:rPr>
                <w:sz w:val="20"/>
                <w:szCs w:val="20"/>
              </w:rPr>
            </w:pPr>
            <w:r w:rsidRPr="000F462C">
              <w:rPr>
                <w:sz w:val="20"/>
                <w:szCs w:val="20"/>
              </w:rPr>
              <w:t>231 (44.9%)</w:t>
            </w:r>
          </w:p>
        </w:tc>
        <w:tc>
          <w:tcPr>
            <w:tcW w:w="0" w:type="auto"/>
            <w:tcBorders>
              <w:right w:val="double" w:sz="12" w:space="0" w:color="auto"/>
            </w:tcBorders>
          </w:tcPr>
          <w:p w:rsidR="00405FDA" w:rsidRPr="000F462C" w:rsidRDefault="00405FDA" w:rsidP="009560BB">
            <w:pPr>
              <w:rPr>
                <w:sz w:val="20"/>
                <w:szCs w:val="20"/>
              </w:rPr>
            </w:pPr>
            <w:r w:rsidRPr="000F462C">
              <w:rPr>
                <w:sz w:val="20"/>
                <w:szCs w:val="20"/>
              </w:rPr>
              <w:t>0.17</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405FDA" w:rsidRPr="000F462C" w:rsidRDefault="00405FDA" w:rsidP="009560BB">
            <w:pPr>
              <w:rPr>
                <w:sz w:val="20"/>
                <w:szCs w:val="20"/>
              </w:rPr>
            </w:pPr>
            <w:r w:rsidRPr="000F462C">
              <w:rPr>
                <w:sz w:val="20"/>
                <w:szCs w:val="20"/>
              </w:rPr>
              <w:t>PR bundle</w:t>
            </w:r>
          </w:p>
        </w:tc>
        <w:tc>
          <w:tcPr>
            <w:tcW w:w="0" w:type="auto"/>
            <w:tcBorders>
              <w:left w:val="single" w:sz="4" w:space="0" w:color="000000" w:themeColor="text1"/>
            </w:tcBorders>
          </w:tcPr>
          <w:p w:rsidR="00405FDA" w:rsidRPr="000F462C" w:rsidRDefault="00405FDA" w:rsidP="009560BB">
            <w:pPr>
              <w:rPr>
                <w:sz w:val="20"/>
                <w:szCs w:val="20"/>
              </w:rPr>
            </w:pPr>
            <w:r w:rsidRPr="000F462C">
              <w:rPr>
                <w:sz w:val="20"/>
                <w:szCs w:val="20"/>
              </w:rPr>
              <w:t>531 (23.5%)</w:t>
            </w:r>
          </w:p>
        </w:tc>
        <w:tc>
          <w:tcPr>
            <w:tcW w:w="0" w:type="auto"/>
          </w:tcPr>
          <w:p w:rsidR="00405FDA" w:rsidRPr="000F462C" w:rsidRDefault="00405FDA" w:rsidP="009560BB">
            <w:pPr>
              <w:rPr>
                <w:sz w:val="20"/>
                <w:szCs w:val="20"/>
              </w:rPr>
            </w:pPr>
            <w:r w:rsidRPr="000F462C">
              <w:rPr>
                <w:sz w:val="20"/>
                <w:szCs w:val="20"/>
              </w:rPr>
              <w:t>208 (13.4%)</w:t>
            </w:r>
          </w:p>
        </w:tc>
        <w:tc>
          <w:tcPr>
            <w:tcW w:w="0" w:type="auto"/>
          </w:tcPr>
          <w:p w:rsidR="00405FDA" w:rsidRPr="000F462C" w:rsidRDefault="00405FDA" w:rsidP="009560BB">
            <w:pPr>
              <w:rPr>
                <w:sz w:val="20"/>
                <w:szCs w:val="20"/>
              </w:rPr>
            </w:pPr>
            <w:r w:rsidRPr="000F462C">
              <w:rPr>
                <w:sz w:val="20"/>
                <w:szCs w:val="20"/>
              </w:rPr>
              <w:t>310 (47.0%)</w:t>
            </w:r>
          </w:p>
        </w:tc>
        <w:tc>
          <w:tcPr>
            <w:tcW w:w="0" w:type="auto"/>
          </w:tcPr>
          <w:p w:rsidR="00405FDA" w:rsidRPr="000F462C" w:rsidRDefault="00405FDA" w:rsidP="009560BB">
            <w:pPr>
              <w:rPr>
                <w:b/>
                <w:sz w:val="20"/>
                <w:szCs w:val="20"/>
              </w:rPr>
            </w:pPr>
            <w:r>
              <w:rPr>
                <w:b/>
                <w:sz w:val="20"/>
                <w:szCs w:val="20"/>
              </w:rPr>
              <w:t>&lt;0.</w:t>
            </w:r>
            <w:r w:rsidRPr="000F462C">
              <w:rPr>
                <w:b/>
                <w:sz w:val="20"/>
                <w:szCs w:val="20"/>
              </w:rPr>
              <w:t>01</w:t>
            </w:r>
          </w:p>
        </w:tc>
      </w:tr>
      <w:tr w:rsidR="00405FDA" w:rsidRPr="000F462C" w:rsidTr="000F462C">
        <w:tc>
          <w:tcPr>
            <w:tcW w:w="0" w:type="auto"/>
          </w:tcPr>
          <w:p w:rsidR="00405FDA" w:rsidRPr="000F462C" w:rsidRDefault="00405FDA" w:rsidP="009560BB">
            <w:pPr>
              <w:rPr>
                <w:sz w:val="20"/>
                <w:szCs w:val="20"/>
              </w:rPr>
            </w:pPr>
            <w:r>
              <w:rPr>
                <w:sz w:val="20"/>
                <w:szCs w:val="20"/>
              </w:rPr>
              <w:t>Respiratory review</w:t>
            </w:r>
            <w:r w:rsidRPr="000F462C">
              <w:rPr>
                <w:sz w:val="20"/>
                <w:szCs w:val="20"/>
              </w:rPr>
              <w:t xml:space="preserve"> &lt;24 hrs</w:t>
            </w:r>
          </w:p>
        </w:tc>
        <w:tc>
          <w:tcPr>
            <w:tcW w:w="0" w:type="auto"/>
          </w:tcPr>
          <w:p w:rsidR="00405FDA" w:rsidRPr="000F462C" w:rsidRDefault="00405FDA" w:rsidP="009560BB">
            <w:pPr>
              <w:rPr>
                <w:sz w:val="20"/>
                <w:szCs w:val="20"/>
              </w:rPr>
            </w:pPr>
            <w:r w:rsidRPr="000F462C">
              <w:rPr>
                <w:sz w:val="20"/>
                <w:szCs w:val="20"/>
              </w:rPr>
              <w:t>1295 (37.6%)</w:t>
            </w:r>
          </w:p>
        </w:tc>
        <w:tc>
          <w:tcPr>
            <w:tcW w:w="0" w:type="auto"/>
          </w:tcPr>
          <w:p w:rsidR="00405FDA" w:rsidRPr="000F462C" w:rsidRDefault="00405FDA" w:rsidP="009560BB">
            <w:pPr>
              <w:rPr>
                <w:sz w:val="20"/>
                <w:szCs w:val="20"/>
              </w:rPr>
            </w:pPr>
            <w:r w:rsidRPr="000F462C">
              <w:rPr>
                <w:sz w:val="20"/>
                <w:szCs w:val="20"/>
              </w:rPr>
              <w:t>973 (37.8%)</w:t>
            </w:r>
          </w:p>
        </w:tc>
        <w:tc>
          <w:tcPr>
            <w:tcW w:w="0" w:type="auto"/>
          </w:tcPr>
          <w:p w:rsidR="00405FDA" w:rsidRPr="000F462C" w:rsidRDefault="00405FDA" w:rsidP="009560BB">
            <w:pPr>
              <w:rPr>
                <w:sz w:val="20"/>
                <w:szCs w:val="20"/>
              </w:rPr>
            </w:pPr>
            <w:r w:rsidRPr="000F462C">
              <w:rPr>
                <w:sz w:val="20"/>
                <w:szCs w:val="20"/>
              </w:rPr>
              <w:t>243 (47.2%)</w:t>
            </w:r>
          </w:p>
        </w:tc>
        <w:tc>
          <w:tcPr>
            <w:tcW w:w="0" w:type="auto"/>
            <w:tcBorders>
              <w:right w:val="double" w:sz="12" w:space="0" w:color="auto"/>
            </w:tcBorders>
          </w:tcPr>
          <w:p w:rsidR="00405FDA" w:rsidRPr="000F462C" w:rsidRDefault="00405FDA" w:rsidP="009560BB">
            <w:pPr>
              <w:rPr>
                <w:b/>
                <w:sz w:val="20"/>
                <w:szCs w:val="20"/>
              </w:rPr>
            </w:pPr>
            <w:r>
              <w:rPr>
                <w:b/>
                <w:sz w:val="20"/>
                <w:szCs w:val="20"/>
              </w:rPr>
              <w:t>&lt;0.0</w:t>
            </w:r>
            <w:r w:rsidRPr="000F462C">
              <w:rPr>
                <w:b/>
                <w:sz w:val="20"/>
                <w:szCs w:val="20"/>
              </w:rPr>
              <w:t>1</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405FDA" w:rsidRPr="000F462C" w:rsidRDefault="00405FDA" w:rsidP="009560BB">
            <w:pPr>
              <w:rPr>
                <w:sz w:val="20"/>
                <w:szCs w:val="20"/>
              </w:rPr>
            </w:pPr>
            <w:r>
              <w:rPr>
                <w:sz w:val="20"/>
                <w:szCs w:val="20"/>
              </w:rPr>
              <w:t>Follow up contact</w:t>
            </w:r>
          </w:p>
        </w:tc>
        <w:tc>
          <w:tcPr>
            <w:tcW w:w="0" w:type="auto"/>
            <w:tcBorders>
              <w:left w:val="single" w:sz="4" w:space="0" w:color="000000" w:themeColor="text1"/>
            </w:tcBorders>
          </w:tcPr>
          <w:p w:rsidR="00405FDA" w:rsidRPr="000F462C" w:rsidRDefault="00405FDA" w:rsidP="009560BB">
            <w:pPr>
              <w:rPr>
                <w:sz w:val="20"/>
                <w:szCs w:val="20"/>
              </w:rPr>
            </w:pPr>
            <w:r>
              <w:rPr>
                <w:sz w:val="20"/>
                <w:szCs w:val="20"/>
              </w:rPr>
              <w:t>1166</w:t>
            </w:r>
            <w:r w:rsidRPr="000F462C">
              <w:rPr>
                <w:sz w:val="20"/>
                <w:szCs w:val="20"/>
              </w:rPr>
              <w:t>(51.9%)</w:t>
            </w:r>
          </w:p>
        </w:tc>
        <w:tc>
          <w:tcPr>
            <w:tcW w:w="0" w:type="auto"/>
          </w:tcPr>
          <w:p w:rsidR="00405FDA" w:rsidRPr="000F462C" w:rsidRDefault="00405FDA" w:rsidP="009560BB">
            <w:pPr>
              <w:rPr>
                <w:sz w:val="20"/>
                <w:szCs w:val="20"/>
              </w:rPr>
            </w:pPr>
            <w:r w:rsidRPr="000F462C">
              <w:rPr>
                <w:sz w:val="20"/>
                <w:szCs w:val="20"/>
              </w:rPr>
              <w:t>500 (32.3%)</w:t>
            </w:r>
          </w:p>
        </w:tc>
        <w:tc>
          <w:tcPr>
            <w:tcW w:w="0" w:type="auto"/>
          </w:tcPr>
          <w:p w:rsidR="00405FDA" w:rsidRPr="000F462C" w:rsidRDefault="00405FDA" w:rsidP="009560BB">
            <w:pPr>
              <w:rPr>
                <w:sz w:val="20"/>
                <w:szCs w:val="20"/>
              </w:rPr>
            </w:pPr>
            <w:r w:rsidRPr="000F462C">
              <w:rPr>
                <w:sz w:val="20"/>
                <w:szCs w:val="20"/>
              </w:rPr>
              <w:t>502 (76.2%)</w:t>
            </w:r>
          </w:p>
        </w:tc>
        <w:tc>
          <w:tcPr>
            <w:tcW w:w="0" w:type="auto"/>
          </w:tcPr>
          <w:p w:rsidR="00405FDA" w:rsidRPr="000F462C" w:rsidRDefault="00405FDA" w:rsidP="009560BB">
            <w:pPr>
              <w:rPr>
                <w:b/>
                <w:sz w:val="20"/>
                <w:szCs w:val="20"/>
              </w:rPr>
            </w:pPr>
            <w:r>
              <w:rPr>
                <w:b/>
                <w:sz w:val="20"/>
                <w:szCs w:val="20"/>
              </w:rPr>
              <w:t>&lt;0.</w:t>
            </w:r>
            <w:r w:rsidRPr="000F462C">
              <w:rPr>
                <w:b/>
                <w:sz w:val="20"/>
                <w:szCs w:val="20"/>
              </w:rPr>
              <w:t>01</w:t>
            </w:r>
          </w:p>
        </w:tc>
      </w:tr>
      <w:tr w:rsidR="00405FDA" w:rsidRPr="000F462C" w:rsidTr="000F462C">
        <w:tc>
          <w:tcPr>
            <w:tcW w:w="0" w:type="auto"/>
          </w:tcPr>
          <w:p w:rsidR="00405FDA" w:rsidRPr="000F462C" w:rsidRDefault="00405FDA" w:rsidP="009560BB">
            <w:pPr>
              <w:rPr>
                <w:sz w:val="20"/>
                <w:szCs w:val="20"/>
              </w:rPr>
            </w:pPr>
            <w:r w:rsidRPr="000F462C">
              <w:rPr>
                <w:sz w:val="20"/>
                <w:szCs w:val="20"/>
              </w:rPr>
              <w:t>Time to antibiotics (</w:t>
            </w:r>
            <w:proofErr w:type="spellStart"/>
            <w:r w:rsidRPr="000F462C">
              <w:rPr>
                <w:sz w:val="20"/>
                <w:szCs w:val="20"/>
              </w:rPr>
              <w:t>mins</w:t>
            </w:r>
            <w:proofErr w:type="spellEnd"/>
            <w:r w:rsidRPr="000F462C">
              <w:rPr>
                <w:sz w:val="20"/>
                <w:szCs w:val="20"/>
              </w:rPr>
              <w:t>)</w:t>
            </w:r>
          </w:p>
        </w:tc>
        <w:tc>
          <w:tcPr>
            <w:tcW w:w="0" w:type="auto"/>
          </w:tcPr>
          <w:p w:rsidR="00405FDA" w:rsidRPr="000F462C" w:rsidRDefault="00405FDA" w:rsidP="009560BB">
            <w:pPr>
              <w:rPr>
                <w:sz w:val="20"/>
                <w:szCs w:val="20"/>
              </w:rPr>
            </w:pPr>
            <w:r w:rsidRPr="000F462C">
              <w:rPr>
                <w:sz w:val="20"/>
                <w:szCs w:val="20"/>
              </w:rPr>
              <w:t>148 (68-280)</w:t>
            </w:r>
          </w:p>
        </w:tc>
        <w:tc>
          <w:tcPr>
            <w:tcW w:w="0" w:type="auto"/>
          </w:tcPr>
          <w:p w:rsidR="00405FDA" w:rsidRPr="000F462C" w:rsidRDefault="00405FDA" w:rsidP="009560BB">
            <w:pPr>
              <w:rPr>
                <w:sz w:val="20"/>
                <w:szCs w:val="20"/>
              </w:rPr>
            </w:pPr>
            <w:r w:rsidRPr="000F462C">
              <w:rPr>
                <w:sz w:val="20"/>
                <w:szCs w:val="20"/>
              </w:rPr>
              <w:t>157 (80-285)</w:t>
            </w:r>
          </w:p>
        </w:tc>
        <w:tc>
          <w:tcPr>
            <w:tcW w:w="0" w:type="auto"/>
          </w:tcPr>
          <w:p w:rsidR="00405FDA" w:rsidRPr="000F462C" w:rsidRDefault="00405FDA" w:rsidP="009560BB">
            <w:pPr>
              <w:rPr>
                <w:sz w:val="20"/>
                <w:szCs w:val="20"/>
              </w:rPr>
            </w:pPr>
            <w:r w:rsidRPr="000F462C">
              <w:rPr>
                <w:sz w:val="20"/>
                <w:szCs w:val="20"/>
              </w:rPr>
              <w:t>95 (22-210)</w:t>
            </w:r>
          </w:p>
        </w:tc>
        <w:tc>
          <w:tcPr>
            <w:tcW w:w="0" w:type="auto"/>
            <w:tcBorders>
              <w:right w:val="double" w:sz="12" w:space="0" w:color="auto"/>
            </w:tcBorders>
          </w:tcPr>
          <w:p w:rsidR="00405FDA" w:rsidRPr="000F462C" w:rsidRDefault="00405FDA" w:rsidP="009560BB">
            <w:pPr>
              <w:rPr>
                <w:b/>
                <w:sz w:val="20"/>
                <w:szCs w:val="20"/>
              </w:rPr>
            </w:pPr>
            <w:r w:rsidRPr="000F462C">
              <w:rPr>
                <w:b/>
                <w:sz w:val="20"/>
                <w:szCs w:val="20"/>
              </w:rPr>
              <w:t>0.012</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405FDA" w:rsidRPr="000F462C" w:rsidRDefault="00405FDA" w:rsidP="009560BB">
            <w:pPr>
              <w:rPr>
                <w:sz w:val="20"/>
                <w:szCs w:val="20"/>
              </w:rPr>
            </w:pPr>
            <w:r w:rsidRPr="000F462C">
              <w:rPr>
                <w:sz w:val="20"/>
                <w:szCs w:val="20"/>
              </w:rPr>
              <w:t>Smoking cessation referral</w:t>
            </w:r>
          </w:p>
          <w:p w:rsidR="00405FDA" w:rsidRPr="000F462C" w:rsidRDefault="00405FDA" w:rsidP="009560BB">
            <w:pPr>
              <w:rPr>
                <w:sz w:val="20"/>
                <w:szCs w:val="20"/>
              </w:rPr>
            </w:pPr>
            <w:r w:rsidRPr="000F462C">
              <w:rPr>
                <w:sz w:val="20"/>
                <w:szCs w:val="20"/>
              </w:rPr>
              <w:t xml:space="preserve">   Done</w:t>
            </w:r>
          </w:p>
          <w:p w:rsidR="00405FDA" w:rsidRPr="000F462C" w:rsidRDefault="00405FDA" w:rsidP="009560BB">
            <w:pPr>
              <w:rPr>
                <w:sz w:val="20"/>
                <w:szCs w:val="20"/>
              </w:rPr>
            </w:pPr>
            <w:r w:rsidRPr="000F462C">
              <w:rPr>
                <w:sz w:val="20"/>
                <w:szCs w:val="20"/>
              </w:rPr>
              <w:t xml:space="preserve">   NA</w:t>
            </w:r>
          </w:p>
          <w:p w:rsidR="00405FDA" w:rsidRPr="000F462C" w:rsidRDefault="00405FDA" w:rsidP="009560BB">
            <w:pPr>
              <w:rPr>
                <w:sz w:val="20"/>
                <w:szCs w:val="20"/>
              </w:rPr>
            </w:pPr>
            <w:r w:rsidRPr="000F462C">
              <w:rPr>
                <w:sz w:val="20"/>
                <w:szCs w:val="20"/>
              </w:rPr>
              <w:t xml:space="preserve">   Declined</w:t>
            </w:r>
          </w:p>
        </w:tc>
        <w:tc>
          <w:tcPr>
            <w:tcW w:w="0" w:type="auto"/>
            <w:tcBorders>
              <w:left w:val="single" w:sz="4" w:space="0" w:color="000000" w:themeColor="text1"/>
            </w:tcBorders>
          </w:tcPr>
          <w:p w:rsidR="00405FDA" w:rsidRPr="000F462C" w:rsidRDefault="00405FDA" w:rsidP="009560BB">
            <w:pPr>
              <w:rPr>
                <w:sz w:val="20"/>
                <w:szCs w:val="20"/>
              </w:rPr>
            </w:pPr>
          </w:p>
          <w:p w:rsidR="00405FDA" w:rsidRDefault="00405FDA" w:rsidP="009560BB">
            <w:pPr>
              <w:rPr>
                <w:sz w:val="20"/>
                <w:szCs w:val="20"/>
              </w:rPr>
            </w:pPr>
          </w:p>
          <w:p w:rsidR="00405FDA" w:rsidRPr="000F462C" w:rsidRDefault="00405FDA" w:rsidP="009560BB">
            <w:pPr>
              <w:rPr>
                <w:sz w:val="20"/>
                <w:szCs w:val="20"/>
              </w:rPr>
            </w:pPr>
            <w:r>
              <w:rPr>
                <w:sz w:val="20"/>
                <w:szCs w:val="20"/>
              </w:rPr>
              <w:t xml:space="preserve">120 </w:t>
            </w:r>
            <w:r w:rsidRPr="000F462C">
              <w:rPr>
                <w:sz w:val="20"/>
                <w:szCs w:val="20"/>
              </w:rPr>
              <w:t>(5.5%)</w:t>
            </w:r>
          </w:p>
          <w:p w:rsidR="00405FDA" w:rsidRPr="000F462C" w:rsidRDefault="00405FDA" w:rsidP="009560BB">
            <w:pPr>
              <w:rPr>
                <w:sz w:val="20"/>
                <w:szCs w:val="20"/>
              </w:rPr>
            </w:pPr>
            <w:r>
              <w:rPr>
                <w:sz w:val="20"/>
                <w:szCs w:val="20"/>
              </w:rPr>
              <w:t>1293</w:t>
            </w:r>
            <w:r w:rsidRPr="000F462C">
              <w:rPr>
                <w:sz w:val="20"/>
                <w:szCs w:val="20"/>
              </w:rPr>
              <w:t>(59.4%)</w:t>
            </w:r>
          </w:p>
          <w:p w:rsidR="00405FDA" w:rsidRPr="000F462C" w:rsidRDefault="00405FDA" w:rsidP="009560BB">
            <w:pPr>
              <w:rPr>
                <w:sz w:val="20"/>
                <w:szCs w:val="20"/>
              </w:rPr>
            </w:pPr>
            <w:r w:rsidRPr="000F462C">
              <w:rPr>
                <w:sz w:val="20"/>
                <w:szCs w:val="20"/>
              </w:rPr>
              <w:t>260 (11.9%)</w:t>
            </w:r>
          </w:p>
        </w:tc>
        <w:tc>
          <w:tcPr>
            <w:tcW w:w="0" w:type="auto"/>
          </w:tcPr>
          <w:p w:rsidR="00405FDA" w:rsidRPr="000F462C" w:rsidRDefault="00405FDA" w:rsidP="009560BB">
            <w:pPr>
              <w:rPr>
                <w:sz w:val="20"/>
                <w:szCs w:val="20"/>
              </w:rPr>
            </w:pPr>
          </w:p>
          <w:p w:rsidR="00405FDA" w:rsidRDefault="00405FDA" w:rsidP="009560BB">
            <w:pPr>
              <w:rPr>
                <w:sz w:val="20"/>
                <w:szCs w:val="20"/>
              </w:rPr>
            </w:pPr>
          </w:p>
          <w:p w:rsidR="00405FDA" w:rsidRPr="000F462C" w:rsidRDefault="00405FDA" w:rsidP="009560BB">
            <w:pPr>
              <w:rPr>
                <w:sz w:val="20"/>
                <w:szCs w:val="20"/>
              </w:rPr>
            </w:pPr>
            <w:r w:rsidRPr="000F462C">
              <w:rPr>
                <w:sz w:val="20"/>
                <w:szCs w:val="20"/>
              </w:rPr>
              <w:t>57 (3.7%)</w:t>
            </w:r>
          </w:p>
          <w:p w:rsidR="00405FDA" w:rsidRPr="000F462C" w:rsidRDefault="00405FDA" w:rsidP="009560BB">
            <w:pPr>
              <w:rPr>
                <w:sz w:val="20"/>
                <w:szCs w:val="20"/>
              </w:rPr>
            </w:pPr>
            <w:r>
              <w:rPr>
                <w:sz w:val="20"/>
                <w:szCs w:val="20"/>
              </w:rPr>
              <w:t>851</w:t>
            </w:r>
            <w:r w:rsidRPr="000F462C">
              <w:rPr>
                <w:sz w:val="20"/>
                <w:szCs w:val="20"/>
              </w:rPr>
              <w:t>(55.0%)</w:t>
            </w:r>
          </w:p>
          <w:p w:rsidR="00405FDA" w:rsidRPr="000F462C" w:rsidRDefault="00405FDA" w:rsidP="009560BB">
            <w:pPr>
              <w:rPr>
                <w:sz w:val="20"/>
                <w:szCs w:val="20"/>
              </w:rPr>
            </w:pPr>
            <w:r w:rsidRPr="000F462C">
              <w:rPr>
                <w:sz w:val="20"/>
                <w:szCs w:val="20"/>
              </w:rPr>
              <w:t>126 (8.1%)</w:t>
            </w:r>
          </w:p>
        </w:tc>
        <w:tc>
          <w:tcPr>
            <w:tcW w:w="0" w:type="auto"/>
          </w:tcPr>
          <w:p w:rsidR="00405FDA" w:rsidRPr="000F462C" w:rsidRDefault="00405FDA" w:rsidP="009560BB">
            <w:pPr>
              <w:rPr>
                <w:sz w:val="20"/>
                <w:szCs w:val="20"/>
              </w:rPr>
            </w:pPr>
          </w:p>
          <w:p w:rsidR="00405FDA" w:rsidRDefault="00405FDA" w:rsidP="009560BB">
            <w:pPr>
              <w:rPr>
                <w:sz w:val="20"/>
                <w:szCs w:val="20"/>
              </w:rPr>
            </w:pPr>
          </w:p>
          <w:p w:rsidR="00405FDA" w:rsidRPr="000F462C" w:rsidRDefault="00405FDA" w:rsidP="009560BB">
            <w:pPr>
              <w:rPr>
                <w:sz w:val="20"/>
                <w:szCs w:val="20"/>
              </w:rPr>
            </w:pPr>
            <w:r w:rsidRPr="000F462C">
              <w:rPr>
                <w:sz w:val="20"/>
                <w:szCs w:val="20"/>
              </w:rPr>
              <w:t>55 (8.3%)</w:t>
            </w:r>
          </w:p>
          <w:p w:rsidR="00405FDA" w:rsidRPr="000F462C" w:rsidRDefault="00405FDA" w:rsidP="009560BB">
            <w:pPr>
              <w:rPr>
                <w:sz w:val="20"/>
                <w:szCs w:val="20"/>
              </w:rPr>
            </w:pPr>
            <w:r w:rsidRPr="000F462C">
              <w:rPr>
                <w:sz w:val="20"/>
                <w:szCs w:val="20"/>
              </w:rPr>
              <w:t>408 (61.9%)</w:t>
            </w:r>
          </w:p>
          <w:p w:rsidR="00405FDA" w:rsidRPr="000F462C" w:rsidRDefault="00405FDA" w:rsidP="009560BB">
            <w:pPr>
              <w:rPr>
                <w:sz w:val="20"/>
                <w:szCs w:val="20"/>
              </w:rPr>
            </w:pPr>
            <w:r w:rsidRPr="000F462C">
              <w:rPr>
                <w:sz w:val="20"/>
                <w:szCs w:val="20"/>
              </w:rPr>
              <w:t>130 (19.7%)</w:t>
            </w:r>
          </w:p>
        </w:tc>
        <w:tc>
          <w:tcPr>
            <w:tcW w:w="0" w:type="auto"/>
          </w:tcPr>
          <w:p w:rsidR="00405FDA" w:rsidRPr="000F462C" w:rsidRDefault="00405FDA" w:rsidP="009560BB">
            <w:pPr>
              <w:rPr>
                <w:b/>
                <w:sz w:val="20"/>
                <w:szCs w:val="20"/>
              </w:rPr>
            </w:pPr>
            <w:r>
              <w:rPr>
                <w:b/>
                <w:sz w:val="20"/>
                <w:szCs w:val="20"/>
              </w:rPr>
              <w:t>&lt;0.</w:t>
            </w:r>
            <w:r w:rsidRPr="000F462C">
              <w:rPr>
                <w:b/>
                <w:sz w:val="20"/>
                <w:szCs w:val="20"/>
              </w:rPr>
              <w:t>01</w:t>
            </w:r>
          </w:p>
        </w:tc>
      </w:tr>
      <w:tr w:rsidR="00405FDA" w:rsidRPr="000F462C" w:rsidTr="000F462C">
        <w:tc>
          <w:tcPr>
            <w:tcW w:w="0" w:type="auto"/>
          </w:tcPr>
          <w:p w:rsidR="00405FDA" w:rsidRPr="000F462C" w:rsidRDefault="00405FDA" w:rsidP="009560BB">
            <w:pPr>
              <w:rPr>
                <w:sz w:val="20"/>
                <w:szCs w:val="20"/>
              </w:rPr>
            </w:pPr>
            <w:r w:rsidRPr="000F462C">
              <w:rPr>
                <w:sz w:val="20"/>
                <w:szCs w:val="20"/>
              </w:rPr>
              <w:t xml:space="preserve">Time to </w:t>
            </w:r>
            <w:proofErr w:type="spellStart"/>
            <w:r w:rsidRPr="000F462C">
              <w:rPr>
                <w:sz w:val="20"/>
                <w:szCs w:val="20"/>
              </w:rPr>
              <w:t>resp</w:t>
            </w:r>
            <w:proofErr w:type="spellEnd"/>
            <w:r w:rsidRPr="000F462C">
              <w:rPr>
                <w:sz w:val="20"/>
                <w:szCs w:val="20"/>
              </w:rPr>
              <w:t xml:space="preserve"> review (hrs)</w:t>
            </w:r>
          </w:p>
        </w:tc>
        <w:tc>
          <w:tcPr>
            <w:tcW w:w="0" w:type="auto"/>
          </w:tcPr>
          <w:p w:rsidR="00405FDA" w:rsidRPr="000F462C" w:rsidRDefault="00405FDA" w:rsidP="009560BB">
            <w:pPr>
              <w:rPr>
                <w:sz w:val="20"/>
                <w:szCs w:val="20"/>
              </w:rPr>
            </w:pPr>
            <w:r w:rsidRPr="000F462C">
              <w:rPr>
                <w:sz w:val="20"/>
                <w:szCs w:val="20"/>
              </w:rPr>
              <w:t>17.0 (7.0-36.0)</w:t>
            </w:r>
          </w:p>
        </w:tc>
        <w:tc>
          <w:tcPr>
            <w:tcW w:w="0" w:type="auto"/>
          </w:tcPr>
          <w:p w:rsidR="00405FDA" w:rsidRPr="000F462C" w:rsidRDefault="00405FDA" w:rsidP="009560BB">
            <w:pPr>
              <w:rPr>
                <w:sz w:val="20"/>
                <w:szCs w:val="20"/>
              </w:rPr>
            </w:pPr>
            <w:r w:rsidRPr="000F462C">
              <w:rPr>
                <w:sz w:val="20"/>
                <w:szCs w:val="20"/>
              </w:rPr>
              <w:t>17.7 (7.3-39.3)</w:t>
            </w:r>
          </w:p>
        </w:tc>
        <w:tc>
          <w:tcPr>
            <w:tcW w:w="0" w:type="auto"/>
          </w:tcPr>
          <w:p w:rsidR="00405FDA" w:rsidRPr="000F462C" w:rsidRDefault="00405FDA" w:rsidP="009560BB">
            <w:pPr>
              <w:rPr>
                <w:sz w:val="20"/>
                <w:szCs w:val="20"/>
              </w:rPr>
            </w:pPr>
            <w:r w:rsidRPr="000F462C">
              <w:rPr>
                <w:sz w:val="20"/>
                <w:szCs w:val="20"/>
              </w:rPr>
              <w:t>15.4 (7.2-47.1)</w:t>
            </w:r>
          </w:p>
        </w:tc>
        <w:tc>
          <w:tcPr>
            <w:tcW w:w="0" w:type="auto"/>
            <w:tcBorders>
              <w:right w:val="double" w:sz="12" w:space="0" w:color="auto"/>
            </w:tcBorders>
          </w:tcPr>
          <w:p w:rsidR="00405FDA" w:rsidRPr="000F462C" w:rsidRDefault="00405FDA" w:rsidP="009560BB">
            <w:pPr>
              <w:rPr>
                <w:b/>
                <w:sz w:val="20"/>
                <w:szCs w:val="20"/>
              </w:rPr>
            </w:pPr>
            <w:r w:rsidRPr="000F462C">
              <w:rPr>
                <w:b/>
                <w:sz w:val="20"/>
                <w:szCs w:val="20"/>
              </w:rPr>
              <w:t>0.030</w:t>
            </w:r>
          </w:p>
        </w:tc>
        <w:tc>
          <w:tcPr>
            <w:tcW w:w="0" w:type="auto"/>
            <w:tcBorders>
              <w:top w:val="single" w:sz="4" w:space="0" w:color="000000" w:themeColor="text1"/>
              <w:left w:val="double" w:sz="12" w:space="0" w:color="auto"/>
              <w:bottom w:val="single" w:sz="4" w:space="0" w:color="000000" w:themeColor="text1"/>
              <w:right w:val="single" w:sz="4" w:space="0" w:color="000000" w:themeColor="text1"/>
            </w:tcBorders>
          </w:tcPr>
          <w:p w:rsidR="00405FDA" w:rsidRPr="000F462C" w:rsidRDefault="00405FDA" w:rsidP="009560BB">
            <w:pPr>
              <w:rPr>
                <w:sz w:val="20"/>
                <w:szCs w:val="20"/>
              </w:rPr>
            </w:pPr>
            <w:proofErr w:type="spellStart"/>
            <w:r w:rsidRPr="000F462C">
              <w:rPr>
                <w:sz w:val="20"/>
                <w:szCs w:val="20"/>
              </w:rPr>
              <w:t>Pulm</w:t>
            </w:r>
            <w:proofErr w:type="spellEnd"/>
            <w:r w:rsidRPr="000F462C">
              <w:rPr>
                <w:sz w:val="20"/>
                <w:szCs w:val="20"/>
              </w:rPr>
              <w:t xml:space="preserve"> Rehab</w:t>
            </w:r>
          </w:p>
          <w:p w:rsidR="00405FDA" w:rsidRPr="000F462C" w:rsidRDefault="00405FDA" w:rsidP="009560BB">
            <w:pPr>
              <w:rPr>
                <w:sz w:val="20"/>
                <w:szCs w:val="20"/>
              </w:rPr>
            </w:pPr>
            <w:r w:rsidRPr="000F462C">
              <w:rPr>
                <w:sz w:val="20"/>
                <w:szCs w:val="20"/>
              </w:rPr>
              <w:t xml:space="preserve">   Assessed</w:t>
            </w:r>
          </w:p>
          <w:p w:rsidR="00405FDA" w:rsidRPr="000F462C" w:rsidRDefault="00405FDA" w:rsidP="009560BB">
            <w:pPr>
              <w:rPr>
                <w:sz w:val="20"/>
                <w:szCs w:val="20"/>
              </w:rPr>
            </w:pPr>
            <w:r w:rsidRPr="000F462C">
              <w:rPr>
                <w:sz w:val="20"/>
                <w:szCs w:val="20"/>
              </w:rPr>
              <w:t xml:space="preserve">   Referred</w:t>
            </w:r>
          </w:p>
          <w:p w:rsidR="00405FDA" w:rsidRPr="000F462C" w:rsidRDefault="00405FDA" w:rsidP="009560BB">
            <w:pPr>
              <w:rPr>
                <w:sz w:val="20"/>
                <w:szCs w:val="20"/>
              </w:rPr>
            </w:pPr>
            <w:r w:rsidRPr="000F462C">
              <w:rPr>
                <w:sz w:val="20"/>
                <w:szCs w:val="20"/>
              </w:rPr>
              <w:t xml:space="preserve">   NA</w:t>
            </w:r>
          </w:p>
          <w:p w:rsidR="00405FDA" w:rsidRPr="000F462C" w:rsidRDefault="00405FDA" w:rsidP="009560BB">
            <w:pPr>
              <w:rPr>
                <w:sz w:val="20"/>
                <w:szCs w:val="20"/>
              </w:rPr>
            </w:pPr>
            <w:r w:rsidRPr="000F462C">
              <w:rPr>
                <w:sz w:val="20"/>
                <w:szCs w:val="20"/>
              </w:rPr>
              <w:t xml:space="preserve">   Declined</w:t>
            </w:r>
          </w:p>
          <w:p w:rsidR="00405FDA" w:rsidRPr="000F462C" w:rsidRDefault="00405FDA" w:rsidP="009560BB">
            <w:pPr>
              <w:rPr>
                <w:sz w:val="20"/>
                <w:szCs w:val="20"/>
              </w:rPr>
            </w:pPr>
            <w:r w:rsidRPr="000F462C">
              <w:rPr>
                <w:sz w:val="20"/>
                <w:szCs w:val="20"/>
              </w:rPr>
              <w:t xml:space="preserve">   Done rehab before</w:t>
            </w:r>
          </w:p>
        </w:tc>
        <w:tc>
          <w:tcPr>
            <w:tcW w:w="0" w:type="auto"/>
            <w:tcBorders>
              <w:left w:val="single" w:sz="4" w:space="0" w:color="000000" w:themeColor="text1"/>
            </w:tcBorders>
          </w:tcPr>
          <w:p w:rsidR="00405FDA" w:rsidRPr="000F462C" w:rsidRDefault="00405FDA" w:rsidP="009560BB">
            <w:pPr>
              <w:rPr>
                <w:sz w:val="20"/>
                <w:szCs w:val="20"/>
              </w:rPr>
            </w:pPr>
          </w:p>
          <w:p w:rsidR="00405FDA" w:rsidRPr="000F462C" w:rsidRDefault="003D62FE" w:rsidP="009560BB">
            <w:pPr>
              <w:rPr>
                <w:sz w:val="20"/>
                <w:szCs w:val="20"/>
              </w:rPr>
            </w:pPr>
            <w:r>
              <w:rPr>
                <w:sz w:val="20"/>
                <w:szCs w:val="20"/>
              </w:rPr>
              <w:t>770 (34.0</w:t>
            </w:r>
            <w:r w:rsidR="00405FDA" w:rsidRPr="000F462C">
              <w:rPr>
                <w:sz w:val="20"/>
                <w:szCs w:val="20"/>
              </w:rPr>
              <w:t>%)</w:t>
            </w:r>
          </w:p>
          <w:p w:rsidR="00405FDA" w:rsidRPr="000F462C" w:rsidRDefault="00405FDA" w:rsidP="009560BB">
            <w:pPr>
              <w:rPr>
                <w:sz w:val="20"/>
                <w:szCs w:val="20"/>
              </w:rPr>
            </w:pPr>
            <w:r w:rsidRPr="000F462C">
              <w:rPr>
                <w:sz w:val="20"/>
                <w:szCs w:val="20"/>
              </w:rPr>
              <w:t>320 (14.1%)</w:t>
            </w:r>
          </w:p>
          <w:p w:rsidR="00405FDA" w:rsidRPr="000F462C" w:rsidRDefault="00405FDA" w:rsidP="009560BB">
            <w:pPr>
              <w:rPr>
                <w:sz w:val="20"/>
                <w:szCs w:val="20"/>
              </w:rPr>
            </w:pPr>
            <w:r w:rsidRPr="000F462C">
              <w:rPr>
                <w:sz w:val="20"/>
                <w:szCs w:val="20"/>
              </w:rPr>
              <w:t>151 (6.8%)</w:t>
            </w:r>
          </w:p>
          <w:p w:rsidR="00405FDA" w:rsidRPr="000F462C" w:rsidRDefault="003D62FE" w:rsidP="009560BB">
            <w:pPr>
              <w:rPr>
                <w:sz w:val="20"/>
                <w:szCs w:val="20"/>
              </w:rPr>
            </w:pPr>
            <w:r>
              <w:rPr>
                <w:sz w:val="20"/>
                <w:szCs w:val="20"/>
              </w:rPr>
              <w:t>315 (13.9</w:t>
            </w:r>
            <w:r w:rsidR="00405FDA" w:rsidRPr="000F462C">
              <w:rPr>
                <w:sz w:val="20"/>
                <w:szCs w:val="20"/>
              </w:rPr>
              <w:t>%)</w:t>
            </w:r>
          </w:p>
          <w:p w:rsidR="00405FDA" w:rsidRPr="000F462C" w:rsidRDefault="00405FDA" w:rsidP="009560BB">
            <w:pPr>
              <w:rPr>
                <w:sz w:val="20"/>
                <w:szCs w:val="20"/>
              </w:rPr>
            </w:pPr>
            <w:r w:rsidRPr="000F462C">
              <w:rPr>
                <w:sz w:val="20"/>
                <w:szCs w:val="20"/>
              </w:rPr>
              <w:t>180 (8.1%)</w:t>
            </w:r>
          </w:p>
        </w:tc>
        <w:tc>
          <w:tcPr>
            <w:tcW w:w="0" w:type="auto"/>
          </w:tcPr>
          <w:p w:rsidR="00405FDA" w:rsidRPr="000F462C" w:rsidRDefault="00405FDA" w:rsidP="009560BB">
            <w:pPr>
              <w:rPr>
                <w:sz w:val="20"/>
                <w:szCs w:val="20"/>
              </w:rPr>
            </w:pPr>
          </w:p>
          <w:p w:rsidR="00405FDA" w:rsidRPr="000F462C" w:rsidRDefault="00405FDA" w:rsidP="009560BB">
            <w:pPr>
              <w:rPr>
                <w:sz w:val="20"/>
                <w:szCs w:val="20"/>
              </w:rPr>
            </w:pPr>
            <w:r w:rsidRPr="000F462C">
              <w:rPr>
                <w:sz w:val="20"/>
                <w:szCs w:val="20"/>
              </w:rPr>
              <w:t>434 (28.1%)</w:t>
            </w:r>
          </w:p>
          <w:p w:rsidR="00405FDA" w:rsidRPr="000F462C" w:rsidRDefault="00405FDA" w:rsidP="009560BB">
            <w:pPr>
              <w:rPr>
                <w:sz w:val="20"/>
                <w:szCs w:val="20"/>
              </w:rPr>
            </w:pPr>
            <w:r w:rsidRPr="000F462C">
              <w:rPr>
                <w:sz w:val="20"/>
                <w:szCs w:val="20"/>
              </w:rPr>
              <w:t>133 (8.6%)</w:t>
            </w:r>
          </w:p>
          <w:p w:rsidR="00405FDA" w:rsidRPr="000F462C" w:rsidRDefault="00405FDA" w:rsidP="009560BB">
            <w:pPr>
              <w:rPr>
                <w:sz w:val="20"/>
                <w:szCs w:val="20"/>
              </w:rPr>
            </w:pPr>
            <w:r w:rsidRPr="000F462C">
              <w:rPr>
                <w:sz w:val="20"/>
                <w:szCs w:val="20"/>
              </w:rPr>
              <w:t>83 (5.4%)</w:t>
            </w:r>
          </w:p>
          <w:p w:rsidR="00405FDA" w:rsidRPr="000F462C" w:rsidRDefault="00405FDA" w:rsidP="009560BB">
            <w:pPr>
              <w:rPr>
                <w:sz w:val="20"/>
                <w:szCs w:val="20"/>
              </w:rPr>
            </w:pPr>
            <w:r w:rsidRPr="000F462C">
              <w:rPr>
                <w:sz w:val="20"/>
                <w:szCs w:val="20"/>
              </w:rPr>
              <w:t>93 (6.0%)</w:t>
            </w:r>
          </w:p>
          <w:p w:rsidR="00405FDA" w:rsidRPr="000F462C" w:rsidRDefault="00405FDA" w:rsidP="009560BB">
            <w:pPr>
              <w:rPr>
                <w:sz w:val="20"/>
                <w:szCs w:val="20"/>
              </w:rPr>
            </w:pPr>
            <w:r w:rsidRPr="000F462C">
              <w:rPr>
                <w:sz w:val="20"/>
                <w:szCs w:val="20"/>
              </w:rPr>
              <w:t>93 (6.0%)</w:t>
            </w:r>
          </w:p>
        </w:tc>
        <w:tc>
          <w:tcPr>
            <w:tcW w:w="0" w:type="auto"/>
          </w:tcPr>
          <w:p w:rsidR="00405FDA" w:rsidRPr="000F462C" w:rsidRDefault="00405FDA" w:rsidP="009560BB">
            <w:pPr>
              <w:rPr>
                <w:sz w:val="20"/>
                <w:szCs w:val="20"/>
              </w:rPr>
            </w:pPr>
          </w:p>
          <w:p w:rsidR="00405FDA" w:rsidRPr="000F462C" w:rsidRDefault="00405FDA" w:rsidP="009560BB">
            <w:pPr>
              <w:rPr>
                <w:sz w:val="20"/>
                <w:szCs w:val="20"/>
              </w:rPr>
            </w:pPr>
            <w:r w:rsidRPr="000F462C">
              <w:rPr>
                <w:sz w:val="20"/>
                <w:szCs w:val="20"/>
              </w:rPr>
              <w:t>336 (51.0%)</w:t>
            </w:r>
          </w:p>
          <w:p w:rsidR="00405FDA" w:rsidRPr="000F462C" w:rsidRDefault="00405FDA" w:rsidP="009560BB">
            <w:pPr>
              <w:rPr>
                <w:sz w:val="20"/>
                <w:szCs w:val="20"/>
              </w:rPr>
            </w:pPr>
            <w:r w:rsidRPr="000F462C">
              <w:rPr>
                <w:sz w:val="20"/>
                <w:szCs w:val="20"/>
              </w:rPr>
              <w:t>178 (27.0%)</w:t>
            </w:r>
          </w:p>
          <w:p w:rsidR="00405FDA" w:rsidRPr="000F462C" w:rsidRDefault="00405FDA" w:rsidP="009560BB">
            <w:pPr>
              <w:rPr>
                <w:sz w:val="20"/>
                <w:szCs w:val="20"/>
              </w:rPr>
            </w:pPr>
            <w:r w:rsidRPr="000F462C">
              <w:rPr>
                <w:sz w:val="20"/>
                <w:szCs w:val="20"/>
              </w:rPr>
              <w:t>65 (9.9%)</w:t>
            </w:r>
          </w:p>
          <w:p w:rsidR="00405FDA" w:rsidRPr="000F462C" w:rsidRDefault="00405FDA" w:rsidP="009560BB">
            <w:pPr>
              <w:rPr>
                <w:sz w:val="20"/>
                <w:szCs w:val="20"/>
              </w:rPr>
            </w:pPr>
            <w:r w:rsidRPr="000F462C">
              <w:rPr>
                <w:sz w:val="20"/>
                <w:szCs w:val="20"/>
              </w:rPr>
              <w:t>192 (29.1%)</w:t>
            </w:r>
          </w:p>
          <w:p w:rsidR="00405FDA" w:rsidRPr="000F462C" w:rsidRDefault="00405FDA" w:rsidP="009560BB">
            <w:pPr>
              <w:rPr>
                <w:sz w:val="20"/>
                <w:szCs w:val="20"/>
              </w:rPr>
            </w:pPr>
            <w:r w:rsidRPr="000F462C">
              <w:rPr>
                <w:sz w:val="20"/>
                <w:szCs w:val="20"/>
              </w:rPr>
              <w:t>85 (12.9%)</w:t>
            </w:r>
          </w:p>
        </w:tc>
        <w:tc>
          <w:tcPr>
            <w:tcW w:w="0" w:type="auto"/>
          </w:tcPr>
          <w:p w:rsidR="00405FDA" w:rsidRPr="000F462C" w:rsidRDefault="00405FDA" w:rsidP="009560BB">
            <w:pPr>
              <w:rPr>
                <w:b/>
                <w:sz w:val="20"/>
                <w:szCs w:val="20"/>
              </w:rPr>
            </w:pPr>
            <w:r>
              <w:rPr>
                <w:b/>
                <w:sz w:val="20"/>
                <w:szCs w:val="20"/>
              </w:rPr>
              <w:t>&lt;0.</w:t>
            </w:r>
            <w:r w:rsidRPr="000F462C">
              <w:rPr>
                <w:b/>
                <w:sz w:val="20"/>
                <w:szCs w:val="20"/>
              </w:rPr>
              <w:t>01</w:t>
            </w:r>
          </w:p>
        </w:tc>
      </w:tr>
    </w:tbl>
    <w:p w:rsidR="00EE7502" w:rsidRPr="00C132F6" w:rsidRDefault="00EE7502" w:rsidP="00EE7502">
      <w:pPr>
        <w:spacing w:after="0"/>
        <w:rPr>
          <w:u w:val="single"/>
        </w:rPr>
      </w:pPr>
      <w:r w:rsidRPr="00C132F6">
        <w:rPr>
          <w:u w:val="single"/>
        </w:rPr>
        <w:t>Table 1: Characteristics of the patients</w:t>
      </w:r>
      <w:r w:rsidR="007845DB">
        <w:rPr>
          <w:u w:val="single"/>
        </w:rPr>
        <w:t>, care bundle receipt and bundle elements received</w:t>
      </w:r>
    </w:p>
    <w:p w:rsidR="00EE7502" w:rsidRDefault="00EE7502" w:rsidP="007740C6">
      <w:pPr>
        <w:spacing w:after="0"/>
      </w:pPr>
      <w:r>
        <w:t>Data is shown as n (%) or median (IQR). Significant differences between bundle and no bundle groups are highlighted by a p value in bold type</w:t>
      </w:r>
      <w:r w:rsidRPr="0029367D">
        <w:t>.</w:t>
      </w:r>
      <w:r w:rsidR="007740C6" w:rsidRPr="0029367D">
        <w:t xml:space="preserve"> For 181 admission bundle patients and </w:t>
      </w:r>
      <w:r w:rsidR="003D62FE" w:rsidRPr="0029367D">
        <w:t>59 discharge</w:t>
      </w:r>
      <w:r w:rsidR="007740C6" w:rsidRPr="0029367D">
        <w:t xml:space="preserve"> bundle </w:t>
      </w:r>
      <w:r w:rsidR="003D62FE" w:rsidRPr="0029367D">
        <w:t xml:space="preserve">patients, their bundle </w:t>
      </w:r>
      <w:r w:rsidR="007740C6" w:rsidRPr="0029367D">
        <w:t xml:space="preserve">receipt status was </w:t>
      </w:r>
      <w:r w:rsidR="003D62FE" w:rsidRPr="0029367D">
        <w:t>not entered by the managing team</w:t>
      </w:r>
      <w:r w:rsidR="007740C6" w:rsidRPr="0029367D">
        <w:t>.</w:t>
      </w:r>
    </w:p>
    <w:p w:rsidR="007845DB" w:rsidRDefault="007845DB" w:rsidP="00EE7502">
      <w:pPr>
        <w:sectPr w:rsidR="007845DB" w:rsidSect="00EE7502">
          <w:pgSz w:w="16838" w:h="11906" w:orient="landscape"/>
          <w:pgMar w:top="1440" w:right="1440" w:bottom="1440" w:left="1440" w:header="708" w:footer="708" w:gutter="0"/>
          <w:cols w:space="708"/>
          <w:docGrid w:linePitch="360"/>
        </w:sectPr>
      </w:pPr>
      <w:r>
        <w:t xml:space="preserve">LOS=length of stay, ED=emergency department, AMU=acute medical unit, </w:t>
      </w:r>
      <w:r w:rsidR="00405FDA">
        <w:t xml:space="preserve">EDS=early discharge scheme, </w:t>
      </w:r>
      <w:r>
        <w:t>SM=self-management, PR=pulmonary rehabilitation</w:t>
      </w:r>
      <w:r w:rsidR="007D7079">
        <w:t xml:space="preserve">, </w:t>
      </w:r>
      <w:r>
        <w:t>NA = not applicable</w:t>
      </w:r>
    </w:p>
    <w:p w:rsidR="00EE7502" w:rsidRDefault="007D7079" w:rsidP="00A65729">
      <w:pPr>
        <w:pStyle w:val="Heading2"/>
        <w:spacing w:line="480" w:lineRule="auto"/>
      </w:pPr>
      <w:r>
        <w:lastRenderedPageBreak/>
        <w:t>Discussion</w:t>
      </w:r>
    </w:p>
    <w:p w:rsidR="00956DA2" w:rsidRDefault="00956DA2" w:rsidP="00A65729">
      <w:pPr>
        <w:spacing w:line="480" w:lineRule="auto"/>
        <w:jc w:val="both"/>
        <w:rPr>
          <w:rFonts w:cs="Arial"/>
        </w:rPr>
      </w:pPr>
      <w:r>
        <w:t xml:space="preserve">     </w:t>
      </w:r>
      <w:r w:rsidR="007D7079">
        <w:t xml:space="preserve">There is evidence that receipt of a COPD care bundle </w:t>
      </w:r>
      <w:r>
        <w:t xml:space="preserve">at admission </w:t>
      </w:r>
      <w:r w:rsidR="007D7079">
        <w:t xml:space="preserve">was associated with significantly improved </w:t>
      </w:r>
      <w:r w:rsidR="00936C21">
        <w:t>outcomes</w:t>
      </w:r>
      <w:r w:rsidR="007D7079">
        <w:t>. Receipt of the oxygen component was associated with 80</w:t>
      </w:r>
      <w:proofErr w:type="gramStart"/>
      <w:r w:rsidR="007D7079">
        <w:t xml:space="preserve">% </w:t>
      </w:r>
      <w:r w:rsidR="0064247B">
        <w:t xml:space="preserve"> lower</w:t>
      </w:r>
      <w:proofErr w:type="gramEnd"/>
      <w:r w:rsidR="0064247B">
        <w:t xml:space="preserve">  in-patient </w:t>
      </w:r>
      <w:r w:rsidR="007D7079">
        <w:t xml:space="preserve">mortality, and receipt of </w:t>
      </w:r>
      <w:r>
        <w:t>appropriate treatment</w:t>
      </w:r>
      <w:r w:rsidR="007D7079">
        <w:t xml:space="preserve"> within four hours of hospital </w:t>
      </w:r>
      <w:r w:rsidR="00247AE0">
        <w:t xml:space="preserve">admission was associated with </w:t>
      </w:r>
      <w:r w:rsidR="007D7079">
        <w:t xml:space="preserve">40% </w:t>
      </w:r>
      <w:r w:rsidR="00247AE0">
        <w:t xml:space="preserve">lower </w:t>
      </w:r>
      <w:r w:rsidR="0064247B">
        <w:t xml:space="preserve">in-patient </w:t>
      </w:r>
      <w:r w:rsidR="007D7079">
        <w:t>mortality.</w:t>
      </w:r>
      <w:r>
        <w:t xml:space="preserve"> </w:t>
      </w:r>
      <w:r w:rsidR="007D7079">
        <w:t xml:space="preserve">Despite the fact that correlation does not equal causation in a longitudinal observational study such as this, these findings are congruent with trial evidence </w:t>
      </w:r>
      <w:r w:rsidR="00EB2BC4">
        <w:t>regarding</w:t>
      </w:r>
      <w:r w:rsidR="007D7079">
        <w:t xml:space="preserve"> controlled oxygen in </w:t>
      </w:r>
      <w:r w:rsidR="00EB2BC4">
        <w:t>AECOPD, which</w:t>
      </w:r>
      <w:r>
        <w:t xml:space="preserve"> associated </w:t>
      </w:r>
      <w:r w:rsidR="00936C21">
        <w:t xml:space="preserve">with </w:t>
      </w:r>
      <w:r>
        <w:t>reduced</w:t>
      </w:r>
      <w:r w:rsidR="007D7079">
        <w:t xml:space="preserve"> mortality</w:t>
      </w:r>
      <w:r w:rsidR="00150FA7">
        <w:fldChar w:fldCharType="begin"/>
      </w:r>
      <w:r w:rsidR="00247AE0">
        <w:instrText xml:space="preserve"> ADDIN EN.CITE &lt;EndNote&gt;&lt;Cite&gt;&lt;Author&gt;Austin&lt;/Author&gt;&lt;Year&gt;2010&lt;/Year&gt;&lt;RecNum&gt;77&lt;/RecNum&gt;&lt;DisplayText&gt;[4]&lt;/DisplayText&gt;&lt;record&gt;&lt;rec-number&gt;77&lt;/rec-number&gt;&lt;foreign-keys&gt;&lt;key app="EN" db-id="e9pwrefwpfv0vwept285tvr4fzaxatxadsw2" timestamp="1406761738"&gt;77&lt;/key&gt;&lt;/foreign-keys&gt;&lt;ref-type name="Journal Article"&gt;17&lt;/ref-type&gt;&lt;contributors&gt;&lt;authors&gt;&lt;author&gt;Austin, M. A.&lt;/author&gt;&lt;author&gt;Wills, K. E.&lt;/author&gt;&lt;author&gt;Blizzard, L.&lt;/author&gt;&lt;author&gt;Walters, E. H.&lt;/author&gt;&lt;author&gt;Wood-Baker, R.&lt;/author&gt;&lt;/authors&gt;&lt;/contributors&gt;&lt;auth-address&gt;Menzies Research Institute, University of Tasmania, Hobart, Tasmania, 7001 Australia. maaustin@utas.edu.au&lt;/auth-address&gt;&lt;titles&gt;&lt;title&gt;Effect of high flow oxygen on mortality in chronic obstructive pulmonary disease patients in prehospital setting: randomised controlled trial&lt;/title&gt;&lt;secondary-title&gt;BMJ&lt;/secondary-title&gt;&lt;alt-title&gt;Bmj&lt;/alt-title&gt;&lt;/titles&gt;&lt;periodical&gt;&lt;full-title&gt;BMJ&lt;/full-title&gt;&lt;/periodical&gt;&lt;alt-periodical&gt;&lt;full-title&gt;BMJ&lt;/full-title&gt;&lt;/alt-periodical&gt;&lt;pages&gt;c5462&lt;/pages&gt;&lt;volume&gt;341&lt;/volume&gt;&lt;keywords&gt;&lt;keyword&gt;Adult&lt;/keyword&gt;&lt;keyword&gt;Aged&lt;/keyword&gt;&lt;keyword&gt;Cluster Analysis&lt;/keyword&gt;&lt;keyword&gt;Emergency Medical Services/*methods&lt;/keyword&gt;&lt;keyword&gt;Female&lt;/keyword&gt;&lt;keyword&gt;Humans&lt;/keyword&gt;&lt;keyword&gt;Length of Stay&lt;/keyword&gt;&lt;keyword&gt;Male&lt;/keyword&gt;&lt;keyword&gt;Middle Aged&lt;/keyword&gt;&lt;keyword&gt;Oxygen/*administration &amp;amp; dosage&lt;/keyword&gt;&lt;keyword&gt;Pulmonary Disease, Chronic Obstructive/mortality/*therapy&lt;/keyword&gt;&lt;keyword&gt;Rural Health&lt;/keyword&gt;&lt;keyword&gt;Tasmania/epidemiology&lt;/keyword&gt;&lt;keyword&gt;Urban Health&lt;/keyword&gt;&lt;/keywords&gt;&lt;dates&gt;&lt;year&gt;2010&lt;/year&gt;&lt;/dates&gt;&lt;isbn&gt;1756-1833 (Electronic)&amp;#xD;0959-535X (Linking)&lt;/isbn&gt;&lt;accession-num&gt;20959284&lt;/accession-num&gt;&lt;urls&gt;&lt;related-urls&gt;&lt;url&gt;http://www.ncbi.nlm.nih.gov/pubmed/20959284&lt;/url&gt;&lt;/related-urls&gt;&lt;/urls&gt;&lt;custom2&gt;2957540&lt;/custom2&gt;&lt;electronic-resource-num&gt;10.1136/bmj.c5462&lt;/electronic-resource-num&gt;&lt;/record&gt;&lt;/Cite&gt;&lt;/EndNote&gt;</w:instrText>
      </w:r>
      <w:r w:rsidR="00150FA7">
        <w:fldChar w:fldCharType="separate"/>
      </w:r>
      <w:r w:rsidR="00247AE0">
        <w:rPr>
          <w:noProof/>
        </w:rPr>
        <w:t>[</w:t>
      </w:r>
      <w:hyperlink w:anchor="_ENREF_4" w:tooltip="Austin, 2010 #77" w:history="1">
        <w:r w:rsidR="0073469B">
          <w:rPr>
            <w:noProof/>
          </w:rPr>
          <w:t>4</w:t>
        </w:r>
      </w:hyperlink>
      <w:r w:rsidR="00247AE0">
        <w:rPr>
          <w:noProof/>
        </w:rPr>
        <w:t>]</w:t>
      </w:r>
      <w:r w:rsidR="00150FA7">
        <w:fldChar w:fldCharType="end"/>
      </w:r>
      <w:r w:rsidR="007D7079">
        <w:t>.</w:t>
      </w:r>
      <w:r w:rsidR="007D7079">
        <w:rPr>
          <w:color w:val="FF0000"/>
        </w:rPr>
        <w:t xml:space="preserve"> </w:t>
      </w:r>
      <w:r w:rsidR="007D7079" w:rsidRPr="000227CE">
        <w:t xml:space="preserve">Furthermore receipt of </w:t>
      </w:r>
      <w:r w:rsidR="00936C21">
        <w:t xml:space="preserve">either </w:t>
      </w:r>
      <w:r w:rsidR="007D7079" w:rsidRPr="000227CE">
        <w:t xml:space="preserve">the oxygen </w:t>
      </w:r>
      <w:r>
        <w:t xml:space="preserve">element </w:t>
      </w:r>
      <w:r w:rsidR="00936C21">
        <w:t>and/or</w:t>
      </w:r>
      <w:r w:rsidR="007D7079" w:rsidRPr="000227CE">
        <w:t xml:space="preserve"> timely non-invasive ventilation</w:t>
      </w:r>
      <w:r>
        <w:t xml:space="preserve"> (NIV)</w:t>
      </w:r>
      <w:r w:rsidR="007D7079" w:rsidRPr="000227CE">
        <w:t xml:space="preserve"> </w:t>
      </w:r>
      <w:r w:rsidR="007D7079">
        <w:t>was</w:t>
      </w:r>
      <w:r w:rsidR="007D7079" w:rsidRPr="000227CE">
        <w:t xml:space="preserve"> associated with </w:t>
      </w:r>
      <w:r w:rsidR="00936C21">
        <w:t xml:space="preserve">shorter </w:t>
      </w:r>
      <w:r>
        <w:t>LOS</w:t>
      </w:r>
      <w:r w:rsidR="007D7079" w:rsidRPr="000227CE">
        <w:t>. Again these findings are congruent</w:t>
      </w:r>
      <w:r w:rsidR="007D7079">
        <w:t xml:space="preserve"> with the literature showing improved outcomes </w:t>
      </w:r>
      <w:r w:rsidR="00936C21">
        <w:t xml:space="preserve">with </w:t>
      </w:r>
      <w:r w:rsidR="007D7079">
        <w:t>appropriate use of NIV</w:t>
      </w:r>
      <w:r w:rsidR="00150FA7">
        <w:fldChar w:fldCharType="begin"/>
      </w:r>
      <w:r w:rsidR="00247AE0">
        <w:instrText xml:space="preserve"> ADDIN EN.CITE &lt;EndNote&gt;&lt;Cite&gt;&lt;Author&gt;Plant&lt;/Author&gt;&lt;Year&gt;2000&lt;/Year&gt;&lt;RecNum&gt;1402&lt;/RecNum&gt;&lt;DisplayText&gt;[5]&lt;/DisplayText&gt;&lt;record&gt;&lt;rec-number&gt;1402&lt;/rec-number&gt;&lt;foreign-keys&gt;&lt;key app="EN" db-id="fx92ev59sr0997exp9s59xsuw2twtwsawr9v"&gt;1402&lt;/key&gt;&lt;/foreign-keys&gt;&lt;ref-type name="Journal Article"&gt;17&lt;/ref-type&gt;&lt;contributors&gt;&lt;authors&gt;&lt;author&gt;Plant, P. K.&lt;/author&gt;&lt;author&gt;Owen, J. L.&lt;/author&gt;&lt;author&gt;Elliott, M. W.&lt;/author&gt;&lt;/authors&gt;&lt;/contributors&gt;&lt;auth-address&gt;Department of Respiratory Medicine, St James&amp;apos;s University Hospital, Leeds, UK.&lt;/auth-address&gt;&lt;titles&gt;&lt;title&gt;Early use of non-invasive ventilation for acute exacerbations of chronic obstructive pulmonary disease on general respiratory wards: a multicentre randomised controlled trial&lt;/title&gt;&lt;secondary-title&gt;Lancet&lt;/secondary-title&gt;&lt;/titles&gt;&lt;periodical&gt;&lt;full-title&gt;Lancet&lt;/full-title&gt;&lt;/periodical&gt;&lt;pages&gt;1931-5&lt;/pages&gt;&lt;volume&gt;355&lt;/volume&gt;&lt;number&gt;9219&lt;/number&gt;&lt;edition&gt;2000/06/20&lt;/edition&gt;&lt;keywords&gt;&lt;keyword&gt;Aged&lt;/keyword&gt;&lt;keyword&gt;Albuterol/therapeutic use&lt;/keyword&gt;&lt;keyword&gt;Bronchodilator Agents/therapeutic use&lt;/keyword&gt;&lt;keyword&gt;Female&lt;/keyword&gt;&lt;keyword&gt;Hospital Mortality&lt;/keyword&gt;&lt;keyword&gt;Humans&lt;/keyword&gt;&lt;keyword&gt;Hydrogen-Ion Concentration&lt;/keyword&gt;&lt;keyword&gt;Intensive Care Units&lt;/keyword&gt;&lt;keyword&gt;Intubation, Intratracheal&lt;/keyword&gt;&lt;keyword&gt;Length of Stay&lt;/keyword&gt;&lt;keyword&gt;Lung Diseases, Obstructive/mortality/*therapy&lt;/keyword&gt;&lt;keyword&gt;Male&lt;/keyword&gt;&lt;keyword&gt;Masks&lt;/keyword&gt;&lt;keyword&gt;Respiration, Artificial/*methods&lt;/keyword&gt;&lt;keyword&gt;Terbutaline/therapeutic use&lt;/keyword&gt;&lt;/keywords&gt;&lt;dates&gt;&lt;year&gt;2000&lt;/year&gt;&lt;pub-dates&gt;&lt;date&gt;Jun 3&lt;/date&gt;&lt;/pub-dates&gt;&lt;/dates&gt;&lt;isbn&gt;0140-6736 (Print)&amp;#xD;0140-6736 (Linking)&lt;/isbn&gt;&lt;accession-num&gt;10859037&lt;/accession-num&gt;&lt;urls&gt;&lt;related-urls&gt;&lt;url&gt;http://www.ncbi.nlm.nih.gov/entrez/query.fcgi?cmd=Retrieve&amp;amp;db=PubMed&amp;amp;dopt=Citation&amp;amp;list_uids=10859037&lt;/url&gt;&lt;/related-urls&gt;&lt;/urls&gt;&lt;electronic-resource-num&gt;S0140673600023230 [pii]&lt;/electronic-resource-num&gt;&lt;language&gt;eng&lt;/language&gt;&lt;/record&gt;&lt;/Cite&gt;&lt;/EndNote&gt;</w:instrText>
      </w:r>
      <w:r w:rsidR="00150FA7">
        <w:fldChar w:fldCharType="separate"/>
      </w:r>
      <w:r w:rsidR="00247AE0">
        <w:rPr>
          <w:noProof/>
        </w:rPr>
        <w:t>[</w:t>
      </w:r>
      <w:hyperlink w:anchor="_ENREF_5" w:tooltip="Plant, 2000 #1402" w:history="1">
        <w:r w:rsidR="0073469B">
          <w:rPr>
            <w:noProof/>
          </w:rPr>
          <w:t>5</w:t>
        </w:r>
      </w:hyperlink>
      <w:r w:rsidR="00247AE0">
        <w:rPr>
          <w:noProof/>
        </w:rPr>
        <w:t>]</w:t>
      </w:r>
      <w:r w:rsidR="00150FA7">
        <w:fldChar w:fldCharType="end"/>
      </w:r>
      <w:r w:rsidR="007D7079" w:rsidRPr="000227CE">
        <w:t>.</w:t>
      </w:r>
      <w:r>
        <w:t xml:space="preserve"> </w:t>
      </w:r>
      <w:r w:rsidR="007D7079">
        <w:t>I</w:t>
      </w:r>
      <w:r w:rsidR="00936C21">
        <w:t>t is possible that some</w:t>
      </w:r>
      <w:r w:rsidR="007D7079">
        <w:t xml:space="preserve"> associations occurred </w:t>
      </w:r>
      <w:r w:rsidR="00936C21">
        <w:t>due to</w:t>
      </w:r>
      <w:r w:rsidR="007D7079">
        <w:t xml:space="preserve"> confounding</w:t>
      </w:r>
      <w:r w:rsidR="0064247B">
        <w:t xml:space="preserve"> or selection bias</w:t>
      </w:r>
      <w:r w:rsidR="007D7079">
        <w:t>, as patients receiving a care bundle were almost twice as likely to have be</w:t>
      </w:r>
      <w:r>
        <w:t>en seen by the</w:t>
      </w:r>
      <w:r w:rsidR="00936C21">
        <w:t xml:space="preserve"> respiratory team</w:t>
      </w:r>
      <w:r w:rsidR="0064247B">
        <w:t>, and in general those seen by respiratory were more unwell (see full report for details)</w:t>
      </w:r>
      <w:r>
        <w:t xml:space="preserve">. </w:t>
      </w:r>
      <w:r w:rsidR="00EB2BC4">
        <w:t>Perhaps</w:t>
      </w:r>
      <w:r w:rsidR="00936C21">
        <w:t xml:space="preserve"> use of a </w:t>
      </w:r>
      <w:r w:rsidR="00C9194F">
        <w:t xml:space="preserve">care bundle, </w:t>
      </w:r>
      <w:r w:rsidR="00936C21">
        <w:t xml:space="preserve">which </w:t>
      </w:r>
      <w:r w:rsidR="00EB2BC4">
        <w:t xml:space="preserve">appeared to improve </w:t>
      </w:r>
      <w:r w:rsidR="00936C21">
        <w:t xml:space="preserve">actions </w:t>
      </w:r>
      <w:r w:rsidR="00EB2BC4">
        <w:t>representative of quality care</w:t>
      </w:r>
      <w:r w:rsidR="00936C21">
        <w:t xml:space="preserve"> </w:t>
      </w:r>
      <w:r w:rsidR="00EB2BC4">
        <w:t xml:space="preserve">in our data, </w:t>
      </w:r>
      <w:r w:rsidR="00C9194F">
        <w:t xml:space="preserve">would </w:t>
      </w:r>
      <w:r w:rsidR="00936C21">
        <w:t xml:space="preserve">bring non-respiratory specialists </w:t>
      </w:r>
      <w:r w:rsidR="00C9194F">
        <w:t>closer to achieving the improved outcomes achieved by respiratory practitioners</w:t>
      </w:r>
      <w:r w:rsidR="00936C21">
        <w:t>,</w:t>
      </w:r>
      <w:r w:rsidR="00C9194F">
        <w:t xml:space="preserve"> in our dataset and elsewhere</w:t>
      </w:r>
      <w:r w:rsidR="00150FA7">
        <w:fldChar w:fldCharType="begin"/>
      </w:r>
      <w:r w:rsidR="00B26DB6">
        <w:instrText xml:space="preserve"> ADDIN EN.CITE &lt;EndNote&gt;&lt;Cite&gt;&lt;Author&gt;Stone&lt;/Author&gt;&lt;Year&gt;2015&lt;/Year&gt;&lt;RecNum&gt;787&lt;/RecNum&gt;&lt;DisplayText&gt;[1]&lt;/DisplayText&gt;&lt;record&gt;&lt;rec-number&gt;787&lt;/rec-number&gt;&lt;foreign-keys&gt;&lt;key app="EN" db-id="srv9exf582a5pkewvs8przzoze9efv2wdaew"&gt;787&lt;/key&gt;&lt;/foreign-keys&gt;&lt;ref-type name="Report"&gt;27&lt;/ref-type&gt;&lt;contributors&gt;&lt;authors&gt;&lt;author&gt;Stone, R.A.&lt;/author&gt;&lt;author&gt;Roberts, C.M.&lt;/author&gt;&lt;author&gt;Lowe, D.&lt;/author&gt;&lt;author&gt;Welham, S.&lt;/author&gt;&lt;author&gt;Searle, L.&lt;/author&gt;&lt;author&gt;Skipper, E.&lt;/author&gt;&lt;author&gt;Holzhauer-Barrie, J.&lt;/author&gt;&lt;/authors&gt;&lt;secondary-authors&gt;&lt;author&gt;Royal College of Physicians&lt;/author&gt;&lt;/secondary-authors&gt;&lt;/contributors&gt;&lt;titles&gt;&lt;title&gt;COPD: Who cares matters. National Chronic Obstructive Pulmonary Disease (COPD) Audit Programme: Clinical audit of COPD exacerbations admitted to acute units in England and Wales 2014&lt;/title&gt;&lt;/titles&gt;&lt;dates&gt;&lt;year&gt;2015&lt;/year&gt;&lt;/dates&gt;&lt;pub-location&gt;London&lt;/pub-location&gt;&lt;publisher&gt;Royal College of Physicians&lt;/publisher&gt;&lt;urls&gt;&lt;related-urls&gt;&lt;url&gt;https://www.rcplondon.ac.uk/sites/default/files/nat_copd_audit_prog_secondary_care_clinical_audit_national_full_report_2014_final_web.pdf&lt;/url&gt;&lt;/related-urls&gt;&lt;/urls&gt;&lt;/record&gt;&lt;/Cite&gt;&lt;/EndNote&gt;</w:instrText>
      </w:r>
      <w:r w:rsidR="00150FA7">
        <w:fldChar w:fldCharType="separate"/>
      </w:r>
      <w:r w:rsidR="00247AE0">
        <w:rPr>
          <w:noProof/>
        </w:rPr>
        <w:t>[</w:t>
      </w:r>
      <w:hyperlink w:anchor="_ENREF_1" w:tooltip="Stone, 2015 #787" w:history="1">
        <w:r w:rsidR="0073469B">
          <w:rPr>
            <w:noProof/>
          </w:rPr>
          <w:t>1</w:t>
        </w:r>
      </w:hyperlink>
      <w:r w:rsidR="00247AE0">
        <w:rPr>
          <w:noProof/>
        </w:rPr>
        <w:t>]</w:t>
      </w:r>
      <w:r w:rsidR="00150FA7">
        <w:fldChar w:fldCharType="end"/>
      </w:r>
      <w:r w:rsidR="00247AE0">
        <w:t>.</w:t>
      </w:r>
    </w:p>
    <w:p w:rsidR="007D7079" w:rsidRDefault="00C9194F" w:rsidP="00A65729">
      <w:pPr>
        <w:spacing w:line="480" w:lineRule="auto"/>
        <w:jc w:val="both"/>
      </w:pPr>
      <w:r>
        <w:t xml:space="preserve">     The biggest impact of the discharge bundle was likely to be on readmission rates, but the only data available to assess this was derived from Trusts’ hospital episode statistics. As bundles were completed in a relatively small proportion of patients discharged, it is not surprising that no </w:t>
      </w:r>
      <w:r w:rsidR="00936C21">
        <w:t>effect on this outcome was seen</w:t>
      </w:r>
      <w:r>
        <w:t xml:space="preserve">. Nevertheless it is encouraging to note that patient satisfaction improved, and use of a specific discharge </w:t>
      </w:r>
      <w:r w:rsidR="00DA665A">
        <w:t xml:space="preserve">bundle made it </w:t>
      </w:r>
      <w:r>
        <w:t xml:space="preserve">more likely that </w:t>
      </w:r>
      <w:r w:rsidR="00DA665A">
        <w:t>each element of quality care was</w:t>
      </w:r>
      <w:r>
        <w:t xml:space="preserve"> re</w:t>
      </w:r>
      <w:r w:rsidR="00DA665A">
        <w:t xml:space="preserve">ceived. </w:t>
      </w:r>
      <w:r w:rsidR="00A65729">
        <w:t xml:space="preserve">It is notable that the difference in completion rate for individual bundle elements (e.g. SM bundle 12.8% v 64.5%) was far more marked than the receipt of ≥4 elements. This may be because non-specialist teams were not able to deliver all parts; </w:t>
      </w:r>
      <w:r w:rsidR="00936C21">
        <w:t>SM</w:t>
      </w:r>
      <w:r w:rsidR="00A65729">
        <w:t xml:space="preserve"> plan implementation and </w:t>
      </w:r>
      <w:r w:rsidR="00936C21">
        <w:t>PR</w:t>
      </w:r>
      <w:r w:rsidR="00A65729">
        <w:t xml:space="preserve"> assessments require specific staff training to deliver properly</w:t>
      </w:r>
      <w:r w:rsidR="00936C21">
        <w:t>,</w:t>
      </w:r>
      <w:r w:rsidR="00A65729">
        <w:t xml:space="preserve"> and follow-up phone calls require sufficient non-ward based staff. The project was </w:t>
      </w:r>
      <w:r w:rsidR="00EB2BC4">
        <w:lastRenderedPageBreak/>
        <w:t>relatively short, and</w:t>
      </w:r>
      <w:r w:rsidR="00A65729">
        <w:t xml:space="preserve"> Trusts would not have had time to train non-specialist ward nurses, or submit and approve business cases to increase staff numbers in this time frame.</w:t>
      </w:r>
      <w:r w:rsidR="002509B3">
        <w:t xml:space="preserve"> The short duration of the project, in service development terms, is probably the explanation for low rates of bundle completion. Many participating Trusts reported difficult</w:t>
      </w:r>
      <w:r w:rsidR="002C6C66">
        <w:t>y</w:t>
      </w:r>
      <w:r w:rsidR="002509B3">
        <w:t xml:space="preserve"> introducing these major changes in service delivery without significant managerial or financial support, changes to job plans and/or changes to staffing levels</w:t>
      </w:r>
      <w:r w:rsidR="002C6C66">
        <w:t xml:space="preserve">; this was reflected by the slow start to bundle completion in most </w:t>
      </w:r>
      <w:proofErr w:type="spellStart"/>
      <w:r w:rsidR="002C6C66">
        <w:t>centres</w:t>
      </w:r>
      <w:proofErr w:type="spellEnd"/>
      <w:r w:rsidR="002509B3">
        <w:t>. Better bundle completion rates would likely only be achieved with Trust sponsored training and enhanced respiratory staffing levels. Mismatch between bed base and staffing in respiratory medicine, compared to admission numbers for COPD alone was highlighted in the 2014 National COPD audit</w:t>
      </w:r>
      <w:r w:rsidR="00150FA7">
        <w:fldChar w:fldCharType="begin"/>
      </w:r>
      <w:r w:rsidR="00B26DB6">
        <w:instrText xml:space="preserve"> ADDIN EN.CITE &lt;EndNote&gt;&lt;Cite&gt;&lt;Author&gt;Stone&lt;/Author&gt;&lt;Year&gt;2015&lt;/Year&gt;&lt;RecNum&gt;787&lt;/RecNum&gt;&lt;DisplayText&gt;[1]&lt;/DisplayText&gt;&lt;record&gt;&lt;rec-number&gt;787&lt;/rec-number&gt;&lt;foreign-keys&gt;&lt;key app="EN" db-id="srv9exf582a5pkewvs8przzoze9efv2wdaew"&gt;787&lt;/key&gt;&lt;/foreign-keys&gt;&lt;ref-type name="Report"&gt;27&lt;/ref-type&gt;&lt;contributors&gt;&lt;authors&gt;&lt;author&gt;Stone, R.A.&lt;/author&gt;&lt;author&gt;Roberts, C.M.&lt;/author&gt;&lt;author&gt;Lowe, D.&lt;/author&gt;&lt;author&gt;Welham, S.&lt;/author&gt;&lt;author&gt;Searle, L.&lt;/author&gt;&lt;author&gt;Skipper, E.&lt;/author&gt;&lt;author&gt;Holzhauer-Barrie, J.&lt;/author&gt;&lt;/authors&gt;&lt;secondary-authors&gt;&lt;author&gt;Royal College of Physicians&lt;/author&gt;&lt;/secondary-authors&gt;&lt;/contributors&gt;&lt;titles&gt;&lt;title&gt;COPD: Who cares matters. National Chronic Obstructive Pulmonary Disease (COPD) Audit Programme: Clinical audit of COPD exacerbations admitted to acute units in England and Wales 2014&lt;/title&gt;&lt;/titles&gt;&lt;dates&gt;&lt;year&gt;2015&lt;/year&gt;&lt;/dates&gt;&lt;pub-location&gt;London&lt;/pub-location&gt;&lt;publisher&gt;Royal College of Physicians&lt;/publisher&gt;&lt;urls&gt;&lt;related-urls&gt;&lt;url&gt;https://www.rcplondon.ac.uk/sites/default/files/nat_copd_audit_prog_secondary_care_clinical_audit_national_full_report_2014_final_web.pdf&lt;/url&gt;&lt;/related-urls&gt;&lt;/urls&gt;&lt;/record&gt;&lt;/Cite&gt;&lt;/EndNote&gt;</w:instrText>
      </w:r>
      <w:r w:rsidR="00150FA7">
        <w:fldChar w:fldCharType="separate"/>
      </w:r>
      <w:r w:rsidR="00B26DB6">
        <w:rPr>
          <w:noProof/>
        </w:rPr>
        <w:t>[</w:t>
      </w:r>
      <w:hyperlink w:anchor="_ENREF_1" w:tooltip="Stone, 2015 #787" w:history="1">
        <w:r w:rsidR="0073469B">
          <w:rPr>
            <w:noProof/>
          </w:rPr>
          <w:t>1</w:t>
        </w:r>
      </w:hyperlink>
      <w:r w:rsidR="00B26DB6">
        <w:rPr>
          <w:noProof/>
        </w:rPr>
        <w:t>]</w:t>
      </w:r>
      <w:r w:rsidR="00150FA7">
        <w:fldChar w:fldCharType="end"/>
      </w:r>
      <w:r w:rsidR="002509B3">
        <w:t>.</w:t>
      </w:r>
    </w:p>
    <w:p w:rsidR="00A65729" w:rsidRDefault="00A65729" w:rsidP="00A65729">
      <w:pPr>
        <w:spacing w:line="480" w:lineRule="auto"/>
        <w:jc w:val="both"/>
      </w:pPr>
      <w:r>
        <w:t xml:space="preserve">     In conclusion, the results from this pilot are hugely encouraging, and suggest that wide implementation of the BTS COPD care bundles is feasible, and has the potential to impact not only on processes of care, but also on important measurable clinical outcomes. </w:t>
      </w:r>
      <w:r w:rsidR="002509B3">
        <w:t>However, further research is needed to confirm the findings, and delineate cost-effectiveness.</w:t>
      </w:r>
    </w:p>
    <w:p w:rsidR="00EB2BC4" w:rsidRDefault="00EB2BC4" w:rsidP="00A65729">
      <w:pPr>
        <w:spacing w:line="480" w:lineRule="auto"/>
        <w:jc w:val="both"/>
      </w:pPr>
    </w:p>
    <w:p w:rsidR="00EB2BC4" w:rsidRDefault="00EB2BC4" w:rsidP="00EB2BC4">
      <w:pPr>
        <w:pStyle w:val="Heading2"/>
        <w:spacing w:line="480" w:lineRule="auto"/>
      </w:pPr>
      <w:r>
        <w:t>Acknowledgements</w:t>
      </w:r>
    </w:p>
    <w:p w:rsidR="00AB6944" w:rsidRDefault="00EB2BC4" w:rsidP="00EB2BC4">
      <w:pPr>
        <w:spacing w:line="480" w:lineRule="auto"/>
        <w:jc w:val="both"/>
      </w:pPr>
      <w:r>
        <w:t xml:space="preserve"> </w:t>
      </w:r>
      <w:r w:rsidR="00AB6944">
        <w:t xml:space="preserve">The authors would like to thank all Trusts who participated in the project, and their staff, for the efforts they put into data collection. We thank the Department of Health South West Strategic Health Authority Respiratory </w:t>
      </w:r>
      <w:proofErr w:type="spellStart"/>
      <w:r w:rsidR="00AB6944">
        <w:t>Programme</w:t>
      </w:r>
      <w:proofErr w:type="spellEnd"/>
      <w:r w:rsidR="00AB6944">
        <w:t xml:space="preserve"> for providing some funding towards this project. We also thank the South-West SHA Respiratory Leads and the team from NHS Improvement for their help and support. All staff participating </w:t>
      </w:r>
      <w:proofErr w:type="gramStart"/>
      <w:r w:rsidR="00AB6944">
        <w:t>are</w:t>
      </w:r>
      <w:proofErr w:type="gramEnd"/>
      <w:r w:rsidR="00AB6944">
        <w:t xml:space="preserve"> named in the full BTS report, (J Calvert et al, British Thoracic Society Pilot Care Bundle Project: a care bundles-based approach to improving standards of care in chronic obstructive pulmonary disease and community acquired pneumonia, 2014. BTS Reports 6 (4) https://www.britthoracic.org.uk/audit-and-quality-improvement/bts-care-bundles-for-cap-and-copd</w:t>
      </w:r>
      <w:proofErr w:type="gramStart"/>
      <w:r w:rsidR="00AB6944">
        <w:t>/ )</w:t>
      </w:r>
      <w:proofErr w:type="gramEnd"/>
      <w:r w:rsidR="00AB6944">
        <w:t xml:space="preserve"> wherein additional methods and results can also be seen.</w:t>
      </w:r>
    </w:p>
    <w:p w:rsidR="0040122D" w:rsidRDefault="00EB2BC4" w:rsidP="00EB2BC4">
      <w:pPr>
        <w:pStyle w:val="Heading2"/>
      </w:pPr>
      <w:r>
        <w:lastRenderedPageBreak/>
        <w:t>References</w:t>
      </w:r>
    </w:p>
    <w:p w:rsidR="0073469B" w:rsidRPr="0073469B" w:rsidRDefault="00150FA7" w:rsidP="0073469B">
      <w:pPr>
        <w:spacing w:after="0" w:line="240" w:lineRule="auto"/>
        <w:ind w:left="720" w:hanging="720"/>
        <w:rPr>
          <w:rFonts w:ascii="Cambria" w:hAnsi="Cambria"/>
          <w:noProof/>
        </w:rPr>
      </w:pPr>
      <w:r>
        <w:fldChar w:fldCharType="begin"/>
      </w:r>
      <w:r w:rsidR="0040122D">
        <w:instrText xml:space="preserve"> ADDIN EN.REFLIST </w:instrText>
      </w:r>
      <w:r>
        <w:fldChar w:fldCharType="separate"/>
      </w:r>
      <w:bookmarkStart w:id="0" w:name="_ENREF_1"/>
      <w:r w:rsidR="0073469B" w:rsidRPr="0073469B">
        <w:rPr>
          <w:rFonts w:ascii="Cambria" w:hAnsi="Cambria"/>
          <w:noProof/>
        </w:rPr>
        <w:t>1. Stone RA, Roberts CM, Lowe D, et al. COPD: Who cares matters. National Chronic Obstructive Pulmonary Disease (COPD) Audit Programme: Clinical audit of COPD exacerbations admitted to acute units in England and Wales 2014. In: Physicians RCo, ed. London: Royal College of Physicians, 2015.</w:t>
      </w:r>
      <w:bookmarkEnd w:id="0"/>
    </w:p>
    <w:p w:rsidR="0073469B" w:rsidRPr="0073469B" w:rsidRDefault="0073469B" w:rsidP="0073469B">
      <w:pPr>
        <w:spacing w:after="0" w:line="240" w:lineRule="auto"/>
        <w:ind w:left="720" w:hanging="720"/>
        <w:rPr>
          <w:rFonts w:ascii="Cambria" w:hAnsi="Cambria"/>
          <w:noProof/>
        </w:rPr>
      </w:pPr>
      <w:bookmarkStart w:id="1" w:name="_ENREF_2"/>
      <w:r w:rsidRPr="0073469B">
        <w:rPr>
          <w:rFonts w:ascii="Cambria" w:hAnsi="Cambria"/>
          <w:noProof/>
        </w:rPr>
        <w:t>2. Robb E, Jarman B, Suntharalingam G, Higgens C, Tennant R, Elcock K. Using care bundles to reduce in-hospital mortality: quantitative survey. BMJ 2010;</w:t>
      </w:r>
      <w:r w:rsidRPr="0073469B">
        <w:rPr>
          <w:rFonts w:ascii="Cambria" w:hAnsi="Cambria"/>
          <w:b/>
          <w:noProof/>
        </w:rPr>
        <w:t>340</w:t>
      </w:r>
      <w:r w:rsidRPr="0073469B">
        <w:rPr>
          <w:rFonts w:ascii="Cambria" w:hAnsi="Cambria"/>
          <w:noProof/>
        </w:rPr>
        <w:t>:c1234 doi: 10.1136/bmj.c1234[published Online First: Epub Date]|.</w:t>
      </w:r>
      <w:bookmarkEnd w:id="1"/>
    </w:p>
    <w:p w:rsidR="0073469B" w:rsidRPr="0073469B" w:rsidRDefault="0073469B" w:rsidP="0073469B">
      <w:pPr>
        <w:spacing w:after="0" w:line="240" w:lineRule="auto"/>
        <w:ind w:left="720" w:hanging="720"/>
        <w:rPr>
          <w:rFonts w:ascii="Cambria" w:hAnsi="Cambria"/>
          <w:noProof/>
        </w:rPr>
      </w:pPr>
      <w:bookmarkStart w:id="2" w:name="_ENREF_3"/>
      <w:r w:rsidRPr="0073469B">
        <w:rPr>
          <w:rFonts w:ascii="Cambria" w:hAnsi="Cambria"/>
          <w:noProof/>
        </w:rPr>
        <w:t>3. Hopkinson NS, Englebretsen C, Cooley N, et al. Designing and implementing a COPD discharge care bundle. Thorax 2012;</w:t>
      </w:r>
      <w:r w:rsidRPr="0073469B">
        <w:rPr>
          <w:rFonts w:ascii="Cambria" w:hAnsi="Cambria"/>
          <w:b/>
          <w:noProof/>
        </w:rPr>
        <w:t>67</w:t>
      </w:r>
      <w:r w:rsidRPr="0073469B">
        <w:rPr>
          <w:rFonts w:ascii="Cambria" w:hAnsi="Cambria"/>
          <w:noProof/>
        </w:rPr>
        <w:t>(1):90-2 doi: 10.1136/thoraxjnl-2011-200233[published Online First: Epub Date]|.</w:t>
      </w:r>
      <w:bookmarkEnd w:id="2"/>
    </w:p>
    <w:p w:rsidR="0073469B" w:rsidRPr="0073469B" w:rsidRDefault="0073469B" w:rsidP="0073469B">
      <w:pPr>
        <w:spacing w:after="0" w:line="240" w:lineRule="auto"/>
        <w:ind w:left="720" w:hanging="720"/>
        <w:rPr>
          <w:rFonts w:ascii="Cambria" w:hAnsi="Cambria"/>
          <w:noProof/>
        </w:rPr>
      </w:pPr>
      <w:bookmarkStart w:id="3" w:name="_ENREF_4"/>
      <w:r w:rsidRPr="0073469B">
        <w:rPr>
          <w:rFonts w:ascii="Cambria" w:hAnsi="Cambria"/>
          <w:noProof/>
        </w:rPr>
        <w:t>4. Austin MA, Wills KE, Blizzard L, Walters EH, Wood-Baker R. Effect of high flow oxygen on mortality in chronic obstructive pulmonary disease patients in prehospital setting: randomised controlled trial. BMJ 2010;</w:t>
      </w:r>
      <w:r w:rsidRPr="0073469B">
        <w:rPr>
          <w:rFonts w:ascii="Cambria" w:hAnsi="Cambria"/>
          <w:b/>
          <w:noProof/>
        </w:rPr>
        <w:t>341</w:t>
      </w:r>
      <w:r w:rsidRPr="0073469B">
        <w:rPr>
          <w:rFonts w:ascii="Cambria" w:hAnsi="Cambria"/>
          <w:noProof/>
        </w:rPr>
        <w:t>:c5462 doi: 10.1136/bmj.c5462[published Online First: Epub Date]|.</w:t>
      </w:r>
      <w:bookmarkEnd w:id="3"/>
    </w:p>
    <w:p w:rsidR="0073469B" w:rsidRPr="0073469B" w:rsidRDefault="0073469B" w:rsidP="0073469B">
      <w:pPr>
        <w:spacing w:line="240" w:lineRule="auto"/>
        <w:ind w:left="720" w:hanging="720"/>
        <w:rPr>
          <w:rFonts w:ascii="Cambria" w:hAnsi="Cambria"/>
          <w:noProof/>
        </w:rPr>
      </w:pPr>
      <w:bookmarkStart w:id="4" w:name="_ENREF_5"/>
      <w:r w:rsidRPr="0073469B">
        <w:rPr>
          <w:rFonts w:ascii="Cambria" w:hAnsi="Cambria"/>
          <w:noProof/>
        </w:rPr>
        <w:t>5. Plant PK, Owen JL, Elliott MW. Early use of non-invasive ventilation for acute exacerbations of chronic obstructive pulmonary disease on general respiratory wards: a multicentre randomised controlled trial. Lancet 2000;</w:t>
      </w:r>
      <w:r w:rsidRPr="0073469B">
        <w:rPr>
          <w:rFonts w:ascii="Cambria" w:hAnsi="Cambria"/>
          <w:b/>
          <w:noProof/>
        </w:rPr>
        <w:t>355</w:t>
      </w:r>
      <w:r w:rsidRPr="0073469B">
        <w:rPr>
          <w:rFonts w:ascii="Cambria" w:hAnsi="Cambria"/>
          <w:noProof/>
        </w:rPr>
        <w:t>(9219):1931-5 doi: S0140673600023230 [pii][published Online First: Epub Date]|.</w:t>
      </w:r>
      <w:bookmarkEnd w:id="4"/>
    </w:p>
    <w:p w:rsidR="0073469B" w:rsidRDefault="0073469B" w:rsidP="0073469B">
      <w:pPr>
        <w:spacing w:line="240" w:lineRule="auto"/>
        <w:rPr>
          <w:rFonts w:ascii="Cambria" w:hAnsi="Cambria"/>
          <w:noProof/>
        </w:rPr>
      </w:pPr>
    </w:p>
    <w:p w:rsidR="00865BF9" w:rsidRPr="00074E18" w:rsidRDefault="00150FA7" w:rsidP="00B81739">
      <w:pPr>
        <w:spacing w:line="480" w:lineRule="auto"/>
      </w:pPr>
      <w:r>
        <w:fldChar w:fldCharType="end"/>
      </w:r>
    </w:p>
    <w:sectPr w:rsidR="00865BF9" w:rsidRPr="00074E18" w:rsidSect="00EE75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TNEJMQuadraa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6264"/>
    <w:multiLevelType w:val="hybridMultilevel"/>
    <w:tmpl w:val="A7060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61D36"/>
    <w:multiLevelType w:val="hybridMultilevel"/>
    <w:tmpl w:val="9188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64004"/>
    <w:multiLevelType w:val="hybridMultilevel"/>
    <w:tmpl w:val="A0463F1A"/>
    <w:lvl w:ilvl="0" w:tplc="BB5EB20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FEF66A5"/>
    <w:multiLevelType w:val="hybridMultilevel"/>
    <w:tmpl w:val="E1B8F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343DE4"/>
    <w:multiLevelType w:val="hybridMultilevel"/>
    <w:tmpl w:val="6C5A196A"/>
    <w:lvl w:ilvl="0" w:tplc="F06040B2">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docVars>
    <w:docVar w:name="EN.InstantFormat" w:val="&lt;ENInstantFormat&gt;&lt;Enabled&gt;1&lt;/Enabled&gt;&lt;ScanUnformatted&gt;1&lt;/ScanUnformatted&gt;&lt;ScanChanges&gt;1&lt;/ScanChanges&gt;&lt;Suspended&gt;0&lt;/Suspended&gt;&lt;/ENInstantFormat&gt;"/>
    <w:docVar w:name="EN.Layout" w:val="&lt;ENLayout&gt;&lt;Style&gt;BMJEndNo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rv9exf582a5pkewvs8przzoze9efv2wdaew&quot;&gt;2012_Library&lt;record-ids&gt;&lt;item&gt;787&lt;/item&gt;&lt;/record-ids&gt;&lt;/item&gt;&lt;/Libraries&gt;"/>
  </w:docVars>
  <w:rsids>
    <w:rsidRoot w:val="00074E18"/>
    <w:rsid w:val="00013947"/>
    <w:rsid w:val="00023230"/>
    <w:rsid w:val="0005799D"/>
    <w:rsid w:val="00074E18"/>
    <w:rsid w:val="000D6A19"/>
    <w:rsid w:val="000F462C"/>
    <w:rsid w:val="00140324"/>
    <w:rsid w:val="00150FA7"/>
    <w:rsid w:val="001E6E83"/>
    <w:rsid w:val="00214026"/>
    <w:rsid w:val="00214DE4"/>
    <w:rsid w:val="00247AE0"/>
    <w:rsid w:val="002509B3"/>
    <w:rsid w:val="0029367D"/>
    <w:rsid w:val="002C6C66"/>
    <w:rsid w:val="00322D54"/>
    <w:rsid w:val="003D62FE"/>
    <w:rsid w:val="0040122D"/>
    <w:rsid w:val="00405FDA"/>
    <w:rsid w:val="00451342"/>
    <w:rsid w:val="00495A9D"/>
    <w:rsid w:val="004B544D"/>
    <w:rsid w:val="004E0657"/>
    <w:rsid w:val="005A3D12"/>
    <w:rsid w:val="0064247B"/>
    <w:rsid w:val="007061D9"/>
    <w:rsid w:val="0073469B"/>
    <w:rsid w:val="007740C6"/>
    <w:rsid w:val="007845DB"/>
    <w:rsid w:val="007C0019"/>
    <w:rsid w:val="007D7079"/>
    <w:rsid w:val="00865BF9"/>
    <w:rsid w:val="00906564"/>
    <w:rsid w:val="00917FEB"/>
    <w:rsid w:val="00936C21"/>
    <w:rsid w:val="00956DA2"/>
    <w:rsid w:val="009B7FE7"/>
    <w:rsid w:val="009C1E3B"/>
    <w:rsid w:val="009D1123"/>
    <w:rsid w:val="00A65729"/>
    <w:rsid w:val="00AB6944"/>
    <w:rsid w:val="00B26DB6"/>
    <w:rsid w:val="00B81739"/>
    <w:rsid w:val="00BA1A3C"/>
    <w:rsid w:val="00C04555"/>
    <w:rsid w:val="00C9194F"/>
    <w:rsid w:val="00DA665A"/>
    <w:rsid w:val="00DB63F7"/>
    <w:rsid w:val="00DD25D9"/>
    <w:rsid w:val="00DD29F9"/>
    <w:rsid w:val="00E06862"/>
    <w:rsid w:val="00E301DA"/>
    <w:rsid w:val="00E633E3"/>
    <w:rsid w:val="00E7379F"/>
    <w:rsid w:val="00EB2BC4"/>
    <w:rsid w:val="00EE7502"/>
    <w:rsid w:val="00F04EBB"/>
    <w:rsid w:val="00F75E91"/>
    <w:rsid w:val="00FF14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F9"/>
  </w:style>
  <w:style w:type="paragraph" w:styleId="Heading1">
    <w:name w:val="heading 1"/>
    <w:basedOn w:val="Normal"/>
    <w:next w:val="Normal"/>
    <w:link w:val="Heading1Char"/>
    <w:uiPriority w:val="9"/>
    <w:qFormat/>
    <w:rsid w:val="00865BF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65BF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65BF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65BF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65BF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65BF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65BF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65BF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65BF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BF9"/>
    <w:rPr>
      <w:smallCaps/>
      <w:spacing w:val="5"/>
      <w:sz w:val="36"/>
      <w:szCs w:val="36"/>
    </w:rPr>
  </w:style>
  <w:style w:type="character" w:customStyle="1" w:styleId="Heading2Char">
    <w:name w:val="Heading 2 Char"/>
    <w:basedOn w:val="DefaultParagraphFont"/>
    <w:link w:val="Heading2"/>
    <w:uiPriority w:val="9"/>
    <w:rsid w:val="00865BF9"/>
    <w:rPr>
      <w:smallCaps/>
      <w:sz w:val="28"/>
      <w:szCs w:val="28"/>
    </w:rPr>
  </w:style>
  <w:style w:type="character" w:customStyle="1" w:styleId="Heading3Char">
    <w:name w:val="Heading 3 Char"/>
    <w:basedOn w:val="DefaultParagraphFont"/>
    <w:link w:val="Heading3"/>
    <w:uiPriority w:val="9"/>
    <w:semiHidden/>
    <w:rsid w:val="00865BF9"/>
    <w:rPr>
      <w:i/>
      <w:iCs/>
      <w:smallCaps/>
      <w:spacing w:val="5"/>
      <w:sz w:val="26"/>
      <w:szCs w:val="26"/>
    </w:rPr>
  </w:style>
  <w:style w:type="character" w:customStyle="1" w:styleId="Heading4Char">
    <w:name w:val="Heading 4 Char"/>
    <w:basedOn w:val="DefaultParagraphFont"/>
    <w:link w:val="Heading4"/>
    <w:uiPriority w:val="9"/>
    <w:semiHidden/>
    <w:rsid w:val="00865BF9"/>
    <w:rPr>
      <w:b/>
      <w:bCs/>
      <w:spacing w:val="5"/>
      <w:sz w:val="24"/>
      <w:szCs w:val="24"/>
    </w:rPr>
  </w:style>
  <w:style w:type="character" w:customStyle="1" w:styleId="Heading5Char">
    <w:name w:val="Heading 5 Char"/>
    <w:basedOn w:val="DefaultParagraphFont"/>
    <w:link w:val="Heading5"/>
    <w:uiPriority w:val="9"/>
    <w:semiHidden/>
    <w:rsid w:val="00865BF9"/>
    <w:rPr>
      <w:i/>
      <w:iCs/>
      <w:sz w:val="24"/>
      <w:szCs w:val="24"/>
    </w:rPr>
  </w:style>
  <w:style w:type="character" w:customStyle="1" w:styleId="Heading6Char">
    <w:name w:val="Heading 6 Char"/>
    <w:basedOn w:val="DefaultParagraphFont"/>
    <w:link w:val="Heading6"/>
    <w:uiPriority w:val="9"/>
    <w:semiHidden/>
    <w:rsid w:val="00865BF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65BF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65BF9"/>
    <w:rPr>
      <w:b/>
      <w:bCs/>
      <w:color w:val="7F7F7F" w:themeColor="text1" w:themeTint="80"/>
      <w:sz w:val="20"/>
      <w:szCs w:val="20"/>
    </w:rPr>
  </w:style>
  <w:style w:type="character" w:customStyle="1" w:styleId="Heading9Char">
    <w:name w:val="Heading 9 Char"/>
    <w:basedOn w:val="DefaultParagraphFont"/>
    <w:link w:val="Heading9"/>
    <w:uiPriority w:val="9"/>
    <w:semiHidden/>
    <w:rsid w:val="00865BF9"/>
    <w:rPr>
      <w:b/>
      <w:bCs/>
      <w:i/>
      <w:iCs/>
      <w:color w:val="7F7F7F" w:themeColor="text1" w:themeTint="80"/>
      <w:sz w:val="18"/>
      <w:szCs w:val="18"/>
    </w:rPr>
  </w:style>
  <w:style w:type="paragraph" w:styleId="Title">
    <w:name w:val="Title"/>
    <w:basedOn w:val="Normal"/>
    <w:next w:val="Normal"/>
    <w:link w:val="TitleChar"/>
    <w:uiPriority w:val="10"/>
    <w:qFormat/>
    <w:rsid w:val="00865BF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65BF9"/>
    <w:rPr>
      <w:smallCaps/>
      <w:sz w:val="52"/>
      <w:szCs w:val="52"/>
    </w:rPr>
  </w:style>
  <w:style w:type="paragraph" w:styleId="Subtitle">
    <w:name w:val="Subtitle"/>
    <w:basedOn w:val="Normal"/>
    <w:next w:val="Normal"/>
    <w:link w:val="SubtitleChar"/>
    <w:uiPriority w:val="11"/>
    <w:qFormat/>
    <w:rsid w:val="00865BF9"/>
    <w:rPr>
      <w:i/>
      <w:iCs/>
      <w:smallCaps/>
      <w:spacing w:val="10"/>
      <w:sz w:val="28"/>
      <w:szCs w:val="28"/>
    </w:rPr>
  </w:style>
  <w:style w:type="character" w:customStyle="1" w:styleId="SubtitleChar">
    <w:name w:val="Subtitle Char"/>
    <w:basedOn w:val="DefaultParagraphFont"/>
    <w:link w:val="Subtitle"/>
    <w:uiPriority w:val="11"/>
    <w:rsid w:val="00865BF9"/>
    <w:rPr>
      <w:i/>
      <w:iCs/>
      <w:smallCaps/>
      <w:spacing w:val="10"/>
      <w:sz w:val="28"/>
      <w:szCs w:val="28"/>
    </w:rPr>
  </w:style>
  <w:style w:type="character" w:styleId="Strong">
    <w:name w:val="Strong"/>
    <w:uiPriority w:val="22"/>
    <w:qFormat/>
    <w:rsid w:val="00865BF9"/>
    <w:rPr>
      <w:b/>
      <w:bCs/>
    </w:rPr>
  </w:style>
  <w:style w:type="character" w:styleId="Emphasis">
    <w:name w:val="Emphasis"/>
    <w:uiPriority w:val="20"/>
    <w:qFormat/>
    <w:rsid w:val="00865BF9"/>
    <w:rPr>
      <w:b/>
      <w:bCs/>
      <w:i/>
      <w:iCs/>
      <w:spacing w:val="10"/>
    </w:rPr>
  </w:style>
  <w:style w:type="paragraph" w:styleId="NoSpacing">
    <w:name w:val="No Spacing"/>
    <w:basedOn w:val="Normal"/>
    <w:uiPriority w:val="1"/>
    <w:qFormat/>
    <w:rsid w:val="00865BF9"/>
    <w:pPr>
      <w:spacing w:after="0" w:line="240" w:lineRule="auto"/>
    </w:pPr>
  </w:style>
  <w:style w:type="paragraph" w:styleId="ListParagraph">
    <w:name w:val="List Paragraph"/>
    <w:basedOn w:val="Normal"/>
    <w:uiPriority w:val="34"/>
    <w:qFormat/>
    <w:rsid w:val="00865BF9"/>
    <w:pPr>
      <w:ind w:left="720"/>
      <w:contextualSpacing/>
    </w:pPr>
  </w:style>
  <w:style w:type="paragraph" w:styleId="Quote">
    <w:name w:val="Quote"/>
    <w:basedOn w:val="Normal"/>
    <w:next w:val="Normal"/>
    <w:link w:val="QuoteChar"/>
    <w:uiPriority w:val="29"/>
    <w:qFormat/>
    <w:rsid w:val="00865BF9"/>
    <w:rPr>
      <w:i/>
      <w:iCs/>
    </w:rPr>
  </w:style>
  <w:style w:type="character" w:customStyle="1" w:styleId="QuoteChar">
    <w:name w:val="Quote Char"/>
    <w:basedOn w:val="DefaultParagraphFont"/>
    <w:link w:val="Quote"/>
    <w:uiPriority w:val="29"/>
    <w:rsid w:val="00865BF9"/>
    <w:rPr>
      <w:i/>
      <w:iCs/>
    </w:rPr>
  </w:style>
  <w:style w:type="paragraph" w:styleId="IntenseQuote">
    <w:name w:val="Intense Quote"/>
    <w:basedOn w:val="Normal"/>
    <w:next w:val="Normal"/>
    <w:link w:val="IntenseQuoteChar"/>
    <w:uiPriority w:val="30"/>
    <w:qFormat/>
    <w:rsid w:val="00865BF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65BF9"/>
    <w:rPr>
      <w:i/>
      <w:iCs/>
    </w:rPr>
  </w:style>
  <w:style w:type="character" w:styleId="SubtleEmphasis">
    <w:name w:val="Subtle Emphasis"/>
    <w:uiPriority w:val="19"/>
    <w:qFormat/>
    <w:rsid w:val="00865BF9"/>
    <w:rPr>
      <w:i/>
      <w:iCs/>
    </w:rPr>
  </w:style>
  <w:style w:type="character" w:styleId="IntenseEmphasis">
    <w:name w:val="Intense Emphasis"/>
    <w:uiPriority w:val="21"/>
    <w:qFormat/>
    <w:rsid w:val="00865BF9"/>
    <w:rPr>
      <w:b/>
      <w:bCs/>
      <w:i/>
      <w:iCs/>
    </w:rPr>
  </w:style>
  <w:style w:type="character" w:styleId="SubtleReference">
    <w:name w:val="Subtle Reference"/>
    <w:basedOn w:val="DefaultParagraphFont"/>
    <w:uiPriority w:val="31"/>
    <w:qFormat/>
    <w:rsid w:val="00865BF9"/>
    <w:rPr>
      <w:smallCaps/>
    </w:rPr>
  </w:style>
  <w:style w:type="character" w:styleId="IntenseReference">
    <w:name w:val="Intense Reference"/>
    <w:uiPriority w:val="32"/>
    <w:qFormat/>
    <w:rsid w:val="00865BF9"/>
    <w:rPr>
      <w:b/>
      <w:bCs/>
      <w:smallCaps/>
    </w:rPr>
  </w:style>
  <w:style w:type="character" w:styleId="BookTitle">
    <w:name w:val="Book Title"/>
    <w:basedOn w:val="DefaultParagraphFont"/>
    <w:uiPriority w:val="33"/>
    <w:qFormat/>
    <w:rsid w:val="00865BF9"/>
    <w:rPr>
      <w:i/>
      <w:iCs/>
      <w:smallCaps/>
      <w:spacing w:val="5"/>
    </w:rPr>
  </w:style>
  <w:style w:type="paragraph" w:styleId="TOCHeading">
    <w:name w:val="TOC Heading"/>
    <w:basedOn w:val="Heading1"/>
    <w:next w:val="Normal"/>
    <w:uiPriority w:val="39"/>
    <w:semiHidden/>
    <w:unhideWhenUsed/>
    <w:qFormat/>
    <w:rsid w:val="00865BF9"/>
    <w:pPr>
      <w:outlineLvl w:val="9"/>
    </w:pPr>
  </w:style>
  <w:style w:type="character" w:styleId="Hyperlink">
    <w:name w:val="Hyperlink"/>
    <w:basedOn w:val="DefaultParagraphFont"/>
    <w:uiPriority w:val="99"/>
    <w:unhideWhenUsed/>
    <w:rsid w:val="0040122D"/>
    <w:rPr>
      <w:color w:val="0000FF" w:themeColor="hyperlink"/>
      <w:u w:val="single"/>
    </w:rPr>
  </w:style>
  <w:style w:type="table" w:styleId="TableGrid">
    <w:name w:val="Table Grid"/>
    <w:basedOn w:val="TableNormal"/>
    <w:uiPriority w:val="59"/>
    <w:rsid w:val="00EE7502"/>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4377</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Turner</dc:creator>
  <cp:lastModifiedBy>Alice Turner</cp:lastModifiedBy>
  <cp:revision>3</cp:revision>
  <dcterms:created xsi:type="dcterms:W3CDTF">2015-02-14T11:51:00Z</dcterms:created>
  <dcterms:modified xsi:type="dcterms:W3CDTF">2015-02-14T12:15:00Z</dcterms:modified>
</cp:coreProperties>
</file>