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075" w:rsidRDefault="00B41075">
      <w:pPr>
        <w:rPr>
          <w:rFonts w:ascii="Arial" w:hAnsi="Arial" w:cs="Arial"/>
          <w:b/>
        </w:rPr>
      </w:pPr>
    </w:p>
    <w:p w:rsidR="000801AB" w:rsidRPr="00C02A73" w:rsidRDefault="00E72096">
      <w:pPr>
        <w:rPr>
          <w:rFonts w:ascii="Arial" w:hAnsi="Arial" w:cs="Arial"/>
          <w:b/>
        </w:rPr>
      </w:pPr>
      <w:r w:rsidRPr="00C02A73">
        <w:rPr>
          <w:rFonts w:ascii="Arial" w:hAnsi="Arial" w:cs="Arial"/>
          <w:b/>
        </w:rPr>
        <w:t>Salivary functional antibody secretion is reduced in older adults: a potential mechanism of increased susceptibility to bacterial infection in the elderly</w:t>
      </w:r>
    </w:p>
    <w:p w:rsidR="0069005C" w:rsidRPr="00C02A73" w:rsidRDefault="0069005C">
      <w:pPr>
        <w:rPr>
          <w:rFonts w:ascii="Arial" w:hAnsi="Arial" w:cs="Arial"/>
        </w:rPr>
      </w:pPr>
      <w:r w:rsidRPr="00C02A73">
        <w:rPr>
          <w:rFonts w:ascii="Arial" w:hAnsi="Arial" w:cs="Arial"/>
        </w:rPr>
        <w:t>Jennifer L.J.Heaney</w:t>
      </w:r>
      <w:proofErr w:type="gramStart"/>
      <w:r w:rsidRPr="00C02A73">
        <w:rPr>
          <w:rFonts w:ascii="Arial" w:hAnsi="Arial" w:cs="Arial"/>
        </w:rPr>
        <w:t>,</w:t>
      </w:r>
      <w:r w:rsidR="00D17A25" w:rsidRPr="00C02A73">
        <w:rPr>
          <w:rFonts w:ascii="Arial" w:hAnsi="Arial" w:cs="Arial"/>
          <w:vertAlign w:val="superscript"/>
        </w:rPr>
        <w:t>1</w:t>
      </w:r>
      <w:proofErr w:type="gramEnd"/>
      <w:r w:rsidRPr="00C02A73">
        <w:rPr>
          <w:rFonts w:ascii="Arial" w:hAnsi="Arial" w:cs="Arial"/>
        </w:rPr>
        <w:t xml:space="preserve"> Anna C. Phil</w:t>
      </w:r>
      <w:r w:rsidR="003377CE" w:rsidRPr="00C02A73">
        <w:rPr>
          <w:rFonts w:ascii="Arial" w:hAnsi="Arial" w:cs="Arial"/>
        </w:rPr>
        <w:t>l</w:t>
      </w:r>
      <w:r w:rsidRPr="00C02A73">
        <w:rPr>
          <w:rFonts w:ascii="Arial" w:hAnsi="Arial" w:cs="Arial"/>
        </w:rPr>
        <w:t>ips,</w:t>
      </w:r>
      <w:r w:rsidR="00D17A25" w:rsidRPr="00C02A73">
        <w:rPr>
          <w:rFonts w:ascii="Arial" w:hAnsi="Arial" w:cs="Arial"/>
          <w:vertAlign w:val="superscript"/>
        </w:rPr>
        <w:t>2</w:t>
      </w:r>
      <w:r w:rsidR="00D17A25" w:rsidRPr="00C02A73">
        <w:rPr>
          <w:rFonts w:ascii="Arial" w:hAnsi="Arial" w:cs="Arial"/>
        </w:rPr>
        <w:t xml:space="preserve"> Douglas Carroll,</w:t>
      </w:r>
      <w:r w:rsidR="00D17A25" w:rsidRPr="00C02A73">
        <w:rPr>
          <w:rFonts w:ascii="Arial" w:hAnsi="Arial" w:cs="Arial"/>
          <w:vertAlign w:val="superscript"/>
        </w:rPr>
        <w:t>2</w:t>
      </w:r>
      <w:r w:rsidR="00D17A25" w:rsidRPr="00C02A73">
        <w:rPr>
          <w:rFonts w:ascii="Arial" w:hAnsi="Arial" w:cs="Arial"/>
        </w:rPr>
        <w:t xml:space="preserve"> and Mark T. Drayson</w:t>
      </w:r>
      <w:r w:rsidR="00D17A25" w:rsidRPr="00C02A73">
        <w:rPr>
          <w:rFonts w:ascii="Arial" w:hAnsi="Arial" w:cs="Arial"/>
          <w:vertAlign w:val="superscript"/>
        </w:rPr>
        <w:t>1</w:t>
      </w:r>
      <w:r w:rsidR="00D17A25" w:rsidRPr="00C02A73">
        <w:rPr>
          <w:rFonts w:ascii="Arial" w:hAnsi="Arial" w:cs="Arial"/>
        </w:rPr>
        <w:t xml:space="preserve"> </w:t>
      </w:r>
    </w:p>
    <w:p w:rsidR="0069005C" w:rsidRPr="00C02A73" w:rsidRDefault="0069005C">
      <w:pPr>
        <w:rPr>
          <w:rFonts w:ascii="Arial" w:hAnsi="Arial" w:cs="Arial"/>
        </w:rPr>
      </w:pPr>
      <w:r w:rsidRPr="00C02A73">
        <w:rPr>
          <w:rFonts w:ascii="Arial" w:hAnsi="Arial" w:cs="Arial"/>
          <w:vertAlign w:val="superscript"/>
        </w:rPr>
        <w:t>1</w:t>
      </w:r>
      <w:r w:rsidRPr="00C02A73">
        <w:rPr>
          <w:rFonts w:ascii="Arial" w:hAnsi="Arial" w:cs="Arial"/>
        </w:rPr>
        <w:t xml:space="preserve">Clinical Immunology Service, School of Immunity and Infection, University of Birmingham, </w:t>
      </w:r>
      <w:r w:rsidR="007B35E5" w:rsidRPr="00C02A73">
        <w:rPr>
          <w:rFonts w:ascii="Arial" w:hAnsi="Arial" w:cs="Arial"/>
        </w:rPr>
        <w:t xml:space="preserve">Birmingham, </w:t>
      </w:r>
      <w:r w:rsidRPr="00C02A73">
        <w:rPr>
          <w:rFonts w:ascii="Arial" w:hAnsi="Arial" w:cs="Arial"/>
        </w:rPr>
        <w:t xml:space="preserve">United Kingdom, </w:t>
      </w:r>
      <w:r w:rsidRPr="00C02A73">
        <w:rPr>
          <w:rFonts w:ascii="Arial" w:hAnsi="Arial" w:cs="Arial"/>
          <w:vertAlign w:val="superscript"/>
        </w:rPr>
        <w:t>2</w:t>
      </w:r>
      <w:r w:rsidRPr="00C02A73">
        <w:rPr>
          <w:vertAlign w:val="superscript"/>
        </w:rPr>
        <w:t xml:space="preserve"> </w:t>
      </w:r>
      <w:r w:rsidRPr="00C02A73">
        <w:rPr>
          <w:rFonts w:ascii="Arial" w:hAnsi="Arial" w:cs="Arial"/>
        </w:rPr>
        <w:t>School of Sport, Exercise and Rehabilitation Sciences</w:t>
      </w:r>
      <w:r w:rsidRPr="00C02A73">
        <w:t xml:space="preserve">, </w:t>
      </w:r>
      <w:r w:rsidRPr="00C02A73">
        <w:rPr>
          <w:rFonts w:ascii="Arial" w:hAnsi="Arial" w:cs="Arial"/>
        </w:rPr>
        <w:t xml:space="preserve">University of Birmingham, </w:t>
      </w:r>
      <w:r w:rsidR="007B35E5" w:rsidRPr="00C02A73">
        <w:rPr>
          <w:rFonts w:ascii="Arial" w:hAnsi="Arial" w:cs="Arial"/>
        </w:rPr>
        <w:t xml:space="preserve">Birmingham </w:t>
      </w:r>
      <w:r w:rsidRPr="00C02A73">
        <w:rPr>
          <w:rFonts w:ascii="Arial" w:hAnsi="Arial" w:cs="Arial"/>
        </w:rPr>
        <w:t>United Kingdom</w:t>
      </w:r>
    </w:p>
    <w:p w:rsidR="0069005C" w:rsidRPr="00C02A73" w:rsidRDefault="0069005C">
      <w:pPr>
        <w:rPr>
          <w:rFonts w:ascii="Arial" w:hAnsi="Arial" w:cs="Arial"/>
        </w:rPr>
      </w:pPr>
    </w:p>
    <w:p w:rsidR="005920B3" w:rsidRPr="00C02A73" w:rsidRDefault="00523B53" w:rsidP="005920B3">
      <w:pPr>
        <w:rPr>
          <w:rFonts w:ascii="Arial" w:hAnsi="Arial" w:cs="Arial"/>
        </w:rPr>
      </w:pPr>
      <w:r w:rsidRPr="00C02A73">
        <w:rPr>
          <w:rFonts w:ascii="Arial" w:hAnsi="Arial" w:cs="Arial"/>
          <w:b/>
        </w:rPr>
        <w:t xml:space="preserve">Correspondence to : </w:t>
      </w:r>
      <w:r w:rsidRPr="00C02A73">
        <w:rPr>
          <w:rFonts w:ascii="Arial" w:hAnsi="Arial" w:cs="Arial"/>
        </w:rPr>
        <w:t>Jennifer L.J. Heaney,</w:t>
      </w:r>
      <w:r w:rsidR="00D17A25" w:rsidRPr="00C02A73">
        <w:rPr>
          <w:rFonts w:ascii="Arial" w:hAnsi="Arial" w:cs="Arial"/>
        </w:rPr>
        <w:t xml:space="preserve"> </w:t>
      </w:r>
      <w:r w:rsidR="0069005C" w:rsidRPr="00C02A73">
        <w:rPr>
          <w:rFonts w:ascii="Arial" w:hAnsi="Arial" w:cs="Arial"/>
        </w:rPr>
        <w:t>Clinical Immunology Service, School of Immunity and Infection, College of Medicine and Dental Sciences, Univ</w:t>
      </w:r>
      <w:r w:rsidRPr="00C02A73">
        <w:rPr>
          <w:rFonts w:ascii="Arial" w:hAnsi="Arial" w:cs="Arial"/>
        </w:rPr>
        <w:t>ersity of Birmingham, Edgbaston</w:t>
      </w:r>
      <w:r w:rsidR="0069005C" w:rsidRPr="00C02A73">
        <w:rPr>
          <w:rFonts w:ascii="Arial" w:hAnsi="Arial" w:cs="Arial"/>
        </w:rPr>
        <w:t>, B15 2TT, UK</w:t>
      </w:r>
      <w:r w:rsidR="00D17A25" w:rsidRPr="00C02A73">
        <w:rPr>
          <w:rFonts w:ascii="Arial" w:hAnsi="Arial" w:cs="Arial"/>
        </w:rPr>
        <w:t xml:space="preserve">, </w:t>
      </w:r>
      <w:hyperlink r:id="rId9" w:history="1">
        <w:r w:rsidR="00D17A25" w:rsidRPr="00C02A73">
          <w:rPr>
            <w:rStyle w:val="Hyperlink"/>
            <w:rFonts w:ascii="Arial" w:hAnsi="Arial" w:cs="Arial"/>
          </w:rPr>
          <w:t>j.l.j.heaney@bham.ac.uk</w:t>
        </w:r>
      </w:hyperlink>
      <w:r w:rsidR="005920B3" w:rsidRPr="00C02A73">
        <w:rPr>
          <w:rStyle w:val="Hyperlink"/>
          <w:rFonts w:ascii="Arial" w:hAnsi="Arial" w:cs="Arial"/>
        </w:rPr>
        <w:t xml:space="preserve">; </w:t>
      </w:r>
      <w:r w:rsidR="005920B3" w:rsidRPr="00C02A73">
        <w:rPr>
          <w:rFonts w:ascii="Arial" w:hAnsi="Arial" w:cs="Arial"/>
        </w:rPr>
        <w:t>Tel: +44 (0) 121 414 4069, FAX: +44 (0) 121 414 3069</w:t>
      </w:r>
    </w:p>
    <w:p w:rsidR="005920B3" w:rsidRPr="00C02A73" w:rsidRDefault="005920B3" w:rsidP="00E54729">
      <w:pPr>
        <w:rPr>
          <w:rFonts w:ascii="Arial" w:hAnsi="Arial" w:cs="Arial"/>
          <w:b/>
        </w:rPr>
      </w:pPr>
    </w:p>
    <w:p w:rsidR="005920B3" w:rsidRPr="00C02A73" w:rsidRDefault="005920B3" w:rsidP="00E54729">
      <w:pPr>
        <w:rPr>
          <w:rFonts w:ascii="Arial" w:hAnsi="Arial" w:cs="Arial"/>
          <w:b/>
        </w:rPr>
      </w:pPr>
    </w:p>
    <w:p w:rsidR="005920B3" w:rsidRPr="00C02A73" w:rsidRDefault="005920B3" w:rsidP="00E54729">
      <w:pPr>
        <w:rPr>
          <w:rFonts w:ascii="Arial" w:hAnsi="Arial" w:cs="Arial"/>
          <w:b/>
        </w:rPr>
      </w:pPr>
    </w:p>
    <w:p w:rsidR="005920B3" w:rsidRPr="00C02A73" w:rsidRDefault="005920B3" w:rsidP="00E54729">
      <w:pPr>
        <w:rPr>
          <w:rFonts w:ascii="Arial" w:hAnsi="Arial" w:cs="Arial"/>
          <w:b/>
        </w:rPr>
      </w:pPr>
      <w:bookmarkStart w:id="0" w:name="_GoBack"/>
      <w:bookmarkEnd w:id="0"/>
    </w:p>
    <w:p w:rsidR="005920B3" w:rsidRPr="00C02A73" w:rsidRDefault="005920B3" w:rsidP="00E54729">
      <w:pPr>
        <w:rPr>
          <w:rFonts w:ascii="Arial" w:hAnsi="Arial" w:cs="Arial"/>
          <w:b/>
        </w:rPr>
      </w:pPr>
    </w:p>
    <w:p w:rsidR="005920B3" w:rsidRPr="00C02A73" w:rsidRDefault="005920B3" w:rsidP="00E54729">
      <w:pPr>
        <w:rPr>
          <w:rFonts w:ascii="Arial" w:hAnsi="Arial" w:cs="Arial"/>
          <w:b/>
        </w:rPr>
      </w:pPr>
    </w:p>
    <w:p w:rsidR="005920B3" w:rsidRPr="00C02A73" w:rsidRDefault="005920B3" w:rsidP="00E54729">
      <w:pPr>
        <w:rPr>
          <w:rFonts w:ascii="Arial" w:hAnsi="Arial" w:cs="Arial"/>
          <w:b/>
        </w:rPr>
      </w:pPr>
    </w:p>
    <w:p w:rsidR="005920B3" w:rsidRPr="00C02A73" w:rsidRDefault="005920B3" w:rsidP="00E54729">
      <w:pPr>
        <w:rPr>
          <w:rFonts w:ascii="Arial" w:hAnsi="Arial" w:cs="Arial"/>
          <w:b/>
        </w:rPr>
      </w:pPr>
    </w:p>
    <w:p w:rsidR="005920B3" w:rsidRPr="00C02A73" w:rsidRDefault="005920B3" w:rsidP="00E54729">
      <w:pPr>
        <w:rPr>
          <w:rFonts w:ascii="Arial" w:hAnsi="Arial" w:cs="Arial"/>
          <w:b/>
        </w:rPr>
      </w:pPr>
    </w:p>
    <w:p w:rsidR="005920B3" w:rsidRPr="00C02A73" w:rsidRDefault="005920B3" w:rsidP="00E54729">
      <w:pPr>
        <w:rPr>
          <w:rFonts w:ascii="Arial" w:hAnsi="Arial" w:cs="Arial"/>
          <w:b/>
        </w:rPr>
      </w:pPr>
    </w:p>
    <w:p w:rsidR="005920B3" w:rsidRPr="00C02A73" w:rsidRDefault="005920B3" w:rsidP="00E54729">
      <w:pPr>
        <w:rPr>
          <w:rFonts w:ascii="Arial" w:hAnsi="Arial" w:cs="Arial"/>
          <w:b/>
        </w:rPr>
      </w:pPr>
    </w:p>
    <w:p w:rsidR="005920B3" w:rsidRPr="00C02A73" w:rsidRDefault="005920B3" w:rsidP="00E54729">
      <w:pPr>
        <w:rPr>
          <w:rFonts w:ascii="Arial" w:hAnsi="Arial" w:cs="Arial"/>
          <w:b/>
        </w:rPr>
      </w:pPr>
    </w:p>
    <w:p w:rsidR="00A61E0A" w:rsidRPr="00C02A73" w:rsidRDefault="00A61E0A" w:rsidP="00E54729">
      <w:pPr>
        <w:rPr>
          <w:rFonts w:ascii="Arial" w:hAnsi="Arial" w:cs="Arial"/>
          <w:b/>
        </w:rPr>
      </w:pPr>
    </w:p>
    <w:p w:rsidR="00A61E0A" w:rsidRPr="00C02A73" w:rsidRDefault="00A61E0A" w:rsidP="00E54729">
      <w:pPr>
        <w:rPr>
          <w:rFonts w:ascii="Arial" w:hAnsi="Arial" w:cs="Arial"/>
          <w:b/>
        </w:rPr>
      </w:pPr>
    </w:p>
    <w:p w:rsidR="00A61E0A" w:rsidRPr="00C02A73" w:rsidRDefault="00A61E0A" w:rsidP="00E54729">
      <w:pPr>
        <w:rPr>
          <w:rFonts w:ascii="Arial" w:hAnsi="Arial" w:cs="Arial"/>
          <w:b/>
        </w:rPr>
      </w:pPr>
    </w:p>
    <w:p w:rsidR="00A61E0A" w:rsidRPr="00C02A73" w:rsidRDefault="00A61E0A" w:rsidP="00E54729">
      <w:pPr>
        <w:rPr>
          <w:rFonts w:ascii="Arial" w:hAnsi="Arial" w:cs="Arial"/>
          <w:b/>
        </w:rPr>
      </w:pPr>
    </w:p>
    <w:p w:rsidR="00A61E0A" w:rsidRPr="00C02A73" w:rsidRDefault="00A61E0A" w:rsidP="00E54729">
      <w:pPr>
        <w:rPr>
          <w:rFonts w:ascii="Arial" w:hAnsi="Arial" w:cs="Arial"/>
          <w:b/>
        </w:rPr>
      </w:pPr>
    </w:p>
    <w:p w:rsidR="00A61E0A" w:rsidRPr="00C02A73" w:rsidRDefault="00A61E0A" w:rsidP="00E54729">
      <w:pPr>
        <w:rPr>
          <w:rFonts w:ascii="Arial" w:hAnsi="Arial" w:cs="Arial"/>
          <w:b/>
        </w:rPr>
      </w:pPr>
    </w:p>
    <w:p w:rsidR="00A61E0A" w:rsidRPr="00C02A73" w:rsidRDefault="007B35E5" w:rsidP="00E54729">
      <w:pPr>
        <w:rPr>
          <w:rFonts w:ascii="Arial" w:hAnsi="Arial" w:cs="Arial"/>
        </w:rPr>
      </w:pPr>
      <w:r w:rsidRPr="00C02A73">
        <w:rPr>
          <w:rFonts w:ascii="Arial" w:hAnsi="Arial" w:cs="Arial"/>
          <w:b/>
        </w:rPr>
        <w:t xml:space="preserve">Running title: </w:t>
      </w:r>
      <w:r w:rsidR="00B340C3" w:rsidRPr="00C02A73">
        <w:rPr>
          <w:rFonts w:ascii="Arial" w:hAnsi="Arial" w:cs="Arial"/>
        </w:rPr>
        <w:t xml:space="preserve">Functional antibodies and age </w:t>
      </w:r>
    </w:p>
    <w:p w:rsidR="00C02A73" w:rsidRPr="00C02A73" w:rsidRDefault="00C02A73" w:rsidP="00E54729">
      <w:pPr>
        <w:rPr>
          <w:rFonts w:ascii="Arial" w:hAnsi="Arial" w:cs="Arial"/>
          <w:b/>
        </w:rPr>
      </w:pPr>
    </w:p>
    <w:p w:rsidR="003147FA" w:rsidRPr="00C02A73" w:rsidRDefault="00E54729" w:rsidP="00E54729">
      <w:pPr>
        <w:rPr>
          <w:rFonts w:ascii="Arial" w:hAnsi="Arial" w:cs="Arial"/>
        </w:rPr>
      </w:pPr>
      <w:r w:rsidRPr="00C02A73">
        <w:rPr>
          <w:rFonts w:ascii="Arial" w:hAnsi="Arial" w:cs="Arial"/>
          <w:b/>
        </w:rPr>
        <w:t>Abstract</w:t>
      </w:r>
      <w:r w:rsidR="003147FA" w:rsidRPr="00C02A73">
        <w:t xml:space="preserve"> </w:t>
      </w:r>
    </w:p>
    <w:p w:rsidR="005F78D1" w:rsidRPr="00C02A73" w:rsidRDefault="008B6F34" w:rsidP="008B6F34">
      <w:pPr>
        <w:spacing w:after="0" w:line="480" w:lineRule="auto"/>
        <w:rPr>
          <w:rFonts w:ascii="Arial" w:hAnsi="Arial" w:cs="Arial"/>
        </w:rPr>
      </w:pPr>
      <w:r w:rsidRPr="00C02A73">
        <w:rPr>
          <w:rFonts w:ascii="Arial" w:hAnsi="Arial" w:cs="Arial"/>
          <w:b/>
        </w:rPr>
        <w:t xml:space="preserve">Background: </w:t>
      </w:r>
      <w:r w:rsidR="00E64EB3" w:rsidRPr="00C02A73">
        <w:rPr>
          <w:rFonts w:ascii="Arial" w:hAnsi="Arial" w:cs="Arial"/>
        </w:rPr>
        <w:t xml:space="preserve">Bacterial infections </w:t>
      </w:r>
      <w:r w:rsidR="001D7072" w:rsidRPr="00C02A73">
        <w:rPr>
          <w:rFonts w:ascii="Arial" w:hAnsi="Arial" w:cs="Arial"/>
        </w:rPr>
        <w:t xml:space="preserve">in the elderly are </w:t>
      </w:r>
      <w:r w:rsidR="00AC4B4C" w:rsidRPr="00C02A73">
        <w:rPr>
          <w:rFonts w:ascii="Arial" w:hAnsi="Arial" w:cs="Arial"/>
        </w:rPr>
        <w:t>common and associated wi</w:t>
      </w:r>
      <w:r w:rsidR="005B5C87" w:rsidRPr="00C02A73">
        <w:rPr>
          <w:rFonts w:ascii="Arial" w:hAnsi="Arial" w:cs="Arial"/>
        </w:rPr>
        <w:t xml:space="preserve">th high morbidity and mortality, </w:t>
      </w:r>
      <w:r w:rsidR="00AC4B4C" w:rsidRPr="00C02A73">
        <w:rPr>
          <w:rFonts w:ascii="Arial" w:hAnsi="Arial" w:cs="Arial"/>
        </w:rPr>
        <w:t>with pneumonia the second commonest cause of death</w:t>
      </w:r>
      <w:r w:rsidR="003B45EE" w:rsidRPr="00C02A73">
        <w:rPr>
          <w:rFonts w:ascii="Arial" w:hAnsi="Arial" w:cs="Arial"/>
        </w:rPr>
        <w:t>.</w:t>
      </w:r>
      <w:r w:rsidR="005F78D1" w:rsidRPr="00C02A73">
        <w:t xml:space="preserve"> </w:t>
      </w:r>
      <w:r w:rsidR="005F78D1" w:rsidRPr="00C02A73">
        <w:rPr>
          <w:rFonts w:ascii="Arial" w:hAnsi="Arial" w:cs="Arial"/>
        </w:rPr>
        <w:t>Reductions in antibodies against specific bacterial antigens</w:t>
      </w:r>
      <w:r w:rsidR="00472E28" w:rsidRPr="00C02A73">
        <w:rPr>
          <w:rFonts w:ascii="Arial" w:hAnsi="Arial" w:cs="Arial"/>
        </w:rPr>
        <w:t xml:space="preserve"> in </w:t>
      </w:r>
      <w:r w:rsidR="005F78D1" w:rsidRPr="00C02A73">
        <w:rPr>
          <w:rFonts w:ascii="Arial" w:hAnsi="Arial" w:cs="Arial"/>
        </w:rPr>
        <w:t xml:space="preserve">saliva and serum could contribute to infection risk in older adults, although they have yet to be </w:t>
      </w:r>
      <w:r w:rsidR="00A27CF0" w:rsidRPr="00C02A73">
        <w:rPr>
          <w:rFonts w:ascii="Arial" w:hAnsi="Arial" w:cs="Arial"/>
        </w:rPr>
        <w:t xml:space="preserve">examined </w:t>
      </w:r>
      <w:r w:rsidR="005F78D1" w:rsidRPr="00C02A73">
        <w:rPr>
          <w:rFonts w:ascii="Arial" w:hAnsi="Arial" w:cs="Arial"/>
        </w:rPr>
        <w:t xml:space="preserve">in relation to age. </w:t>
      </w:r>
    </w:p>
    <w:p w:rsidR="008B6F34" w:rsidRPr="00C02A73" w:rsidRDefault="008B6F34" w:rsidP="008B6F34">
      <w:pPr>
        <w:spacing w:after="0" w:line="480" w:lineRule="auto"/>
        <w:rPr>
          <w:rFonts w:ascii="Arial" w:eastAsia="ScalaLancetPro" w:hAnsi="Arial" w:cs="Arial"/>
        </w:rPr>
      </w:pPr>
      <w:r w:rsidRPr="00C02A73">
        <w:rPr>
          <w:rFonts w:ascii="Arial" w:hAnsi="Arial" w:cs="Arial"/>
          <w:b/>
        </w:rPr>
        <w:t xml:space="preserve">Method: </w:t>
      </w:r>
      <w:r w:rsidR="00612C87" w:rsidRPr="00C02A73">
        <w:rPr>
          <w:rFonts w:ascii="Arial" w:hAnsi="Arial" w:cs="Arial"/>
        </w:rPr>
        <w:t>IgG, IgA and IgM</w:t>
      </w:r>
      <w:r w:rsidR="00612C87" w:rsidRPr="00C02A73">
        <w:rPr>
          <w:rFonts w:ascii="Arial" w:hAnsi="Arial" w:cs="Arial"/>
          <w:b/>
        </w:rPr>
        <w:t xml:space="preserve"> </w:t>
      </w:r>
      <w:r w:rsidR="00612C87" w:rsidRPr="00C02A73">
        <w:rPr>
          <w:rFonts w:ascii="Arial" w:eastAsia="ScalaLancetPro" w:hAnsi="Arial" w:cs="Arial"/>
        </w:rPr>
        <w:t>a</w:t>
      </w:r>
      <w:r w:rsidR="007E25D1" w:rsidRPr="00C02A73">
        <w:rPr>
          <w:rFonts w:ascii="Arial" w:eastAsia="ScalaLancetPro" w:hAnsi="Arial" w:cs="Arial"/>
        </w:rPr>
        <w:t xml:space="preserve">ntibody levels </w:t>
      </w:r>
      <w:r w:rsidR="002C09B1" w:rsidRPr="00C02A73">
        <w:rPr>
          <w:rFonts w:ascii="Arial" w:eastAsia="ScalaLancetPro" w:hAnsi="Arial" w:cs="Arial"/>
        </w:rPr>
        <w:t xml:space="preserve">in paired </w:t>
      </w:r>
      <w:r w:rsidR="007E25D1" w:rsidRPr="00C02A73">
        <w:rPr>
          <w:rFonts w:ascii="Arial" w:eastAsia="ScalaLancetPro" w:hAnsi="Arial" w:cs="Arial"/>
        </w:rPr>
        <w:t xml:space="preserve">saliva and serum </w:t>
      </w:r>
      <w:r w:rsidR="002C09B1" w:rsidRPr="00C02A73">
        <w:rPr>
          <w:rFonts w:ascii="Arial" w:eastAsia="ScalaLancetPro" w:hAnsi="Arial" w:cs="Arial"/>
        </w:rPr>
        <w:t xml:space="preserve">samples </w:t>
      </w:r>
      <w:r w:rsidR="007E25D1" w:rsidRPr="00C02A73">
        <w:rPr>
          <w:rFonts w:ascii="Arial" w:eastAsia="ScalaLancetPro" w:hAnsi="Arial" w:cs="Arial"/>
        </w:rPr>
        <w:t xml:space="preserve">were measured against </w:t>
      </w:r>
      <w:r w:rsidRPr="00C02A73">
        <w:rPr>
          <w:rFonts w:ascii="Arial" w:eastAsia="ScalaLancetPro" w:hAnsi="Arial" w:cs="Arial"/>
        </w:rPr>
        <w:t xml:space="preserve">12 </w:t>
      </w:r>
      <w:r w:rsidR="00E92434" w:rsidRPr="00C02A73">
        <w:rPr>
          <w:rFonts w:ascii="Arial" w:eastAsia="ScalaLancetPro" w:hAnsi="Arial" w:cs="Arial"/>
        </w:rPr>
        <w:t>pneumococcal</w:t>
      </w:r>
      <w:r w:rsidRPr="00C02A73">
        <w:rPr>
          <w:rFonts w:ascii="Arial" w:eastAsia="ScalaLancetPro" w:hAnsi="Arial" w:cs="Arial"/>
        </w:rPr>
        <w:t xml:space="preserve"> , 4 meningococcal and haemophilus</w:t>
      </w:r>
      <w:r w:rsidR="00612C87" w:rsidRPr="00C02A73">
        <w:rPr>
          <w:rFonts w:ascii="Arial" w:eastAsia="ScalaLancetPro" w:hAnsi="Arial" w:cs="Arial"/>
        </w:rPr>
        <w:t xml:space="preserve"> polysaccharide</w:t>
      </w:r>
      <w:r w:rsidRPr="00C02A73">
        <w:rPr>
          <w:rFonts w:ascii="Arial" w:eastAsia="ScalaLancetPro" w:hAnsi="Arial" w:cs="Arial"/>
        </w:rPr>
        <w:t xml:space="preserve"> antigens</w:t>
      </w:r>
      <w:r w:rsidR="00612C87" w:rsidRPr="00C02A73">
        <w:rPr>
          <w:rFonts w:ascii="Arial" w:eastAsia="ScalaLancetPro" w:hAnsi="Arial" w:cs="Arial"/>
        </w:rPr>
        <w:t xml:space="preserve"> and diphtheria and tetanus toxoids</w:t>
      </w:r>
      <w:r w:rsidRPr="00C02A73">
        <w:rPr>
          <w:rFonts w:ascii="Arial" w:eastAsia="ScalaLancetPro" w:hAnsi="Arial" w:cs="Arial"/>
        </w:rPr>
        <w:t xml:space="preserve"> </w:t>
      </w:r>
      <w:r w:rsidR="007E25D1" w:rsidRPr="00C02A73">
        <w:rPr>
          <w:rFonts w:ascii="Arial" w:eastAsia="ScalaLancetPro" w:hAnsi="Arial" w:cs="Arial"/>
        </w:rPr>
        <w:t xml:space="preserve">in healthy younger </w:t>
      </w:r>
      <w:r w:rsidR="002C09B1" w:rsidRPr="00C02A73">
        <w:rPr>
          <w:rFonts w:ascii="Arial" w:eastAsia="ScalaLancetPro" w:hAnsi="Arial" w:cs="Arial"/>
        </w:rPr>
        <w:t>(n</w:t>
      </w:r>
      <w:r w:rsidR="002D347A" w:rsidRPr="00C02A73">
        <w:rPr>
          <w:rFonts w:ascii="Arial" w:eastAsia="ScalaLancetPro" w:hAnsi="Arial" w:cs="Arial"/>
        </w:rPr>
        <w:t xml:space="preserve"> </w:t>
      </w:r>
      <w:r w:rsidR="002C09B1" w:rsidRPr="00C02A73">
        <w:rPr>
          <w:rFonts w:ascii="Arial" w:eastAsia="ScalaLancetPro" w:hAnsi="Arial" w:cs="Arial"/>
        </w:rPr>
        <w:t xml:space="preserve">= 28, 21–34 years) </w:t>
      </w:r>
      <w:r w:rsidR="008D35EC" w:rsidRPr="00C02A73">
        <w:rPr>
          <w:rFonts w:ascii="Arial" w:eastAsia="ScalaLancetPro" w:hAnsi="Arial" w:cs="Arial"/>
        </w:rPr>
        <w:t>and older</w:t>
      </w:r>
      <w:r w:rsidR="00804389" w:rsidRPr="00C02A73">
        <w:rPr>
          <w:rFonts w:ascii="Arial" w:eastAsia="ScalaLancetPro" w:hAnsi="Arial" w:cs="Arial"/>
        </w:rPr>
        <w:t xml:space="preserve"> </w:t>
      </w:r>
      <w:r w:rsidR="002D347A" w:rsidRPr="00C02A73">
        <w:rPr>
          <w:rFonts w:ascii="Arial" w:eastAsia="ScalaLancetPro" w:hAnsi="Arial" w:cs="Arial"/>
        </w:rPr>
        <w:t xml:space="preserve">(n = </w:t>
      </w:r>
      <w:r w:rsidR="002C09B1" w:rsidRPr="00C02A73">
        <w:rPr>
          <w:rFonts w:ascii="Arial" w:eastAsia="ScalaLancetPro" w:hAnsi="Arial" w:cs="Arial"/>
        </w:rPr>
        <w:t>44, 60–80 years)</w:t>
      </w:r>
      <w:r w:rsidR="0053594C" w:rsidRPr="00C02A73">
        <w:rPr>
          <w:rFonts w:ascii="Arial" w:eastAsia="ScalaLancetPro" w:hAnsi="Arial" w:cs="Arial"/>
        </w:rPr>
        <w:t xml:space="preserve"> adults</w:t>
      </w:r>
      <w:r w:rsidR="007E25D1" w:rsidRPr="00C02A73">
        <w:rPr>
          <w:rFonts w:ascii="Arial" w:eastAsia="ScalaLancetPro" w:hAnsi="Arial" w:cs="Arial"/>
        </w:rPr>
        <w:t xml:space="preserve">. </w:t>
      </w:r>
    </w:p>
    <w:p w:rsidR="002C0EFF" w:rsidRPr="00C02A73" w:rsidRDefault="008B6F34" w:rsidP="008B6F34">
      <w:pPr>
        <w:spacing w:after="0" w:line="480" w:lineRule="auto"/>
        <w:rPr>
          <w:rFonts w:ascii="Arial" w:hAnsi="Arial" w:cs="Arial"/>
          <w:b/>
        </w:rPr>
      </w:pPr>
      <w:r w:rsidRPr="00C02A73">
        <w:rPr>
          <w:rFonts w:ascii="Arial" w:hAnsi="Arial" w:cs="Arial"/>
          <w:b/>
        </w:rPr>
        <w:t xml:space="preserve">Results: </w:t>
      </w:r>
      <w:r w:rsidR="005F78D1" w:rsidRPr="00C02A73">
        <w:rPr>
          <w:rFonts w:ascii="Arial" w:hAnsi="Arial" w:cs="Arial"/>
        </w:rPr>
        <w:t>O</w:t>
      </w:r>
      <w:r w:rsidR="00141A96" w:rsidRPr="00C02A73">
        <w:rPr>
          <w:rFonts w:ascii="Arial" w:hAnsi="Arial" w:cs="Arial"/>
        </w:rPr>
        <w:t>lder adults</w:t>
      </w:r>
      <w:r w:rsidR="00E070C5" w:rsidRPr="00C02A73">
        <w:rPr>
          <w:rFonts w:ascii="Arial" w:hAnsi="Arial" w:cs="Arial"/>
        </w:rPr>
        <w:t xml:space="preserve"> had lower </w:t>
      </w:r>
      <w:r w:rsidR="002D347A" w:rsidRPr="00C02A73">
        <w:rPr>
          <w:rFonts w:ascii="Arial" w:hAnsi="Arial" w:cs="Arial"/>
        </w:rPr>
        <w:t>antibody concentrations in saliva</w:t>
      </w:r>
      <w:r w:rsidR="005F78D1" w:rsidRPr="00C02A73">
        <w:rPr>
          <w:rFonts w:ascii="Arial" w:hAnsi="Arial" w:cs="Arial"/>
        </w:rPr>
        <w:t xml:space="preserve"> than </w:t>
      </w:r>
      <w:r w:rsidR="00141A96" w:rsidRPr="00C02A73">
        <w:rPr>
          <w:rFonts w:ascii="Arial" w:hAnsi="Arial" w:cs="Arial"/>
        </w:rPr>
        <w:t>young adults</w:t>
      </w:r>
      <w:r w:rsidR="002D347A" w:rsidRPr="00C02A73">
        <w:rPr>
          <w:rFonts w:ascii="Arial" w:hAnsi="Arial" w:cs="Arial"/>
        </w:rPr>
        <w:t>, with the most striking differences observed for saliva</w:t>
      </w:r>
      <w:r w:rsidR="00607DA5" w:rsidRPr="00C02A73">
        <w:rPr>
          <w:rFonts w:ascii="Arial" w:hAnsi="Arial" w:cs="Arial"/>
        </w:rPr>
        <w:t>ry antibody</w:t>
      </w:r>
      <w:r w:rsidR="002D347A" w:rsidRPr="00C02A73">
        <w:rPr>
          <w:rFonts w:ascii="Arial" w:hAnsi="Arial" w:cs="Arial"/>
        </w:rPr>
        <w:t xml:space="preserve"> secretion rates. </w:t>
      </w:r>
      <w:r w:rsidR="002C0EFF" w:rsidRPr="00C02A73">
        <w:rPr>
          <w:rFonts w:ascii="Arial" w:hAnsi="Arial" w:cs="Arial"/>
        </w:rPr>
        <w:t xml:space="preserve">In serum, </w:t>
      </w:r>
      <w:r w:rsidR="00926E93" w:rsidRPr="00C02A73">
        <w:rPr>
          <w:rFonts w:ascii="Arial" w:hAnsi="Arial" w:cs="Arial"/>
        </w:rPr>
        <w:t>o</w:t>
      </w:r>
      <w:r w:rsidR="00141A96" w:rsidRPr="00C02A73">
        <w:rPr>
          <w:rFonts w:ascii="Arial" w:hAnsi="Arial" w:cs="Arial"/>
        </w:rPr>
        <w:t>lder adults</w:t>
      </w:r>
      <w:r w:rsidR="005F78D1" w:rsidRPr="00C02A73">
        <w:rPr>
          <w:rFonts w:ascii="Arial" w:hAnsi="Arial" w:cs="Arial"/>
        </w:rPr>
        <w:t xml:space="preserve"> </w:t>
      </w:r>
      <w:r w:rsidR="00141A96" w:rsidRPr="00C02A73">
        <w:rPr>
          <w:rFonts w:ascii="Arial" w:hAnsi="Arial" w:cs="Arial"/>
        </w:rPr>
        <w:t>registered</w:t>
      </w:r>
      <w:r w:rsidR="00E070C5" w:rsidRPr="00C02A73">
        <w:rPr>
          <w:rFonts w:ascii="Arial" w:hAnsi="Arial" w:cs="Arial"/>
        </w:rPr>
        <w:t xml:space="preserve"> lower concentrations </w:t>
      </w:r>
      <w:r w:rsidR="00607DA5" w:rsidRPr="00C02A73">
        <w:rPr>
          <w:rFonts w:ascii="Arial" w:hAnsi="Arial" w:cs="Arial"/>
        </w:rPr>
        <w:t xml:space="preserve">for </w:t>
      </w:r>
      <w:r w:rsidR="00E070C5" w:rsidRPr="00C02A73">
        <w:rPr>
          <w:rFonts w:ascii="Arial" w:hAnsi="Arial" w:cs="Arial"/>
        </w:rPr>
        <w:t>only a</w:t>
      </w:r>
      <w:r w:rsidR="00472E28" w:rsidRPr="00C02A73">
        <w:rPr>
          <w:rFonts w:ascii="Arial" w:hAnsi="Arial" w:cs="Arial"/>
        </w:rPr>
        <w:t xml:space="preserve"> minority of antibodies</w:t>
      </w:r>
      <w:r w:rsidR="002C0EFF" w:rsidRPr="00C02A73">
        <w:rPr>
          <w:rFonts w:ascii="Arial" w:hAnsi="Arial" w:cs="Arial"/>
        </w:rPr>
        <w:t xml:space="preserve">. </w:t>
      </w:r>
      <w:r w:rsidR="005F78D1" w:rsidRPr="00C02A73">
        <w:rPr>
          <w:rFonts w:ascii="Arial" w:hAnsi="Arial" w:cs="Arial"/>
        </w:rPr>
        <w:t>Y</w:t>
      </w:r>
      <w:r w:rsidR="00141A96" w:rsidRPr="00C02A73">
        <w:rPr>
          <w:rFonts w:ascii="Arial" w:hAnsi="Arial" w:cs="Arial"/>
        </w:rPr>
        <w:t>oung adults</w:t>
      </w:r>
      <w:r w:rsidR="00D35E2A" w:rsidRPr="00C02A73">
        <w:rPr>
          <w:rFonts w:ascii="Arial" w:hAnsi="Arial" w:cs="Arial"/>
        </w:rPr>
        <w:t xml:space="preserve"> who</w:t>
      </w:r>
      <w:r w:rsidR="001D7DCA" w:rsidRPr="00C02A73">
        <w:rPr>
          <w:rFonts w:ascii="Arial" w:hAnsi="Arial" w:cs="Arial"/>
        </w:rPr>
        <w:t xml:space="preserve"> had previously </w:t>
      </w:r>
      <w:r w:rsidR="00D35E2A" w:rsidRPr="00C02A73">
        <w:rPr>
          <w:rFonts w:ascii="Arial" w:hAnsi="Arial" w:cs="Arial"/>
        </w:rPr>
        <w:t>received</w:t>
      </w:r>
      <w:r w:rsidR="001D7DCA" w:rsidRPr="00C02A73">
        <w:rPr>
          <w:rFonts w:ascii="Arial" w:hAnsi="Arial" w:cs="Arial"/>
        </w:rPr>
        <w:t xml:space="preserve"> a polysaccharide pneumococcal vaccination</w:t>
      </w:r>
      <w:r w:rsidR="003108A5" w:rsidRPr="00C02A73">
        <w:rPr>
          <w:rFonts w:ascii="Arial" w:hAnsi="Arial" w:cs="Arial"/>
        </w:rPr>
        <w:t xml:space="preserve"> (PPV23) </w:t>
      </w:r>
      <w:r w:rsidR="004D28EB" w:rsidRPr="00C02A73">
        <w:rPr>
          <w:rFonts w:ascii="Arial" w:hAnsi="Arial" w:cs="Arial"/>
        </w:rPr>
        <w:t>had highe</w:t>
      </w:r>
      <w:r w:rsidR="002C0EFF" w:rsidRPr="00C02A73">
        <w:rPr>
          <w:rFonts w:ascii="Arial" w:hAnsi="Arial" w:cs="Arial"/>
        </w:rPr>
        <w:t>r levels of anti-pneumococcal</w:t>
      </w:r>
      <w:r w:rsidR="00607DA5" w:rsidRPr="00C02A73">
        <w:rPr>
          <w:rFonts w:ascii="Arial" w:hAnsi="Arial" w:cs="Arial"/>
        </w:rPr>
        <w:t xml:space="preserve"> </w:t>
      </w:r>
      <w:r w:rsidR="002C0EFF" w:rsidRPr="00C02A73">
        <w:rPr>
          <w:rFonts w:ascii="Arial" w:hAnsi="Arial" w:cs="Arial"/>
        </w:rPr>
        <w:t xml:space="preserve">antibodies </w:t>
      </w:r>
      <w:r w:rsidR="001D7072" w:rsidRPr="00C02A73">
        <w:rPr>
          <w:rFonts w:ascii="Arial" w:hAnsi="Arial" w:cs="Arial"/>
        </w:rPr>
        <w:t>in serum</w:t>
      </w:r>
      <w:r w:rsidR="002C0EFF" w:rsidRPr="00C02A73">
        <w:rPr>
          <w:rFonts w:ascii="Arial" w:hAnsi="Arial" w:cs="Arial"/>
        </w:rPr>
        <w:t xml:space="preserve"> </w:t>
      </w:r>
      <w:r w:rsidR="007E724B" w:rsidRPr="00C02A73">
        <w:rPr>
          <w:rFonts w:ascii="Arial" w:hAnsi="Arial" w:cs="Arial"/>
        </w:rPr>
        <w:t>and in saliva</w:t>
      </w:r>
      <w:r w:rsidR="00472E28" w:rsidRPr="00C02A73">
        <w:rPr>
          <w:rFonts w:ascii="Arial" w:hAnsi="Arial" w:cs="Arial"/>
        </w:rPr>
        <w:t>. O</w:t>
      </w:r>
      <w:r w:rsidR="002C0EFF" w:rsidRPr="00C02A73">
        <w:rPr>
          <w:rFonts w:ascii="Arial" w:hAnsi="Arial" w:cs="Arial"/>
        </w:rPr>
        <w:t xml:space="preserve">nly minor differences </w:t>
      </w:r>
      <w:r w:rsidR="00472E28" w:rsidRPr="00C02A73">
        <w:rPr>
          <w:rFonts w:ascii="Arial" w:hAnsi="Arial" w:cs="Arial"/>
        </w:rPr>
        <w:t xml:space="preserve">were observed </w:t>
      </w:r>
      <w:r w:rsidR="002C0EFF" w:rsidRPr="00C02A73">
        <w:rPr>
          <w:rFonts w:ascii="Arial" w:hAnsi="Arial" w:cs="Arial"/>
        </w:rPr>
        <w:t xml:space="preserve">in antibody levels between </w:t>
      </w:r>
      <w:r w:rsidR="00472E28" w:rsidRPr="00C02A73">
        <w:rPr>
          <w:rFonts w:ascii="Arial" w:hAnsi="Arial" w:cs="Arial"/>
        </w:rPr>
        <w:t>older adults</w:t>
      </w:r>
      <w:r w:rsidR="001D7072" w:rsidRPr="00C02A73">
        <w:rPr>
          <w:rFonts w:ascii="Arial" w:hAnsi="Arial" w:cs="Arial"/>
        </w:rPr>
        <w:t xml:space="preserve"> who had/</w:t>
      </w:r>
      <w:r w:rsidR="002C0EFF" w:rsidRPr="00C02A73">
        <w:rPr>
          <w:rFonts w:ascii="Arial" w:hAnsi="Arial" w:cs="Arial"/>
        </w:rPr>
        <w:t>had not received PPV23, and t</w:t>
      </w:r>
      <w:r w:rsidR="002F5BFF" w:rsidRPr="00C02A73">
        <w:rPr>
          <w:rFonts w:ascii="Arial" w:hAnsi="Arial" w:cs="Arial"/>
        </w:rPr>
        <w:t>here was no evidence of memory in saliva</w:t>
      </w:r>
      <w:r w:rsidR="002C0EFF" w:rsidRPr="00C02A73">
        <w:rPr>
          <w:rFonts w:ascii="Arial" w:hAnsi="Arial" w:cs="Arial"/>
        </w:rPr>
        <w:t xml:space="preserve">. </w:t>
      </w:r>
    </w:p>
    <w:p w:rsidR="008B6F34" w:rsidRPr="00C02A73" w:rsidRDefault="008B6F34" w:rsidP="008B6F34">
      <w:pPr>
        <w:spacing w:line="480" w:lineRule="auto"/>
        <w:rPr>
          <w:rFonts w:ascii="Arial" w:hAnsi="Arial" w:cs="Arial"/>
          <w:b/>
        </w:rPr>
      </w:pPr>
      <w:r w:rsidRPr="00C02A73">
        <w:rPr>
          <w:rFonts w:ascii="Arial" w:hAnsi="Arial" w:cs="Arial"/>
          <w:b/>
        </w:rPr>
        <w:t xml:space="preserve">Conclusions: </w:t>
      </w:r>
      <w:r w:rsidR="0065593E" w:rsidRPr="00C02A73">
        <w:rPr>
          <w:rFonts w:ascii="Arial" w:hAnsi="Arial" w:cs="Arial"/>
        </w:rPr>
        <w:t>Age differences were</w:t>
      </w:r>
      <w:r w:rsidR="0063126D" w:rsidRPr="00C02A73">
        <w:rPr>
          <w:rFonts w:ascii="Arial" w:hAnsi="Arial" w:cs="Arial"/>
        </w:rPr>
        <w:t xml:space="preserve"> much greater in s</w:t>
      </w:r>
      <w:r w:rsidR="001E3817" w:rsidRPr="00C02A73">
        <w:rPr>
          <w:rFonts w:ascii="Arial" w:hAnsi="Arial" w:cs="Arial"/>
        </w:rPr>
        <w:t>aliva</w:t>
      </w:r>
      <w:r w:rsidR="00607DA5" w:rsidRPr="00C02A73">
        <w:rPr>
          <w:rFonts w:ascii="Arial" w:hAnsi="Arial" w:cs="Arial"/>
        </w:rPr>
        <w:t>ry</w:t>
      </w:r>
      <w:r w:rsidR="001E3817" w:rsidRPr="00C02A73">
        <w:rPr>
          <w:rFonts w:ascii="Arial" w:hAnsi="Arial" w:cs="Arial"/>
        </w:rPr>
        <w:t xml:space="preserve"> antibodies</w:t>
      </w:r>
      <w:r w:rsidR="0063126D" w:rsidRPr="00C02A73">
        <w:rPr>
          <w:rFonts w:ascii="Arial" w:hAnsi="Arial" w:cs="Arial"/>
        </w:rPr>
        <w:t xml:space="preserve"> than in serum</w:t>
      </w:r>
      <w:r w:rsidR="002F5BFF" w:rsidRPr="00C02A73">
        <w:rPr>
          <w:rFonts w:ascii="Arial" w:hAnsi="Arial" w:cs="Arial"/>
        </w:rPr>
        <w:t xml:space="preserve">; </w:t>
      </w:r>
      <w:r w:rsidR="00141A96" w:rsidRPr="00C02A73">
        <w:rPr>
          <w:rFonts w:ascii="Arial" w:hAnsi="Arial" w:cs="Arial"/>
        </w:rPr>
        <w:t>older adults</w:t>
      </w:r>
      <w:r w:rsidR="001D7DCA" w:rsidRPr="00C02A73">
        <w:rPr>
          <w:rFonts w:ascii="Arial" w:hAnsi="Arial" w:cs="Arial"/>
        </w:rPr>
        <w:t xml:space="preserve"> had reduced salivary secretion rates </w:t>
      </w:r>
      <w:r w:rsidR="00B5098D" w:rsidRPr="00C02A73">
        <w:rPr>
          <w:rFonts w:ascii="Arial" w:hAnsi="Arial" w:cs="Arial"/>
        </w:rPr>
        <w:t xml:space="preserve">of </w:t>
      </w:r>
      <w:r w:rsidR="001D7DCA" w:rsidRPr="00C02A73">
        <w:rPr>
          <w:rFonts w:ascii="Arial" w:hAnsi="Arial" w:cs="Arial"/>
        </w:rPr>
        <w:t xml:space="preserve">antibodies </w:t>
      </w:r>
      <w:r w:rsidR="00B5098D" w:rsidRPr="00C02A73">
        <w:rPr>
          <w:rFonts w:ascii="Arial" w:hAnsi="Arial" w:cs="Arial"/>
        </w:rPr>
        <w:t xml:space="preserve">across </w:t>
      </w:r>
      <w:r w:rsidR="001D7DCA" w:rsidRPr="00C02A73">
        <w:rPr>
          <w:rFonts w:ascii="Arial" w:hAnsi="Arial" w:cs="Arial"/>
        </w:rPr>
        <w:t>bacterial antigens. This decline in local immunity</w:t>
      </w:r>
      <w:r w:rsidRPr="00C02A73">
        <w:rPr>
          <w:rFonts w:ascii="Arial" w:hAnsi="Arial" w:cs="Arial"/>
        </w:rPr>
        <w:t xml:space="preserve"> may contribute to increased infection risk</w:t>
      </w:r>
      <w:r w:rsidR="001D7DCA" w:rsidRPr="00C02A73">
        <w:rPr>
          <w:rFonts w:ascii="Arial" w:hAnsi="Arial" w:cs="Arial"/>
        </w:rPr>
        <w:t xml:space="preserve"> in the elderly. </w:t>
      </w:r>
      <w:r w:rsidR="002F5BFF" w:rsidRPr="00C02A73">
        <w:rPr>
          <w:rFonts w:ascii="Arial" w:hAnsi="Arial" w:cs="Arial"/>
        </w:rPr>
        <w:t xml:space="preserve">The poor </w:t>
      </w:r>
      <w:r w:rsidR="00472E28" w:rsidRPr="00C02A73">
        <w:rPr>
          <w:rFonts w:ascii="Arial" w:hAnsi="Arial" w:cs="Arial"/>
        </w:rPr>
        <w:t xml:space="preserve">memory </w:t>
      </w:r>
      <w:r w:rsidR="007E724B" w:rsidRPr="00C02A73">
        <w:rPr>
          <w:rFonts w:ascii="Arial" w:hAnsi="Arial" w:cs="Arial"/>
        </w:rPr>
        <w:t xml:space="preserve">from pneumococcal vaccination </w:t>
      </w:r>
      <w:r w:rsidRPr="00C02A73">
        <w:rPr>
          <w:rFonts w:ascii="Arial" w:hAnsi="Arial" w:cs="Arial"/>
        </w:rPr>
        <w:t>in serum</w:t>
      </w:r>
      <w:r w:rsidR="002C0EFF" w:rsidRPr="00C02A73">
        <w:rPr>
          <w:rFonts w:ascii="Arial" w:hAnsi="Arial" w:cs="Arial"/>
        </w:rPr>
        <w:t xml:space="preserve"> </w:t>
      </w:r>
      <w:r w:rsidR="001D7072" w:rsidRPr="00C02A73">
        <w:rPr>
          <w:rFonts w:ascii="Arial" w:hAnsi="Arial" w:cs="Arial"/>
        </w:rPr>
        <w:t xml:space="preserve">and </w:t>
      </w:r>
      <w:r w:rsidRPr="00C02A73">
        <w:rPr>
          <w:rFonts w:ascii="Arial" w:hAnsi="Arial" w:cs="Arial"/>
        </w:rPr>
        <w:t>saliva</w:t>
      </w:r>
      <w:r w:rsidR="002F5BFF" w:rsidRPr="00C02A73">
        <w:rPr>
          <w:rFonts w:ascii="Arial" w:hAnsi="Arial" w:cs="Arial"/>
        </w:rPr>
        <w:t xml:space="preserve"> suggests that PPV23 </w:t>
      </w:r>
      <w:r w:rsidR="00141A96" w:rsidRPr="00C02A73">
        <w:rPr>
          <w:rFonts w:ascii="Arial" w:hAnsi="Arial" w:cs="Arial"/>
        </w:rPr>
        <w:t>may</w:t>
      </w:r>
      <w:r w:rsidR="00633CBE" w:rsidRPr="00C02A73">
        <w:rPr>
          <w:rFonts w:ascii="Arial" w:hAnsi="Arial" w:cs="Arial"/>
        </w:rPr>
        <w:t xml:space="preserve"> </w:t>
      </w:r>
      <w:r w:rsidR="00141A96" w:rsidRPr="00C02A73">
        <w:rPr>
          <w:rFonts w:ascii="Arial" w:hAnsi="Arial" w:cs="Arial"/>
        </w:rPr>
        <w:t>be</w:t>
      </w:r>
      <w:r w:rsidR="002F5BFF" w:rsidRPr="00C02A73">
        <w:rPr>
          <w:rFonts w:ascii="Arial" w:hAnsi="Arial" w:cs="Arial"/>
        </w:rPr>
        <w:t xml:space="preserve"> ineffective in </w:t>
      </w:r>
      <w:r w:rsidR="00141A96" w:rsidRPr="00C02A73">
        <w:rPr>
          <w:rFonts w:ascii="Arial" w:hAnsi="Arial" w:cs="Arial"/>
        </w:rPr>
        <w:t>older adults</w:t>
      </w:r>
      <w:r w:rsidR="002F5BFF" w:rsidRPr="00C02A73">
        <w:rPr>
          <w:rFonts w:ascii="Arial" w:hAnsi="Arial" w:cs="Arial"/>
        </w:rPr>
        <w:t xml:space="preserve"> for both systemic and local protection.  </w:t>
      </w:r>
    </w:p>
    <w:p w:rsidR="00D94347" w:rsidRPr="00C02A73" w:rsidRDefault="00D94347" w:rsidP="00E54729">
      <w:pPr>
        <w:rPr>
          <w:rFonts w:ascii="Arial" w:hAnsi="Arial" w:cs="Arial"/>
          <w:b/>
        </w:rPr>
      </w:pPr>
    </w:p>
    <w:p w:rsidR="00D94347" w:rsidRPr="00C02A73" w:rsidRDefault="00D94347" w:rsidP="00E54729">
      <w:pPr>
        <w:rPr>
          <w:rFonts w:ascii="Arial" w:hAnsi="Arial" w:cs="Arial"/>
          <w:b/>
        </w:rPr>
      </w:pPr>
    </w:p>
    <w:p w:rsidR="00D94347" w:rsidRPr="00C02A73" w:rsidRDefault="00D94347" w:rsidP="00E54729">
      <w:pPr>
        <w:rPr>
          <w:rFonts w:ascii="Arial" w:hAnsi="Arial" w:cs="Arial"/>
          <w:b/>
        </w:rPr>
      </w:pPr>
    </w:p>
    <w:p w:rsidR="005F78D1" w:rsidRPr="00C02A73" w:rsidRDefault="005F78D1" w:rsidP="00E54729">
      <w:pPr>
        <w:rPr>
          <w:rFonts w:ascii="Arial" w:hAnsi="Arial" w:cs="Arial"/>
          <w:b/>
        </w:rPr>
      </w:pPr>
    </w:p>
    <w:p w:rsidR="008118E6" w:rsidRPr="00C02A73" w:rsidRDefault="008118E6" w:rsidP="00E54729">
      <w:pPr>
        <w:rPr>
          <w:rFonts w:ascii="Arial" w:hAnsi="Arial" w:cs="Arial"/>
          <w:b/>
        </w:rPr>
      </w:pPr>
    </w:p>
    <w:p w:rsidR="00C02A73" w:rsidRPr="00C02A73" w:rsidRDefault="00C02A73" w:rsidP="00E54729">
      <w:pPr>
        <w:rPr>
          <w:rFonts w:ascii="Arial" w:hAnsi="Arial" w:cs="Arial"/>
          <w:b/>
        </w:rPr>
      </w:pPr>
    </w:p>
    <w:p w:rsidR="00E54729" w:rsidRPr="00C02A73" w:rsidRDefault="00E54729" w:rsidP="00E54729">
      <w:pPr>
        <w:rPr>
          <w:rFonts w:ascii="Arial" w:hAnsi="Arial" w:cs="Arial"/>
        </w:rPr>
      </w:pPr>
      <w:r w:rsidRPr="00C02A73">
        <w:rPr>
          <w:rFonts w:ascii="Arial" w:hAnsi="Arial" w:cs="Arial"/>
          <w:b/>
        </w:rPr>
        <w:t xml:space="preserve">Introduction </w:t>
      </w:r>
    </w:p>
    <w:p w:rsidR="00977DAB" w:rsidRPr="00C02A73" w:rsidRDefault="006D2CCC" w:rsidP="00504523">
      <w:pPr>
        <w:spacing w:line="480" w:lineRule="auto"/>
        <w:rPr>
          <w:rFonts w:ascii="Arial" w:hAnsi="Arial" w:cs="Arial"/>
        </w:rPr>
      </w:pPr>
      <w:r w:rsidRPr="00C02A73">
        <w:rPr>
          <w:rFonts w:ascii="Arial" w:hAnsi="Arial" w:cs="Arial"/>
        </w:rPr>
        <w:t xml:space="preserve">Age-related immune decline and dysregulation, immunosenescence, is associated with increased susceptibility to </w:t>
      </w:r>
      <w:r w:rsidR="007C35BF" w:rsidRPr="00C02A73">
        <w:rPr>
          <w:rFonts w:ascii="Arial" w:hAnsi="Arial" w:cs="Arial"/>
        </w:rPr>
        <w:t xml:space="preserve">bacterial and viral infections </w:t>
      </w:r>
      <w:r w:rsidR="003964D0" w:rsidRPr="00C02A73">
        <w:rPr>
          <w:rFonts w:ascii="Arial" w:hAnsi="Arial" w:cs="Arial"/>
        </w:rPr>
        <w:fldChar w:fldCharType="begin"/>
      </w:r>
      <w:r w:rsidR="005920B3" w:rsidRPr="00C02A73">
        <w:rPr>
          <w:rFonts w:ascii="Arial" w:hAnsi="Arial" w:cs="Arial"/>
        </w:rPr>
        <w:instrText xml:space="preserve"> ADDIN EN.CITE &lt;EndNote&gt;&lt;Cite&gt;&lt;Author&gt;Lord&lt;/Author&gt;&lt;Year&gt;2013&lt;/Year&gt;&lt;RecNum&gt;6&lt;/RecNum&gt;&lt;DisplayText&gt;(1)&lt;/DisplayText&gt;&lt;record&gt;&lt;rec-number&gt;6&lt;/rec-number&gt;&lt;foreign-keys&gt;&lt;key app="EN" db-id="ttt5azpahefvd1ex0aqxft54dvw5w5dzate2"&gt;6&lt;/key&gt;&lt;/foreign-keys&gt;&lt;ref-type name="Journal Article"&gt;17&lt;/ref-type&gt;&lt;contributors&gt;&lt;authors&gt;&lt;author&gt;Lord, J. M.&lt;/author&gt;&lt;/authors&gt;&lt;/contributors&gt;&lt;titles&gt;&lt;title&gt;The effect of ageing of the immune system on vaccination responses&lt;/title&gt;&lt;secondary-title&gt;Hum Vaccin Immunother&lt;/secondary-title&gt;&lt;/titles&gt;&lt;periodical&gt;&lt;full-title&gt;Hum Vaccin Immunother&lt;/full-title&gt;&lt;/periodical&gt;&lt;pages&gt;1364-7&lt;/pages&gt;&lt;volume&gt;9&lt;/volume&gt;&lt;number&gt;6&lt;/number&gt;&lt;dates&gt;&lt;year&gt;2013&lt;/year&gt;&lt;/dates&gt;&lt;isbn&gt;2164-554X (Electronic)&lt;/isbn&gt;&lt;work-type&gt;Review&lt;/work-type&gt;&lt;urls&gt;&lt;/urls&gt;&lt;/record&gt;&lt;/Cite&gt;&lt;/EndNote&gt;</w:instrText>
      </w:r>
      <w:r w:rsidR="003964D0" w:rsidRPr="00C02A73">
        <w:rPr>
          <w:rFonts w:ascii="Arial" w:hAnsi="Arial" w:cs="Arial"/>
        </w:rPr>
        <w:fldChar w:fldCharType="separate"/>
      </w:r>
      <w:r w:rsidR="005920B3" w:rsidRPr="00C02A73">
        <w:rPr>
          <w:rFonts w:ascii="Arial" w:hAnsi="Arial" w:cs="Arial"/>
          <w:noProof/>
        </w:rPr>
        <w:t>(</w:t>
      </w:r>
      <w:hyperlink w:anchor="_ENREF_1" w:tooltip="Lord, 2013 #6" w:history="1">
        <w:r w:rsidR="00EA05AB" w:rsidRPr="00C02A73">
          <w:rPr>
            <w:rFonts w:ascii="Arial" w:hAnsi="Arial" w:cs="Arial"/>
            <w:noProof/>
          </w:rPr>
          <w:t>1</w:t>
        </w:r>
      </w:hyperlink>
      <w:r w:rsidR="005920B3" w:rsidRPr="00C02A73">
        <w:rPr>
          <w:rFonts w:ascii="Arial" w:hAnsi="Arial" w:cs="Arial"/>
          <w:noProof/>
        </w:rPr>
        <w:t>)</w:t>
      </w:r>
      <w:r w:rsidR="003964D0" w:rsidRPr="00C02A73">
        <w:rPr>
          <w:rFonts w:ascii="Arial" w:hAnsi="Arial" w:cs="Arial"/>
        </w:rPr>
        <w:fldChar w:fldCharType="end"/>
      </w:r>
      <w:r w:rsidR="007C35BF" w:rsidRPr="00C02A73">
        <w:rPr>
          <w:rFonts w:ascii="Arial" w:hAnsi="Arial" w:cs="Arial"/>
        </w:rPr>
        <w:t>.</w:t>
      </w:r>
      <w:r w:rsidR="005E476A" w:rsidRPr="00C02A73">
        <w:rPr>
          <w:rFonts w:ascii="Arial" w:hAnsi="Arial" w:cs="Arial"/>
        </w:rPr>
        <w:t xml:space="preserve"> </w:t>
      </w:r>
      <w:r w:rsidR="003245CB" w:rsidRPr="00C02A73">
        <w:rPr>
          <w:rFonts w:ascii="Arial" w:hAnsi="Arial" w:cs="Arial"/>
        </w:rPr>
        <w:t>I</w:t>
      </w:r>
      <w:r w:rsidR="00395333" w:rsidRPr="00C02A73">
        <w:rPr>
          <w:rFonts w:ascii="Arial" w:hAnsi="Arial" w:cs="Arial"/>
        </w:rPr>
        <w:t>nfectious d</w:t>
      </w:r>
      <w:r w:rsidR="00C503D3" w:rsidRPr="00C02A73">
        <w:rPr>
          <w:rFonts w:ascii="Arial" w:hAnsi="Arial" w:cs="Arial"/>
        </w:rPr>
        <w:t xml:space="preserve">iseases in the elderly are more </w:t>
      </w:r>
      <w:r w:rsidR="001E2788" w:rsidRPr="00C02A73">
        <w:rPr>
          <w:rFonts w:ascii="Arial" w:hAnsi="Arial" w:cs="Arial"/>
        </w:rPr>
        <w:t xml:space="preserve">common </w:t>
      </w:r>
      <w:r w:rsidR="00607DA5" w:rsidRPr="00C02A73">
        <w:rPr>
          <w:rFonts w:ascii="Arial" w:hAnsi="Arial" w:cs="Arial"/>
        </w:rPr>
        <w:t xml:space="preserve">and </w:t>
      </w:r>
      <w:r w:rsidR="00C503D3" w:rsidRPr="00C02A73">
        <w:rPr>
          <w:rFonts w:ascii="Arial" w:hAnsi="Arial" w:cs="Arial"/>
        </w:rPr>
        <w:t>severe</w:t>
      </w:r>
      <w:r w:rsidR="001F3D1C" w:rsidRPr="00C02A73">
        <w:rPr>
          <w:rFonts w:ascii="Arial" w:hAnsi="Arial" w:cs="Arial"/>
        </w:rPr>
        <w:t xml:space="preserve"> than in younger adults</w:t>
      </w:r>
      <w:r w:rsidR="007C35BF" w:rsidRPr="00C02A73">
        <w:rPr>
          <w:rFonts w:ascii="Arial" w:hAnsi="Arial" w:cs="Arial"/>
        </w:rPr>
        <w:t xml:space="preserve"> </w:t>
      </w:r>
      <w:r w:rsidR="003964D0" w:rsidRPr="00C02A73">
        <w:rPr>
          <w:rFonts w:ascii="Arial" w:hAnsi="Arial" w:cs="Arial"/>
        </w:rPr>
        <w:fldChar w:fldCharType="begin"/>
      </w:r>
      <w:r w:rsidR="005920B3" w:rsidRPr="00C02A73">
        <w:rPr>
          <w:rFonts w:ascii="Arial" w:hAnsi="Arial" w:cs="Arial"/>
        </w:rPr>
        <w:instrText xml:space="preserve"> ADDIN EN.CITE &lt;EndNote&gt;&lt;Cite&gt;&lt;Author&gt;Gavazzi&lt;/Author&gt;&lt;Year&gt;2002&lt;/Year&gt;&lt;RecNum&gt;10&lt;/RecNum&gt;&lt;DisplayText&gt;(2)&lt;/DisplayText&gt;&lt;record&gt;&lt;rec-number&gt;10&lt;/rec-number&gt;&lt;foreign-keys&gt;&lt;key app="EN" db-id="ttt5azpahefvd1ex0aqxft54dvw5w5dzate2"&gt;10&lt;/key&gt;&lt;/foreign-keys&gt;&lt;ref-type name="Journal Article"&gt;17&lt;/ref-type&gt;&lt;contributors&gt;&lt;authors&gt;&lt;author&gt;Gavazzi, G.&lt;/author&gt;&lt;author&gt;Krause, K. H.&lt;/author&gt;&lt;/authors&gt;&lt;/contributors&gt;&lt;titles&gt;&lt;title&gt;Ageing and infection&lt;/title&gt;&lt;secondary-title&gt;Lancet Infect Dis&lt;/secondary-title&gt;&lt;/titles&gt;&lt;periodical&gt;&lt;full-title&gt;Lancet Infect Dis&lt;/full-title&gt;&lt;/periodical&gt;&lt;pages&gt;659-66&lt;/pages&gt;&lt;volume&gt;2&lt;/volume&gt;&lt;number&gt;11&lt;/number&gt;&lt;dates&gt;&lt;year&gt;2002&lt;/year&gt;&lt;/dates&gt;&lt;isbn&gt;1473-3099 (Print)&amp;#xD;1473-3099 (Linking)&lt;/isbn&gt;&lt;work-type&gt;Research Support, Non-U S Gov&amp;apos;t&amp;#xD;Review&lt;/work-type&gt;&lt;urls&gt;&lt;/urls&gt;&lt;/record&gt;&lt;/Cite&gt;&lt;/EndNote&gt;</w:instrText>
      </w:r>
      <w:r w:rsidR="003964D0" w:rsidRPr="00C02A73">
        <w:rPr>
          <w:rFonts w:ascii="Arial" w:hAnsi="Arial" w:cs="Arial"/>
        </w:rPr>
        <w:fldChar w:fldCharType="separate"/>
      </w:r>
      <w:r w:rsidR="005920B3" w:rsidRPr="00C02A73">
        <w:rPr>
          <w:rFonts w:ascii="Arial" w:hAnsi="Arial" w:cs="Arial"/>
          <w:noProof/>
        </w:rPr>
        <w:t>(</w:t>
      </w:r>
      <w:hyperlink w:anchor="_ENREF_2" w:tooltip="Gavazzi, 2002 #10" w:history="1">
        <w:r w:rsidR="00EA05AB" w:rsidRPr="00C02A73">
          <w:rPr>
            <w:rFonts w:ascii="Arial" w:hAnsi="Arial" w:cs="Arial"/>
            <w:noProof/>
          </w:rPr>
          <w:t>2</w:t>
        </w:r>
      </w:hyperlink>
      <w:r w:rsidR="005920B3" w:rsidRPr="00C02A73">
        <w:rPr>
          <w:rFonts w:ascii="Arial" w:hAnsi="Arial" w:cs="Arial"/>
          <w:noProof/>
        </w:rPr>
        <w:t>)</w:t>
      </w:r>
      <w:r w:rsidR="003964D0" w:rsidRPr="00C02A73">
        <w:rPr>
          <w:rFonts w:ascii="Arial" w:hAnsi="Arial" w:cs="Arial"/>
        </w:rPr>
        <w:fldChar w:fldCharType="end"/>
      </w:r>
      <w:r w:rsidR="007C35BF" w:rsidRPr="00C02A73">
        <w:rPr>
          <w:rFonts w:ascii="Arial" w:hAnsi="Arial" w:cs="Arial"/>
        </w:rPr>
        <w:t xml:space="preserve">, </w:t>
      </w:r>
      <w:r w:rsidR="00255410" w:rsidRPr="00C02A73">
        <w:rPr>
          <w:rFonts w:ascii="Arial" w:hAnsi="Arial" w:cs="Arial"/>
        </w:rPr>
        <w:t xml:space="preserve">with pneumonia being </w:t>
      </w:r>
      <w:r w:rsidR="00AD3CE8" w:rsidRPr="00C02A73">
        <w:rPr>
          <w:rFonts w:ascii="Arial" w:hAnsi="Arial" w:cs="Arial"/>
        </w:rPr>
        <w:t xml:space="preserve">the second commonest cause of death in over 75s and community acquired pneumonia (CAP) accounting for a </w:t>
      </w:r>
      <w:r w:rsidR="009E2909" w:rsidRPr="00C02A73">
        <w:rPr>
          <w:rFonts w:ascii="Arial" w:hAnsi="Arial" w:cs="Arial"/>
        </w:rPr>
        <w:t>fifth</w:t>
      </w:r>
      <w:r w:rsidR="00AD3CE8" w:rsidRPr="00C02A73">
        <w:rPr>
          <w:rFonts w:ascii="Arial" w:hAnsi="Arial" w:cs="Arial"/>
        </w:rPr>
        <w:t xml:space="preserve"> of all deaths</w:t>
      </w:r>
      <w:r w:rsidR="007C35BF" w:rsidRPr="00C02A73">
        <w:rPr>
          <w:rFonts w:ascii="Arial" w:hAnsi="Arial" w:cs="Arial"/>
        </w:rPr>
        <w:t xml:space="preserve"> </w:t>
      </w:r>
      <w:r w:rsidR="009E2909" w:rsidRPr="00C02A73">
        <w:rPr>
          <w:rFonts w:ascii="Arial" w:hAnsi="Arial" w:cs="Arial"/>
        </w:rPr>
        <w:fldChar w:fldCharType="begin"/>
      </w:r>
      <w:r w:rsidR="005920B3" w:rsidRPr="00C02A73">
        <w:rPr>
          <w:rFonts w:ascii="Arial" w:hAnsi="Arial" w:cs="Arial"/>
        </w:rPr>
        <w:instrText xml:space="preserve"> ADDIN EN.CITE &lt;EndNote&gt;&lt;Cite&gt;&lt;Year&gt;2010 &lt;/Year&gt;&lt;RecNum&gt;11&lt;/RecNum&gt;&lt;DisplayText&gt;(3, 4)&lt;/DisplayText&gt;&lt;record&gt;&lt;rec-number&gt;11&lt;/rec-number&gt;&lt;foreign-keys&gt;&lt;key app="EN" db-id="ttt5azpahefvd1ex0aqxft54dvw5w5dzate2"&gt;11&lt;/key&gt;&lt;/foreign-keys&gt;&lt;ref-type name="Web Page"&gt;12&lt;/ref-type&gt;&lt;contributors&gt;&lt;/contributors&gt;&lt;titles&gt;&lt;title&gt;NHS National End of Life Care Programme. Deaths in Older Adults in England &lt;/title&gt;&lt;/titles&gt;&lt;number&gt;October 9th 2014&lt;/number&gt;&lt;dates&gt;&lt;year&gt;2010 &lt;/year&gt;&lt;/dates&gt;&lt;urls&gt;&lt;related-urls&gt;&lt;url&gt;file:///C:/Users/Heanejlj/Downloads/Deaths_in_Older_Adults_in_England_FINAL_REPORT2%20(4).pdf&lt;/url&gt;&lt;/related-urls&gt;&lt;/urls&gt;&lt;/record&gt;&lt;/Cite&gt;&lt;Cite&gt;&lt;Author&gt;Stupka&lt;/Author&gt;&lt;Year&gt;2009&lt;/Year&gt;&lt;RecNum&gt;56&lt;/RecNum&gt;&lt;record&gt;&lt;rec-number&gt;56&lt;/rec-number&gt;&lt;foreign-keys&gt;&lt;key app="EN" db-id="ttt5azpahefvd1ex0aqxft54dvw5w5dzate2"&gt;56&lt;/key&gt;&lt;/foreign-keys&gt;&lt;ref-type name="Journal Article"&gt;17&lt;/ref-type&gt;&lt;contributors&gt;&lt;authors&gt;&lt;author&gt;Stupka, J. E.&lt;/author&gt;&lt;author&gt;Mortensen, E. M.&lt;/author&gt;&lt;author&gt;Anzueto, A.&lt;/author&gt;&lt;author&gt;Restrepo, M. I.&lt;/author&gt;&lt;/authors&gt;&lt;/contributors&gt;&lt;titles&gt;&lt;title&gt;Community-acquired pneumonia in elderly patients&lt;/title&gt;&lt;secondary-title&gt;Aging health&lt;/secondary-title&gt;&lt;/titles&gt;&lt;periodical&gt;&lt;full-title&gt;Aging health&lt;/full-title&gt;&lt;/periodical&gt;&lt;pages&gt;763-774&lt;/pages&gt;&lt;volume&gt;5&lt;/volume&gt;&lt;number&gt;6&lt;/number&gt;&lt;dates&gt;&lt;year&gt;2009&lt;/year&gt;&lt;/dates&gt;&lt;isbn&gt;1745-509X (Print)&amp;#xD;1745-509X (Linking)&lt;/isbn&gt;&lt;work-type&gt;Journal article&lt;/work-type&gt;&lt;urls&gt;&lt;/urls&gt;&lt;/record&gt;&lt;/Cite&gt;&lt;/EndNote&gt;</w:instrText>
      </w:r>
      <w:r w:rsidR="009E2909" w:rsidRPr="00C02A73">
        <w:rPr>
          <w:rFonts w:ascii="Arial" w:hAnsi="Arial" w:cs="Arial"/>
        </w:rPr>
        <w:fldChar w:fldCharType="separate"/>
      </w:r>
      <w:r w:rsidR="005920B3" w:rsidRPr="00C02A73">
        <w:rPr>
          <w:rFonts w:ascii="Arial" w:hAnsi="Arial" w:cs="Arial"/>
          <w:noProof/>
        </w:rPr>
        <w:t>(</w:t>
      </w:r>
      <w:hyperlink w:anchor="_ENREF_3" w:tooltip=", 2010  #11" w:history="1">
        <w:r w:rsidR="00EA05AB" w:rsidRPr="00C02A73">
          <w:rPr>
            <w:rFonts w:ascii="Arial" w:hAnsi="Arial" w:cs="Arial"/>
            <w:noProof/>
          </w:rPr>
          <w:t>3</w:t>
        </w:r>
      </w:hyperlink>
      <w:r w:rsidR="005920B3" w:rsidRPr="00C02A73">
        <w:rPr>
          <w:rFonts w:ascii="Arial" w:hAnsi="Arial" w:cs="Arial"/>
          <w:noProof/>
        </w:rPr>
        <w:t xml:space="preserve">, </w:t>
      </w:r>
      <w:hyperlink w:anchor="_ENREF_4" w:tooltip="Stupka, 2009 #56" w:history="1">
        <w:r w:rsidR="00EA05AB" w:rsidRPr="00C02A73">
          <w:rPr>
            <w:rFonts w:ascii="Arial" w:hAnsi="Arial" w:cs="Arial"/>
            <w:noProof/>
          </w:rPr>
          <w:t>4</w:t>
        </w:r>
      </w:hyperlink>
      <w:r w:rsidR="005920B3" w:rsidRPr="00C02A73">
        <w:rPr>
          <w:rFonts w:ascii="Arial" w:hAnsi="Arial" w:cs="Arial"/>
          <w:noProof/>
        </w:rPr>
        <w:t>)</w:t>
      </w:r>
      <w:r w:rsidR="009E2909" w:rsidRPr="00C02A73">
        <w:rPr>
          <w:rFonts w:ascii="Arial" w:hAnsi="Arial" w:cs="Arial"/>
        </w:rPr>
        <w:fldChar w:fldCharType="end"/>
      </w:r>
      <w:r w:rsidR="007C35BF" w:rsidRPr="00C02A73">
        <w:rPr>
          <w:rFonts w:ascii="Arial" w:hAnsi="Arial" w:cs="Arial"/>
        </w:rPr>
        <w:t>.</w:t>
      </w:r>
      <w:r w:rsidR="00504523" w:rsidRPr="00C02A73">
        <w:rPr>
          <w:rFonts w:ascii="Arial" w:hAnsi="Arial" w:cs="Arial"/>
        </w:rPr>
        <w:t xml:space="preserve"> </w:t>
      </w:r>
      <w:r w:rsidR="006F424E" w:rsidRPr="00C02A73">
        <w:rPr>
          <w:rFonts w:ascii="Arial" w:hAnsi="Arial" w:cs="Arial"/>
          <w:i/>
        </w:rPr>
        <w:t xml:space="preserve">Streptococcus </w:t>
      </w:r>
      <w:r w:rsidR="00142022" w:rsidRPr="00C02A73">
        <w:rPr>
          <w:rFonts w:ascii="Arial" w:hAnsi="Arial" w:cs="Arial"/>
          <w:i/>
        </w:rPr>
        <w:t>pneumoniae</w:t>
      </w:r>
      <w:r w:rsidR="00F36724" w:rsidRPr="00C02A73">
        <w:rPr>
          <w:rFonts w:ascii="Arial" w:hAnsi="Arial" w:cs="Arial"/>
        </w:rPr>
        <w:t xml:space="preserve"> (</w:t>
      </w:r>
      <w:r w:rsidR="00F36724" w:rsidRPr="00C02A73">
        <w:rPr>
          <w:rFonts w:ascii="Arial" w:hAnsi="Arial" w:cs="Arial"/>
          <w:i/>
        </w:rPr>
        <w:t>S pneumoniae</w:t>
      </w:r>
      <w:r w:rsidR="00F36724" w:rsidRPr="00C02A73">
        <w:rPr>
          <w:rFonts w:ascii="Arial" w:hAnsi="Arial" w:cs="Arial"/>
        </w:rPr>
        <w:t>)</w:t>
      </w:r>
      <w:r w:rsidR="00AC4B4C" w:rsidRPr="00C02A73">
        <w:rPr>
          <w:rFonts w:ascii="Arial" w:hAnsi="Arial" w:cs="Arial"/>
        </w:rPr>
        <w:t xml:space="preserve"> causes up to half of CAP and</w:t>
      </w:r>
      <w:r w:rsidR="00607DA5" w:rsidRPr="00C02A73">
        <w:rPr>
          <w:rFonts w:ascii="Arial" w:hAnsi="Arial" w:cs="Arial"/>
        </w:rPr>
        <w:t xml:space="preserve"> is a </w:t>
      </w:r>
      <w:r w:rsidR="009E72FC" w:rsidRPr="00C02A73">
        <w:rPr>
          <w:rFonts w:ascii="Arial" w:hAnsi="Arial" w:cs="Arial"/>
        </w:rPr>
        <w:t xml:space="preserve">commensal </w:t>
      </w:r>
      <w:r w:rsidR="006F424E" w:rsidRPr="00C02A73">
        <w:rPr>
          <w:rFonts w:ascii="Arial" w:hAnsi="Arial" w:cs="Arial"/>
        </w:rPr>
        <w:t>bacteria</w:t>
      </w:r>
      <w:r w:rsidR="000636BB" w:rsidRPr="00C02A73">
        <w:rPr>
          <w:rFonts w:ascii="Arial" w:hAnsi="Arial" w:cs="Arial"/>
        </w:rPr>
        <w:t xml:space="preserve"> </w:t>
      </w:r>
      <w:r w:rsidR="009E72FC" w:rsidRPr="00C02A73">
        <w:rPr>
          <w:rFonts w:ascii="Arial" w:hAnsi="Arial" w:cs="Arial"/>
        </w:rPr>
        <w:t xml:space="preserve">of </w:t>
      </w:r>
      <w:r w:rsidR="00FA00E1" w:rsidRPr="00C02A73">
        <w:rPr>
          <w:rFonts w:ascii="Arial" w:hAnsi="Arial" w:cs="Arial"/>
        </w:rPr>
        <w:t xml:space="preserve">the upper respiratory tract </w:t>
      </w:r>
      <w:r w:rsidR="00BB6D92" w:rsidRPr="00C02A73">
        <w:rPr>
          <w:rFonts w:ascii="Arial" w:hAnsi="Arial" w:cs="Arial"/>
        </w:rPr>
        <w:t xml:space="preserve">(URT) </w:t>
      </w:r>
      <w:r w:rsidR="00FA00E1" w:rsidRPr="00C02A73">
        <w:rPr>
          <w:rFonts w:ascii="Arial" w:hAnsi="Arial" w:cs="Arial"/>
        </w:rPr>
        <w:t xml:space="preserve">but </w:t>
      </w:r>
      <w:r w:rsidR="000636BB" w:rsidRPr="00C02A73">
        <w:rPr>
          <w:rFonts w:ascii="Arial" w:hAnsi="Arial" w:cs="Arial"/>
        </w:rPr>
        <w:t xml:space="preserve">can spread </w:t>
      </w:r>
      <w:r w:rsidR="00142022" w:rsidRPr="00C02A73">
        <w:rPr>
          <w:rFonts w:ascii="Arial" w:hAnsi="Arial" w:cs="Arial"/>
        </w:rPr>
        <w:t>to other areas</w:t>
      </w:r>
      <w:r w:rsidR="007C35BF" w:rsidRPr="00C02A73">
        <w:rPr>
          <w:rFonts w:ascii="Arial" w:hAnsi="Arial" w:cs="Arial"/>
        </w:rPr>
        <w:t xml:space="preserve"> and result in invasive disease </w:t>
      </w:r>
      <w:r w:rsidR="003964D0" w:rsidRPr="00C02A73">
        <w:rPr>
          <w:rFonts w:ascii="Arial" w:hAnsi="Arial" w:cs="Arial"/>
        </w:rPr>
        <w:fldChar w:fldCharType="begin"/>
      </w:r>
      <w:r w:rsidR="005920B3" w:rsidRPr="00C02A73">
        <w:rPr>
          <w:rFonts w:ascii="Arial" w:hAnsi="Arial" w:cs="Arial"/>
        </w:rPr>
        <w:instrText xml:space="preserve"> ADDIN EN.CITE &lt;EndNote&gt;&lt;Cite&gt;&lt;Author&gt;Krone&lt;/Author&gt;&lt;Year&gt;2014&lt;/Year&gt;&lt;RecNum&gt;7&lt;/RecNum&gt;&lt;DisplayText&gt;(5)&lt;/DisplayText&gt;&lt;record&gt;&lt;rec-number&gt;7&lt;/rec-number&gt;&lt;foreign-keys&gt;&lt;key app="EN" db-id="ttt5azpahefvd1ex0aqxft54dvw5w5dzate2"&gt;7&lt;/key&gt;&lt;/foreign-keys&gt;&lt;ref-type name="Journal Article"&gt;17&lt;/ref-type&gt;&lt;contributors&gt;&lt;authors&gt;&lt;author&gt;Krone, C. L.&lt;/author&gt;&lt;author&gt;van de Groep, K.&lt;/author&gt;&lt;author&gt;Trzcinski, K.&lt;/author&gt;&lt;author&gt;Sanders, E. A.&lt;/author&gt;&lt;author&gt;Bogaert, D.&lt;/author&gt;&lt;/authors&gt;&lt;/contributors&gt;&lt;titles&gt;&lt;title&gt;Immunosenescence and pneumococcal disease: an imbalance in host-pathogen interactions&lt;/title&gt;&lt;secondary-title&gt;Lancet Respir Med&lt;/secondary-title&gt;&lt;/titles&gt;&lt;periodical&gt;&lt;full-title&gt;Lancet Respir Med&lt;/full-title&gt;&lt;/periodical&gt;&lt;pages&gt;141-53&lt;/pages&gt;&lt;volume&gt;2&lt;/volume&gt;&lt;number&gt;2&lt;/number&gt;&lt;dates&gt;&lt;year&gt;2014&lt;/year&gt;&lt;/dates&gt;&lt;isbn&gt;2213-2600 (Print)&amp;#xD;2213-2600 (Linking)&lt;/isbn&gt;&lt;work-type&gt;Research Support, Non-U S Gov&amp;apos;t&amp;#xD;Review&lt;/work-type&gt;&lt;urls&gt;&lt;/urls&gt;&lt;/record&gt;&lt;/Cite&gt;&lt;/EndNote&gt;</w:instrText>
      </w:r>
      <w:r w:rsidR="003964D0" w:rsidRPr="00C02A73">
        <w:rPr>
          <w:rFonts w:ascii="Arial" w:hAnsi="Arial" w:cs="Arial"/>
        </w:rPr>
        <w:fldChar w:fldCharType="separate"/>
      </w:r>
      <w:r w:rsidR="005920B3" w:rsidRPr="00C02A73">
        <w:rPr>
          <w:rFonts w:ascii="Arial" w:hAnsi="Arial" w:cs="Arial"/>
          <w:noProof/>
        </w:rPr>
        <w:t>(</w:t>
      </w:r>
      <w:hyperlink w:anchor="_ENREF_5" w:tooltip="Krone, 2014 #7" w:history="1">
        <w:r w:rsidR="00EA05AB" w:rsidRPr="00C02A73">
          <w:rPr>
            <w:rFonts w:ascii="Arial" w:hAnsi="Arial" w:cs="Arial"/>
            <w:noProof/>
          </w:rPr>
          <w:t>5</w:t>
        </w:r>
      </w:hyperlink>
      <w:r w:rsidR="005920B3" w:rsidRPr="00C02A73">
        <w:rPr>
          <w:rFonts w:ascii="Arial" w:hAnsi="Arial" w:cs="Arial"/>
          <w:noProof/>
        </w:rPr>
        <w:t>)</w:t>
      </w:r>
      <w:r w:rsidR="003964D0" w:rsidRPr="00C02A73">
        <w:rPr>
          <w:rFonts w:ascii="Arial" w:hAnsi="Arial" w:cs="Arial"/>
        </w:rPr>
        <w:fldChar w:fldCharType="end"/>
      </w:r>
      <w:r w:rsidR="007C35BF" w:rsidRPr="00C02A73">
        <w:rPr>
          <w:rFonts w:ascii="Arial" w:hAnsi="Arial" w:cs="Arial"/>
        </w:rPr>
        <w:t>.</w:t>
      </w:r>
      <w:r w:rsidR="00D27345" w:rsidRPr="00C02A73">
        <w:rPr>
          <w:rFonts w:ascii="Arial" w:hAnsi="Arial" w:cs="Arial"/>
        </w:rPr>
        <w:t xml:space="preserve"> </w:t>
      </w:r>
      <w:r w:rsidR="00BB6D92" w:rsidRPr="00C02A73">
        <w:rPr>
          <w:rFonts w:ascii="Arial" w:hAnsi="Arial" w:cs="Arial"/>
        </w:rPr>
        <w:t>M</w:t>
      </w:r>
      <w:r w:rsidR="00142022" w:rsidRPr="00C02A73">
        <w:rPr>
          <w:rFonts w:ascii="Arial" w:hAnsi="Arial" w:cs="Arial"/>
        </w:rPr>
        <w:t>ost cases of bacterial meningitis</w:t>
      </w:r>
      <w:r w:rsidR="00371727" w:rsidRPr="00C02A73">
        <w:rPr>
          <w:rFonts w:ascii="Arial" w:hAnsi="Arial" w:cs="Arial"/>
        </w:rPr>
        <w:t xml:space="preserve"> can be attributed</w:t>
      </w:r>
      <w:r w:rsidR="00F36724" w:rsidRPr="00C02A73">
        <w:rPr>
          <w:rFonts w:ascii="Arial" w:hAnsi="Arial" w:cs="Arial"/>
        </w:rPr>
        <w:t xml:space="preserve"> to </w:t>
      </w:r>
      <w:r w:rsidR="00F36724" w:rsidRPr="00C02A73">
        <w:rPr>
          <w:rFonts w:ascii="Arial" w:hAnsi="Arial" w:cs="Arial"/>
          <w:i/>
        </w:rPr>
        <w:t xml:space="preserve">S </w:t>
      </w:r>
      <w:r w:rsidR="00B54B9B" w:rsidRPr="00C02A73">
        <w:rPr>
          <w:rFonts w:ascii="Arial" w:hAnsi="Arial" w:cs="Arial"/>
          <w:i/>
        </w:rPr>
        <w:t>pneumoniae</w:t>
      </w:r>
      <w:r w:rsidR="00D27345" w:rsidRPr="00C02A73">
        <w:rPr>
          <w:rFonts w:ascii="Arial" w:hAnsi="Arial" w:cs="Arial"/>
        </w:rPr>
        <w:t>, which is</w:t>
      </w:r>
      <w:r w:rsidR="00171FCC" w:rsidRPr="00C02A73">
        <w:rPr>
          <w:rFonts w:ascii="Arial" w:hAnsi="Arial" w:cs="Arial"/>
        </w:rPr>
        <w:t xml:space="preserve"> </w:t>
      </w:r>
      <w:r w:rsidR="00D046B5" w:rsidRPr="00C02A73">
        <w:rPr>
          <w:rFonts w:ascii="Arial" w:hAnsi="Arial" w:cs="Arial"/>
        </w:rPr>
        <w:t xml:space="preserve">associated with earlier and </w:t>
      </w:r>
      <w:r w:rsidR="00D27345" w:rsidRPr="00C02A73">
        <w:rPr>
          <w:rFonts w:ascii="Arial" w:hAnsi="Arial" w:cs="Arial"/>
        </w:rPr>
        <w:t>high</w:t>
      </w:r>
      <w:r w:rsidR="00D046B5" w:rsidRPr="00C02A73">
        <w:rPr>
          <w:rFonts w:ascii="Arial" w:hAnsi="Arial" w:cs="Arial"/>
        </w:rPr>
        <w:t>er</w:t>
      </w:r>
      <w:r w:rsidR="00D27345" w:rsidRPr="00C02A73">
        <w:rPr>
          <w:rFonts w:ascii="Arial" w:hAnsi="Arial" w:cs="Arial"/>
        </w:rPr>
        <w:t xml:space="preserve"> </w:t>
      </w:r>
      <w:r w:rsidR="00E64EB3" w:rsidRPr="00C02A73">
        <w:rPr>
          <w:rFonts w:ascii="Arial" w:hAnsi="Arial" w:cs="Arial"/>
        </w:rPr>
        <w:t>mortality rates in older adults</w:t>
      </w:r>
      <w:r w:rsidR="00D7554B" w:rsidRPr="00C02A73">
        <w:rPr>
          <w:rFonts w:ascii="Arial" w:hAnsi="Arial" w:cs="Arial"/>
        </w:rPr>
        <w:t xml:space="preserve"> </w:t>
      </w:r>
      <w:r w:rsidR="00D7554B" w:rsidRPr="00C02A73">
        <w:rPr>
          <w:rFonts w:ascii="Arial" w:hAnsi="Arial" w:cs="Arial"/>
        </w:rPr>
        <w:fldChar w:fldCharType="begin">
          <w:fldData xml:space="preserve">PEVuZE5vdGU+PENpdGU+PEF1dGhvcj5UaGlncGVuPC9BdXRob3I+PFllYXI+MjAxMTwvWWVhcj48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</w:fldData>
        </w:fldChar>
      </w:r>
      <w:r w:rsidR="00D7554B" w:rsidRPr="00C02A73">
        <w:rPr>
          <w:rFonts w:ascii="Arial" w:hAnsi="Arial" w:cs="Arial"/>
        </w:rPr>
        <w:instrText xml:space="preserve"> ADDIN EN.CITE </w:instrText>
      </w:r>
      <w:r w:rsidR="00D7554B" w:rsidRPr="00C02A73">
        <w:rPr>
          <w:rFonts w:ascii="Arial" w:hAnsi="Arial" w:cs="Arial"/>
        </w:rPr>
        <w:fldChar w:fldCharType="begin">
          <w:fldData xml:space="preserve">PEVuZE5vdGU+PENpdGU+PEF1dGhvcj5UaGlncGVuPC9BdXRob3I+PFllYXI+MjAxMTwvWWVhcj48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</w:fldData>
        </w:fldChar>
      </w:r>
      <w:r w:rsidR="00D7554B" w:rsidRPr="00C02A73">
        <w:rPr>
          <w:rFonts w:ascii="Arial" w:hAnsi="Arial" w:cs="Arial"/>
        </w:rPr>
        <w:instrText xml:space="preserve"> ADDIN EN.CITE.DATA </w:instrText>
      </w:r>
      <w:r w:rsidR="00D7554B" w:rsidRPr="00C02A73">
        <w:rPr>
          <w:rFonts w:ascii="Arial" w:hAnsi="Arial" w:cs="Arial"/>
        </w:rPr>
      </w:r>
      <w:r w:rsidR="00D7554B" w:rsidRPr="00C02A73">
        <w:rPr>
          <w:rFonts w:ascii="Arial" w:hAnsi="Arial" w:cs="Arial"/>
        </w:rPr>
        <w:fldChar w:fldCharType="end"/>
      </w:r>
      <w:r w:rsidR="00D7554B" w:rsidRPr="00C02A73">
        <w:rPr>
          <w:rFonts w:ascii="Arial" w:hAnsi="Arial" w:cs="Arial"/>
        </w:rPr>
      </w:r>
      <w:r w:rsidR="00D7554B" w:rsidRPr="00C02A73">
        <w:rPr>
          <w:rFonts w:ascii="Arial" w:hAnsi="Arial" w:cs="Arial"/>
        </w:rPr>
        <w:fldChar w:fldCharType="separate"/>
      </w:r>
      <w:r w:rsidR="00D7554B" w:rsidRPr="00C02A73">
        <w:rPr>
          <w:rFonts w:ascii="Arial" w:hAnsi="Arial" w:cs="Arial"/>
          <w:noProof/>
        </w:rPr>
        <w:t>(</w:t>
      </w:r>
      <w:hyperlink w:anchor="_ENREF_6" w:tooltip="Thigpen, 2011 #12" w:history="1">
        <w:r w:rsidR="00EA05AB" w:rsidRPr="00C02A73">
          <w:rPr>
            <w:rFonts w:ascii="Arial" w:hAnsi="Arial" w:cs="Arial"/>
            <w:noProof/>
          </w:rPr>
          <w:t>6</w:t>
        </w:r>
      </w:hyperlink>
      <w:r w:rsidR="00D7554B" w:rsidRPr="00C02A73">
        <w:rPr>
          <w:rFonts w:ascii="Arial" w:hAnsi="Arial" w:cs="Arial"/>
          <w:noProof/>
        </w:rPr>
        <w:t xml:space="preserve">, </w:t>
      </w:r>
      <w:hyperlink w:anchor="_ENREF_7" w:tooltip="Domingo, 2013 #14" w:history="1">
        <w:r w:rsidR="00EA05AB" w:rsidRPr="00C02A73">
          <w:rPr>
            <w:rFonts w:ascii="Arial" w:hAnsi="Arial" w:cs="Arial"/>
            <w:noProof/>
          </w:rPr>
          <w:t>7</w:t>
        </w:r>
      </w:hyperlink>
      <w:r w:rsidR="00D7554B" w:rsidRPr="00C02A73">
        <w:rPr>
          <w:rFonts w:ascii="Arial" w:hAnsi="Arial" w:cs="Arial"/>
          <w:noProof/>
        </w:rPr>
        <w:t>)</w:t>
      </w:r>
      <w:r w:rsidR="00D7554B" w:rsidRPr="00C02A73">
        <w:rPr>
          <w:rFonts w:ascii="Arial" w:hAnsi="Arial" w:cs="Arial"/>
        </w:rPr>
        <w:fldChar w:fldCharType="end"/>
      </w:r>
      <w:r w:rsidR="00E64EB3" w:rsidRPr="00C02A73">
        <w:rPr>
          <w:rFonts w:ascii="Arial" w:hAnsi="Arial" w:cs="Arial"/>
        </w:rPr>
        <w:t>.</w:t>
      </w:r>
      <w:r w:rsidR="00D27345" w:rsidRPr="00C02A73">
        <w:rPr>
          <w:rFonts w:ascii="Arial" w:hAnsi="Arial" w:cs="Arial"/>
        </w:rPr>
        <w:t xml:space="preserve"> </w:t>
      </w:r>
      <w:r w:rsidR="000C315C" w:rsidRPr="00C02A73">
        <w:rPr>
          <w:rFonts w:ascii="Arial" w:hAnsi="Arial" w:cs="Arial"/>
        </w:rPr>
        <w:t xml:space="preserve">Elderly individuals are also at risk of bacterial infection due to </w:t>
      </w:r>
      <w:proofErr w:type="spellStart"/>
      <w:r w:rsidR="000C315C" w:rsidRPr="00C02A73">
        <w:rPr>
          <w:rFonts w:ascii="Arial" w:hAnsi="Arial" w:cs="Arial"/>
          <w:i/>
        </w:rPr>
        <w:t>neisseria</w:t>
      </w:r>
      <w:proofErr w:type="spellEnd"/>
      <w:r w:rsidR="000C315C" w:rsidRPr="00C02A73">
        <w:rPr>
          <w:rFonts w:ascii="Arial" w:hAnsi="Arial" w:cs="Arial"/>
          <w:i/>
        </w:rPr>
        <w:t xml:space="preserve"> meningitides</w:t>
      </w:r>
      <w:r w:rsidR="003A4E2C" w:rsidRPr="00C02A73">
        <w:rPr>
          <w:rFonts w:ascii="Arial" w:hAnsi="Arial" w:cs="Arial"/>
        </w:rPr>
        <w:t>; generally manifesting</w:t>
      </w:r>
      <w:r w:rsidR="000C315C" w:rsidRPr="00C02A73">
        <w:rPr>
          <w:rFonts w:ascii="Arial" w:hAnsi="Arial" w:cs="Arial"/>
        </w:rPr>
        <w:t xml:space="preserve"> as pneumonia rather than meningitis</w:t>
      </w:r>
      <w:r w:rsidR="007C35BF" w:rsidRPr="00C02A73">
        <w:rPr>
          <w:rFonts w:ascii="Arial" w:hAnsi="Arial" w:cs="Arial"/>
        </w:rPr>
        <w:t xml:space="preserve"> </w:t>
      </w:r>
      <w:r w:rsidR="003964D0" w:rsidRPr="00C02A73">
        <w:rPr>
          <w:rFonts w:ascii="Arial" w:hAnsi="Arial" w:cs="Arial"/>
        </w:rPr>
        <w:fldChar w:fldCharType="begin"/>
      </w:r>
      <w:r w:rsidR="00D7554B" w:rsidRPr="00C02A73">
        <w:rPr>
          <w:rFonts w:ascii="Arial" w:hAnsi="Arial" w:cs="Arial"/>
        </w:rPr>
        <w:instrText xml:space="preserve"> ADDIN EN.CITE &lt;EndNote&gt;&lt;Cite&gt;&lt;Author&gt;Puleston&lt;/Author&gt;&lt;Year&gt;2012&lt;/Year&gt;&lt;RecNum&gt;16&lt;/RecNum&gt;&lt;DisplayText&gt;(8)&lt;/DisplayText&gt;&lt;record&gt;&lt;rec-number&gt;16&lt;/rec-number&gt;&lt;foreign-keys&gt;&lt;key app="EN" db-id="ttt5azpahefvd1ex0aqxft54dvw5w5dzate2"&gt;16&lt;/key&gt;&lt;/foreign-keys&gt;&lt;ref-type name="Journal Article"&gt;17&lt;/ref-type&gt;&lt;contributors&gt;&lt;authors&gt;&lt;author&gt;Puleston, R.&lt;/author&gt;&lt;author&gt;Beck, C.&lt;/author&gt;&lt;author&gt;Tahir, M.&lt;/author&gt;&lt;author&gt;Bardhan, M.&lt;/author&gt;&lt;author&gt;Charlemagne, P.&lt;/author&gt;&lt;author&gt;Alves, C.&lt;/author&gt;&lt;author&gt;Ladhani, S.&lt;/author&gt;&lt;author&gt;Watson, C.&lt;/author&gt;&lt;author&gt;Ramsay, M.&lt;/author&gt;&lt;author&gt;Kaczmarksi, E.&lt;/author&gt;&lt;author&gt;Borrow, R.&lt;/author&gt;&lt;author&gt;Gray, S.&lt;/author&gt;&lt;author&gt;Hadlington, D.&lt;/author&gt;&lt;author&gt;Weinbren, M.&lt;/author&gt;&lt;author&gt;Bhattacharjee, D.&lt;/author&gt;&lt;author&gt;Inglis, N.&lt;/author&gt;&lt;/authors&gt;&lt;/contributors&gt;&lt;titles&gt;&lt;title&gt;An unusual transmission event of Neisseria meningitidis serogroup W135 type 2a in a healthcare setting, England, 2012&lt;/title&gt;&lt;secondary-title&gt;Euro Surveill&lt;/secondary-title&gt;&lt;/titles&gt;&lt;periodical&gt;&lt;full-title&gt;Euro Surveill&lt;/full-title&gt;&lt;/periodical&gt;&lt;pages&gt;20308&lt;/pages&gt;&lt;volume&gt;17&lt;/volume&gt;&lt;number&gt;44&lt;/number&gt;&lt;dates&gt;&lt;year&gt;2012&lt;/year&gt;&lt;/dates&gt;&lt;isbn&gt;1560-7917 (Electronic)&amp;#xD;1025-496X (Linking)&lt;/isbn&gt;&lt;urls&gt;&lt;/urls&gt;&lt;/record&gt;&lt;/Cite&gt;&lt;/EndNote&gt;</w:instrText>
      </w:r>
      <w:r w:rsidR="003964D0" w:rsidRPr="00C02A73">
        <w:rPr>
          <w:rFonts w:ascii="Arial" w:hAnsi="Arial" w:cs="Arial"/>
        </w:rPr>
        <w:fldChar w:fldCharType="separate"/>
      </w:r>
      <w:r w:rsidR="00D7554B" w:rsidRPr="00C02A73">
        <w:rPr>
          <w:rFonts w:ascii="Arial" w:hAnsi="Arial" w:cs="Arial"/>
          <w:noProof/>
        </w:rPr>
        <w:t>(</w:t>
      </w:r>
      <w:hyperlink w:anchor="_ENREF_8" w:tooltip="Puleston, 2012 #16" w:history="1">
        <w:r w:rsidR="00EA05AB" w:rsidRPr="00C02A73">
          <w:rPr>
            <w:rFonts w:ascii="Arial" w:hAnsi="Arial" w:cs="Arial"/>
            <w:noProof/>
          </w:rPr>
          <w:t>8</w:t>
        </w:r>
      </w:hyperlink>
      <w:r w:rsidR="00D7554B" w:rsidRPr="00C02A73">
        <w:rPr>
          <w:rFonts w:ascii="Arial" w:hAnsi="Arial" w:cs="Arial"/>
          <w:noProof/>
        </w:rPr>
        <w:t>)</w:t>
      </w:r>
      <w:r w:rsidR="003964D0" w:rsidRPr="00C02A73">
        <w:rPr>
          <w:rFonts w:ascii="Arial" w:hAnsi="Arial" w:cs="Arial"/>
        </w:rPr>
        <w:fldChar w:fldCharType="end"/>
      </w:r>
      <w:r w:rsidR="007C35BF" w:rsidRPr="00C02A73">
        <w:rPr>
          <w:rFonts w:ascii="Arial" w:hAnsi="Arial" w:cs="Arial"/>
        </w:rPr>
        <w:t>.</w:t>
      </w:r>
      <w:r w:rsidR="00A32AC7" w:rsidRPr="00C02A73">
        <w:rPr>
          <w:rFonts w:ascii="Arial" w:hAnsi="Arial" w:cs="Arial"/>
        </w:rPr>
        <w:t xml:space="preserve"> Further, a</w:t>
      </w:r>
      <w:r w:rsidR="007342E4" w:rsidRPr="00C02A73">
        <w:rPr>
          <w:rFonts w:ascii="Arial" w:hAnsi="Arial" w:cs="Arial"/>
        </w:rPr>
        <w:t xml:space="preserve">dults aged over 65 years who contract a disease caused by </w:t>
      </w:r>
      <w:proofErr w:type="spellStart"/>
      <w:r w:rsidR="007342E4" w:rsidRPr="00C02A73">
        <w:rPr>
          <w:rFonts w:ascii="Arial" w:hAnsi="Arial" w:cs="Arial"/>
          <w:i/>
        </w:rPr>
        <w:t>haemphilus</w:t>
      </w:r>
      <w:proofErr w:type="spellEnd"/>
      <w:r w:rsidR="007342E4" w:rsidRPr="00C02A73">
        <w:rPr>
          <w:rFonts w:ascii="Arial" w:hAnsi="Arial" w:cs="Arial"/>
          <w:i/>
        </w:rPr>
        <w:t xml:space="preserve"> </w:t>
      </w:r>
      <w:proofErr w:type="spellStart"/>
      <w:r w:rsidR="007342E4" w:rsidRPr="00C02A73">
        <w:rPr>
          <w:rFonts w:ascii="Arial" w:hAnsi="Arial" w:cs="Arial"/>
          <w:i/>
        </w:rPr>
        <w:t>influenzae</w:t>
      </w:r>
      <w:proofErr w:type="spellEnd"/>
      <w:r w:rsidR="007342E4" w:rsidRPr="00C02A73">
        <w:rPr>
          <w:rFonts w:ascii="Arial" w:hAnsi="Arial" w:cs="Arial"/>
        </w:rPr>
        <w:t xml:space="preserve"> bacteria are at higher risk of</w:t>
      </w:r>
      <w:r w:rsidR="00074D3E" w:rsidRPr="00C02A73">
        <w:rPr>
          <w:rFonts w:ascii="Arial" w:hAnsi="Arial" w:cs="Arial"/>
        </w:rPr>
        <w:t xml:space="preserve"> </w:t>
      </w:r>
      <w:r w:rsidR="00371727" w:rsidRPr="00C02A73">
        <w:rPr>
          <w:rFonts w:ascii="Arial" w:hAnsi="Arial" w:cs="Arial"/>
        </w:rPr>
        <w:t>mortality</w:t>
      </w:r>
      <w:r w:rsidR="007C35BF" w:rsidRPr="00C02A73">
        <w:rPr>
          <w:rFonts w:ascii="Arial" w:hAnsi="Arial" w:cs="Arial"/>
        </w:rPr>
        <w:t xml:space="preserve"> than young adults </w:t>
      </w:r>
      <w:r w:rsidR="003964D0" w:rsidRPr="00C02A73">
        <w:rPr>
          <w:rFonts w:ascii="Arial" w:hAnsi="Arial" w:cs="Arial"/>
        </w:rPr>
        <w:fldChar w:fldCharType="begin"/>
      </w:r>
      <w:r w:rsidR="00D7554B" w:rsidRPr="00C02A73">
        <w:rPr>
          <w:rFonts w:ascii="Arial" w:hAnsi="Arial" w:cs="Arial"/>
        </w:rPr>
        <w:instrText xml:space="preserve"> ADDIN EN.CITE &lt;EndNote&gt;&lt;Cite&gt;&lt;Author&gt;Rubach&lt;/Author&gt;&lt;Year&gt;2011&lt;/Year&gt;&lt;RecNum&gt;15&lt;/RecNum&gt;&lt;DisplayText&gt;(9)&lt;/DisplayText&gt;&lt;record&gt;&lt;rec-number&gt;15&lt;/rec-number&gt;&lt;foreign-keys&gt;&lt;key app="EN" db-id="ttt5azpahefvd1ex0aqxft54dvw5w5dzate2"&gt;15&lt;/key&gt;&lt;/foreign-keys&gt;&lt;ref-type name="Journal Article"&gt;17&lt;/ref-type&gt;&lt;contributors&gt;&lt;authors&gt;&lt;author&gt;Rubach, M. P.&lt;/author&gt;&lt;author&gt;Bender, J. M.&lt;/author&gt;&lt;author&gt;Mottice, S.&lt;/author&gt;&lt;author&gt;Hanson, K.&lt;/author&gt;&lt;author&gt;Weng, H. Y.&lt;/author&gt;&lt;author&gt;Korgenski, K.&lt;/author&gt;&lt;author&gt;Daly, J. A.&lt;/author&gt;&lt;author&gt;Pavia, A. T.&lt;/author&gt;&lt;/authors&gt;&lt;/contributors&gt;&lt;titles&gt;&lt;title&gt;Increasing incidence of invasive Haemophilus influenzae disease in adults, Utah, USA&lt;/title&gt;&lt;secondary-title&gt;Emerg Infect Dis&lt;/secondary-title&gt;&lt;/titles&gt;&lt;periodical&gt;&lt;full-title&gt;Emerg Infect Dis&lt;/full-title&gt;&lt;/periodical&gt;&lt;pages&gt;1645-50&lt;/pages&gt;&lt;volume&gt;17&lt;/volume&gt;&lt;number&gt;9&lt;/number&gt;&lt;dates&gt;&lt;year&gt;2011&lt;/year&gt;&lt;/dates&gt;&lt;isbn&gt;1080-6059 (Electronic)&amp;#xD;1080-6040 (Linking)&lt;/isbn&gt;&lt;work-type&gt;Research Support, N I H , Extramural&amp;#xD;Research Support, U S Gov&amp;apos;t, P H S&lt;/work-type&gt;&lt;urls&gt;&lt;/urls&gt;&lt;/record&gt;&lt;/Cite&gt;&lt;/EndNote&gt;</w:instrText>
      </w:r>
      <w:r w:rsidR="003964D0" w:rsidRPr="00C02A73">
        <w:rPr>
          <w:rFonts w:ascii="Arial" w:hAnsi="Arial" w:cs="Arial"/>
        </w:rPr>
        <w:fldChar w:fldCharType="separate"/>
      </w:r>
      <w:r w:rsidR="00D7554B" w:rsidRPr="00C02A73">
        <w:rPr>
          <w:rFonts w:ascii="Arial" w:hAnsi="Arial" w:cs="Arial"/>
          <w:noProof/>
        </w:rPr>
        <w:t>(</w:t>
      </w:r>
      <w:hyperlink w:anchor="_ENREF_9" w:tooltip="Rubach, 2011 #15" w:history="1">
        <w:r w:rsidR="00EA05AB" w:rsidRPr="00C02A73">
          <w:rPr>
            <w:rFonts w:ascii="Arial" w:hAnsi="Arial" w:cs="Arial"/>
            <w:noProof/>
          </w:rPr>
          <w:t>9</w:t>
        </w:r>
      </w:hyperlink>
      <w:r w:rsidR="00D7554B" w:rsidRPr="00C02A73">
        <w:rPr>
          <w:rFonts w:ascii="Arial" w:hAnsi="Arial" w:cs="Arial"/>
          <w:noProof/>
        </w:rPr>
        <w:t>)</w:t>
      </w:r>
      <w:r w:rsidR="003964D0" w:rsidRPr="00C02A73">
        <w:rPr>
          <w:rFonts w:ascii="Arial" w:hAnsi="Arial" w:cs="Arial"/>
        </w:rPr>
        <w:fldChar w:fldCharType="end"/>
      </w:r>
      <w:r w:rsidR="007C35BF" w:rsidRPr="00C02A73">
        <w:rPr>
          <w:rFonts w:ascii="Arial" w:hAnsi="Arial" w:cs="Arial"/>
        </w:rPr>
        <w:t>.</w:t>
      </w:r>
      <w:r w:rsidR="00DD1975" w:rsidRPr="00C02A73">
        <w:rPr>
          <w:rFonts w:ascii="Arial" w:hAnsi="Arial" w:cs="Arial"/>
        </w:rPr>
        <w:t xml:space="preserve"> </w:t>
      </w:r>
      <w:r w:rsidR="00A32AC7" w:rsidRPr="00C02A73">
        <w:rPr>
          <w:rFonts w:ascii="Arial" w:hAnsi="Arial" w:cs="Arial"/>
        </w:rPr>
        <w:t xml:space="preserve">Therefore, </w:t>
      </w:r>
      <w:r w:rsidR="000C315C" w:rsidRPr="00C02A73">
        <w:rPr>
          <w:rFonts w:ascii="Arial" w:hAnsi="Arial" w:cs="Arial"/>
        </w:rPr>
        <w:t>vulnerability</w:t>
      </w:r>
      <w:r w:rsidR="00371727" w:rsidRPr="00C02A73">
        <w:rPr>
          <w:rFonts w:ascii="Arial" w:hAnsi="Arial" w:cs="Arial"/>
        </w:rPr>
        <w:t xml:space="preserve"> to, and severity of</w:t>
      </w:r>
      <w:r w:rsidR="00E51E27" w:rsidRPr="00C02A73">
        <w:rPr>
          <w:rFonts w:ascii="Arial" w:hAnsi="Arial" w:cs="Arial"/>
        </w:rPr>
        <w:t>,</w:t>
      </w:r>
      <w:r w:rsidR="00371727" w:rsidRPr="00C02A73">
        <w:rPr>
          <w:rFonts w:ascii="Arial" w:hAnsi="Arial" w:cs="Arial"/>
        </w:rPr>
        <w:t xml:space="preserve"> </w:t>
      </w:r>
      <w:r w:rsidR="000C315C" w:rsidRPr="00C02A73">
        <w:rPr>
          <w:rFonts w:ascii="Arial" w:hAnsi="Arial" w:cs="Arial"/>
        </w:rPr>
        <w:t xml:space="preserve">bacterial infections </w:t>
      </w:r>
      <w:r w:rsidR="00A32AC7" w:rsidRPr="00C02A73">
        <w:rPr>
          <w:rFonts w:ascii="Arial" w:hAnsi="Arial" w:cs="Arial"/>
        </w:rPr>
        <w:t xml:space="preserve">in older adults </w:t>
      </w:r>
      <w:r w:rsidR="00607DA5" w:rsidRPr="00C02A73">
        <w:rPr>
          <w:rFonts w:ascii="Arial" w:hAnsi="Arial" w:cs="Arial"/>
        </w:rPr>
        <w:t>i</w:t>
      </w:r>
      <w:r w:rsidR="00276386" w:rsidRPr="00C02A73">
        <w:rPr>
          <w:rFonts w:ascii="Arial" w:hAnsi="Arial" w:cs="Arial"/>
        </w:rPr>
        <w:t xml:space="preserve">s evident </w:t>
      </w:r>
      <w:r w:rsidR="00A32AC7" w:rsidRPr="00C02A73">
        <w:rPr>
          <w:rFonts w:ascii="Arial" w:hAnsi="Arial" w:cs="Arial"/>
        </w:rPr>
        <w:t xml:space="preserve">across a range of bacteria. </w:t>
      </w:r>
    </w:p>
    <w:p w:rsidR="007A7EEF" w:rsidRPr="00C02A73" w:rsidRDefault="00385807" w:rsidP="009342C2">
      <w:pPr>
        <w:spacing w:line="480" w:lineRule="auto"/>
        <w:rPr>
          <w:rFonts w:ascii="Arial" w:eastAsia="ScalaLancetPro" w:hAnsi="Arial" w:cs="Arial"/>
        </w:rPr>
      </w:pPr>
      <w:r w:rsidRPr="00C02A73">
        <w:rPr>
          <w:rFonts w:ascii="Arial" w:eastAsia="ScalaLancetPro" w:hAnsi="Arial" w:cs="Arial"/>
        </w:rPr>
        <w:t xml:space="preserve">Immunosenescence in the </w:t>
      </w:r>
      <w:r w:rsidR="0022577B" w:rsidRPr="00C02A73">
        <w:rPr>
          <w:rFonts w:ascii="Arial" w:eastAsia="ScalaLancetPro" w:hAnsi="Arial" w:cs="Arial"/>
        </w:rPr>
        <w:t>URT</w:t>
      </w:r>
      <w:r w:rsidR="00360305" w:rsidRPr="00C02A73">
        <w:rPr>
          <w:rFonts w:ascii="Arial" w:eastAsia="ScalaLancetPro" w:hAnsi="Arial" w:cs="Arial"/>
        </w:rPr>
        <w:t xml:space="preserve"> </w:t>
      </w:r>
      <w:r w:rsidRPr="00C02A73">
        <w:rPr>
          <w:rFonts w:ascii="Arial" w:eastAsia="ScalaLancetPro" w:hAnsi="Arial" w:cs="Arial"/>
        </w:rPr>
        <w:t>has been suggested to</w:t>
      </w:r>
      <w:r w:rsidR="00607DA5" w:rsidRPr="00C02A73">
        <w:rPr>
          <w:rFonts w:ascii="Arial" w:eastAsia="ScalaLancetPro" w:hAnsi="Arial" w:cs="Arial"/>
        </w:rPr>
        <w:t xml:space="preserve"> underlie</w:t>
      </w:r>
      <w:r w:rsidR="0022577B" w:rsidRPr="00C02A73">
        <w:rPr>
          <w:rFonts w:ascii="Arial" w:eastAsia="ScalaLancetPro" w:hAnsi="Arial" w:cs="Arial"/>
        </w:rPr>
        <w:t xml:space="preserve"> the increased </w:t>
      </w:r>
      <w:r w:rsidRPr="00C02A73">
        <w:rPr>
          <w:rFonts w:ascii="Arial" w:eastAsia="ScalaLancetPro" w:hAnsi="Arial" w:cs="Arial"/>
        </w:rPr>
        <w:t xml:space="preserve">susceptibility of older adults to </w:t>
      </w:r>
      <w:r w:rsidR="007C35BF" w:rsidRPr="00C02A73">
        <w:rPr>
          <w:rFonts w:ascii="Arial" w:eastAsia="ScalaLancetPro" w:hAnsi="Arial" w:cs="Arial"/>
        </w:rPr>
        <w:t xml:space="preserve">pneumococcal disease </w:t>
      </w:r>
      <w:r w:rsidR="003964D0" w:rsidRPr="00C02A73">
        <w:rPr>
          <w:rFonts w:ascii="Arial" w:eastAsia="ScalaLancetPro" w:hAnsi="Arial" w:cs="Arial"/>
        </w:rPr>
        <w:fldChar w:fldCharType="begin"/>
      </w:r>
      <w:r w:rsidR="005920B3" w:rsidRPr="00C02A73">
        <w:rPr>
          <w:rFonts w:ascii="Arial" w:eastAsia="ScalaLancetPro" w:hAnsi="Arial" w:cs="Arial"/>
        </w:rPr>
        <w:instrText xml:space="preserve"> ADDIN EN.CITE &lt;EndNote&gt;&lt;Cite&gt;&lt;Author&gt;Krone&lt;/Author&gt;&lt;Year&gt;2014&lt;/Year&gt;&lt;RecNum&gt;7&lt;/RecNum&gt;&lt;DisplayText&gt;(5)&lt;/DisplayText&gt;&lt;record&gt;&lt;rec-number&gt;7&lt;/rec-number&gt;&lt;foreign-keys&gt;&lt;key app="EN" db-id="ttt5azpahefvd1ex0aqxft54dvw5w5dzate2"&gt;7&lt;/key&gt;&lt;/foreign-keys&gt;&lt;ref-type name="Journal Article"&gt;17&lt;/ref-type&gt;&lt;contributors&gt;&lt;authors&gt;&lt;author&gt;Krone, C. L.&lt;/author&gt;&lt;author&gt;van de Groep, K.&lt;/author&gt;&lt;author&gt;Trzcinski, K.&lt;/author&gt;&lt;author&gt;Sanders, E. A.&lt;/author&gt;&lt;author&gt;Bogaert, D.&lt;/author&gt;&lt;/authors&gt;&lt;/contributors&gt;&lt;titles&gt;&lt;title&gt;Immunosenescence and pneumococcal disease: an imbalance in host-pathogen interactions&lt;/title&gt;&lt;secondary-title&gt;Lancet Respir Med&lt;/secondary-title&gt;&lt;/titles&gt;&lt;periodical&gt;&lt;full-title&gt;Lancet Respir Med&lt;/full-title&gt;&lt;/periodical&gt;&lt;pages&gt;141-53&lt;/pages&gt;&lt;volume&gt;2&lt;/volume&gt;&lt;number&gt;2&lt;/number&gt;&lt;dates&gt;&lt;year&gt;2014&lt;/year&gt;&lt;/dates&gt;&lt;isbn&gt;2213-2600 (Print)&amp;#xD;2213-2600 (Linking)&lt;/isbn&gt;&lt;work-type&gt;Research Support, Non-U S Gov&amp;apos;t&amp;#xD;Review&lt;/work-type&gt;&lt;urls&gt;&lt;/urls&gt;&lt;/record&gt;&lt;/Cite&gt;&lt;/EndNote&gt;</w:instrText>
      </w:r>
      <w:r w:rsidR="003964D0" w:rsidRPr="00C02A73">
        <w:rPr>
          <w:rFonts w:ascii="Arial" w:eastAsia="ScalaLancetPro" w:hAnsi="Arial" w:cs="Arial"/>
        </w:rPr>
        <w:fldChar w:fldCharType="separate"/>
      </w:r>
      <w:r w:rsidR="005920B3" w:rsidRPr="00C02A73">
        <w:rPr>
          <w:rFonts w:ascii="Arial" w:eastAsia="ScalaLancetPro" w:hAnsi="Arial" w:cs="Arial"/>
          <w:noProof/>
        </w:rPr>
        <w:t>(</w:t>
      </w:r>
      <w:hyperlink w:anchor="_ENREF_5" w:tooltip="Krone, 2014 #7" w:history="1">
        <w:r w:rsidR="00EA05AB" w:rsidRPr="00C02A73">
          <w:rPr>
            <w:rFonts w:ascii="Arial" w:eastAsia="ScalaLancetPro" w:hAnsi="Arial" w:cs="Arial"/>
            <w:noProof/>
          </w:rPr>
          <w:t>5</w:t>
        </w:r>
      </w:hyperlink>
      <w:r w:rsidR="005920B3" w:rsidRPr="00C02A73">
        <w:rPr>
          <w:rFonts w:ascii="Arial" w:eastAsia="ScalaLancetPro" w:hAnsi="Arial" w:cs="Arial"/>
          <w:noProof/>
        </w:rPr>
        <w:t>)</w:t>
      </w:r>
      <w:r w:rsidR="003964D0" w:rsidRPr="00C02A73">
        <w:rPr>
          <w:rFonts w:ascii="Arial" w:eastAsia="ScalaLancetPro" w:hAnsi="Arial" w:cs="Arial"/>
        </w:rPr>
        <w:fldChar w:fldCharType="end"/>
      </w:r>
      <w:r w:rsidR="007C35BF" w:rsidRPr="00C02A73">
        <w:rPr>
          <w:rFonts w:ascii="Arial" w:eastAsia="ScalaLancetPro" w:hAnsi="Arial" w:cs="Arial"/>
        </w:rPr>
        <w:t>.</w:t>
      </w:r>
      <w:r w:rsidR="002A745D" w:rsidRPr="00C02A73">
        <w:rPr>
          <w:rFonts w:ascii="Arial" w:eastAsia="ScalaLancetPro" w:hAnsi="Arial" w:cs="Arial"/>
        </w:rPr>
        <w:t xml:space="preserve"> </w:t>
      </w:r>
      <w:r w:rsidR="00E97C0A" w:rsidRPr="00C02A73">
        <w:rPr>
          <w:rFonts w:ascii="Arial" w:eastAsia="ScalaLancetPro" w:hAnsi="Arial" w:cs="Arial"/>
        </w:rPr>
        <w:t>S</w:t>
      </w:r>
      <w:r w:rsidR="00D864BE" w:rsidRPr="00C02A73">
        <w:rPr>
          <w:rFonts w:ascii="Arial" w:eastAsia="ScalaLancetPro" w:hAnsi="Arial" w:cs="Arial"/>
        </w:rPr>
        <w:t>aliva</w:t>
      </w:r>
      <w:r w:rsidR="009342C2" w:rsidRPr="00C02A73">
        <w:rPr>
          <w:rFonts w:ascii="Arial" w:eastAsia="ScalaLancetPro" w:hAnsi="Arial" w:cs="Arial"/>
        </w:rPr>
        <w:t>ry antibodies</w:t>
      </w:r>
      <w:r w:rsidR="005277E9" w:rsidRPr="00C02A73">
        <w:rPr>
          <w:rFonts w:ascii="Arial" w:eastAsia="ScalaLancetPro" w:hAnsi="Arial" w:cs="Arial"/>
        </w:rPr>
        <w:t xml:space="preserve"> </w:t>
      </w:r>
      <w:r w:rsidR="00D864BE" w:rsidRPr="00C02A73">
        <w:rPr>
          <w:rFonts w:ascii="Arial" w:eastAsia="ScalaLancetPro" w:hAnsi="Arial" w:cs="Arial"/>
        </w:rPr>
        <w:t xml:space="preserve">play an important role </w:t>
      </w:r>
      <w:r w:rsidR="00607DA5" w:rsidRPr="00C02A73">
        <w:rPr>
          <w:rFonts w:ascii="Arial" w:eastAsia="ScalaLancetPro" w:hAnsi="Arial" w:cs="Arial"/>
        </w:rPr>
        <w:t>as</w:t>
      </w:r>
      <w:r w:rsidR="009342C2" w:rsidRPr="00C02A73">
        <w:rPr>
          <w:rFonts w:ascii="Arial" w:eastAsia="ScalaLancetPro" w:hAnsi="Arial" w:cs="Arial"/>
        </w:rPr>
        <w:t xml:space="preserve"> the first line of defence against pathogens and </w:t>
      </w:r>
      <w:r w:rsidR="00661FA7" w:rsidRPr="00C02A73">
        <w:rPr>
          <w:rFonts w:ascii="Arial" w:eastAsia="ScalaLancetPro" w:hAnsi="Arial" w:cs="Arial"/>
        </w:rPr>
        <w:t xml:space="preserve">assist in controlling </w:t>
      </w:r>
      <w:r w:rsidR="007A7EEF" w:rsidRPr="00C02A73">
        <w:rPr>
          <w:rFonts w:ascii="Arial" w:eastAsia="ScalaLancetPro" w:hAnsi="Arial" w:cs="Arial"/>
        </w:rPr>
        <w:t>carriage</w:t>
      </w:r>
      <w:r w:rsidR="00B92603" w:rsidRPr="00C02A73">
        <w:rPr>
          <w:rFonts w:ascii="Arial" w:eastAsia="ScalaLancetPro" w:hAnsi="Arial" w:cs="Arial"/>
        </w:rPr>
        <w:t xml:space="preserve"> </w:t>
      </w:r>
      <w:r w:rsidR="00BE5C6B" w:rsidRPr="00C02A73">
        <w:rPr>
          <w:rFonts w:ascii="Arial" w:eastAsia="ScalaLancetPro" w:hAnsi="Arial" w:cs="Arial"/>
        </w:rPr>
        <w:t xml:space="preserve">of </w:t>
      </w:r>
      <w:r w:rsidR="00B92603" w:rsidRPr="00C02A73">
        <w:rPr>
          <w:rFonts w:ascii="Arial" w:eastAsia="ScalaLancetPro" w:hAnsi="Arial" w:cs="Arial"/>
        </w:rPr>
        <w:t xml:space="preserve">bacteria, </w:t>
      </w:r>
      <w:r w:rsidR="00661FA7" w:rsidRPr="00C02A73">
        <w:rPr>
          <w:rFonts w:ascii="Arial" w:eastAsia="ScalaLancetPro" w:hAnsi="Arial" w:cs="Arial"/>
        </w:rPr>
        <w:t xml:space="preserve">such as </w:t>
      </w:r>
      <w:r w:rsidR="00661FA7" w:rsidRPr="00C02A73">
        <w:rPr>
          <w:rFonts w:ascii="Arial" w:eastAsia="ScalaLancetPro" w:hAnsi="Arial" w:cs="Arial"/>
          <w:i/>
        </w:rPr>
        <w:t xml:space="preserve">S </w:t>
      </w:r>
      <w:proofErr w:type="spellStart"/>
      <w:r w:rsidR="00661FA7" w:rsidRPr="00C02A73">
        <w:rPr>
          <w:rFonts w:ascii="Arial" w:eastAsia="ScalaLancetPro" w:hAnsi="Arial" w:cs="Arial"/>
          <w:i/>
        </w:rPr>
        <w:t>pneumoniae</w:t>
      </w:r>
      <w:proofErr w:type="spellEnd"/>
      <w:r w:rsidR="00661FA7" w:rsidRPr="00C02A73">
        <w:rPr>
          <w:rFonts w:ascii="Arial" w:eastAsia="ScalaLancetPro" w:hAnsi="Arial" w:cs="Arial"/>
        </w:rPr>
        <w:t xml:space="preserve"> and</w:t>
      </w:r>
      <w:r w:rsidR="00661FA7" w:rsidRPr="00C02A73">
        <w:t xml:space="preserve"> </w:t>
      </w:r>
      <w:proofErr w:type="spellStart"/>
      <w:r w:rsidR="00661FA7" w:rsidRPr="00C02A73">
        <w:rPr>
          <w:rFonts w:ascii="Arial" w:eastAsia="ScalaLancetPro" w:hAnsi="Arial" w:cs="Arial"/>
          <w:i/>
        </w:rPr>
        <w:t>haemphilus</w:t>
      </w:r>
      <w:proofErr w:type="spellEnd"/>
      <w:r w:rsidR="00661FA7" w:rsidRPr="00C02A73">
        <w:rPr>
          <w:rFonts w:ascii="Arial" w:eastAsia="ScalaLancetPro" w:hAnsi="Arial" w:cs="Arial"/>
          <w:i/>
        </w:rPr>
        <w:t xml:space="preserve"> </w:t>
      </w:r>
      <w:proofErr w:type="spellStart"/>
      <w:r w:rsidR="00661FA7" w:rsidRPr="00C02A73">
        <w:rPr>
          <w:rFonts w:ascii="Arial" w:eastAsia="ScalaLancetPro" w:hAnsi="Arial" w:cs="Arial"/>
          <w:i/>
        </w:rPr>
        <w:t>influenzae</w:t>
      </w:r>
      <w:proofErr w:type="spellEnd"/>
      <w:r w:rsidR="007A7EEF" w:rsidRPr="00C02A73">
        <w:rPr>
          <w:rFonts w:ascii="Arial" w:eastAsia="ScalaLancetPro" w:hAnsi="Arial" w:cs="Arial"/>
        </w:rPr>
        <w:t>, and consequently respiratory and invasive disease</w:t>
      </w:r>
      <w:r w:rsidR="007C35BF" w:rsidRPr="00C02A73">
        <w:rPr>
          <w:rFonts w:ascii="Arial" w:eastAsia="ScalaLancetPro" w:hAnsi="Arial" w:cs="Arial"/>
        </w:rPr>
        <w:t xml:space="preserve"> </w:t>
      </w:r>
      <w:r w:rsidR="003964D0" w:rsidRPr="00C02A73">
        <w:rPr>
          <w:rFonts w:ascii="Arial" w:eastAsia="ScalaLancetPro" w:hAnsi="Arial" w:cs="Arial"/>
        </w:rPr>
        <w:fldChar w:fldCharType="begin"/>
      </w:r>
      <w:r w:rsidR="00D7554B" w:rsidRPr="00C02A73">
        <w:rPr>
          <w:rFonts w:ascii="Arial" w:eastAsia="ScalaLancetPro" w:hAnsi="Arial" w:cs="Arial"/>
        </w:rPr>
        <w:instrText xml:space="preserve"> ADDIN EN.CITE &lt;EndNote&gt;&lt;Cite&gt;&lt;Author&gt;Nurkka&lt;/Author&gt;&lt;Year&gt;2003&lt;/Year&gt;&lt;RecNum&gt;19&lt;/RecNum&gt;&lt;DisplayText&gt;(10)&lt;/DisplayText&gt;&lt;record&gt;&lt;rec-number&gt;19&lt;/rec-number&gt;&lt;foreign-keys&gt;&lt;key app="EN" db-id="ttt5azpahefvd1ex0aqxft54dvw5w5dzate2"&gt;19&lt;/key&gt;&lt;/foreign-keys&gt;&lt;ref-type name="Journal Article"&gt;17&lt;/ref-type&gt;&lt;contributors&gt;&lt;authors&gt;&lt;author&gt;Nurkka, A.&lt;/author&gt;&lt;author&gt;Obiero, J.&lt;/author&gt;&lt;author&gt;Kayhty, H.&lt;/author&gt;&lt;author&gt;Scott, J. A.&lt;/author&gt;&lt;/authors&gt;&lt;/contributors&gt;&lt;titles&gt;&lt;title&gt;Effects of sample collection and storage methods on antipneumococcal immunoglobulin A in saliva&lt;/title&gt;&lt;secondary-title&gt;Clin Diagn Lab Immunol&lt;/secondary-title&gt;&lt;/titles&gt;&lt;periodical&gt;&lt;full-title&gt;Clin Diagn Lab Immunol&lt;/full-title&gt;&lt;/periodical&gt;&lt;pages&gt;357-61&lt;/pages&gt;&lt;volume&gt;10&lt;/volume&gt;&lt;number&gt;3&lt;/number&gt;&lt;dates&gt;&lt;year&gt;2003&lt;/year&gt;&lt;/dates&gt;&lt;isbn&gt;1071-412X (Print)&amp;#xD;1071-412X (Linking)&lt;/isbn&gt;&lt;work-type&gt;Comparative Study&amp;#xD;Research Support, Non-U S Gov&amp;apos;t&lt;/work-type&gt;&lt;urls&gt;&lt;/urls&gt;&lt;/record&gt;&lt;/Cite&gt;&lt;/EndNote&gt;</w:instrText>
      </w:r>
      <w:r w:rsidR="003964D0" w:rsidRPr="00C02A73">
        <w:rPr>
          <w:rFonts w:ascii="Arial" w:eastAsia="ScalaLancetPro" w:hAnsi="Arial" w:cs="Arial"/>
        </w:rPr>
        <w:fldChar w:fldCharType="separate"/>
      </w:r>
      <w:r w:rsidR="00D7554B" w:rsidRPr="00C02A73">
        <w:rPr>
          <w:rFonts w:ascii="Arial" w:eastAsia="ScalaLancetPro" w:hAnsi="Arial" w:cs="Arial"/>
          <w:noProof/>
        </w:rPr>
        <w:t>(</w:t>
      </w:r>
      <w:hyperlink w:anchor="_ENREF_10" w:tooltip="Nurkka, 2003 #19" w:history="1">
        <w:r w:rsidR="00EA05AB" w:rsidRPr="00C02A73">
          <w:rPr>
            <w:rFonts w:ascii="Arial" w:eastAsia="ScalaLancetPro" w:hAnsi="Arial" w:cs="Arial"/>
            <w:noProof/>
          </w:rPr>
          <w:t>10</w:t>
        </w:r>
      </w:hyperlink>
      <w:r w:rsidR="00D7554B" w:rsidRPr="00C02A73">
        <w:rPr>
          <w:rFonts w:ascii="Arial" w:eastAsia="ScalaLancetPro" w:hAnsi="Arial" w:cs="Arial"/>
          <w:noProof/>
        </w:rPr>
        <w:t>)</w:t>
      </w:r>
      <w:r w:rsidR="003964D0" w:rsidRPr="00C02A73">
        <w:rPr>
          <w:rFonts w:ascii="Arial" w:eastAsia="ScalaLancetPro" w:hAnsi="Arial" w:cs="Arial"/>
        </w:rPr>
        <w:fldChar w:fldCharType="end"/>
      </w:r>
      <w:r w:rsidR="007C35BF" w:rsidRPr="00C02A73">
        <w:rPr>
          <w:rFonts w:ascii="Arial" w:eastAsia="ScalaLancetPro" w:hAnsi="Arial" w:cs="Arial"/>
        </w:rPr>
        <w:t>.</w:t>
      </w:r>
      <w:r w:rsidR="00F64E4F" w:rsidRPr="00C02A73">
        <w:rPr>
          <w:rFonts w:ascii="Arial" w:eastAsia="ScalaLancetPro" w:hAnsi="Arial" w:cs="Arial"/>
        </w:rPr>
        <w:t xml:space="preserve"> </w:t>
      </w:r>
      <w:r w:rsidR="00B92603" w:rsidRPr="00C02A73">
        <w:rPr>
          <w:rFonts w:ascii="Arial" w:eastAsia="ScalaLancetPro" w:hAnsi="Arial" w:cs="Arial"/>
        </w:rPr>
        <w:t>Accordingly</w:t>
      </w:r>
      <w:r w:rsidR="000402DB" w:rsidRPr="00C02A73">
        <w:rPr>
          <w:rFonts w:ascii="Arial" w:eastAsia="ScalaLancetPro" w:hAnsi="Arial" w:cs="Arial"/>
        </w:rPr>
        <w:t xml:space="preserve">, changes in salivary antibodies with ageing may contribute to </w:t>
      </w:r>
      <w:r w:rsidR="002A745D" w:rsidRPr="00C02A73">
        <w:rPr>
          <w:rFonts w:ascii="Arial" w:eastAsia="ScalaLancetPro" w:hAnsi="Arial" w:cs="Arial"/>
        </w:rPr>
        <w:t>mucosal immunosenescence</w:t>
      </w:r>
      <w:r w:rsidR="000402DB" w:rsidRPr="00C02A73">
        <w:rPr>
          <w:rFonts w:ascii="Arial" w:eastAsia="ScalaLancetPro" w:hAnsi="Arial" w:cs="Arial"/>
        </w:rPr>
        <w:t xml:space="preserve"> and infection risk in older adults. </w:t>
      </w:r>
    </w:p>
    <w:p w:rsidR="00F80495" w:rsidRPr="00C02A73" w:rsidRDefault="00E73A31" w:rsidP="00EE2BE6">
      <w:pPr>
        <w:spacing w:line="480" w:lineRule="auto"/>
        <w:rPr>
          <w:rFonts w:ascii="Arial" w:hAnsi="Arial" w:cs="Arial"/>
        </w:rPr>
      </w:pPr>
      <w:r w:rsidRPr="00C02A73">
        <w:rPr>
          <w:rFonts w:ascii="Arial" w:eastAsia="ScalaLancetPro" w:hAnsi="Arial" w:cs="Arial"/>
        </w:rPr>
        <w:t>I</w:t>
      </w:r>
      <w:r w:rsidR="00E97C0A" w:rsidRPr="00C02A73">
        <w:rPr>
          <w:rFonts w:ascii="Arial" w:eastAsia="ScalaLancetPro" w:hAnsi="Arial" w:cs="Arial"/>
        </w:rPr>
        <w:t xml:space="preserve">mmunoglobulin </w:t>
      </w:r>
      <w:r w:rsidR="00F53E91" w:rsidRPr="00C02A73">
        <w:rPr>
          <w:rFonts w:ascii="Arial" w:eastAsia="ScalaLancetPro" w:hAnsi="Arial" w:cs="Arial"/>
        </w:rPr>
        <w:t>A</w:t>
      </w:r>
      <w:r w:rsidRPr="00C02A73">
        <w:rPr>
          <w:rFonts w:ascii="Arial" w:eastAsia="ScalaLancetPro" w:hAnsi="Arial" w:cs="Arial"/>
        </w:rPr>
        <w:t xml:space="preserve"> (IgA), in its secretory form,</w:t>
      </w:r>
      <w:r w:rsidR="00F53E91" w:rsidRPr="00C02A73">
        <w:rPr>
          <w:rFonts w:ascii="Arial" w:eastAsia="ScalaLancetPro" w:hAnsi="Arial" w:cs="Arial"/>
        </w:rPr>
        <w:t xml:space="preserve"> is the main</w:t>
      </w:r>
      <w:r w:rsidR="00E97C0A" w:rsidRPr="00C02A73">
        <w:rPr>
          <w:rFonts w:ascii="Arial" w:eastAsia="ScalaLancetPro" w:hAnsi="Arial" w:cs="Arial"/>
        </w:rPr>
        <w:t xml:space="preserve"> class of antibodie</w:t>
      </w:r>
      <w:r w:rsidR="00F53E91" w:rsidRPr="00C02A73">
        <w:rPr>
          <w:rFonts w:ascii="Arial" w:eastAsia="ScalaLancetPro" w:hAnsi="Arial" w:cs="Arial"/>
        </w:rPr>
        <w:t xml:space="preserve">s in saliva </w:t>
      </w:r>
      <w:r w:rsidR="00A96067" w:rsidRPr="00C02A73">
        <w:rPr>
          <w:rFonts w:ascii="Arial" w:eastAsia="ScalaLancetPro" w:hAnsi="Arial" w:cs="Arial"/>
        </w:rPr>
        <w:t xml:space="preserve">and IgA </w:t>
      </w:r>
      <w:r w:rsidR="00F53E91" w:rsidRPr="00C02A73">
        <w:rPr>
          <w:rFonts w:ascii="Arial" w:eastAsia="ScalaLancetPro" w:hAnsi="Arial" w:cs="Arial"/>
        </w:rPr>
        <w:t>concentrati</w:t>
      </w:r>
      <w:r w:rsidR="00A96067" w:rsidRPr="00C02A73">
        <w:rPr>
          <w:rFonts w:ascii="Arial" w:eastAsia="ScalaLancetPro" w:hAnsi="Arial" w:cs="Arial"/>
        </w:rPr>
        <w:t xml:space="preserve">on and secretion rate </w:t>
      </w:r>
      <w:r w:rsidR="00F64E4F" w:rsidRPr="00C02A73">
        <w:rPr>
          <w:rFonts w:ascii="Arial" w:eastAsia="ScalaLancetPro" w:hAnsi="Arial" w:cs="Arial"/>
        </w:rPr>
        <w:t xml:space="preserve">has been used </w:t>
      </w:r>
      <w:r w:rsidR="00BD7C19" w:rsidRPr="00C02A73">
        <w:rPr>
          <w:rFonts w:ascii="Arial" w:eastAsia="ScalaLancetPro" w:hAnsi="Arial" w:cs="Arial"/>
        </w:rPr>
        <w:t>as a marker of mucosal im</w:t>
      </w:r>
      <w:r w:rsidR="00030B76" w:rsidRPr="00C02A73">
        <w:rPr>
          <w:rFonts w:ascii="Arial" w:eastAsia="ScalaLancetPro" w:hAnsi="Arial" w:cs="Arial"/>
        </w:rPr>
        <w:t xml:space="preserve">munity and to assess risk of </w:t>
      </w:r>
      <w:r w:rsidR="00607DA5" w:rsidRPr="00C02A73">
        <w:rPr>
          <w:rFonts w:ascii="Arial" w:eastAsia="ScalaLancetPro" w:hAnsi="Arial" w:cs="Arial"/>
        </w:rPr>
        <w:t>URT</w:t>
      </w:r>
      <w:r w:rsidR="00030B76" w:rsidRPr="00C02A73">
        <w:rPr>
          <w:rFonts w:ascii="Arial" w:eastAsia="ScalaLancetPro" w:hAnsi="Arial" w:cs="Arial"/>
        </w:rPr>
        <w:t xml:space="preserve"> infection</w:t>
      </w:r>
      <w:r w:rsidR="007C35BF" w:rsidRPr="00C02A73">
        <w:rPr>
          <w:rFonts w:ascii="Arial" w:eastAsia="ScalaLancetPro" w:hAnsi="Arial" w:cs="Arial"/>
        </w:rPr>
        <w:t xml:space="preserve"> </w:t>
      </w:r>
      <w:r w:rsidR="003964D0" w:rsidRPr="00C02A73">
        <w:rPr>
          <w:rFonts w:ascii="Arial" w:eastAsia="ScalaLancetPro" w:hAnsi="Arial" w:cs="Arial"/>
        </w:rPr>
        <w:fldChar w:fldCharType="begin"/>
      </w:r>
      <w:r w:rsidR="00D7554B" w:rsidRPr="00C02A73">
        <w:rPr>
          <w:rFonts w:ascii="Arial" w:eastAsia="ScalaLancetPro" w:hAnsi="Arial" w:cs="Arial"/>
        </w:rPr>
        <w:instrText xml:space="preserve"> ADDIN EN.CITE &lt;EndNote&gt;&lt;Cite&gt;&lt;Author&gt;Bishop&lt;/Author&gt;&lt;Year&gt;2006&lt;/Year&gt;&lt;RecNum&gt;34&lt;/RecNum&gt;&lt;DisplayText&gt;(11)&lt;/DisplayText&gt;&lt;record&gt;&lt;rec-number&gt;34&lt;/rec-number&gt;&lt;foreign-keys&gt;&lt;key app="EN" db-id="ttt5azpahefvd1ex0aqxft54dvw5w5dzate2"&gt;34&lt;/key&gt;&lt;/foreign-keys&gt;&lt;ref-type name="Book Section"&gt;5&lt;/ref-type&gt;&lt;contributors&gt;&lt;authors&gt;&lt;author&gt;Bishop, N. C.&lt;/author&gt;&lt;/authors&gt;&lt;secondary-authors&gt;&lt;author&gt;Gleeson, M.&lt;/author&gt;&lt;/secondary-authors&gt;&lt;/contributors&gt;&lt;titles&gt;&lt;title&gt;Acute exercise and aquired immune function&lt;/title&gt;&lt;secondary-title&gt;Immune function in sport and exercise &lt;/secondary-title&gt;&lt;/titles&gt;&lt;pages&gt;108–109&lt;/pages&gt;&lt;dates&gt;&lt;year&gt;2006&lt;/year&gt;&lt;/dates&gt;&lt;pub-location&gt;London&lt;/pub-location&gt;&lt;publisher&gt;Churchill Livingstone Elsevier&lt;/publisher&gt;&lt;urls&gt;&lt;/urls&gt;&lt;/record&gt;&lt;/Cite&gt;&lt;/EndNote&gt;</w:instrText>
      </w:r>
      <w:r w:rsidR="003964D0" w:rsidRPr="00C02A73">
        <w:rPr>
          <w:rFonts w:ascii="Arial" w:eastAsia="ScalaLancetPro" w:hAnsi="Arial" w:cs="Arial"/>
        </w:rPr>
        <w:fldChar w:fldCharType="separate"/>
      </w:r>
      <w:r w:rsidR="00D7554B" w:rsidRPr="00C02A73">
        <w:rPr>
          <w:rFonts w:ascii="Arial" w:eastAsia="ScalaLancetPro" w:hAnsi="Arial" w:cs="Arial"/>
          <w:noProof/>
        </w:rPr>
        <w:t>(</w:t>
      </w:r>
      <w:hyperlink w:anchor="_ENREF_11" w:tooltip="Bishop, 2006 #34" w:history="1">
        <w:r w:rsidR="00EA05AB" w:rsidRPr="00C02A73">
          <w:rPr>
            <w:rFonts w:ascii="Arial" w:eastAsia="ScalaLancetPro" w:hAnsi="Arial" w:cs="Arial"/>
            <w:noProof/>
          </w:rPr>
          <w:t>11</w:t>
        </w:r>
      </w:hyperlink>
      <w:r w:rsidR="00D7554B" w:rsidRPr="00C02A73">
        <w:rPr>
          <w:rFonts w:ascii="Arial" w:eastAsia="ScalaLancetPro" w:hAnsi="Arial" w:cs="Arial"/>
          <w:noProof/>
        </w:rPr>
        <w:t>)</w:t>
      </w:r>
      <w:r w:rsidR="003964D0" w:rsidRPr="00C02A73">
        <w:rPr>
          <w:rFonts w:ascii="Arial" w:eastAsia="ScalaLancetPro" w:hAnsi="Arial" w:cs="Arial"/>
        </w:rPr>
        <w:fldChar w:fldCharType="end"/>
      </w:r>
      <w:r w:rsidR="007C35BF" w:rsidRPr="00C02A73">
        <w:rPr>
          <w:rFonts w:ascii="Arial" w:eastAsia="ScalaLancetPro" w:hAnsi="Arial" w:cs="Arial"/>
        </w:rPr>
        <w:t>.</w:t>
      </w:r>
      <w:r w:rsidR="004E5418" w:rsidRPr="00C02A73">
        <w:rPr>
          <w:rFonts w:ascii="Arial" w:eastAsia="ScalaLancetPro" w:hAnsi="Arial" w:cs="Arial"/>
        </w:rPr>
        <w:t xml:space="preserve"> </w:t>
      </w:r>
      <w:r w:rsidR="00A9704D" w:rsidRPr="00C02A73">
        <w:rPr>
          <w:rFonts w:ascii="Arial" w:eastAsia="ScalaLancetPro" w:hAnsi="Arial" w:cs="Arial"/>
        </w:rPr>
        <w:t xml:space="preserve">Salivary IgA secretion rates </w:t>
      </w:r>
      <w:r w:rsidR="008F45C6" w:rsidRPr="00C02A73">
        <w:rPr>
          <w:rFonts w:ascii="Arial" w:eastAsia="ScalaLancetPro" w:hAnsi="Arial" w:cs="Arial"/>
        </w:rPr>
        <w:t xml:space="preserve">have been shown to be significantly lower in elderly </w:t>
      </w:r>
      <w:r w:rsidR="00F9728B" w:rsidRPr="00C02A73">
        <w:rPr>
          <w:rFonts w:ascii="Arial" w:eastAsia="ScalaLancetPro" w:hAnsi="Arial" w:cs="Arial"/>
        </w:rPr>
        <w:t xml:space="preserve">individuals and decrease with increasing age </w:t>
      </w:r>
      <w:r w:rsidR="00F9728B" w:rsidRPr="00C02A73">
        <w:rPr>
          <w:rFonts w:ascii="Arial" w:eastAsia="ScalaLancetPro" w:hAnsi="Arial" w:cs="Arial"/>
        </w:rPr>
        <w:fldChar w:fldCharType="begin"/>
      </w:r>
      <w:r w:rsidR="00D7554B" w:rsidRPr="00C02A73">
        <w:rPr>
          <w:rFonts w:ascii="Arial" w:eastAsia="ScalaLancetPro" w:hAnsi="Arial" w:cs="Arial"/>
        </w:rPr>
        <w:instrText xml:space="preserve"> ADDIN EN.CITE &lt;EndNote&gt;&lt;Cite&gt;&lt;Author&gt;Evans&lt;/Author&gt;&lt;Year&gt;2000&lt;/Year&gt;&lt;RecNum&gt;31&lt;/RecNum&gt;&lt;DisplayText&gt;(12, 13)&lt;/DisplayText&gt;&lt;record&gt;&lt;rec-number&gt;31&lt;/rec-number&gt;&lt;foreign-keys&gt;&lt;key app="EN" db-id="ttt5azpahefvd1ex0aqxft54dvw5w5dzate2"&gt;31&lt;/key&gt;&lt;/foreign-keys&gt;&lt;ref-type name="Journal Article"&gt;17&lt;/ref-type&gt;&lt;contributors&gt;&lt;authors&gt;&lt;author&gt;Evans, P.&lt;/author&gt;&lt;author&gt;Der, G.&lt;/author&gt;&lt;author&gt;Ford, G.&lt;/author&gt;&lt;author&gt;Hucklebridge, F.&lt;/author&gt;&lt;author&gt;Hunt, K.&lt;/author&gt;&lt;author&gt;Lambert, S.&lt;/author&gt;&lt;/authors&gt;&lt;/contributors&gt;&lt;titles&gt;&lt;title&gt;Social class, sex, and age differences in mucosal immunity in a large community sample&lt;/title&gt;&lt;secondary-title&gt;Brain Behav Immun&lt;/secondary-title&gt;&lt;/titles&gt;&lt;periodical&gt;&lt;full-title&gt;Brain Behav Immun&lt;/full-title&gt;&lt;/periodical&gt;&lt;pages&gt;41-8&lt;/pages&gt;&lt;volume&gt;14&lt;/volume&gt;&lt;number&gt;1&lt;/number&gt;&lt;dates&gt;&lt;year&gt;2000&lt;/year&gt;&lt;/dates&gt;&lt;isbn&gt;0889-1591 (Print)&amp;#xD;0889-1591 (Linking)&lt;/isbn&gt;&lt;work-type&gt;Comparative Study&amp;#xD;Research Support, Non-U S Gov&amp;apos;t&lt;/work-type&gt;&lt;urls&gt;&lt;/urls&gt;&lt;/record&gt;&lt;/Cite&gt;&lt;Cite&gt;&lt;Author&gt;Miletic&lt;/Author&gt;&lt;Year&gt;1996&lt;/Year&gt;&lt;RecNum&gt;26&lt;/RecNum&gt;&lt;record&gt;&lt;rec-number&gt;26&lt;/rec-number&gt;&lt;foreign-keys&gt;&lt;key app="EN" db-id="ttt5azpahefvd1ex0aqxft54dvw5w5dzate2"&gt;26&lt;/key&gt;&lt;/foreign-keys&gt;&lt;ref-type name="Journal Article"&gt;17&lt;/ref-type&gt;&lt;contributors&gt;&lt;authors&gt;&lt;author&gt;Miletic, I. D.&lt;/author&gt;&lt;author&gt;Schiffman, S. S.&lt;/author&gt;&lt;author&gt;Miletic, V. D.&lt;/author&gt;&lt;author&gt;Sattely-Miller, E. A.&lt;/author&gt;&lt;/authors&gt;&lt;/contributors&gt;&lt;titles&gt;&lt;title&gt;Salivary IgA secretion rate in young and elderly persons&lt;/title&gt;&lt;secondary-title&gt;Physiol Behav&lt;/secondary-title&gt;&lt;/titles&gt;&lt;periodical&gt;&lt;full-title&gt;Physiol Behav&lt;/full-title&gt;&lt;/periodical&gt;&lt;pages&gt;243-8&lt;/pages&gt;&lt;volume&gt;60&lt;/volume&gt;&lt;number&gt;1&lt;/number&gt;&lt;dates&gt;&lt;year&gt;1996&lt;/year&gt;&lt;/dates&gt;&lt;isbn&gt;0031-9384 (Print)&amp;#xD;0031-9384 (Linking)&lt;/isbn&gt;&lt;urls&gt;&lt;/urls&gt;&lt;/record&gt;&lt;/Cite&gt;&lt;/EndNote&gt;</w:instrText>
      </w:r>
      <w:r w:rsidR="00F9728B" w:rsidRPr="00C02A73">
        <w:rPr>
          <w:rFonts w:ascii="Arial" w:eastAsia="ScalaLancetPro" w:hAnsi="Arial" w:cs="Arial"/>
        </w:rPr>
        <w:fldChar w:fldCharType="separate"/>
      </w:r>
      <w:r w:rsidR="00D7554B" w:rsidRPr="00C02A73">
        <w:rPr>
          <w:rFonts w:ascii="Arial" w:eastAsia="ScalaLancetPro" w:hAnsi="Arial" w:cs="Arial"/>
          <w:noProof/>
        </w:rPr>
        <w:t>(</w:t>
      </w:r>
      <w:hyperlink w:anchor="_ENREF_12" w:tooltip="Evans, 2000 #31" w:history="1">
        <w:r w:rsidR="00EA05AB" w:rsidRPr="00C02A73">
          <w:rPr>
            <w:rFonts w:ascii="Arial" w:eastAsia="ScalaLancetPro" w:hAnsi="Arial" w:cs="Arial"/>
            <w:noProof/>
          </w:rPr>
          <w:t>12</w:t>
        </w:r>
      </w:hyperlink>
      <w:r w:rsidR="00D7554B" w:rsidRPr="00C02A73">
        <w:rPr>
          <w:rFonts w:ascii="Arial" w:eastAsia="ScalaLancetPro" w:hAnsi="Arial" w:cs="Arial"/>
          <w:noProof/>
        </w:rPr>
        <w:t xml:space="preserve">, </w:t>
      </w:r>
      <w:hyperlink w:anchor="_ENREF_13" w:tooltip="Miletic, 1996 #26" w:history="1">
        <w:r w:rsidR="00EA05AB" w:rsidRPr="00C02A73">
          <w:rPr>
            <w:rFonts w:ascii="Arial" w:eastAsia="ScalaLancetPro" w:hAnsi="Arial" w:cs="Arial"/>
            <w:noProof/>
          </w:rPr>
          <w:t>13</w:t>
        </w:r>
      </w:hyperlink>
      <w:r w:rsidR="00D7554B" w:rsidRPr="00C02A73">
        <w:rPr>
          <w:rFonts w:ascii="Arial" w:eastAsia="ScalaLancetPro" w:hAnsi="Arial" w:cs="Arial"/>
          <w:noProof/>
        </w:rPr>
        <w:t>)</w:t>
      </w:r>
      <w:r w:rsidR="00F9728B" w:rsidRPr="00C02A73">
        <w:rPr>
          <w:rFonts w:ascii="Arial" w:eastAsia="ScalaLancetPro" w:hAnsi="Arial" w:cs="Arial"/>
        </w:rPr>
        <w:fldChar w:fldCharType="end"/>
      </w:r>
      <w:r w:rsidR="00F9728B" w:rsidRPr="00C02A73">
        <w:rPr>
          <w:rFonts w:ascii="Arial" w:eastAsia="ScalaLancetPro" w:hAnsi="Arial" w:cs="Arial"/>
        </w:rPr>
        <w:t xml:space="preserve">. </w:t>
      </w:r>
      <w:r w:rsidR="009921A0" w:rsidRPr="00C02A73">
        <w:rPr>
          <w:rFonts w:ascii="Arial" w:eastAsia="ScalaLancetPro" w:hAnsi="Arial" w:cs="Arial"/>
        </w:rPr>
        <w:t>Conversely, i</w:t>
      </w:r>
      <w:r w:rsidR="00871650" w:rsidRPr="00C02A73">
        <w:rPr>
          <w:rFonts w:ascii="Arial" w:eastAsia="ScalaLancetPro" w:hAnsi="Arial" w:cs="Arial"/>
        </w:rPr>
        <w:t xml:space="preserve">n parotid saliva, </w:t>
      </w:r>
      <w:r w:rsidR="00A26230" w:rsidRPr="00C02A73">
        <w:rPr>
          <w:rFonts w:ascii="Arial" w:eastAsia="ScalaLancetPro" w:hAnsi="Arial" w:cs="Arial"/>
        </w:rPr>
        <w:t>IgA, IgG and IgM conce</w:t>
      </w:r>
      <w:r w:rsidR="00F44314" w:rsidRPr="00C02A73">
        <w:rPr>
          <w:rFonts w:ascii="Arial" w:eastAsia="ScalaLancetPro" w:hAnsi="Arial" w:cs="Arial"/>
        </w:rPr>
        <w:t xml:space="preserve">ntrations were reported to be </w:t>
      </w:r>
      <w:r w:rsidR="00A26230" w:rsidRPr="00C02A73">
        <w:rPr>
          <w:rFonts w:ascii="Arial" w:eastAsia="ScalaLancetPro" w:hAnsi="Arial" w:cs="Arial"/>
        </w:rPr>
        <w:t xml:space="preserve">significantly </w:t>
      </w:r>
      <w:r w:rsidR="0035369F" w:rsidRPr="00C02A73">
        <w:rPr>
          <w:rFonts w:ascii="Arial" w:eastAsia="ScalaLancetPro" w:hAnsi="Arial" w:cs="Arial"/>
        </w:rPr>
        <w:t>higher in the elderly</w:t>
      </w:r>
      <w:r w:rsidR="007C35BF" w:rsidRPr="00C02A73">
        <w:rPr>
          <w:rFonts w:ascii="Arial" w:eastAsia="ScalaLancetPro" w:hAnsi="Arial" w:cs="Arial"/>
        </w:rPr>
        <w:t xml:space="preserve"> </w:t>
      </w:r>
      <w:r w:rsidR="003964D0" w:rsidRPr="00C02A73">
        <w:rPr>
          <w:rFonts w:ascii="Arial" w:eastAsia="ScalaLancetPro" w:hAnsi="Arial" w:cs="Arial"/>
        </w:rPr>
        <w:fldChar w:fldCharType="begin"/>
      </w:r>
      <w:r w:rsidR="00D7554B" w:rsidRPr="00C02A73">
        <w:rPr>
          <w:rFonts w:ascii="Arial" w:eastAsia="ScalaLancetPro" w:hAnsi="Arial" w:cs="Arial"/>
        </w:rPr>
        <w:instrText xml:space="preserve"> ADDIN EN.CITE &lt;EndNote&gt;&lt;Cite&gt;&lt;Author&gt;Arranz&lt;/Author&gt;&lt;Year&gt;1992&lt;/Year&gt;&lt;RecNum&gt;22&lt;/RecNum&gt;&lt;DisplayText&gt;(14)&lt;/DisplayText&gt;&lt;record&gt;&lt;rec-number&gt;22&lt;/rec-number&gt;&lt;foreign-keys&gt;&lt;key app="EN" db-id="ttt5azpahefvd1ex0aqxft54dvw5w5dzate2"&gt;22&lt;/key&gt;&lt;/foreign-keys&gt;&lt;ref-type name="Journal Article"&gt;17&lt;/ref-type&gt;&lt;contributors&gt;&lt;authors&gt;&lt;author&gt;Arranz, E.&lt;/author&gt;&lt;author&gt;O&amp;apos;Mahony, S.&lt;/author&gt;&lt;author&gt;Barton, J. R.&lt;/author&gt;&lt;author&gt;Ferguson, A.&lt;/author&gt;&lt;/authors&gt;&lt;/contributors&gt;&lt;titles&gt;&lt;title&gt;Immunosenescence and mucosal immunity: significant effects of old age on secretory IgA concentrations and intraepithelial lymphocyte counts&lt;/title&gt;&lt;secondary-title&gt;Gut&lt;/secondary-title&gt;&lt;/titles&gt;&lt;periodical&gt;&lt;full-title&gt;Gut&lt;/full-title&gt;&lt;/periodical&gt;&lt;pages&gt;882-6&lt;/pages&gt;&lt;volume&gt;33&lt;/volume&gt;&lt;number&gt;7&lt;/number&gt;&lt;dates&gt;&lt;year&gt;1992&lt;/year&gt;&lt;/dates&gt;&lt;isbn&gt;0017-5749 (Print)&amp;#xD;0017-5749 (Linking)&lt;/isbn&gt;&lt;work-type&gt;Comparative Study&amp;#xD;Research Support, Non-U S Gov&amp;apos;t&lt;/work-type&gt;&lt;urls&gt;&lt;/urls&gt;&lt;/record&gt;&lt;/Cite&gt;&lt;/EndNote&gt;</w:instrText>
      </w:r>
      <w:r w:rsidR="003964D0" w:rsidRPr="00C02A73">
        <w:rPr>
          <w:rFonts w:ascii="Arial" w:eastAsia="ScalaLancetPro" w:hAnsi="Arial" w:cs="Arial"/>
        </w:rPr>
        <w:fldChar w:fldCharType="separate"/>
      </w:r>
      <w:r w:rsidR="00D7554B" w:rsidRPr="00C02A73">
        <w:rPr>
          <w:rFonts w:ascii="Arial" w:eastAsia="ScalaLancetPro" w:hAnsi="Arial" w:cs="Arial"/>
          <w:noProof/>
        </w:rPr>
        <w:t>(</w:t>
      </w:r>
      <w:hyperlink w:anchor="_ENREF_14" w:tooltip="Arranz, 1992 #22" w:history="1">
        <w:r w:rsidR="00EA05AB" w:rsidRPr="00C02A73">
          <w:rPr>
            <w:rFonts w:ascii="Arial" w:eastAsia="ScalaLancetPro" w:hAnsi="Arial" w:cs="Arial"/>
            <w:noProof/>
          </w:rPr>
          <w:t>14</w:t>
        </w:r>
      </w:hyperlink>
      <w:r w:rsidR="00D7554B" w:rsidRPr="00C02A73">
        <w:rPr>
          <w:rFonts w:ascii="Arial" w:eastAsia="ScalaLancetPro" w:hAnsi="Arial" w:cs="Arial"/>
          <w:noProof/>
        </w:rPr>
        <w:t>)</w:t>
      </w:r>
      <w:r w:rsidR="003964D0" w:rsidRPr="00C02A73">
        <w:rPr>
          <w:rFonts w:ascii="Arial" w:eastAsia="ScalaLancetPro" w:hAnsi="Arial" w:cs="Arial"/>
        </w:rPr>
        <w:fldChar w:fldCharType="end"/>
      </w:r>
      <w:r w:rsidR="007C35BF" w:rsidRPr="00C02A73">
        <w:rPr>
          <w:rFonts w:ascii="Arial" w:eastAsia="ScalaLancetPro" w:hAnsi="Arial" w:cs="Arial"/>
        </w:rPr>
        <w:t>.</w:t>
      </w:r>
      <w:r w:rsidR="00A70B80" w:rsidRPr="00C02A73">
        <w:rPr>
          <w:rFonts w:ascii="Arial" w:eastAsia="ScalaLancetPro" w:hAnsi="Arial" w:cs="Arial"/>
        </w:rPr>
        <w:t xml:space="preserve"> </w:t>
      </w:r>
      <w:r w:rsidR="00E5457B" w:rsidRPr="00C02A73">
        <w:rPr>
          <w:rFonts w:ascii="Arial" w:eastAsia="ScalaLancetPro" w:hAnsi="Arial" w:cs="Arial"/>
        </w:rPr>
        <w:t xml:space="preserve">However, </w:t>
      </w:r>
      <w:r w:rsidR="0035369F" w:rsidRPr="00C02A73">
        <w:rPr>
          <w:rFonts w:ascii="Arial" w:eastAsia="ScalaLancetPro" w:hAnsi="Arial" w:cs="Arial"/>
        </w:rPr>
        <w:t xml:space="preserve">this study </w:t>
      </w:r>
      <w:r w:rsidR="007827B8" w:rsidRPr="00C02A73">
        <w:rPr>
          <w:rFonts w:ascii="Arial" w:eastAsia="ScalaLancetPro" w:hAnsi="Arial" w:cs="Arial"/>
        </w:rPr>
        <w:t>did not consider</w:t>
      </w:r>
      <w:r w:rsidR="005923A7" w:rsidRPr="00C02A73">
        <w:rPr>
          <w:rFonts w:ascii="Arial" w:eastAsia="ScalaLancetPro" w:hAnsi="Arial" w:cs="Arial"/>
        </w:rPr>
        <w:t xml:space="preserve"> flow </w:t>
      </w:r>
      <w:r w:rsidR="0060129D" w:rsidRPr="00C02A73">
        <w:rPr>
          <w:rFonts w:ascii="Arial" w:eastAsia="ScalaLancetPro" w:hAnsi="Arial" w:cs="Arial"/>
        </w:rPr>
        <w:t xml:space="preserve">or secretion </w:t>
      </w:r>
      <w:r w:rsidR="0060129D" w:rsidRPr="00C02A73">
        <w:rPr>
          <w:rFonts w:ascii="Arial" w:eastAsia="ScalaLancetPro" w:hAnsi="Arial" w:cs="Arial"/>
        </w:rPr>
        <w:lastRenderedPageBreak/>
        <w:t xml:space="preserve">rates, which influence  </w:t>
      </w:r>
      <w:r w:rsidR="007827B8" w:rsidRPr="00C02A73">
        <w:rPr>
          <w:rFonts w:ascii="Arial" w:hAnsi="Arial" w:cs="Arial"/>
        </w:rPr>
        <w:t xml:space="preserve">concentrations of </w:t>
      </w:r>
      <w:r w:rsidR="00277832" w:rsidRPr="00C02A73">
        <w:rPr>
          <w:rFonts w:ascii="Arial" w:hAnsi="Arial" w:cs="Arial"/>
        </w:rPr>
        <w:t xml:space="preserve">saliva components, including </w:t>
      </w:r>
      <w:r w:rsidR="007827B8" w:rsidRPr="00C02A73">
        <w:rPr>
          <w:rFonts w:ascii="Arial" w:hAnsi="Arial" w:cs="Arial"/>
        </w:rPr>
        <w:t>antimicrobial proteins</w:t>
      </w:r>
      <w:r w:rsidR="0060129D" w:rsidRPr="00C02A73">
        <w:rPr>
          <w:rFonts w:ascii="Arial" w:hAnsi="Arial" w:cs="Arial"/>
        </w:rPr>
        <w:t xml:space="preserve"> </w:t>
      </w:r>
      <w:r w:rsidR="00A61E0A" w:rsidRPr="00C02A73">
        <w:rPr>
          <w:rFonts w:ascii="Arial" w:hAnsi="Arial" w:cs="Arial"/>
        </w:rPr>
        <w:fldChar w:fldCharType="begin"/>
      </w:r>
      <w:r w:rsidR="00A61E0A" w:rsidRPr="00C02A73">
        <w:rPr>
          <w:rFonts w:ascii="Arial" w:hAnsi="Arial" w:cs="Arial"/>
        </w:rPr>
        <w:instrText xml:space="preserve"> ADDIN EN.CITE &lt;EndNote&gt;&lt;Cite&gt;&lt;Author&gt;Bishop&lt;/Author&gt;&lt;Year&gt;2009&lt;/Year&gt;&lt;RecNum&gt;3&lt;/RecNum&gt;&lt;DisplayText&gt;(15)&lt;/DisplayText&gt;&lt;record&gt;&lt;rec-number&gt;3&lt;/rec-number&gt;&lt;foreign-keys&gt;&lt;key app="EN" db-id="ttt5azpahefvd1ex0aqxft54dvw5w5dzate2"&gt;3&lt;/key&gt;&lt;/foreign-keys&gt;&lt;ref-type name="Journal Article"&gt;17&lt;/ref-type&gt;&lt;contributors&gt;&lt;authors&gt;&lt;author&gt;Bishop, N. C.&lt;/author&gt;&lt;author&gt;Gleeson, M.&lt;/author&gt;&lt;/authors&gt;&lt;/contributors&gt;&lt;titles&gt;&lt;title&gt;Acute and chronic effects of exercise on markers of mucosal immunity&lt;/title&gt;&lt;secondary-title&gt;Front Biosci&lt;/secondary-title&gt;&lt;/titles&gt;&lt;periodical&gt;&lt;full-title&gt;Front Biosci&lt;/full-title&gt;&lt;/periodical&gt;&lt;pages&gt;4444-56&lt;/pages&gt;&lt;volume&gt;14&lt;/volume&gt;&lt;dates&gt;&lt;year&gt;2009&lt;/year&gt;&lt;/dates&gt;&lt;isbn&gt;1093-4715 (Electronic)&amp;#xD;1093-4715 (Linking)&lt;/isbn&gt;&lt;work-type&gt;Review&lt;/work-type&gt;&lt;urls&gt;&lt;/urls&gt;&lt;/record&gt;&lt;/Cite&gt;&lt;/EndNote&gt;</w:instrText>
      </w:r>
      <w:r w:rsidR="00A61E0A" w:rsidRPr="00C02A73">
        <w:rPr>
          <w:rFonts w:ascii="Arial" w:hAnsi="Arial" w:cs="Arial"/>
        </w:rPr>
        <w:fldChar w:fldCharType="separate"/>
      </w:r>
      <w:r w:rsidR="00A61E0A" w:rsidRPr="00C02A73">
        <w:rPr>
          <w:rFonts w:ascii="Arial" w:hAnsi="Arial" w:cs="Arial"/>
          <w:noProof/>
        </w:rPr>
        <w:t>(</w:t>
      </w:r>
      <w:hyperlink w:anchor="_ENREF_15" w:tooltip="Bishop, 2009 #3" w:history="1">
        <w:r w:rsidR="00EA05AB" w:rsidRPr="00C02A73">
          <w:rPr>
            <w:rFonts w:ascii="Arial" w:hAnsi="Arial" w:cs="Arial"/>
            <w:noProof/>
          </w:rPr>
          <w:t>15</w:t>
        </w:r>
      </w:hyperlink>
      <w:r w:rsidR="00A61E0A" w:rsidRPr="00C02A73">
        <w:rPr>
          <w:rFonts w:ascii="Arial" w:hAnsi="Arial" w:cs="Arial"/>
          <w:noProof/>
        </w:rPr>
        <w:t>)</w:t>
      </w:r>
      <w:r w:rsidR="00A61E0A" w:rsidRPr="00C02A73">
        <w:rPr>
          <w:rFonts w:ascii="Arial" w:hAnsi="Arial" w:cs="Arial"/>
        </w:rPr>
        <w:fldChar w:fldCharType="end"/>
      </w:r>
      <w:r w:rsidR="007C35BF" w:rsidRPr="00C02A73">
        <w:rPr>
          <w:rFonts w:ascii="Arial" w:hAnsi="Arial" w:cs="Arial"/>
        </w:rPr>
        <w:t>.</w:t>
      </w:r>
      <w:r w:rsidR="0000297B" w:rsidRPr="00C02A73">
        <w:rPr>
          <w:rFonts w:ascii="Arial" w:hAnsi="Arial" w:cs="Arial"/>
        </w:rPr>
        <w:t xml:space="preserve"> </w:t>
      </w:r>
      <w:r w:rsidR="009D6337" w:rsidRPr="00C02A73">
        <w:rPr>
          <w:rFonts w:ascii="Arial" w:hAnsi="Arial" w:cs="Arial"/>
        </w:rPr>
        <w:t>Further, a</w:t>
      </w:r>
      <w:r w:rsidR="0000297B" w:rsidRPr="00C02A73">
        <w:rPr>
          <w:rFonts w:ascii="Arial" w:hAnsi="Arial" w:cs="Arial"/>
        </w:rPr>
        <w:t xml:space="preserve">ntibodies in </w:t>
      </w:r>
      <w:r w:rsidR="00277832" w:rsidRPr="00C02A73">
        <w:rPr>
          <w:rFonts w:ascii="Arial" w:hAnsi="Arial" w:cs="Arial"/>
        </w:rPr>
        <w:t xml:space="preserve">whole saliva may </w:t>
      </w:r>
      <w:r w:rsidR="009D6337" w:rsidRPr="00C02A73">
        <w:rPr>
          <w:rFonts w:ascii="Arial" w:hAnsi="Arial" w:cs="Arial"/>
        </w:rPr>
        <w:t>differ from</w:t>
      </w:r>
      <w:r w:rsidR="00F80495" w:rsidRPr="00C02A73">
        <w:rPr>
          <w:rFonts w:ascii="Arial" w:hAnsi="Arial" w:cs="Arial"/>
        </w:rPr>
        <w:t xml:space="preserve"> the specific glands</w:t>
      </w:r>
      <w:r w:rsidR="0000297B" w:rsidRPr="00C02A73">
        <w:rPr>
          <w:rFonts w:ascii="Arial" w:hAnsi="Arial" w:cs="Arial"/>
        </w:rPr>
        <w:t xml:space="preserve">, </w:t>
      </w:r>
      <w:r w:rsidR="006F7F30" w:rsidRPr="00C02A73">
        <w:rPr>
          <w:rFonts w:ascii="Arial" w:hAnsi="Arial" w:cs="Arial"/>
        </w:rPr>
        <w:t>especially for IgA as t</w:t>
      </w:r>
      <w:r w:rsidR="0000297B" w:rsidRPr="00C02A73">
        <w:rPr>
          <w:rFonts w:ascii="Arial" w:hAnsi="Arial" w:cs="Arial"/>
        </w:rPr>
        <w:t xml:space="preserve">he density of </w:t>
      </w:r>
      <w:r w:rsidR="006F7F30" w:rsidRPr="00C02A73">
        <w:rPr>
          <w:rFonts w:ascii="Arial" w:hAnsi="Arial" w:cs="Arial"/>
        </w:rPr>
        <w:t xml:space="preserve">IgA positive </w:t>
      </w:r>
      <w:r w:rsidR="0000297B" w:rsidRPr="00C02A73">
        <w:rPr>
          <w:rFonts w:ascii="Arial" w:hAnsi="Arial" w:cs="Arial"/>
        </w:rPr>
        <w:t xml:space="preserve">plasma cells </w:t>
      </w:r>
      <w:r w:rsidR="00AE11CF" w:rsidRPr="00C02A73">
        <w:rPr>
          <w:rFonts w:ascii="Arial" w:hAnsi="Arial" w:cs="Arial"/>
        </w:rPr>
        <w:t xml:space="preserve">can </w:t>
      </w:r>
      <w:r w:rsidR="006F7F30" w:rsidRPr="00C02A73">
        <w:rPr>
          <w:rFonts w:ascii="Arial" w:hAnsi="Arial" w:cs="Arial"/>
        </w:rPr>
        <w:t>vary</w:t>
      </w:r>
      <w:r w:rsidR="0000297B" w:rsidRPr="00C02A73">
        <w:rPr>
          <w:rFonts w:ascii="Arial" w:hAnsi="Arial" w:cs="Arial"/>
        </w:rPr>
        <w:t xml:space="preserve"> between each salivary glan</w:t>
      </w:r>
      <w:r w:rsidR="007C35BF" w:rsidRPr="00C02A73">
        <w:rPr>
          <w:rFonts w:ascii="Arial" w:hAnsi="Arial" w:cs="Arial"/>
        </w:rPr>
        <w:t>d</w:t>
      </w:r>
      <w:r w:rsidR="00D7554B" w:rsidRPr="00C02A73">
        <w:rPr>
          <w:rFonts w:ascii="Arial" w:hAnsi="Arial" w:cs="Arial"/>
        </w:rPr>
        <w:t xml:space="preserve"> </w:t>
      </w:r>
      <w:r w:rsidR="00D7554B" w:rsidRPr="00C02A73">
        <w:rPr>
          <w:rFonts w:ascii="Arial" w:hAnsi="Arial" w:cs="Arial"/>
        </w:rPr>
        <w:fldChar w:fldCharType="begin"/>
      </w:r>
      <w:r w:rsidR="00A61E0A" w:rsidRPr="00C02A73">
        <w:rPr>
          <w:rFonts w:ascii="Arial" w:hAnsi="Arial" w:cs="Arial"/>
        </w:rPr>
        <w:instrText xml:space="preserve"> ADDIN EN.CITE &lt;EndNote&gt;&lt;Cite&gt;&lt;Author&gt;Brandtzaeg&lt;/Author&gt;&lt;Year&gt;2007&lt;/Year&gt;&lt;RecNum&gt;24&lt;/RecNum&gt;&lt;DisplayText&gt;(16)&lt;/DisplayText&gt;&lt;record&gt;&lt;rec-number&gt;24&lt;/rec-number&gt;&lt;foreign-keys&gt;&lt;key app="EN" db-id="ttt5azpahefvd1ex0aqxft54dvw5w5dzate2"&gt;24&lt;/key&gt;&lt;/foreign-keys&gt;&lt;ref-type name="Journal Article"&gt;17&lt;/ref-type&gt;&lt;contributors&gt;&lt;authors&gt;&lt;author&gt;Brandtzaeg, P.&lt;/author&gt;&lt;/authors&gt;&lt;/contributors&gt;&lt;titles&gt;&lt;title&gt;Do salivary antibodies reliably reflect both mucosal and systemic immunity?&lt;/title&gt;&lt;secondary-title&gt;Ann N Y Acad Sci&lt;/secondary-title&gt;&lt;/titles&gt;&lt;periodical&gt;&lt;full-title&gt;Ann N Y Acad Sci&lt;/full-title&gt;&lt;/periodical&gt;&lt;pages&gt;288-311&lt;/pages&gt;&lt;dates&gt;&lt;year&gt;2007&lt;/year&gt;&lt;/dates&gt;&lt;isbn&gt;0077-8923 (Print)&amp;#xD;0077-8923 (Linking)&lt;/isbn&gt;&lt;work-type&gt;Research Support, Non-U S Gov&amp;apos;t&amp;#xD;Review&amp;#xD;Validation Studies&lt;/work-type&gt;&lt;urls&gt;&lt;/urls&gt;&lt;/record&gt;&lt;/Cite&gt;&lt;/EndNote&gt;</w:instrText>
      </w:r>
      <w:r w:rsidR="00D7554B" w:rsidRPr="00C02A73">
        <w:rPr>
          <w:rFonts w:ascii="Arial" w:hAnsi="Arial" w:cs="Arial"/>
        </w:rPr>
        <w:fldChar w:fldCharType="separate"/>
      </w:r>
      <w:r w:rsidR="00A61E0A" w:rsidRPr="00C02A73">
        <w:rPr>
          <w:rFonts w:ascii="Arial" w:hAnsi="Arial" w:cs="Arial"/>
          <w:noProof/>
        </w:rPr>
        <w:t>(</w:t>
      </w:r>
      <w:hyperlink w:anchor="_ENREF_16" w:tooltip="Brandtzaeg, 2007 #24" w:history="1">
        <w:r w:rsidR="00EA05AB" w:rsidRPr="00C02A73">
          <w:rPr>
            <w:rFonts w:ascii="Arial" w:hAnsi="Arial" w:cs="Arial"/>
            <w:noProof/>
          </w:rPr>
          <w:t>16</w:t>
        </w:r>
      </w:hyperlink>
      <w:r w:rsidR="00A61E0A" w:rsidRPr="00C02A73">
        <w:rPr>
          <w:rFonts w:ascii="Arial" w:hAnsi="Arial" w:cs="Arial"/>
          <w:noProof/>
        </w:rPr>
        <w:t>)</w:t>
      </w:r>
      <w:r w:rsidR="00D7554B" w:rsidRPr="00C02A73">
        <w:rPr>
          <w:rFonts w:ascii="Arial" w:hAnsi="Arial" w:cs="Arial"/>
        </w:rPr>
        <w:fldChar w:fldCharType="end"/>
      </w:r>
      <w:r w:rsidR="007C35BF" w:rsidRPr="00C02A73">
        <w:rPr>
          <w:rFonts w:ascii="Arial" w:hAnsi="Arial" w:cs="Arial"/>
        </w:rPr>
        <w:t>.</w:t>
      </w:r>
      <w:r w:rsidR="006F7F30" w:rsidRPr="00C02A73">
        <w:rPr>
          <w:rFonts w:ascii="Arial" w:eastAsia="ScalaLancetPro" w:hAnsi="Arial" w:cs="Arial"/>
        </w:rPr>
        <w:t xml:space="preserve"> </w:t>
      </w:r>
      <w:r w:rsidR="009D6337" w:rsidRPr="00C02A73">
        <w:rPr>
          <w:rFonts w:ascii="Arial" w:eastAsia="ScalaLancetPro" w:hAnsi="Arial" w:cs="Arial"/>
        </w:rPr>
        <w:t>Whole saliva can provide</w:t>
      </w:r>
      <w:r w:rsidR="008D35EC" w:rsidRPr="00C02A73">
        <w:rPr>
          <w:rFonts w:ascii="Arial" w:eastAsia="ScalaLancetPro" w:hAnsi="Arial" w:cs="Arial"/>
        </w:rPr>
        <w:t xml:space="preserve"> an overview of production</w:t>
      </w:r>
      <w:r w:rsidR="009D6337" w:rsidRPr="00C02A73">
        <w:rPr>
          <w:rFonts w:ascii="Arial" w:eastAsia="ScalaLancetPro" w:hAnsi="Arial" w:cs="Arial"/>
        </w:rPr>
        <w:t xml:space="preserve"> from the various glands in the mouth. </w:t>
      </w:r>
    </w:p>
    <w:p w:rsidR="006F0D4F" w:rsidRPr="00C02A73" w:rsidRDefault="00277832" w:rsidP="00067A24">
      <w:pPr>
        <w:spacing w:line="480" w:lineRule="auto"/>
        <w:rPr>
          <w:rFonts w:ascii="Arial" w:eastAsia="ScalaLancetPro" w:hAnsi="Arial" w:cs="Arial"/>
        </w:rPr>
      </w:pPr>
      <w:r w:rsidRPr="00C02A73">
        <w:rPr>
          <w:rFonts w:ascii="Arial" w:eastAsia="ScalaLancetPro" w:hAnsi="Arial" w:cs="Arial"/>
        </w:rPr>
        <w:t>F</w:t>
      </w:r>
      <w:r w:rsidR="00A31EF6" w:rsidRPr="00C02A73">
        <w:rPr>
          <w:rFonts w:ascii="Arial" w:eastAsia="ScalaLancetPro" w:hAnsi="Arial" w:cs="Arial"/>
        </w:rPr>
        <w:t xml:space="preserve">ew have investigated functional antibodies in saliva to provide an insight into </w:t>
      </w:r>
      <w:r w:rsidR="00BF054F" w:rsidRPr="00C02A73">
        <w:rPr>
          <w:rFonts w:ascii="Arial" w:eastAsia="ScalaLancetPro" w:hAnsi="Arial" w:cs="Arial"/>
        </w:rPr>
        <w:t>prote</w:t>
      </w:r>
      <w:r w:rsidRPr="00C02A73">
        <w:rPr>
          <w:rFonts w:ascii="Arial" w:eastAsia="ScalaLancetPro" w:hAnsi="Arial" w:cs="Arial"/>
        </w:rPr>
        <w:t>ction against specific bacteria in relation to ageing</w:t>
      </w:r>
      <w:r w:rsidR="00BF054F" w:rsidRPr="00C02A73">
        <w:rPr>
          <w:rFonts w:ascii="Arial" w:eastAsia="ScalaLancetPro" w:hAnsi="Arial" w:cs="Arial"/>
        </w:rPr>
        <w:t xml:space="preserve">. </w:t>
      </w:r>
      <w:r w:rsidR="001E2119" w:rsidRPr="00C02A73">
        <w:rPr>
          <w:rFonts w:ascii="Arial" w:eastAsia="ScalaLancetPro" w:hAnsi="Arial" w:cs="Arial"/>
        </w:rPr>
        <w:t xml:space="preserve">One </w:t>
      </w:r>
      <w:r w:rsidR="00845FE0" w:rsidRPr="00C02A73">
        <w:rPr>
          <w:rFonts w:ascii="Arial" w:eastAsia="ScalaLancetPro" w:hAnsi="Arial" w:cs="Arial"/>
        </w:rPr>
        <w:t xml:space="preserve">exception </w:t>
      </w:r>
      <w:r w:rsidR="001E2119" w:rsidRPr="00C02A73">
        <w:rPr>
          <w:rFonts w:ascii="Arial" w:eastAsia="ScalaLancetPro" w:hAnsi="Arial" w:cs="Arial"/>
        </w:rPr>
        <w:t>demonstrated</w:t>
      </w:r>
      <w:r w:rsidR="00845FE0" w:rsidRPr="00C02A73">
        <w:rPr>
          <w:rFonts w:ascii="Arial" w:eastAsia="ScalaLancetPro" w:hAnsi="Arial" w:cs="Arial"/>
        </w:rPr>
        <w:t xml:space="preserve"> age-associated reductions in</w:t>
      </w:r>
      <w:r w:rsidR="001E2119" w:rsidRPr="00C02A73">
        <w:rPr>
          <w:rFonts w:ascii="Arial" w:eastAsia="ScalaLancetPro" w:hAnsi="Arial" w:cs="Arial"/>
        </w:rPr>
        <w:t xml:space="preserve"> </w:t>
      </w:r>
      <w:r w:rsidR="003F7F15" w:rsidRPr="00C02A73">
        <w:rPr>
          <w:rFonts w:ascii="Arial" w:eastAsia="ScalaLancetPro" w:hAnsi="Arial" w:cs="Arial"/>
        </w:rPr>
        <w:t xml:space="preserve">IgG and IgM </w:t>
      </w:r>
      <w:r w:rsidR="001E2119" w:rsidRPr="00C02A73">
        <w:rPr>
          <w:rFonts w:ascii="Arial" w:eastAsia="ScalaLancetPro" w:hAnsi="Arial" w:cs="Arial"/>
        </w:rPr>
        <w:t xml:space="preserve">saliva </w:t>
      </w:r>
      <w:r w:rsidR="003F7F15" w:rsidRPr="00C02A73">
        <w:rPr>
          <w:rFonts w:ascii="Arial" w:eastAsia="ScalaLancetPro" w:hAnsi="Arial" w:cs="Arial"/>
        </w:rPr>
        <w:t xml:space="preserve">secretion rates specific to </w:t>
      </w:r>
      <w:r w:rsidR="003F7F15" w:rsidRPr="00C02A73">
        <w:rPr>
          <w:rFonts w:ascii="Arial" w:eastAsia="ScalaLancetPro" w:hAnsi="Arial" w:cs="Arial"/>
          <w:i/>
        </w:rPr>
        <w:t xml:space="preserve">streptococcus </w:t>
      </w:r>
      <w:proofErr w:type="spellStart"/>
      <w:r w:rsidR="003F7F15" w:rsidRPr="00C02A73">
        <w:rPr>
          <w:rFonts w:ascii="Arial" w:eastAsia="ScalaLancetPro" w:hAnsi="Arial" w:cs="Arial"/>
          <w:i/>
        </w:rPr>
        <w:t>mutans</w:t>
      </w:r>
      <w:proofErr w:type="spellEnd"/>
      <w:r w:rsidR="003F7F15" w:rsidRPr="00C02A73">
        <w:rPr>
          <w:rFonts w:ascii="Arial" w:eastAsia="ScalaLancetPro" w:hAnsi="Arial" w:cs="Arial"/>
        </w:rPr>
        <w:t xml:space="preserve">, </w:t>
      </w:r>
      <w:proofErr w:type="spellStart"/>
      <w:r w:rsidR="003F7F15" w:rsidRPr="00C02A73">
        <w:rPr>
          <w:rFonts w:ascii="Arial" w:eastAsia="ScalaLancetPro" w:hAnsi="Arial" w:cs="Arial"/>
          <w:i/>
        </w:rPr>
        <w:t>escherichia</w:t>
      </w:r>
      <w:proofErr w:type="spellEnd"/>
      <w:r w:rsidR="003F7F15" w:rsidRPr="00C02A73">
        <w:rPr>
          <w:rFonts w:ascii="Arial" w:eastAsia="ScalaLancetPro" w:hAnsi="Arial" w:cs="Arial"/>
          <w:i/>
        </w:rPr>
        <w:t xml:space="preserve"> coli</w:t>
      </w:r>
      <w:r w:rsidR="003F7F15" w:rsidRPr="00C02A73">
        <w:rPr>
          <w:rFonts w:ascii="Arial" w:eastAsia="ScalaLancetPro" w:hAnsi="Arial" w:cs="Arial"/>
        </w:rPr>
        <w:t xml:space="preserve"> and </w:t>
      </w:r>
      <w:proofErr w:type="spellStart"/>
      <w:r w:rsidR="003F7F15" w:rsidRPr="00C02A73">
        <w:rPr>
          <w:rFonts w:ascii="Arial" w:eastAsia="ScalaLancetPro" w:hAnsi="Arial" w:cs="Arial"/>
          <w:i/>
        </w:rPr>
        <w:t>actinomyces</w:t>
      </w:r>
      <w:proofErr w:type="spellEnd"/>
      <w:r w:rsidR="003F7F15" w:rsidRPr="00C02A73">
        <w:rPr>
          <w:rFonts w:ascii="Arial" w:eastAsia="ScalaLancetPro" w:hAnsi="Arial" w:cs="Arial"/>
          <w:i/>
        </w:rPr>
        <w:t xml:space="preserve"> viscous</w:t>
      </w:r>
      <w:r w:rsidR="007C35BF" w:rsidRPr="00C02A73">
        <w:rPr>
          <w:rFonts w:ascii="Arial" w:eastAsia="ScalaLancetPro" w:hAnsi="Arial" w:cs="Arial"/>
        </w:rPr>
        <w:t xml:space="preserve"> </w:t>
      </w:r>
      <w:r w:rsidR="003964D0" w:rsidRPr="00C02A73">
        <w:rPr>
          <w:rFonts w:ascii="Arial" w:eastAsia="ScalaLancetPro" w:hAnsi="Arial" w:cs="Arial"/>
        </w:rPr>
        <w:fldChar w:fldCharType="begin"/>
      </w:r>
      <w:r w:rsidR="00A61E0A" w:rsidRPr="00C02A73">
        <w:rPr>
          <w:rFonts w:ascii="Arial" w:eastAsia="ScalaLancetPro" w:hAnsi="Arial" w:cs="Arial"/>
        </w:rPr>
        <w:instrText xml:space="preserve"> ADDIN EN.CITE &lt;EndNote&gt;&lt;Cite&gt;&lt;Author&gt;Percival&lt;/Author&gt;&lt;Year&gt;1997&lt;/Year&gt;&lt;RecNum&gt;20&lt;/RecNum&gt;&lt;DisplayText&gt;(17)&lt;/DisplayText&gt;&lt;record&gt;&lt;rec-number&gt;20&lt;/rec-number&gt;&lt;foreign-keys&gt;&lt;key app="EN" db-id="ttt5azpahefvd1ex0aqxft54dvw5w5dzate2"&gt;20&lt;/key&gt;&lt;/foreign-keys&gt;&lt;ref-type name="Journal Article"&gt;17&lt;/ref-type&gt;&lt;contributors&gt;&lt;authors&gt;&lt;author&gt;Percival, R. S.&lt;/author&gt;&lt;author&gt;Marsh, P. D.&lt;/author&gt;&lt;author&gt;Challacombe, S. J.&lt;/author&gt;&lt;/authors&gt;&lt;/contributors&gt;&lt;titles&gt;&lt;title&gt;Age-related changes in salivary antibodies to commensal oral and gut biota&lt;/title&gt;&lt;secondary-title&gt;Oral Microbiol Immunol&lt;/secondary-title&gt;&lt;/titles&gt;&lt;periodical&gt;&lt;full-title&gt;Oral Microbiol Immunol&lt;/full-title&gt;&lt;/periodical&gt;&lt;pages&gt;57-63&lt;/pages&gt;&lt;volume&gt;12&lt;/volume&gt;&lt;number&gt;1&lt;/number&gt;&lt;dates&gt;&lt;year&gt;1997&lt;/year&gt;&lt;/dates&gt;&lt;isbn&gt;0902-0055 (Print)&amp;#xD;0902-0055 (Linking)&lt;/isbn&gt;&lt;work-type&gt;Research Support, Non-U S Gov&amp;apos;t&lt;/work-type&gt;&lt;urls&gt;&lt;/urls&gt;&lt;/record&gt;&lt;/Cite&gt;&lt;/EndNote&gt;</w:instrText>
      </w:r>
      <w:r w:rsidR="003964D0" w:rsidRPr="00C02A73">
        <w:rPr>
          <w:rFonts w:ascii="Arial" w:eastAsia="ScalaLancetPro" w:hAnsi="Arial" w:cs="Arial"/>
        </w:rPr>
        <w:fldChar w:fldCharType="separate"/>
      </w:r>
      <w:r w:rsidR="00A61E0A" w:rsidRPr="00C02A73">
        <w:rPr>
          <w:rFonts w:ascii="Arial" w:eastAsia="ScalaLancetPro" w:hAnsi="Arial" w:cs="Arial"/>
          <w:noProof/>
        </w:rPr>
        <w:t>(</w:t>
      </w:r>
      <w:hyperlink w:anchor="_ENREF_17" w:tooltip="Percival, 1997 #20" w:history="1">
        <w:r w:rsidR="00EA05AB" w:rsidRPr="00C02A73">
          <w:rPr>
            <w:rFonts w:ascii="Arial" w:eastAsia="ScalaLancetPro" w:hAnsi="Arial" w:cs="Arial"/>
            <w:noProof/>
          </w:rPr>
          <w:t>17</w:t>
        </w:r>
      </w:hyperlink>
      <w:r w:rsidR="00A61E0A" w:rsidRPr="00C02A73">
        <w:rPr>
          <w:rFonts w:ascii="Arial" w:eastAsia="ScalaLancetPro" w:hAnsi="Arial" w:cs="Arial"/>
          <w:noProof/>
        </w:rPr>
        <w:t>)</w:t>
      </w:r>
      <w:r w:rsidR="003964D0" w:rsidRPr="00C02A73">
        <w:rPr>
          <w:rFonts w:ascii="Arial" w:eastAsia="ScalaLancetPro" w:hAnsi="Arial" w:cs="Arial"/>
        </w:rPr>
        <w:fldChar w:fldCharType="end"/>
      </w:r>
      <w:r w:rsidR="007C35BF" w:rsidRPr="00C02A73">
        <w:rPr>
          <w:rFonts w:ascii="Arial" w:eastAsia="ScalaLancetPro" w:hAnsi="Arial" w:cs="Arial"/>
        </w:rPr>
        <w:t>.</w:t>
      </w:r>
      <w:r w:rsidR="003F7F15" w:rsidRPr="00C02A73">
        <w:rPr>
          <w:rFonts w:ascii="Arial" w:eastAsia="ScalaLancetPro" w:hAnsi="Arial" w:cs="Arial"/>
        </w:rPr>
        <w:t xml:space="preserve">  Age-related cha</w:t>
      </w:r>
      <w:r w:rsidR="001E2119" w:rsidRPr="00C02A73">
        <w:rPr>
          <w:rFonts w:ascii="Arial" w:eastAsia="ScalaLancetPro" w:hAnsi="Arial" w:cs="Arial"/>
        </w:rPr>
        <w:t>nges to these commensals</w:t>
      </w:r>
      <w:r w:rsidR="003F7F15" w:rsidRPr="00C02A73">
        <w:rPr>
          <w:rFonts w:ascii="Arial" w:eastAsia="ScalaLancetPro" w:hAnsi="Arial" w:cs="Arial"/>
        </w:rPr>
        <w:t xml:space="preserve"> may diffe</w:t>
      </w:r>
      <w:r w:rsidR="00AD7AD3" w:rsidRPr="00C02A73">
        <w:rPr>
          <w:rFonts w:ascii="Arial" w:eastAsia="ScalaLancetPro" w:hAnsi="Arial" w:cs="Arial"/>
        </w:rPr>
        <w:t xml:space="preserve">r to </w:t>
      </w:r>
      <w:r w:rsidR="0098477F" w:rsidRPr="00C02A73">
        <w:rPr>
          <w:rFonts w:ascii="Arial" w:eastAsia="ScalaLancetPro" w:hAnsi="Arial" w:cs="Arial"/>
        </w:rPr>
        <w:t xml:space="preserve">pathogenic </w:t>
      </w:r>
      <w:r w:rsidR="009F7BC1" w:rsidRPr="00C02A73">
        <w:rPr>
          <w:rFonts w:ascii="Arial" w:eastAsia="ScalaLancetPro" w:hAnsi="Arial" w:cs="Arial"/>
        </w:rPr>
        <w:t xml:space="preserve">bacteria, however, </w:t>
      </w:r>
      <w:r w:rsidR="001E2119" w:rsidRPr="00C02A73">
        <w:rPr>
          <w:rFonts w:ascii="Arial" w:eastAsia="ScalaLancetPro" w:hAnsi="Arial" w:cs="Arial"/>
        </w:rPr>
        <w:t xml:space="preserve">the effect of age on salivary </w:t>
      </w:r>
      <w:r w:rsidR="009A6700" w:rsidRPr="00C02A73">
        <w:rPr>
          <w:rFonts w:ascii="Arial" w:eastAsia="ScalaLancetPro" w:hAnsi="Arial" w:cs="Arial"/>
        </w:rPr>
        <w:t xml:space="preserve">antibodies specific </w:t>
      </w:r>
      <w:r w:rsidR="00BD006A" w:rsidRPr="00C02A73">
        <w:rPr>
          <w:rFonts w:ascii="Arial" w:eastAsia="ScalaLancetPro" w:hAnsi="Arial" w:cs="Arial"/>
        </w:rPr>
        <w:t xml:space="preserve">to bacteria that pose a threat of infection, including </w:t>
      </w:r>
      <w:r w:rsidR="006F0D4F" w:rsidRPr="00C02A73">
        <w:rPr>
          <w:rFonts w:ascii="Arial" w:eastAsia="ScalaLancetPro" w:hAnsi="Arial" w:cs="Arial"/>
          <w:i/>
        </w:rPr>
        <w:t xml:space="preserve">S </w:t>
      </w:r>
      <w:proofErr w:type="spellStart"/>
      <w:r w:rsidR="006F0D4F" w:rsidRPr="00C02A73">
        <w:rPr>
          <w:rFonts w:ascii="Arial" w:eastAsia="ScalaLancetPro" w:hAnsi="Arial" w:cs="Arial"/>
          <w:i/>
        </w:rPr>
        <w:t>pneumoniae</w:t>
      </w:r>
      <w:proofErr w:type="spellEnd"/>
      <w:r w:rsidR="00BD006A" w:rsidRPr="00C02A73">
        <w:rPr>
          <w:rFonts w:ascii="Arial" w:eastAsia="ScalaLancetPro" w:hAnsi="Arial" w:cs="Arial"/>
        </w:rPr>
        <w:t xml:space="preserve">, </w:t>
      </w:r>
      <w:proofErr w:type="spellStart"/>
      <w:r w:rsidR="006F0D4F" w:rsidRPr="00C02A73">
        <w:rPr>
          <w:rFonts w:ascii="Arial" w:eastAsia="ScalaLancetPro" w:hAnsi="Arial" w:cs="Arial"/>
          <w:i/>
        </w:rPr>
        <w:t>neisseria</w:t>
      </w:r>
      <w:proofErr w:type="spellEnd"/>
      <w:r w:rsidR="006F0D4F" w:rsidRPr="00C02A73">
        <w:rPr>
          <w:rFonts w:ascii="Arial" w:eastAsia="ScalaLancetPro" w:hAnsi="Arial" w:cs="Arial"/>
          <w:i/>
        </w:rPr>
        <w:t xml:space="preserve"> meningitides </w:t>
      </w:r>
      <w:r w:rsidR="006F0D4F" w:rsidRPr="00C02A73">
        <w:rPr>
          <w:rFonts w:ascii="Arial" w:eastAsia="ScalaLancetPro" w:hAnsi="Arial" w:cs="Arial"/>
        </w:rPr>
        <w:t xml:space="preserve">and </w:t>
      </w:r>
      <w:proofErr w:type="spellStart"/>
      <w:r w:rsidR="006F0D4F" w:rsidRPr="00C02A73">
        <w:rPr>
          <w:rFonts w:ascii="Arial" w:eastAsia="ScalaLancetPro" w:hAnsi="Arial" w:cs="Arial"/>
          <w:i/>
        </w:rPr>
        <w:t>haemphilus</w:t>
      </w:r>
      <w:proofErr w:type="spellEnd"/>
      <w:r w:rsidR="006F0D4F" w:rsidRPr="00C02A73">
        <w:rPr>
          <w:rFonts w:ascii="Arial" w:eastAsia="ScalaLancetPro" w:hAnsi="Arial" w:cs="Arial"/>
          <w:i/>
        </w:rPr>
        <w:t xml:space="preserve"> </w:t>
      </w:r>
      <w:r w:rsidR="00BD006A" w:rsidRPr="00C02A73">
        <w:rPr>
          <w:rFonts w:ascii="Arial" w:eastAsia="ScalaLancetPro" w:hAnsi="Arial" w:cs="Arial"/>
          <w:i/>
        </w:rPr>
        <w:t>influenza</w:t>
      </w:r>
      <w:r w:rsidR="006F0D4F" w:rsidRPr="00C02A73">
        <w:rPr>
          <w:rFonts w:ascii="Arial" w:eastAsia="ScalaLancetPro" w:hAnsi="Arial" w:cs="Arial"/>
          <w:i/>
        </w:rPr>
        <w:t xml:space="preserve"> </w:t>
      </w:r>
      <w:r w:rsidR="006F0D4F" w:rsidRPr="00C02A73">
        <w:rPr>
          <w:rFonts w:ascii="Arial" w:eastAsia="ScalaLancetPro" w:hAnsi="Arial" w:cs="Arial"/>
        </w:rPr>
        <w:t xml:space="preserve">has yet to be explored.  </w:t>
      </w:r>
    </w:p>
    <w:p w:rsidR="006F0D4F" w:rsidRPr="00C02A73" w:rsidRDefault="00BD006A" w:rsidP="00067A24">
      <w:pPr>
        <w:spacing w:line="480" w:lineRule="auto"/>
        <w:rPr>
          <w:rFonts w:ascii="Arial" w:eastAsia="ScalaLancetPro" w:hAnsi="Arial" w:cs="Arial"/>
        </w:rPr>
      </w:pPr>
      <w:r w:rsidRPr="00C02A73">
        <w:rPr>
          <w:rFonts w:ascii="Arial" w:eastAsia="ScalaLancetPro" w:hAnsi="Arial" w:cs="Arial"/>
        </w:rPr>
        <w:t xml:space="preserve">Evidence </w:t>
      </w:r>
      <w:r w:rsidR="006F0D4F" w:rsidRPr="00C02A73">
        <w:rPr>
          <w:rFonts w:ascii="Arial" w:eastAsia="ScalaLancetPro" w:hAnsi="Arial" w:cs="Arial"/>
        </w:rPr>
        <w:t>suggest</w:t>
      </w:r>
      <w:r w:rsidRPr="00C02A73">
        <w:rPr>
          <w:rFonts w:ascii="Arial" w:eastAsia="ScalaLancetPro" w:hAnsi="Arial" w:cs="Arial"/>
        </w:rPr>
        <w:t>s</w:t>
      </w:r>
      <w:r w:rsidR="006F0D4F" w:rsidRPr="00C02A73">
        <w:rPr>
          <w:rFonts w:ascii="Arial" w:eastAsia="ScalaLancetPro" w:hAnsi="Arial" w:cs="Arial"/>
        </w:rPr>
        <w:t xml:space="preserve"> that </w:t>
      </w:r>
      <w:r w:rsidR="00F80495" w:rsidRPr="00C02A73">
        <w:rPr>
          <w:rFonts w:ascii="Arial" w:eastAsia="ScalaLancetPro" w:hAnsi="Arial" w:cs="Arial"/>
        </w:rPr>
        <w:t>systemic functional antibod</w:t>
      </w:r>
      <w:r w:rsidR="006F0D4F" w:rsidRPr="00C02A73">
        <w:rPr>
          <w:rFonts w:ascii="Arial" w:eastAsia="ScalaLancetPro" w:hAnsi="Arial" w:cs="Arial"/>
        </w:rPr>
        <w:t xml:space="preserve">ies are reduced in the elderly. </w:t>
      </w:r>
      <w:r w:rsidR="00320FF6" w:rsidRPr="00C02A73">
        <w:rPr>
          <w:rFonts w:ascii="Arial" w:eastAsia="ScalaLancetPro" w:hAnsi="Arial" w:cs="Arial"/>
        </w:rPr>
        <w:t>C</w:t>
      </w:r>
      <w:r w:rsidR="00067A24" w:rsidRPr="00C02A73">
        <w:rPr>
          <w:rFonts w:ascii="Arial" w:eastAsia="ScalaLancetPro" w:hAnsi="Arial" w:cs="Arial"/>
        </w:rPr>
        <w:t>oncentrations of naturally acquired IgG antibodies</w:t>
      </w:r>
      <w:r w:rsidR="00320FF6" w:rsidRPr="00C02A73">
        <w:rPr>
          <w:rFonts w:ascii="Arial" w:eastAsia="ScalaLancetPro" w:hAnsi="Arial" w:cs="Arial"/>
        </w:rPr>
        <w:t xml:space="preserve"> in serum</w:t>
      </w:r>
      <w:r w:rsidR="00067A24" w:rsidRPr="00C02A73">
        <w:rPr>
          <w:rFonts w:ascii="Arial" w:eastAsia="ScalaLancetPro" w:hAnsi="Arial" w:cs="Arial"/>
        </w:rPr>
        <w:t xml:space="preserve"> against pneumococcal serotypes (</w:t>
      </w:r>
      <w:proofErr w:type="spellStart"/>
      <w:r w:rsidR="00067A24" w:rsidRPr="00C02A73">
        <w:rPr>
          <w:rFonts w:ascii="Arial" w:eastAsia="ScalaLancetPro" w:hAnsi="Arial" w:cs="Arial"/>
        </w:rPr>
        <w:t>Pn</w:t>
      </w:r>
      <w:proofErr w:type="spellEnd"/>
      <w:r w:rsidR="00067A24" w:rsidRPr="00C02A73">
        <w:rPr>
          <w:rFonts w:ascii="Arial" w:eastAsia="ScalaLancetPro" w:hAnsi="Arial" w:cs="Arial"/>
        </w:rPr>
        <w:t xml:space="preserve">) 3 and 6B and </w:t>
      </w:r>
      <w:proofErr w:type="spellStart"/>
      <w:r w:rsidR="00067A24" w:rsidRPr="00C02A73">
        <w:rPr>
          <w:rFonts w:ascii="Arial" w:eastAsia="ScalaLancetPro" w:hAnsi="Arial" w:cs="Arial"/>
        </w:rPr>
        <w:t>IgM</w:t>
      </w:r>
      <w:proofErr w:type="spellEnd"/>
      <w:r w:rsidR="00067A24" w:rsidRPr="00C02A73">
        <w:rPr>
          <w:rFonts w:ascii="Arial" w:eastAsia="ScalaLancetPro" w:hAnsi="Arial" w:cs="Arial"/>
        </w:rPr>
        <w:t xml:space="preserve"> antibodies against </w:t>
      </w:r>
      <w:proofErr w:type="spellStart"/>
      <w:r w:rsidR="00067A24" w:rsidRPr="00C02A73">
        <w:rPr>
          <w:rFonts w:ascii="Arial" w:eastAsia="ScalaLancetPro" w:hAnsi="Arial" w:cs="Arial"/>
        </w:rPr>
        <w:t>Pn</w:t>
      </w:r>
      <w:proofErr w:type="spellEnd"/>
      <w:r w:rsidR="00067A24" w:rsidRPr="00C02A73">
        <w:rPr>
          <w:rFonts w:ascii="Arial" w:eastAsia="ScalaLancetPro" w:hAnsi="Arial" w:cs="Arial"/>
        </w:rPr>
        <w:t xml:space="preserve"> 3, 4, 6B, 9V and 23F have been shown to be reduced in </w:t>
      </w:r>
      <w:r w:rsidR="002A0C4C" w:rsidRPr="00C02A73">
        <w:rPr>
          <w:rFonts w:ascii="Arial" w:eastAsia="ScalaLancetPro" w:hAnsi="Arial" w:cs="Arial"/>
        </w:rPr>
        <w:t>those</w:t>
      </w:r>
      <w:r w:rsidR="004A667B" w:rsidRPr="00C02A73">
        <w:rPr>
          <w:rFonts w:ascii="Arial" w:eastAsia="ScalaLancetPro" w:hAnsi="Arial" w:cs="Arial"/>
        </w:rPr>
        <w:t xml:space="preserve"> aged 65</w:t>
      </w:r>
      <w:r w:rsidR="002A0C4C" w:rsidRPr="00C02A73">
        <w:rPr>
          <w:rFonts w:ascii="Arial" w:eastAsia="ScalaLancetPro" w:hAnsi="Arial" w:cs="Arial"/>
        </w:rPr>
        <w:t>+ years</w:t>
      </w:r>
      <w:r w:rsidR="00E8629D" w:rsidRPr="00C02A73">
        <w:rPr>
          <w:rFonts w:ascii="Arial" w:eastAsia="ScalaLancetPro" w:hAnsi="Arial" w:cs="Arial"/>
        </w:rPr>
        <w:t xml:space="preserve"> </w:t>
      </w:r>
      <w:hyperlink w:anchor="_ENREF_20" w:tooltip="Simell, 2008 #18" w:history="1"/>
      <w:r w:rsidR="003964D0" w:rsidRPr="00C02A73">
        <w:rPr>
          <w:rFonts w:ascii="Arial" w:eastAsia="ScalaLancetPro" w:hAnsi="Arial" w:cs="Arial"/>
        </w:rPr>
        <w:fldChar w:fldCharType="begin"/>
      </w:r>
      <w:r w:rsidR="00A61E0A" w:rsidRPr="00C02A73">
        <w:rPr>
          <w:rFonts w:ascii="Arial" w:eastAsia="ScalaLancetPro" w:hAnsi="Arial" w:cs="Arial"/>
        </w:rPr>
        <w:instrText xml:space="preserve"> ADDIN EN.CITE &lt;EndNote&gt;&lt;Cite&gt;&lt;Author&gt;Simell&lt;/Author&gt;&lt;Year&gt;2008&lt;/Year&gt;&lt;RecNum&gt;18&lt;/RecNum&gt;&lt;DisplayText&gt;(18)&lt;/DisplayText&gt;&lt;record&gt;&lt;rec-number&gt;18&lt;/rec-number&gt;&lt;foreign-keys&gt;&lt;key app="EN" db-id="ttt5azpahefvd1ex0aqxft54dvw5w5dzate2"&gt;18&lt;/key&gt;&lt;/foreign-keys&gt;&lt;ref-type name="Journal Article"&gt;17&lt;/ref-type&gt;&lt;contributors&gt;&lt;authors&gt;&lt;author&gt;Simell, B.&lt;/author&gt;&lt;author&gt;Lahdenkari, M.&lt;/author&gt;&lt;author&gt;Reunanen, A.&lt;/author&gt;&lt;author&gt;Kayhty, H.&lt;/author&gt;&lt;author&gt;Vakevainen, M.&lt;/author&gt;&lt;/authors&gt;&lt;/contributors&gt;&lt;titles&gt;&lt;title&gt;Effects of ageing and gender on naturally acquired antibodies to pneumococcal capsular polysaccharides and virulence-associated proteins&lt;/title&gt;&lt;secondary-title&gt;Clin Vaccine Immunol&lt;/secondary-title&gt;&lt;/titles&gt;&lt;periodical&gt;&lt;full-title&gt;Clin Vaccine Immunol&lt;/full-title&gt;&lt;/periodical&gt;&lt;pages&gt;1391-7&lt;/pages&gt;&lt;volume&gt;15&lt;/volume&gt;&lt;number&gt;9&lt;/number&gt;&lt;dates&gt;&lt;year&gt;2008&lt;/year&gt;&lt;/dates&gt;&lt;isbn&gt;1556-679X (Electronic)&amp;#xD;1556-679X (Linking)&lt;/isbn&gt;&lt;work-type&gt;Research Support, Non-U S Gov&amp;apos;t&lt;/work-type&gt;&lt;urls&gt;&lt;/urls&gt;&lt;/record&gt;&lt;/Cite&gt;&lt;/EndNote&gt;</w:instrText>
      </w:r>
      <w:r w:rsidR="003964D0" w:rsidRPr="00C02A73">
        <w:rPr>
          <w:rFonts w:ascii="Arial" w:eastAsia="ScalaLancetPro" w:hAnsi="Arial" w:cs="Arial"/>
        </w:rPr>
        <w:fldChar w:fldCharType="separate"/>
      </w:r>
      <w:r w:rsidR="00A61E0A" w:rsidRPr="00C02A73">
        <w:rPr>
          <w:rFonts w:ascii="Arial" w:eastAsia="ScalaLancetPro" w:hAnsi="Arial" w:cs="Arial"/>
          <w:noProof/>
        </w:rPr>
        <w:t>(</w:t>
      </w:r>
      <w:hyperlink w:anchor="_ENREF_18" w:tooltip="Simell, 2008 #18" w:history="1">
        <w:r w:rsidR="00EA05AB" w:rsidRPr="00C02A73">
          <w:rPr>
            <w:rFonts w:ascii="Arial" w:eastAsia="ScalaLancetPro" w:hAnsi="Arial" w:cs="Arial"/>
            <w:noProof/>
          </w:rPr>
          <w:t>18</w:t>
        </w:r>
      </w:hyperlink>
      <w:r w:rsidR="00A61E0A" w:rsidRPr="00C02A73">
        <w:rPr>
          <w:rFonts w:ascii="Arial" w:eastAsia="ScalaLancetPro" w:hAnsi="Arial" w:cs="Arial"/>
          <w:noProof/>
        </w:rPr>
        <w:t>)</w:t>
      </w:r>
      <w:r w:rsidR="003964D0" w:rsidRPr="00C02A73">
        <w:rPr>
          <w:rFonts w:ascii="Arial" w:eastAsia="ScalaLancetPro" w:hAnsi="Arial" w:cs="Arial"/>
        </w:rPr>
        <w:fldChar w:fldCharType="end"/>
      </w:r>
      <w:r w:rsidR="007C35BF" w:rsidRPr="00C02A73">
        <w:rPr>
          <w:rFonts w:ascii="Arial" w:eastAsia="ScalaLancetPro" w:hAnsi="Arial" w:cs="Arial"/>
        </w:rPr>
        <w:t xml:space="preserve">. </w:t>
      </w:r>
      <w:r w:rsidR="004A667B" w:rsidRPr="00C02A73">
        <w:rPr>
          <w:rFonts w:ascii="Arial" w:eastAsia="ScalaLancetPro" w:hAnsi="Arial" w:cs="Arial"/>
        </w:rPr>
        <w:t>However,</w:t>
      </w:r>
      <w:r w:rsidR="006F0D4F" w:rsidRPr="00C02A73">
        <w:rPr>
          <w:rFonts w:ascii="Arial" w:eastAsia="ScalaLancetPro" w:hAnsi="Arial" w:cs="Arial"/>
        </w:rPr>
        <w:t xml:space="preserve"> serum has not been measured </w:t>
      </w:r>
      <w:r w:rsidR="002A0C4C" w:rsidRPr="00C02A73">
        <w:rPr>
          <w:rFonts w:ascii="Arial" w:eastAsia="ScalaLancetPro" w:hAnsi="Arial" w:cs="Arial"/>
        </w:rPr>
        <w:t xml:space="preserve">in </w:t>
      </w:r>
      <w:r w:rsidR="006F0D4F" w:rsidRPr="00C02A73">
        <w:rPr>
          <w:rFonts w:ascii="Arial" w:eastAsia="ScalaLancetPro" w:hAnsi="Arial" w:cs="Arial"/>
        </w:rPr>
        <w:t xml:space="preserve">parallel </w:t>
      </w:r>
      <w:r w:rsidR="002A0C4C" w:rsidRPr="00C02A73">
        <w:rPr>
          <w:rFonts w:ascii="Arial" w:eastAsia="ScalaLancetPro" w:hAnsi="Arial" w:cs="Arial"/>
        </w:rPr>
        <w:t>with</w:t>
      </w:r>
      <w:r w:rsidR="009F6430" w:rsidRPr="00C02A73">
        <w:rPr>
          <w:rFonts w:ascii="Arial" w:eastAsia="ScalaLancetPro" w:hAnsi="Arial" w:cs="Arial"/>
        </w:rPr>
        <w:t xml:space="preserve"> saliva across a range of bacteria. </w:t>
      </w:r>
    </w:p>
    <w:p w:rsidR="002F366D" w:rsidRPr="00C02A73" w:rsidRDefault="00E83F97" w:rsidP="00067A24">
      <w:pPr>
        <w:spacing w:line="480" w:lineRule="auto"/>
        <w:rPr>
          <w:rFonts w:ascii="Arial" w:eastAsia="ScalaLancetPro" w:hAnsi="Arial" w:cs="Arial"/>
        </w:rPr>
      </w:pPr>
      <w:r w:rsidRPr="00C02A73">
        <w:rPr>
          <w:rFonts w:ascii="Arial" w:eastAsia="ScalaLancetPro" w:hAnsi="Arial" w:cs="Arial"/>
        </w:rPr>
        <w:t xml:space="preserve">To </w:t>
      </w:r>
      <w:r w:rsidR="00631DC3" w:rsidRPr="00C02A73">
        <w:rPr>
          <w:rFonts w:ascii="Arial" w:eastAsia="ScalaLancetPro" w:hAnsi="Arial" w:cs="Arial"/>
        </w:rPr>
        <w:t>determine whether</w:t>
      </w:r>
      <w:r w:rsidRPr="00C02A73">
        <w:rPr>
          <w:rFonts w:ascii="Arial" w:eastAsia="ScalaLancetPro" w:hAnsi="Arial" w:cs="Arial"/>
        </w:rPr>
        <w:t xml:space="preserve"> salivary antibodies</w:t>
      </w:r>
      <w:r w:rsidR="009F7BC1" w:rsidRPr="00C02A73">
        <w:rPr>
          <w:rFonts w:ascii="Arial" w:eastAsia="ScalaLancetPro" w:hAnsi="Arial" w:cs="Arial"/>
        </w:rPr>
        <w:t xml:space="preserve"> against </w:t>
      </w:r>
      <w:r w:rsidR="00665CC4" w:rsidRPr="00C02A73">
        <w:rPr>
          <w:rFonts w:ascii="Arial" w:eastAsia="ScalaLancetPro" w:hAnsi="Arial" w:cs="Arial"/>
        </w:rPr>
        <w:t xml:space="preserve">specific </w:t>
      </w:r>
      <w:r w:rsidR="0098477F" w:rsidRPr="00C02A73">
        <w:rPr>
          <w:rFonts w:ascii="Arial" w:eastAsia="ScalaLancetPro" w:hAnsi="Arial" w:cs="Arial"/>
        </w:rPr>
        <w:t xml:space="preserve">bacterial </w:t>
      </w:r>
      <w:r w:rsidR="00665CC4" w:rsidRPr="00C02A73">
        <w:rPr>
          <w:rFonts w:ascii="Arial" w:eastAsia="ScalaLancetPro" w:hAnsi="Arial" w:cs="Arial"/>
        </w:rPr>
        <w:t>antigens are</w:t>
      </w:r>
      <w:r w:rsidRPr="00C02A73">
        <w:rPr>
          <w:rFonts w:ascii="Arial" w:eastAsia="ScalaLancetPro" w:hAnsi="Arial" w:cs="Arial"/>
        </w:rPr>
        <w:t xml:space="preserve"> reduced in</w:t>
      </w:r>
      <w:r w:rsidR="00665CC4" w:rsidRPr="00C02A73">
        <w:rPr>
          <w:rFonts w:ascii="Arial" w:eastAsia="ScalaLancetPro" w:hAnsi="Arial" w:cs="Arial"/>
        </w:rPr>
        <w:t xml:space="preserve"> older adults, and </w:t>
      </w:r>
      <w:r w:rsidR="000731DB" w:rsidRPr="00C02A73">
        <w:rPr>
          <w:rFonts w:ascii="Arial" w:eastAsia="ScalaLancetPro" w:hAnsi="Arial" w:cs="Arial"/>
        </w:rPr>
        <w:t xml:space="preserve">potentially a mechanism contributing </w:t>
      </w:r>
      <w:r w:rsidR="00026F46" w:rsidRPr="00C02A73">
        <w:rPr>
          <w:rFonts w:ascii="Arial" w:eastAsia="ScalaLancetPro" w:hAnsi="Arial" w:cs="Arial"/>
        </w:rPr>
        <w:t>to compr</w:t>
      </w:r>
      <w:r w:rsidR="0098477F" w:rsidRPr="00C02A73">
        <w:rPr>
          <w:rFonts w:ascii="Arial" w:eastAsia="ScalaLancetPro" w:hAnsi="Arial" w:cs="Arial"/>
        </w:rPr>
        <w:t>om</w:t>
      </w:r>
      <w:r w:rsidR="00026F46" w:rsidRPr="00C02A73">
        <w:rPr>
          <w:rFonts w:ascii="Arial" w:eastAsia="ScalaLancetPro" w:hAnsi="Arial" w:cs="Arial"/>
        </w:rPr>
        <w:t xml:space="preserve">ised immunity </w:t>
      </w:r>
      <w:r w:rsidR="000731DB" w:rsidRPr="00C02A73">
        <w:rPr>
          <w:rFonts w:ascii="Arial" w:eastAsia="ScalaLancetPro" w:hAnsi="Arial" w:cs="Arial"/>
        </w:rPr>
        <w:t xml:space="preserve">and infection risk, the </w:t>
      </w:r>
      <w:r w:rsidR="002F366D" w:rsidRPr="00C02A73">
        <w:rPr>
          <w:rFonts w:ascii="Arial" w:eastAsia="ScalaLancetPro" w:hAnsi="Arial" w:cs="Arial"/>
        </w:rPr>
        <w:t xml:space="preserve">present study </w:t>
      </w:r>
      <w:r w:rsidR="002A0C4C" w:rsidRPr="00C02A73">
        <w:rPr>
          <w:rFonts w:ascii="Arial" w:eastAsia="ScalaLancetPro" w:hAnsi="Arial" w:cs="Arial"/>
        </w:rPr>
        <w:t>examined</w:t>
      </w:r>
      <w:r w:rsidR="00547E65" w:rsidRPr="00C02A73">
        <w:rPr>
          <w:rFonts w:ascii="Arial" w:eastAsia="ScalaLancetPro" w:hAnsi="Arial" w:cs="Arial"/>
        </w:rPr>
        <w:t xml:space="preserve"> functional antibodies</w:t>
      </w:r>
      <w:r w:rsidR="00FF491E" w:rsidRPr="00C02A73">
        <w:rPr>
          <w:rFonts w:ascii="Arial" w:eastAsia="ScalaLancetPro" w:hAnsi="Arial" w:cs="Arial"/>
        </w:rPr>
        <w:t xml:space="preserve"> against 19 different antigens in healthy younger and older adults. </w:t>
      </w:r>
      <w:r w:rsidR="0098477F" w:rsidRPr="00C02A73">
        <w:rPr>
          <w:rFonts w:ascii="Arial" w:eastAsia="ScalaLancetPro" w:hAnsi="Arial" w:cs="Arial"/>
        </w:rPr>
        <w:t>Paired s</w:t>
      </w:r>
      <w:r w:rsidR="000731DB" w:rsidRPr="00C02A73">
        <w:rPr>
          <w:rFonts w:ascii="Arial" w:eastAsia="ScalaLancetPro" w:hAnsi="Arial" w:cs="Arial"/>
        </w:rPr>
        <w:t>aliva and serum samples we</w:t>
      </w:r>
      <w:r w:rsidR="0098477F" w:rsidRPr="00C02A73">
        <w:rPr>
          <w:rFonts w:ascii="Arial" w:eastAsia="ScalaLancetPro" w:hAnsi="Arial" w:cs="Arial"/>
        </w:rPr>
        <w:t>re</w:t>
      </w:r>
      <w:r w:rsidR="000731DB" w:rsidRPr="00C02A73">
        <w:rPr>
          <w:rFonts w:ascii="Arial" w:eastAsia="ScalaLancetPro" w:hAnsi="Arial" w:cs="Arial"/>
        </w:rPr>
        <w:t xml:space="preserve"> analysed to compare local and system</w:t>
      </w:r>
      <w:r w:rsidR="009B4CBF" w:rsidRPr="00C02A73">
        <w:rPr>
          <w:rFonts w:ascii="Arial" w:eastAsia="ScalaLancetPro" w:hAnsi="Arial" w:cs="Arial"/>
        </w:rPr>
        <w:t>ic</w:t>
      </w:r>
      <w:r w:rsidR="000731DB" w:rsidRPr="00C02A73">
        <w:rPr>
          <w:rFonts w:ascii="Arial" w:eastAsia="ScalaLancetPro" w:hAnsi="Arial" w:cs="Arial"/>
        </w:rPr>
        <w:t xml:space="preserve"> protection. </w:t>
      </w:r>
    </w:p>
    <w:p w:rsidR="00E54729" w:rsidRPr="00C02A73" w:rsidRDefault="009C4AAC" w:rsidP="00E54729">
      <w:pPr>
        <w:rPr>
          <w:rFonts w:ascii="Arial" w:hAnsi="Arial" w:cs="Arial"/>
          <w:b/>
        </w:rPr>
      </w:pPr>
      <w:r w:rsidRPr="00C02A73">
        <w:rPr>
          <w:rFonts w:ascii="Arial" w:hAnsi="Arial" w:cs="Arial"/>
          <w:b/>
        </w:rPr>
        <w:t xml:space="preserve">Methods </w:t>
      </w:r>
    </w:p>
    <w:p w:rsidR="003C1D09" w:rsidRPr="00C02A73" w:rsidRDefault="003C1D09" w:rsidP="003C1D09">
      <w:pPr>
        <w:rPr>
          <w:rFonts w:ascii="Arial" w:hAnsi="Arial" w:cs="Arial"/>
          <w:i/>
        </w:rPr>
      </w:pPr>
      <w:r w:rsidRPr="00C02A73">
        <w:rPr>
          <w:rFonts w:ascii="Arial" w:hAnsi="Arial" w:cs="Arial"/>
          <w:i/>
        </w:rPr>
        <w:t xml:space="preserve">Participants </w:t>
      </w:r>
    </w:p>
    <w:p w:rsidR="002518C2" w:rsidRPr="00C02A73" w:rsidRDefault="003C1D09" w:rsidP="003C1D09">
      <w:pPr>
        <w:spacing w:line="480" w:lineRule="auto"/>
        <w:rPr>
          <w:rStyle w:val="BookTitle"/>
        </w:rPr>
      </w:pPr>
      <w:r w:rsidRPr="00C02A73">
        <w:rPr>
          <w:rFonts w:ascii="Arial" w:hAnsi="Arial" w:cs="Arial"/>
        </w:rPr>
        <w:t>Participants were 44 community dwelling older adults (21 females) aged 60</w:t>
      </w:r>
      <w:r w:rsidR="00A813B6" w:rsidRPr="00C02A73">
        <w:rPr>
          <w:rFonts w:ascii="Arial" w:hAnsi="Arial" w:cs="Arial"/>
        </w:rPr>
        <w:t>–</w:t>
      </w:r>
      <w:r w:rsidRPr="00C02A73">
        <w:rPr>
          <w:rFonts w:ascii="Arial" w:hAnsi="Arial" w:cs="Arial"/>
        </w:rPr>
        <w:t xml:space="preserve">80 years (mean = 66.8, SD = 4.8) and 28 (13 females) postgraduate students </w:t>
      </w:r>
      <w:r w:rsidR="00A813B6" w:rsidRPr="00C02A73">
        <w:rPr>
          <w:rFonts w:ascii="Arial" w:hAnsi="Arial" w:cs="Arial"/>
        </w:rPr>
        <w:t>aged 21–</w:t>
      </w:r>
      <w:r w:rsidRPr="00C02A73">
        <w:rPr>
          <w:rFonts w:ascii="Arial" w:hAnsi="Arial" w:cs="Arial"/>
        </w:rPr>
        <w:t>34 years old (mea</w:t>
      </w:r>
      <w:r w:rsidR="004949A4" w:rsidRPr="00C02A73">
        <w:rPr>
          <w:rFonts w:ascii="Arial" w:hAnsi="Arial" w:cs="Arial"/>
        </w:rPr>
        <w:t xml:space="preserve">n = 22.8, SD = 2.5).  Seven (17%) of </w:t>
      </w:r>
      <w:r w:rsidRPr="00C02A73">
        <w:rPr>
          <w:rFonts w:ascii="Arial" w:hAnsi="Arial" w:cs="Arial"/>
        </w:rPr>
        <w:t>older participants reported su</w:t>
      </w:r>
      <w:r w:rsidR="00283909" w:rsidRPr="00C02A73">
        <w:rPr>
          <w:rFonts w:ascii="Arial" w:hAnsi="Arial" w:cs="Arial"/>
        </w:rPr>
        <w:t xml:space="preserve">ffering from a chronic illness: </w:t>
      </w:r>
      <w:r w:rsidR="00283909" w:rsidRPr="00C02A73">
        <w:rPr>
          <w:rFonts w:ascii="Arial" w:hAnsi="Arial" w:cs="Arial"/>
        </w:rPr>
        <w:lastRenderedPageBreak/>
        <w:t xml:space="preserve">4 participants had hypertension (one of which also reported asthma), 1 had COPD, 1 had benign prostatic hypertrophy and 1 suffered from trigeminal neuralgia. </w:t>
      </w:r>
      <w:r w:rsidR="003D4234" w:rsidRPr="00C02A73">
        <w:rPr>
          <w:rFonts w:ascii="Arial" w:hAnsi="Arial" w:cs="Arial"/>
        </w:rPr>
        <w:t xml:space="preserve">Among older adults, </w:t>
      </w:r>
      <w:r w:rsidR="009255BC" w:rsidRPr="00C02A73">
        <w:rPr>
          <w:rFonts w:ascii="Arial" w:hAnsi="Arial" w:cs="Arial"/>
        </w:rPr>
        <w:t>30</w:t>
      </w:r>
      <w:r w:rsidR="00A813B6" w:rsidRPr="00C02A73">
        <w:rPr>
          <w:rFonts w:ascii="Arial" w:hAnsi="Arial" w:cs="Arial"/>
        </w:rPr>
        <w:t xml:space="preserve">% reported taking medication: </w:t>
      </w:r>
      <w:r w:rsidRPr="00C02A73">
        <w:rPr>
          <w:rFonts w:ascii="Arial" w:hAnsi="Arial" w:cs="Arial"/>
        </w:rPr>
        <w:t>anti-</w:t>
      </w:r>
      <w:proofErr w:type="spellStart"/>
      <w:r w:rsidRPr="00C02A73">
        <w:rPr>
          <w:rFonts w:ascii="Arial" w:hAnsi="Arial" w:cs="Arial"/>
        </w:rPr>
        <w:t>hypertensives</w:t>
      </w:r>
      <w:proofErr w:type="spellEnd"/>
      <w:r w:rsidRPr="00C02A73">
        <w:rPr>
          <w:rFonts w:ascii="Arial" w:hAnsi="Arial" w:cs="Arial"/>
        </w:rPr>
        <w:t>, non-corticosteroid inhalers, statins, and gast</w:t>
      </w:r>
      <w:r w:rsidR="009C5202" w:rsidRPr="00C02A73">
        <w:rPr>
          <w:rFonts w:ascii="Arial" w:hAnsi="Arial" w:cs="Arial"/>
        </w:rPr>
        <w:t>rointestinal medications. Y</w:t>
      </w:r>
      <w:r w:rsidRPr="00C02A73">
        <w:rPr>
          <w:rFonts w:ascii="Arial" w:hAnsi="Arial" w:cs="Arial"/>
        </w:rPr>
        <w:t xml:space="preserve">ounger adults </w:t>
      </w:r>
      <w:r w:rsidR="003E5026" w:rsidRPr="00C02A73">
        <w:rPr>
          <w:rFonts w:ascii="Arial" w:hAnsi="Arial" w:cs="Arial"/>
        </w:rPr>
        <w:t>had no</w:t>
      </w:r>
      <w:r w:rsidR="00C37851" w:rsidRPr="00C02A73">
        <w:rPr>
          <w:rFonts w:ascii="Arial" w:hAnsi="Arial" w:cs="Arial"/>
        </w:rPr>
        <w:t xml:space="preserve"> chronic illness/</w:t>
      </w:r>
      <w:r w:rsidR="002B405B" w:rsidRPr="00C02A73">
        <w:rPr>
          <w:rFonts w:ascii="Arial" w:hAnsi="Arial" w:cs="Arial"/>
        </w:rPr>
        <w:t>medication</w:t>
      </w:r>
      <w:r w:rsidR="003E5026" w:rsidRPr="00C02A73">
        <w:rPr>
          <w:rFonts w:ascii="Arial" w:hAnsi="Arial" w:cs="Arial"/>
        </w:rPr>
        <w:t xml:space="preserve"> usage</w:t>
      </w:r>
      <w:r w:rsidR="002B405B" w:rsidRPr="00C02A73">
        <w:rPr>
          <w:rFonts w:ascii="Arial" w:hAnsi="Arial" w:cs="Arial"/>
        </w:rPr>
        <w:t xml:space="preserve">. </w:t>
      </w:r>
      <w:r w:rsidRPr="00C02A73">
        <w:rPr>
          <w:rFonts w:ascii="Arial" w:hAnsi="Arial" w:cs="Arial"/>
        </w:rPr>
        <w:t>No participants were suffering from an</w:t>
      </w:r>
      <w:r w:rsidR="00C37851" w:rsidRPr="00C02A73">
        <w:rPr>
          <w:rFonts w:ascii="Arial" w:hAnsi="Arial" w:cs="Arial"/>
        </w:rPr>
        <w:t>y acute illness 2 weeks</w:t>
      </w:r>
      <w:r w:rsidRPr="00C02A73">
        <w:rPr>
          <w:rFonts w:ascii="Arial" w:hAnsi="Arial" w:cs="Arial"/>
        </w:rPr>
        <w:t xml:space="preserve"> prior to, or </w:t>
      </w:r>
      <w:r w:rsidR="003E5026" w:rsidRPr="00C02A73">
        <w:rPr>
          <w:rFonts w:ascii="Arial" w:hAnsi="Arial" w:cs="Arial"/>
        </w:rPr>
        <w:t>during the study</w:t>
      </w:r>
      <w:r w:rsidR="002518C2" w:rsidRPr="00C02A73">
        <w:rPr>
          <w:rFonts w:ascii="Arial" w:hAnsi="Arial" w:cs="Arial"/>
        </w:rPr>
        <w:t xml:space="preserve">. Key exclusion criteria included </w:t>
      </w:r>
      <w:r w:rsidR="0036579C" w:rsidRPr="00C02A73">
        <w:rPr>
          <w:rFonts w:ascii="Arial" w:hAnsi="Arial" w:cs="Arial"/>
        </w:rPr>
        <w:t>gum</w:t>
      </w:r>
      <w:r w:rsidR="002518C2" w:rsidRPr="00C02A73">
        <w:rPr>
          <w:rFonts w:ascii="Arial" w:hAnsi="Arial" w:cs="Arial"/>
        </w:rPr>
        <w:t xml:space="preserve"> disease</w:t>
      </w:r>
      <w:r w:rsidR="00D71E12" w:rsidRPr="00C02A73">
        <w:rPr>
          <w:rFonts w:ascii="Arial" w:hAnsi="Arial" w:cs="Arial"/>
        </w:rPr>
        <w:t xml:space="preserve">, or any </w:t>
      </w:r>
      <w:r w:rsidR="0036579C" w:rsidRPr="00C02A73">
        <w:rPr>
          <w:rFonts w:ascii="Arial" w:hAnsi="Arial" w:cs="Arial"/>
        </w:rPr>
        <w:t xml:space="preserve">teeth/oral </w:t>
      </w:r>
      <w:r w:rsidR="00A669D1" w:rsidRPr="00C02A73">
        <w:rPr>
          <w:rFonts w:ascii="Arial" w:hAnsi="Arial" w:cs="Arial"/>
        </w:rPr>
        <w:t xml:space="preserve">problems. </w:t>
      </w:r>
    </w:p>
    <w:p w:rsidR="003C1D09" w:rsidRPr="00C02A73" w:rsidRDefault="00647E39" w:rsidP="003C1D09">
      <w:pPr>
        <w:spacing w:line="480" w:lineRule="auto"/>
        <w:rPr>
          <w:rFonts w:ascii="Arial" w:hAnsi="Arial" w:cs="Arial"/>
          <w:i/>
        </w:rPr>
      </w:pPr>
      <w:r w:rsidRPr="00C02A73">
        <w:rPr>
          <w:rFonts w:ascii="Arial" w:hAnsi="Arial" w:cs="Arial"/>
          <w:i/>
        </w:rPr>
        <w:t xml:space="preserve">Serum and saliva collection </w:t>
      </w:r>
      <w:r w:rsidR="003C1D09" w:rsidRPr="00C02A73">
        <w:rPr>
          <w:rFonts w:ascii="Arial" w:hAnsi="Arial" w:cs="Arial"/>
          <w:i/>
        </w:rPr>
        <w:t xml:space="preserve"> </w:t>
      </w:r>
    </w:p>
    <w:p w:rsidR="00182C0F" w:rsidRPr="00C02A73" w:rsidRDefault="003C1D09" w:rsidP="003C1D09">
      <w:pPr>
        <w:spacing w:line="480" w:lineRule="auto"/>
        <w:rPr>
          <w:rFonts w:ascii="Arial" w:hAnsi="Arial" w:cs="Arial"/>
        </w:rPr>
      </w:pPr>
      <w:r w:rsidRPr="00C02A73">
        <w:rPr>
          <w:rFonts w:ascii="Arial" w:hAnsi="Arial" w:cs="Arial"/>
        </w:rPr>
        <w:t>Participants were asked to refrain from exercise and alcohol 24 h prior, and food and caffeine 12 h prior to arriv</w:t>
      </w:r>
      <w:r w:rsidR="0068382C" w:rsidRPr="00C02A73">
        <w:rPr>
          <w:rFonts w:ascii="Arial" w:hAnsi="Arial" w:cs="Arial"/>
        </w:rPr>
        <w:t>ing at the laboratory between 7–</w:t>
      </w:r>
      <w:r w:rsidRPr="00C02A73">
        <w:rPr>
          <w:rFonts w:ascii="Arial" w:hAnsi="Arial" w:cs="Arial"/>
        </w:rPr>
        <w:t>9am</w:t>
      </w:r>
      <w:r w:rsidR="00945914" w:rsidRPr="00C02A73">
        <w:rPr>
          <w:rFonts w:ascii="Arial" w:hAnsi="Arial" w:cs="Arial"/>
        </w:rPr>
        <w:t xml:space="preserve">. Their vaccination history was recorded. </w:t>
      </w:r>
      <w:r w:rsidRPr="00C02A73">
        <w:rPr>
          <w:rFonts w:ascii="Arial" w:hAnsi="Arial" w:cs="Arial"/>
        </w:rPr>
        <w:t xml:space="preserve">A 6ml venous blood sample </w:t>
      </w:r>
      <w:r w:rsidR="00182C0F" w:rsidRPr="00C02A73">
        <w:rPr>
          <w:rFonts w:ascii="Arial" w:hAnsi="Arial" w:cs="Arial"/>
        </w:rPr>
        <w:t xml:space="preserve">and an unstimulated whole-saliva sample were collected (further details are described </w:t>
      </w:r>
      <w:r w:rsidR="00696D2D" w:rsidRPr="00C02A73">
        <w:rPr>
          <w:rFonts w:ascii="Arial" w:hAnsi="Arial" w:cs="Arial"/>
        </w:rPr>
        <w:t>in Supplementary M</w:t>
      </w:r>
      <w:r w:rsidR="00FE0FDB" w:rsidRPr="00C02A73">
        <w:rPr>
          <w:rFonts w:ascii="Arial" w:hAnsi="Arial" w:cs="Arial"/>
        </w:rPr>
        <w:t xml:space="preserve">ethods). </w:t>
      </w:r>
    </w:p>
    <w:p w:rsidR="0032169D" w:rsidRPr="00C02A73" w:rsidRDefault="007E332D" w:rsidP="0032169D">
      <w:pPr>
        <w:spacing w:line="480" w:lineRule="auto"/>
        <w:rPr>
          <w:rFonts w:ascii="Arial" w:hAnsi="Arial" w:cs="Arial"/>
          <w:i/>
        </w:rPr>
      </w:pPr>
      <w:r w:rsidRPr="00C02A73">
        <w:rPr>
          <w:rFonts w:ascii="Arial" w:hAnsi="Arial" w:cs="Arial"/>
          <w:i/>
        </w:rPr>
        <w:t>F</w:t>
      </w:r>
      <w:r w:rsidR="0032169D" w:rsidRPr="00C02A73">
        <w:rPr>
          <w:rFonts w:ascii="Arial" w:hAnsi="Arial" w:cs="Arial"/>
          <w:i/>
        </w:rPr>
        <w:t xml:space="preserve">unctional antibody measurements </w:t>
      </w:r>
    </w:p>
    <w:p w:rsidR="0032169D" w:rsidRPr="00C02A73" w:rsidRDefault="0032169D" w:rsidP="0032169D">
      <w:pPr>
        <w:spacing w:line="480" w:lineRule="auto"/>
        <w:rPr>
          <w:rFonts w:ascii="Arial" w:hAnsi="Arial" w:cs="Arial"/>
        </w:rPr>
      </w:pPr>
      <w:r w:rsidRPr="00C02A73">
        <w:rPr>
          <w:rFonts w:ascii="Arial" w:hAnsi="Arial" w:cs="Arial"/>
        </w:rPr>
        <w:t>Saliva and serum w</w:t>
      </w:r>
      <w:r w:rsidR="00631DC3" w:rsidRPr="00C02A73">
        <w:rPr>
          <w:rFonts w:ascii="Arial" w:hAnsi="Arial" w:cs="Arial"/>
        </w:rPr>
        <w:t>ere</w:t>
      </w:r>
      <w:r w:rsidRPr="00C02A73">
        <w:rPr>
          <w:rFonts w:ascii="Arial" w:hAnsi="Arial" w:cs="Arial"/>
        </w:rPr>
        <w:t xml:space="preserve"> analysed</w:t>
      </w:r>
      <w:r w:rsidR="00BC2ED4" w:rsidRPr="00C02A73">
        <w:rPr>
          <w:rFonts w:ascii="Arial" w:hAnsi="Arial" w:cs="Arial"/>
        </w:rPr>
        <w:t xml:space="preserve"> using a multi-</w:t>
      </w:r>
      <w:proofErr w:type="spellStart"/>
      <w:r w:rsidR="00BC2ED4" w:rsidRPr="00C02A73">
        <w:rPr>
          <w:rFonts w:ascii="Arial" w:hAnsi="Arial" w:cs="Arial"/>
        </w:rPr>
        <w:t>plexed</w:t>
      </w:r>
      <w:proofErr w:type="spellEnd"/>
      <w:r w:rsidR="00BC2ED4" w:rsidRPr="00C02A73">
        <w:rPr>
          <w:rFonts w:ascii="Arial" w:hAnsi="Arial" w:cs="Arial"/>
        </w:rPr>
        <w:t xml:space="preserve"> bead</w:t>
      </w:r>
      <w:r w:rsidRPr="00C02A73">
        <w:rPr>
          <w:rFonts w:ascii="Arial" w:hAnsi="Arial" w:cs="Arial"/>
        </w:rPr>
        <w:t xml:space="preserve"> assay </w:t>
      </w:r>
      <w:r w:rsidR="0090094B" w:rsidRPr="00C02A73">
        <w:rPr>
          <w:rFonts w:ascii="Arial" w:hAnsi="Arial" w:cs="Arial"/>
        </w:rPr>
        <w:t>(Luminex-200, Bio-</w:t>
      </w:r>
      <w:proofErr w:type="spellStart"/>
      <w:r w:rsidR="0090094B" w:rsidRPr="00C02A73">
        <w:rPr>
          <w:rFonts w:ascii="Arial" w:hAnsi="Arial" w:cs="Arial"/>
        </w:rPr>
        <w:t>plex</w:t>
      </w:r>
      <w:proofErr w:type="spellEnd"/>
      <w:r w:rsidR="0090094B" w:rsidRPr="00C02A73">
        <w:rPr>
          <w:rFonts w:ascii="Arial" w:hAnsi="Arial" w:cs="Arial"/>
        </w:rPr>
        <w:t xml:space="preserve"> systems, </w:t>
      </w:r>
      <w:proofErr w:type="spellStart"/>
      <w:r w:rsidR="0090094B" w:rsidRPr="00C02A73">
        <w:rPr>
          <w:rFonts w:ascii="Arial" w:hAnsi="Arial" w:cs="Arial"/>
        </w:rPr>
        <w:t>BioRad</w:t>
      </w:r>
      <w:proofErr w:type="spellEnd"/>
      <w:r w:rsidR="0090094B" w:rsidRPr="00C02A73">
        <w:rPr>
          <w:rFonts w:ascii="Arial" w:hAnsi="Arial" w:cs="Arial"/>
        </w:rPr>
        <w:t xml:space="preserve"> Laboratories, California, USA) </w:t>
      </w:r>
      <w:r w:rsidRPr="00C02A73">
        <w:rPr>
          <w:rFonts w:ascii="Arial" w:hAnsi="Arial" w:cs="Arial"/>
        </w:rPr>
        <w:t>that simultaneously measured antibody titres agai</w:t>
      </w:r>
      <w:r w:rsidR="009C5202" w:rsidRPr="00C02A73">
        <w:rPr>
          <w:rFonts w:ascii="Arial" w:hAnsi="Arial" w:cs="Arial"/>
        </w:rPr>
        <w:t>nst:</w:t>
      </w:r>
      <w:r w:rsidRPr="00C02A73">
        <w:rPr>
          <w:rFonts w:ascii="Arial" w:hAnsi="Arial" w:cs="Arial"/>
        </w:rPr>
        <w:t xml:space="preserve"> 12 pneumococcal </w:t>
      </w:r>
      <w:r w:rsidR="00BC2ED4" w:rsidRPr="00C02A73">
        <w:rPr>
          <w:rFonts w:ascii="Arial" w:hAnsi="Arial" w:cs="Arial"/>
        </w:rPr>
        <w:t>(</w:t>
      </w:r>
      <w:proofErr w:type="spellStart"/>
      <w:r w:rsidR="00BC2ED4" w:rsidRPr="00C02A73">
        <w:rPr>
          <w:rFonts w:ascii="Arial" w:hAnsi="Arial" w:cs="Arial"/>
        </w:rPr>
        <w:t>Pn</w:t>
      </w:r>
      <w:proofErr w:type="spellEnd"/>
      <w:r w:rsidR="00BC2ED4" w:rsidRPr="00C02A73">
        <w:rPr>
          <w:rFonts w:ascii="Arial" w:hAnsi="Arial" w:cs="Arial"/>
        </w:rPr>
        <w:t>)</w:t>
      </w:r>
      <w:r w:rsidRPr="00C02A73">
        <w:rPr>
          <w:rFonts w:ascii="Arial" w:hAnsi="Arial" w:cs="Arial"/>
        </w:rPr>
        <w:t xml:space="preserve"> (serotypes 1, 3, 4, 5, 6B, 7F, 9V, 14, 18C, 19A, 19F, 23F), 4 meningococcal (MEN) (seroty</w:t>
      </w:r>
      <w:r w:rsidR="00ED5017" w:rsidRPr="00C02A73">
        <w:rPr>
          <w:rFonts w:ascii="Arial" w:hAnsi="Arial" w:cs="Arial"/>
        </w:rPr>
        <w:t xml:space="preserve">pes A, C, W-135 and Y), tetanus </w:t>
      </w:r>
      <w:r w:rsidRPr="00C02A73">
        <w:rPr>
          <w:rFonts w:ascii="Arial" w:hAnsi="Arial" w:cs="Arial"/>
        </w:rPr>
        <w:t>(TET), diphtheria (DIP) a</w:t>
      </w:r>
      <w:r w:rsidR="009C5202" w:rsidRPr="00C02A73">
        <w:rPr>
          <w:rFonts w:ascii="Arial" w:hAnsi="Arial" w:cs="Arial"/>
        </w:rPr>
        <w:t xml:space="preserve">nd haemophilus (HIB) antigens. </w:t>
      </w:r>
      <w:r w:rsidR="002F464E" w:rsidRPr="00C02A73">
        <w:rPr>
          <w:rFonts w:ascii="Arial" w:hAnsi="Arial" w:cs="Arial"/>
        </w:rPr>
        <w:t>Assay reproducibilit</w:t>
      </w:r>
      <w:r w:rsidR="00276E60" w:rsidRPr="00C02A73">
        <w:rPr>
          <w:rFonts w:ascii="Arial" w:hAnsi="Arial" w:cs="Arial"/>
        </w:rPr>
        <w:t>y</w:t>
      </w:r>
      <w:r w:rsidR="0005237F" w:rsidRPr="00C02A73">
        <w:rPr>
          <w:rFonts w:ascii="Arial" w:hAnsi="Arial" w:cs="Arial"/>
        </w:rPr>
        <w:t>, linearity an</w:t>
      </w:r>
      <w:r w:rsidR="00696D2D" w:rsidRPr="00C02A73">
        <w:rPr>
          <w:rFonts w:ascii="Arial" w:hAnsi="Arial" w:cs="Arial"/>
        </w:rPr>
        <w:t>d specificity are described in Supplementary M</w:t>
      </w:r>
      <w:r w:rsidR="0005237F" w:rsidRPr="00C02A73">
        <w:rPr>
          <w:rFonts w:ascii="Arial" w:hAnsi="Arial" w:cs="Arial"/>
        </w:rPr>
        <w:t>ethods</w:t>
      </w:r>
      <w:r w:rsidR="005B2F1C" w:rsidRPr="00C02A73">
        <w:rPr>
          <w:rFonts w:ascii="Arial" w:hAnsi="Arial" w:cs="Arial"/>
        </w:rPr>
        <w:t xml:space="preserve">. </w:t>
      </w:r>
      <w:r w:rsidRPr="00C02A73">
        <w:rPr>
          <w:rFonts w:ascii="Arial" w:hAnsi="Arial" w:cs="Arial"/>
        </w:rPr>
        <w:t>Serum and saliva s</w:t>
      </w:r>
      <w:r w:rsidR="0090094B" w:rsidRPr="00C02A73">
        <w:rPr>
          <w:rFonts w:ascii="Arial" w:hAnsi="Arial" w:cs="Arial"/>
        </w:rPr>
        <w:t>amples were assayed x 3</w:t>
      </w:r>
      <w:r w:rsidRPr="00C02A73">
        <w:rPr>
          <w:rFonts w:ascii="Arial" w:hAnsi="Arial" w:cs="Arial"/>
        </w:rPr>
        <w:t xml:space="preserve"> to measure antibodies specific to IgG, IgM and IgA.  </w:t>
      </w:r>
      <w:r w:rsidR="00CE40ED" w:rsidRPr="00C02A73">
        <w:rPr>
          <w:rFonts w:ascii="Arial" w:hAnsi="Arial" w:cs="Arial"/>
        </w:rPr>
        <w:t>Concentrations for IgM and Ig</w:t>
      </w:r>
      <w:r w:rsidR="00C04C13" w:rsidRPr="00C02A73">
        <w:rPr>
          <w:rFonts w:ascii="Arial" w:hAnsi="Arial" w:cs="Arial"/>
        </w:rPr>
        <w:t>A</w:t>
      </w:r>
      <w:r w:rsidR="00D34291" w:rsidRPr="00C02A73">
        <w:rPr>
          <w:rFonts w:ascii="Arial" w:hAnsi="Arial" w:cs="Arial"/>
        </w:rPr>
        <w:t xml:space="preserve"> specific antibodies for meningococcal serotypes, TET, DIP and HIB were not obtained, as values for these antigens for the reference sera (89SF) used in the 19</w:t>
      </w:r>
      <w:r w:rsidR="00885E89" w:rsidRPr="00C02A73">
        <w:rPr>
          <w:rFonts w:ascii="Arial" w:hAnsi="Arial" w:cs="Arial"/>
        </w:rPr>
        <w:t>-</w:t>
      </w:r>
      <w:r w:rsidR="00D34291" w:rsidRPr="00C02A73">
        <w:rPr>
          <w:rFonts w:ascii="Arial" w:hAnsi="Arial" w:cs="Arial"/>
        </w:rPr>
        <w:t>pl</w:t>
      </w:r>
      <w:r w:rsidR="006B6296" w:rsidRPr="00C02A73">
        <w:rPr>
          <w:rFonts w:ascii="Arial" w:hAnsi="Arial" w:cs="Arial"/>
        </w:rPr>
        <w:t xml:space="preserve">ex assay are not currently available </w:t>
      </w:r>
      <w:r w:rsidR="003964D0" w:rsidRPr="00C02A73">
        <w:rPr>
          <w:rFonts w:ascii="Arial" w:hAnsi="Arial" w:cs="Arial"/>
        </w:rPr>
        <w:fldChar w:fldCharType="begin"/>
      </w:r>
      <w:r w:rsidR="00A61E0A" w:rsidRPr="00C02A73">
        <w:rPr>
          <w:rFonts w:ascii="Arial" w:hAnsi="Arial" w:cs="Arial"/>
        </w:rPr>
        <w:instrText xml:space="preserve"> ADDIN EN.CITE &lt;EndNote&gt;&lt;Cite&gt;&lt;Author&gt;Whitelegg&lt;/Author&gt;&lt;Year&gt;2012&lt;/Year&gt;&lt;RecNum&gt;44&lt;/RecNum&gt;&lt;DisplayText&gt;(19)&lt;/DisplayText&gt;&lt;record&gt;&lt;rec-number&gt;44&lt;/rec-number&gt;&lt;foreign-keys&gt;&lt;key app="EN" db-id="ttt5azpahefvd1ex0aqxft54dvw5w5dzate2"&gt;44&lt;/key&gt;&lt;/foreign-keys&gt;&lt;ref-type name="Journal Article"&gt;17&lt;/ref-type&gt;&lt;contributors&gt;&lt;authors&gt;&lt;author&gt;Whitelegg, A. M.&lt;/author&gt;&lt;author&gt;Birtwistle, J.&lt;/author&gt;&lt;author&gt;Richter, A.&lt;/author&gt;&lt;author&gt;Campbell, J. P.&lt;/author&gt;&lt;author&gt;Turner, J. E.&lt;/author&gt;&lt;author&gt;Ahmed, T. M.&lt;/author&gt;&lt;author&gt;Giles, L. J.&lt;/author&gt;&lt;author&gt;Fellows, M.&lt;/author&gt;&lt;author&gt;Plant, T.&lt;/author&gt;&lt;author&gt;Ferraro, A. J.&lt;/author&gt;&lt;author&gt;Cobbold, M.&lt;/author&gt;&lt;author&gt;Drayson, M. T.&lt;/author&gt;&lt;author&gt;MacLennan, C. A.&lt;/author&gt;&lt;/authors&gt;&lt;/contributors&gt;&lt;titles&gt;&lt;title&gt;Measurement of antibodies to pneumococcal, meningococcal and haemophilus polysaccharides, and tetanus and diphtheria toxoids using a 19-plexed assay&lt;/title&gt;&lt;secondary-title&gt;J Immunol Methods&lt;/secondary-title&gt;&lt;/titles&gt;&lt;periodical&gt;&lt;full-title&gt;J Immunol Methods&lt;/full-title&gt;&lt;/periodical&gt;&lt;pages&gt;37-46&lt;/pages&gt;&lt;volume&gt;377&lt;/volume&gt;&lt;number&gt;1-2&lt;/number&gt;&lt;dates&gt;&lt;year&gt;2012&lt;/year&gt;&lt;/dates&gt;&lt;isbn&gt;1872-7905 (Electronic)&amp;#xD;0022-1759 (Linking)&lt;/isbn&gt;&lt;work-type&gt;Research Support, Non-U S Gov&amp;apos;t&lt;/work-type&gt;&lt;urls&gt;&lt;/urls&gt;&lt;/record&gt;&lt;/Cite&gt;&lt;/EndNote&gt;</w:instrText>
      </w:r>
      <w:r w:rsidR="003964D0" w:rsidRPr="00C02A73">
        <w:rPr>
          <w:rFonts w:ascii="Arial" w:hAnsi="Arial" w:cs="Arial"/>
        </w:rPr>
        <w:fldChar w:fldCharType="separate"/>
      </w:r>
      <w:r w:rsidR="00A61E0A" w:rsidRPr="00C02A73">
        <w:rPr>
          <w:rFonts w:ascii="Arial" w:hAnsi="Arial" w:cs="Arial"/>
          <w:noProof/>
        </w:rPr>
        <w:t>(</w:t>
      </w:r>
      <w:hyperlink w:anchor="_ENREF_19" w:tooltip="Whitelegg, 2012 #44" w:history="1">
        <w:r w:rsidR="00EA05AB" w:rsidRPr="00C02A73">
          <w:rPr>
            <w:rFonts w:ascii="Arial" w:hAnsi="Arial" w:cs="Arial"/>
            <w:noProof/>
          </w:rPr>
          <w:t>19</w:t>
        </w:r>
      </w:hyperlink>
      <w:r w:rsidR="00A61E0A" w:rsidRPr="00C02A73">
        <w:rPr>
          <w:rFonts w:ascii="Arial" w:hAnsi="Arial" w:cs="Arial"/>
          <w:noProof/>
        </w:rPr>
        <w:t>)</w:t>
      </w:r>
      <w:r w:rsidR="003964D0" w:rsidRPr="00C02A73">
        <w:rPr>
          <w:rFonts w:ascii="Arial" w:hAnsi="Arial" w:cs="Arial"/>
        </w:rPr>
        <w:fldChar w:fldCharType="end"/>
      </w:r>
      <w:r w:rsidR="007C35BF" w:rsidRPr="00C02A73">
        <w:rPr>
          <w:rFonts w:ascii="Arial" w:hAnsi="Arial" w:cs="Arial"/>
        </w:rPr>
        <w:t>.</w:t>
      </w:r>
      <w:r w:rsidR="00D34291" w:rsidRPr="00C02A73">
        <w:rPr>
          <w:rFonts w:ascii="Arial" w:hAnsi="Arial" w:cs="Arial"/>
          <w:color w:val="FF0000"/>
        </w:rPr>
        <w:t xml:space="preserve"> </w:t>
      </w:r>
    </w:p>
    <w:p w:rsidR="003C1D09" w:rsidRPr="00C02A73" w:rsidRDefault="003C1D09" w:rsidP="003C1D09">
      <w:pPr>
        <w:spacing w:line="480" w:lineRule="auto"/>
        <w:rPr>
          <w:rFonts w:ascii="Arial" w:hAnsi="Arial" w:cs="Arial"/>
          <w:i/>
        </w:rPr>
      </w:pPr>
      <w:r w:rsidRPr="00C02A73">
        <w:rPr>
          <w:rFonts w:ascii="Arial" w:hAnsi="Arial" w:cs="Arial"/>
          <w:i/>
        </w:rPr>
        <w:t xml:space="preserve">Data Analysis </w:t>
      </w:r>
    </w:p>
    <w:p w:rsidR="009604CC" w:rsidRPr="00C02A73" w:rsidRDefault="007C5DFC" w:rsidP="009604CC">
      <w:pPr>
        <w:spacing w:line="480" w:lineRule="auto"/>
        <w:rPr>
          <w:rFonts w:ascii="Arial" w:hAnsi="Arial" w:cs="Arial"/>
        </w:rPr>
      </w:pPr>
      <w:r w:rsidRPr="00C02A73">
        <w:rPr>
          <w:rFonts w:ascii="Arial" w:hAnsi="Arial" w:cs="Arial"/>
        </w:rPr>
        <w:t>For saliva</w:t>
      </w:r>
      <w:r w:rsidR="00302181" w:rsidRPr="00C02A73">
        <w:rPr>
          <w:rFonts w:ascii="Arial" w:hAnsi="Arial" w:cs="Arial"/>
        </w:rPr>
        <w:t>,</w:t>
      </w:r>
      <w:r w:rsidR="00A65438" w:rsidRPr="00C02A73">
        <w:rPr>
          <w:rFonts w:ascii="Arial" w:hAnsi="Arial" w:cs="Arial"/>
        </w:rPr>
        <w:t xml:space="preserve"> </w:t>
      </w:r>
      <w:r w:rsidR="00CC3152" w:rsidRPr="00C02A73">
        <w:rPr>
          <w:rFonts w:ascii="Arial" w:hAnsi="Arial" w:cs="Arial"/>
        </w:rPr>
        <w:t xml:space="preserve">age differences in </w:t>
      </w:r>
      <w:r w:rsidR="00567E6D" w:rsidRPr="00C02A73">
        <w:rPr>
          <w:rFonts w:ascii="Arial" w:hAnsi="Arial" w:cs="Arial"/>
        </w:rPr>
        <w:t>antibody</w:t>
      </w:r>
      <w:r w:rsidR="00041D9E" w:rsidRPr="00C02A73">
        <w:rPr>
          <w:rFonts w:ascii="Arial" w:hAnsi="Arial" w:cs="Arial"/>
        </w:rPr>
        <w:t xml:space="preserve"> concentration</w:t>
      </w:r>
      <w:r w:rsidR="00D34291" w:rsidRPr="00C02A73">
        <w:rPr>
          <w:rFonts w:ascii="Arial" w:hAnsi="Arial" w:cs="Arial"/>
        </w:rPr>
        <w:t>s</w:t>
      </w:r>
      <w:r w:rsidR="00041D9E" w:rsidRPr="00C02A73">
        <w:rPr>
          <w:rFonts w:ascii="Arial" w:hAnsi="Arial" w:cs="Arial"/>
        </w:rPr>
        <w:t>, salivary flow ra</w:t>
      </w:r>
      <w:r w:rsidR="00D34291" w:rsidRPr="00C02A73">
        <w:rPr>
          <w:rFonts w:ascii="Arial" w:hAnsi="Arial" w:cs="Arial"/>
        </w:rPr>
        <w:t>te and antibody secretion rate</w:t>
      </w:r>
      <w:r w:rsidR="00A65438" w:rsidRPr="00C02A73">
        <w:rPr>
          <w:rFonts w:ascii="Arial" w:hAnsi="Arial" w:cs="Arial"/>
        </w:rPr>
        <w:t xml:space="preserve"> were analysed</w:t>
      </w:r>
      <w:r w:rsidR="00D34291" w:rsidRPr="00C02A73">
        <w:rPr>
          <w:rFonts w:ascii="Arial" w:hAnsi="Arial" w:cs="Arial"/>
        </w:rPr>
        <w:t xml:space="preserve">. </w:t>
      </w:r>
      <w:r w:rsidR="002C1ED3" w:rsidRPr="00C02A73">
        <w:rPr>
          <w:rFonts w:ascii="Arial" w:hAnsi="Arial" w:cs="Arial"/>
        </w:rPr>
        <w:t xml:space="preserve">Salivary flow rate </w:t>
      </w:r>
      <w:r w:rsidR="007B4ADA" w:rsidRPr="00C02A73">
        <w:rPr>
          <w:rFonts w:ascii="Arial" w:hAnsi="Arial" w:cs="Arial"/>
        </w:rPr>
        <w:t xml:space="preserve">(mL/min) </w:t>
      </w:r>
      <w:r w:rsidR="002C1ED3" w:rsidRPr="00C02A73">
        <w:rPr>
          <w:rFonts w:ascii="Arial" w:hAnsi="Arial" w:cs="Arial"/>
        </w:rPr>
        <w:t xml:space="preserve">was calculated </w:t>
      </w:r>
      <w:r w:rsidR="00885E89" w:rsidRPr="00C02A73">
        <w:rPr>
          <w:rFonts w:ascii="Arial" w:hAnsi="Arial" w:cs="Arial"/>
        </w:rPr>
        <w:t>as</w:t>
      </w:r>
      <w:r w:rsidR="00A65438" w:rsidRPr="00C02A73">
        <w:rPr>
          <w:rFonts w:ascii="Arial" w:hAnsi="Arial" w:cs="Arial"/>
        </w:rPr>
        <w:t xml:space="preserve"> volume of </w:t>
      </w:r>
      <w:r w:rsidR="00A65438" w:rsidRPr="00C02A73">
        <w:rPr>
          <w:rFonts w:ascii="Arial" w:hAnsi="Arial" w:cs="Arial"/>
        </w:rPr>
        <w:lastRenderedPageBreak/>
        <w:t>saliva/collection time</w:t>
      </w:r>
      <w:r w:rsidR="002C1ED3" w:rsidRPr="00C02A73">
        <w:rPr>
          <w:rFonts w:ascii="Arial" w:hAnsi="Arial" w:cs="Arial"/>
        </w:rPr>
        <w:t xml:space="preserve">. </w:t>
      </w:r>
      <w:r w:rsidR="0090094B" w:rsidRPr="00C02A73">
        <w:rPr>
          <w:rFonts w:ascii="Arial" w:hAnsi="Arial" w:cs="Arial"/>
        </w:rPr>
        <w:t>S</w:t>
      </w:r>
      <w:r w:rsidR="00D87A5B" w:rsidRPr="00C02A73">
        <w:rPr>
          <w:rFonts w:ascii="Arial" w:hAnsi="Arial" w:cs="Arial"/>
        </w:rPr>
        <w:t>aliva secretion rates are reported to reflect the total availability of</w:t>
      </w:r>
      <w:r w:rsidR="00F9367E" w:rsidRPr="00C02A73">
        <w:rPr>
          <w:rFonts w:ascii="Arial" w:hAnsi="Arial" w:cs="Arial"/>
        </w:rPr>
        <w:t xml:space="preserve"> immu</w:t>
      </w:r>
      <w:r w:rsidR="007C35BF" w:rsidRPr="00C02A73">
        <w:rPr>
          <w:rFonts w:ascii="Arial" w:hAnsi="Arial" w:cs="Arial"/>
        </w:rPr>
        <w:t>noglobulin at the oral surface</w:t>
      </w:r>
      <w:r w:rsidR="00F6236A" w:rsidRPr="00C02A73">
        <w:rPr>
          <w:rFonts w:ascii="Arial" w:hAnsi="Arial" w:cs="Arial"/>
        </w:rPr>
        <w:t xml:space="preserve"> and control for hydration status</w:t>
      </w:r>
      <w:r w:rsidR="007C35BF" w:rsidRPr="00C02A73">
        <w:rPr>
          <w:rFonts w:ascii="Arial" w:hAnsi="Arial" w:cs="Arial"/>
        </w:rPr>
        <w:t xml:space="preserve"> </w:t>
      </w:r>
      <w:r w:rsidR="003964D0" w:rsidRPr="00C02A73">
        <w:rPr>
          <w:rFonts w:ascii="Arial" w:hAnsi="Arial" w:cs="Arial"/>
        </w:rPr>
        <w:fldChar w:fldCharType="begin"/>
      </w:r>
      <w:r w:rsidR="00A61E0A" w:rsidRPr="00C02A73">
        <w:rPr>
          <w:rFonts w:ascii="Arial" w:hAnsi="Arial" w:cs="Arial"/>
        </w:rPr>
        <w:instrText xml:space="preserve"> ADDIN EN.CITE &lt;EndNote&gt;&lt;Cite&gt;&lt;Author&gt;Oliver&lt;/Author&gt;&lt;Year&gt;2007&lt;/Year&gt;&lt;RecNum&gt;32&lt;/RecNum&gt;&lt;DisplayText&gt;(20)&lt;/DisplayText&gt;&lt;record&gt;&lt;rec-number&gt;32&lt;/rec-number&gt;&lt;foreign-keys&gt;&lt;key app="EN" db-id="ttt5azpahefvd1ex0aqxft54dvw5w5dzate2"&gt;32&lt;/key&gt;&lt;/foreign-keys&gt;&lt;ref-type name="Journal Article"&gt;17&lt;/ref-type&gt;&lt;contributors&gt;&lt;authors&gt;&lt;author&gt;Oliver, S. J.&lt;/author&gt;&lt;author&gt;Laing, S. J.&lt;/author&gt;&lt;author&gt;Wilson, S.&lt;/author&gt;&lt;author&gt;Bilzon, J. L.&lt;/author&gt;&lt;author&gt;Walters, R.&lt;/author&gt;&lt;author&gt;Walsh, N. P.&lt;/author&gt;&lt;/authors&gt;&lt;/contributors&gt;&lt;titles&gt;&lt;title&gt;Salivary immunoglobulin A response at rest and after exercise following a 48 h period of fluid and/or energy restriction&lt;/title&gt;&lt;secondary-title&gt;Br J Nutr&lt;/secondary-title&gt;&lt;/titles&gt;&lt;periodical&gt;&lt;full-title&gt;Br J Nutr&lt;/full-title&gt;&lt;/periodical&gt;&lt;pages&gt;1109-16&lt;/pages&gt;&lt;volume&gt;97&lt;/volume&gt;&lt;number&gt;6&lt;/number&gt;&lt;dates&gt;&lt;year&gt;2007&lt;/year&gt;&lt;/dates&gt;&lt;isbn&gt;0007-1145 (Print)&amp;#xD;0007-1145 (Linking)&lt;/isbn&gt;&lt;work-type&gt;Randomized Controlled Trial&amp;#xD;Research Support, Non-U S Gov&amp;apos;t&lt;/work-type&gt;&lt;urls&gt;&lt;/urls&gt;&lt;/record&gt;&lt;/Cite&gt;&lt;/EndNote&gt;</w:instrText>
      </w:r>
      <w:r w:rsidR="003964D0" w:rsidRPr="00C02A73">
        <w:rPr>
          <w:rFonts w:ascii="Arial" w:hAnsi="Arial" w:cs="Arial"/>
        </w:rPr>
        <w:fldChar w:fldCharType="separate"/>
      </w:r>
      <w:r w:rsidR="00A61E0A" w:rsidRPr="00C02A73">
        <w:rPr>
          <w:rFonts w:ascii="Arial" w:hAnsi="Arial" w:cs="Arial"/>
          <w:noProof/>
        </w:rPr>
        <w:t>(</w:t>
      </w:r>
      <w:hyperlink w:anchor="_ENREF_20" w:tooltip="Oliver, 2007 #32" w:history="1">
        <w:r w:rsidR="00EA05AB" w:rsidRPr="00C02A73">
          <w:rPr>
            <w:rFonts w:ascii="Arial" w:hAnsi="Arial" w:cs="Arial"/>
            <w:noProof/>
          </w:rPr>
          <w:t>20</w:t>
        </w:r>
      </w:hyperlink>
      <w:r w:rsidR="00A61E0A" w:rsidRPr="00C02A73">
        <w:rPr>
          <w:rFonts w:ascii="Arial" w:hAnsi="Arial" w:cs="Arial"/>
          <w:noProof/>
        </w:rPr>
        <w:t>)</w:t>
      </w:r>
      <w:r w:rsidR="003964D0" w:rsidRPr="00C02A73">
        <w:rPr>
          <w:rFonts w:ascii="Arial" w:hAnsi="Arial" w:cs="Arial"/>
        </w:rPr>
        <w:fldChar w:fldCharType="end"/>
      </w:r>
      <w:r w:rsidR="007C35BF" w:rsidRPr="00C02A73">
        <w:rPr>
          <w:rFonts w:ascii="Arial" w:hAnsi="Arial" w:cs="Arial"/>
        </w:rPr>
        <w:t>.</w:t>
      </w:r>
      <w:r w:rsidR="00F9367E" w:rsidRPr="00C02A73">
        <w:rPr>
          <w:rFonts w:ascii="Arial" w:hAnsi="Arial" w:cs="Arial"/>
        </w:rPr>
        <w:t xml:space="preserve"> </w:t>
      </w:r>
      <w:r w:rsidR="007827B8" w:rsidRPr="00C02A73">
        <w:rPr>
          <w:rFonts w:ascii="Arial" w:hAnsi="Arial" w:cs="Arial"/>
        </w:rPr>
        <w:t>S</w:t>
      </w:r>
      <w:r w:rsidR="002C1ED3" w:rsidRPr="00C02A73">
        <w:rPr>
          <w:rFonts w:ascii="Arial" w:hAnsi="Arial" w:cs="Arial"/>
        </w:rPr>
        <w:t>ecretion rate</w:t>
      </w:r>
      <w:r w:rsidR="0005548B" w:rsidRPr="00C02A73">
        <w:rPr>
          <w:rFonts w:ascii="Arial" w:hAnsi="Arial" w:cs="Arial"/>
        </w:rPr>
        <w:t>s</w:t>
      </w:r>
      <w:r w:rsidR="002C1ED3" w:rsidRPr="00C02A73">
        <w:rPr>
          <w:rFonts w:ascii="Arial" w:hAnsi="Arial" w:cs="Arial"/>
        </w:rPr>
        <w:t xml:space="preserve"> </w:t>
      </w:r>
      <w:r w:rsidR="000711CC" w:rsidRPr="00C02A73">
        <w:rPr>
          <w:rFonts w:ascii="Arial" w:hAnsi="Arial" w:cs="Arial"/>
        </w:rPr>
        <w:t xml:space="preserve">(ng/min) </w:t>
      </w:r>
      <w:r w:rsidR="0005548B" w:rsidRPr="00C02A73">
        <w:rPr>
          <w:rFonts w:ascii="Arial" w:hAnsi="Arial" w:cs="Arial"/>
        </w:rPr>
        <w:t>were</w:t>
      </w:r>
      <w:r w:rsidR="002C1ED3" w:rsidRPr="00C02A73">
        <w:rPr>
          <w:rFonts w:ascii="Arial" w:hAnsi="Arial" w:cs="Arial"/>
        </w:rPr>
        <w:t xml:space="preserve"> calculated </w:t>
      </w:r>
      <w:r w:rsidR="00885E89" w:rsidRPr="00C02A73">
        <w:rPr>
          <w:rFonts w:ascii="Arial" w:hAnsi="Arial" w:cs="Arial"/>
        </w:rPr>
        <w:t>as</w:t>
      </w:r>
      <w:r w:rsidR="002C1ED3" w:rsidRPr="00C02A73">
        <w:rPr>
          <w:rFonts w:ascii="Arial" w:hAnsi="Arial" w:cs="Arial"/>
        </w:rPr>
        <w:t xml:space="preserve"> saliva flow</w:t>
      </w:r>
      <w:r w:rsidR="000711CC" w:rsidRPr="00C02A73">
        <w:rPr>
          <w:rFonts w:ascii="Arial" w:hAnsi="Arial" w:cs="Arial"/>
        </w:rPr>
        <w:t xml:space="preserve"> r</w:t>
      </w:r>
      <w:r w:rsidR="009C5109" w:rsidRPr="00C02A73">
        <w:rPr>
          <w:rFonts w:ascii="Arial" w:hAnsi="Arial" w:cs="Arial"/>
        </w:rPr>
        <w:t xml:space="preserve">ate </w:t>
      </w:r>
      <w:r w:rsidR="00885E89" w:rsidRPr="00C02A73">
        <w:rPr>
          <w:rFonts w:ascii="Arial" w:hAnsi="Arial" w:cs="Arial"/>
        </w:rPr>
        <w:t>x</w:t>
      </w:r>
      <w:r w:rsidR="009C5109" w:rsidRPr="00C02A73">
        <w:rPr>
          <w:rFonts w:ascii="Arial" w:hAnsi="Arial" w:cs="Arial"/>
        </w:rPr>
        <w:t xml:space="preserve"> antibody concentration. </w:t>
      </w:r>
      <w:r w:rsidR="001846AE" w:rsidRPr="00C02A73">
        <w:rPr>
          <w:rFonts w:ascii="Arial" w:hAnsi="Arial" w:cs="Arial"/>
        </w:rPr>
        <w:t xml:space="preserve">For serum, </w:t>
      </w:r>
      <w:r w:rsidRPr="00C02A73">
        <w:rPr>
          <w:rFonts w:ascii="Arial" w:hAnsi="Arial" w:cs="Arial"/>
        </w:rPr>
        <w:t xml:space="preserve">age differences in </w:t>
      </w:r>
      <w:r w:rsidR="00D34291" w:rsidRPr="00C02A73">
        <w:rPr>
          <w:rFonts w:ascii="Arial" w:hAnsi="Arial" w:cs="Arial"/>
        </w:rPr>
        <w:t xml:space="preserve">functional </w:t>
      </w:r>
      <w:r w:rsidR="00302181" w:rsidRPr="00C02A73">
        <w:rPr>
          <w:rFonts w:ascii="Arial" w:hAnsi="Arial" w:cs="Arial"/>
        </w:rPr>
        <w:t>antibody concentration</w:t>
      </w:r>
      <w:r w:rsidRPr="00C02A73">
        <w:rPr>
          <w:rFonts w:ascii="Arial" w:hAnsi="Arial" w:cs="Arial"/>
        </w:rPr>
        <w:t>s</w:t>
      </w:r>
      <w:r w:rsidR="00302181" w:rsidRPr="00C02A73">
        <w:rPr>
          <w:rFonts w:ascii="Arial" w:hAnsi="Arial" w:cs="Arial"/>
        </w:rPr>
        <w:t xml:space="preserve"> </w:t>
      </w:r>
      <w:r w:rsidR="001846AE" w:rsidRPr="00C02A73">
        <w:rPr>
          <w:rFonts w:ascii="Arial" w:hAnsi="Arial" w:cs="Arial"/>
        </w:rPr>
        <w:t xml:space="preserve">were </w:t>
      </w:r>
      <w:r w:rsidR="00CC3152" w:rsidRPr="00C02A73">
        <w:rPr>
          <w:rFonts w:ascii="Arial" w:hAnsi="Arial" w:cs="Arial"/>
        </w:rPr>
        <w:t>examined. A</w:t>
      </w:r>
      <w:r w:rsidR="00D34291" w:rsidRPr="00C02A73">
        <w:rPr>
          <w:rFonts w:ascii="Arial" w:hAnsi="Arial" w:cs="Arial"/>
        </w:rPr>
        <w:t xml:space="preserve">ntibody parameters were explored for each functional </w:t>
      </w:r>
      <w:r w:rsidR="00CC3152" w:rsidRPr="00C02A73">
        <w:rPr>
          <w:rFonts w:ascii="Arial" w:hAnsi="Arial" w:cs="Arial"/>
        </w:rPr>
        <w:t>antibody</w:t>
      </w:r>
      <w:r w:rsidR="00B612FA" w:rsidRPr="00C02A73">
        <w:rPr>
          <w:rFonts w:ascii="Arial" w:hAnsi="Arial" w:cs="Arial"/>
        </w:rPr>
        <w:t xml:space="preserve"> for</w:t>
      </w:r>
      <w:r w:rsidR="00D34291" w:rsidRPr="00C02A73">
        <w:rPr>
          <w:rFonts w:ascii="Arial" w:hAnsi="Arial" w:cs="Arial"/>
        </w:rPr>
        <w:t xml:space="preserve"> I</w:t>
      </w:r>
      <w:r w:rsidR="009C5109" w:rsidRPr="00C02A73">
        <w:rPr>
          <w:rFonts w:ascii="Arial" w:hAnsi="Arial" w:cs="Arial"/>
        </w:rPr>
        <w:t xml:space="preserve">gG, IgA and IgM, respectively. </w:t>
      </w:r>
      <w:r w:rsidR="003C1D09" w:rsidRPr="00C02A73">
        <w:rPr>
          <w:rFonts w:ascii="Arial" w:hAnsi="Arial" w:cs="Arial"/>
        </w:rPr>
        <w:t>Mann Whitney U-tests were used to</w:t>
      </w:r>
      <w:r w:rsidR="00B612FA" w:rsidRPr="00C02A73">
        <w:rPr>
          <w:rFonts w:ascii="Arial" w:hAnsi="Arial" w:cs="Arial"/>
        </w:rPr>
        <w:t xml:space="preserve"> compare antibody parameters </w:t>
      </w:r>
      <w:r w:rsidR="003C1D09" w:rsidRPr="00C02A73">
        <w:rPr>
          <w:rFonts w:ascii="Arial" w:hAnsi="Arial" w:cs="Arial"/>
        </w:rPr>
        <w:t>b</w:t>
      </w:r>
      <w:r w:rsidR="0083339D" w:rsidRPr="00C02A73">
        <w:rPr>
          <w:rFonts w:ascii="Arial" w:hAnsi="Arial" w:cs="Arial"/>
        </w:rPr>
        <w:t>etween</w:t>
      </w:r>
      <w:r w:rsidR="00B612FA" w:rsidRPr="00C02A73">
        <w:rPr>
          <w:rFonts w:ascii="Arial" w:hAnsi="Arial" w:cs="Arial"/>
        </w:rPr>
        <w:t>:</w:t>
      </w:r>
      <w:r w:rsidR="0083339D" w:rsidRPr="00C02A73">
        <w:rPr>
          <w:rFonts w:ascii="Arial" w:hAnsi="Arial" w:cs="Arial"/>
        </w:rPr>
        <w:t xml:space="preserve"> age groups</w:t>
      </w:r>
      <w:r w:rsidR="0090094B" w:rsidRPr="00C02A73">
        <w:rPr>
          <w:rFonts w:ascii="Arial" w:hAnsi="Arial" w:cs="Arial"/>
        </w:rPr>
        <w:t xml:space="preserve">, </w:t>
      </w:r>
      <w:r w:rsidR="003C1D09" w:rsidRPr="00C02A73">
        <w:rPr>
          <w:rFonts w:ascii="Arial" w:hAnsi="Arial" w:cs="Arial"/>
        </w:rPr>
        <w:t xml:space="preserve">pneumococcal vaccination </w:t>
      </w:r>
      <w:r w:rsidR="0090094B" w:rsidRPr="00C02A73">
        <w:rPr>
          <w:rFonts w:ascii="Arial" w:hAnsi="Arial" w:cs="Arial"/>
        </w:rPr>
        <w:t xml:space="preserve">status </w:t>
      </w:r>
      <w:r w:rsidR="003C1D09" w:rsidRPr="00C02A73">
        <w:rPr>
          <w:rFonts w:ascii="Arial" w:hAnsi="Arial" w:cs="Arial"/>
        </w:rPr>
        <w:t xml:space="preserve">within </w:t>
      </w:r>
      <w:r w:rsidR="00E74C65" w:rsidRPr="00C02A73">
        <w:rPr>
          <w:rFonts w:ascii="Arial" w:hAnsi="Arial" w:cs="Arial"/>
        </w:rPr>
        <w:t xml:space="preserve">age </w:t>
      </w:r>
      <w:r w:rsidR="00B612FA" w:rsidRPr="00C02A73">
        <w:rPr>
          <w:rFonts w:ascii="Arial" w:hAnsi="Arial" w:cs="Arial"/>
        </w:rPr>
        <w:t>groups, and older adults who were/</w:t>
      </w:r>
      <w:r w:rsidR="009B72B5" w:rsidRPr="00C02A73">
        <w:rPr>
          <w:rFonts w:ascii="Arial" w:hAnsi="Arial" w:cs="Arial"/>
        </w:rPr>
        <w:t xml:space="preserve">were not </w:t>
      </w:r>
      <w:r w:rsidR="00885E89" w:rsidRPr="00C02A73">
        <w:rPr>
          <w:rFonts w:ascii="Arial" w:hAnsi="Arial" w:cs="Arial"/>
        </w:rPr>
        <w:t>taking</w:t>
      </w:r>
      <w:r w:rsidR="009B72B5" w:rsidRPr="00C02A73">
        <w:rPr>
          <w:rFonts w:ascii="Arial" w:hAnsi="Arial" w:cs="Arial"/>
        </w:rPr>
        <w:t xml:space="preserve"> on-going</w:t>
      </w:r>
      <w:r w:rsidR="004F3684" w:rsidRPr="00C02A73">
        <w:rPr>
          <w:rFonts w:ascii="Arial" w:hAnsi="Arial" w:cs="Arial"/>
        </w:rPr>
        <w:t xml:space="preserve"> medication</w:t>
      </w:r>
      <w:r w:rsidR="005065F1" w:rsidRPr="00C02A73">
        <w:rPr>
          <w:rFonts w:ascii="Arial" w:hAnsi="Arial" w:cs="Arial"/>
        </w:rPr>
        <w:t xml:space="preserve">. </w:t>
      </w:r>
      <w:r w:rsidR="00D83590" w:rsidRPr="00C02A73">
        <w:rPr>
          <w:rFonts w:ascii="Arial" w:hAnsi="Arial" w:cs="Arial"/>
        </w:rPr>
        <w:t xml:space="preserve"> Where significant differences were observed, </w:t>
      </w:r>
      <w:r w:rsidR="00D83590" w:rsidRPr="00C02A73">
        <w:rPr>
          <w:rFonts w:ascii="Arial" w:hAnsi="Arial" w:cs="Arial"/>
          <w:i/>
        </w:rPr>
        <w:t>p</w:t>
      </w:r>
      <w:r w:rsidR="00D83590" w:rsidRPr="00C02A73">
        <w:rPr>
          <w:rFonts w:ascii="Arial" w:hAnsi="Arial" w:cs="Arial"/>
        </w:rPr>
        <w:t xml:space="preserve"> values were re-assessed using the Holm-</w:t>
      </w:r>
      <w:proofErr w:type="spellStart"/>
      <w:r w:rsidR="00D83590" w:rsidRPr="00C02A73">
        <w:rPr>
          <w:rFonts w:ascii="Arial" w:hAnsi="Arial" w:cs="Arial"/>
        </w:rPr>
        <w:t>Bonferroni</w:t>
      </w:r>
      <w:proofErr w:type="spellEnd"/>
      <w:r w:rsidR="00D83590" w:rsidRPr="00C02A73">
        <w:rPr>
          <w:rFonts w:ascii="Arial" w:hAnsi="Arial" w:cs="Arial"/>
        </w:rPr>
        <w:t xml:space="preserve"> method to control for the multiple comparisons being made</w:t>
      </w:r>
      <w:r w:rsidR="008749CC" w:rsidRPr="00C02A73">
        <w:rPr>
          <w:rFonts w:ascii="Arial" w:hAnsi="Arial" w:cs="Arial"/>
        </w:rPr>
        <w:t xml:space="preserve"> for the number of </w:t>
      </w:r>
      <w:r w:rsidR="00D83590" w:rsidRPr="00C02A73">
        <w:rPr>
          <w:rFonts w:ascii="Arial" w:hAnsi="Arial" w:cs="Arial"/>
        </w:rPr>
        <w:t xml:space="preserve">dependent variables generated from using a multiplex assay for each immunoglobulin class. </w:t>
      </w:r>
      <w:r w:rsidR="00653F47" w:rsidRPr="00C02A73">
        <w:rPr>
          <w:rFonts w:ascii="Arial" w:hAnsi="Arial" w:cs="Arial"/>
        </w:rPr>
        <w:t xml:space="preserve">For </w:t>
      </w:r>
      <w:r w:rsidR="00CB54B0" w:rsidRPr="00C02A73">
        <w:rPr>
          <w:rFonts w:ascii="Arial" w:hAnsi="Arial" w:cs="Arial"/>
        </w:rPr>
        <w:t>IgG protective titre</w:t>
      </w:r>
      <w:r w:rsidR="003C7835" w:rsidRPr="00C02A73">
        <w:rPr>
          <w:rFonts w:ascii="Arial" w:hAnsi="Arial" w:cs="Arial"/>
        </w:rPr>
        <w:t>s were</w:t>
      </w:r>
      <w:r w:rsidR="0049088B" w:rsidRPr="00C02A73">
        <w:rPr>
          <w:rFonts w:ascii="Arial" w:hAnsi="Arial" w:cs="Arial"/>
        </w:rPr>
        <w:t xml:space="preserve">: </w:t>
      </w:r>
      <w:r w:rsidR="00653F47" w:rsidRPr="00C02A73">
        <w:rPr>
          <w:rFonts w:ascii="Arial" w:hAnsi="Arial" w:cs="Arial"/>
        </w:rPr>
        <w:t xml:space="preserve">0.35 </w:t>
      </w:r>
      <w:proofErr w:type="spellStart"/>
      <w:r w:rsidR="00653F47" w:rsidRPr="00C02A73">
        <w:rPr>
          <w:rFonts w:ascii="Arial" w:hAnsi="Arial" w:cs="Arial"/>
        </w:rPr>
        <w:t>μ</w:t>
      </w:r>
      <w:r w:rsidR="00CB54B0" w:rsidRPr="00C02A73">
        <w:rPr>
          <w:rFonts w:ascii="Arial" w:hAnsi="Arial" w:cs="Arial"/>
        </w:rPr>
        <w:t>g</w:t>
      </w:r>
      <w:proofErr w:type="spellEnd"/>
      <w:r w:rsidR="00CB54B0" w:rsidRPr="00C02A73">
        <w:rPr>
          <w:rFonts w:ascii="Arial" w:hAnsi="Arial" w:cs="Arial"/>
        </w:rPr>
        <w:t>/mL</w:t>
      </w:r>
      <w:r w:rsidR="004F3684" w:rsidRPr="00C02A73">
        <w:rPr>
          <w:rFonts w:ascii="Arial" w:hAnsi="Arial" w:cs="Arial"/>
        </w:rPr>
        <w:t xml:space="preserve"> for </w:t>
      </w:r>
      <w:proofErr w:type="spellStart"/>
      <w:r w:rsidR="004F3684" w:rsidRPr="00C02A73">
        <w:rPr>
          <w:rFonts w:ascii="Arial" w:hAnsi="Arial" w:cs="Arial"/>
        </w:rPr>
        <w:t>Pn</w:t>
      </w:r>
      <w:proofErr w:type="spellEnd"/>
      <w:r w:rsidR="004F3684" w:rsidRPr="00C02A73">
        <w:rPr>
          <w:rFonts w:ascii="Arial" w:hAnsi="Arial" w:cs="Arial"/>
        </w:rPr>
        <w:t xml:space="preserve"> </w:t>
      </w:r>
      <w:r w:rsidR="00653F47" w:rsidRPr="00C02A73">
        <w:rPr>
          <w:rFonts w:ascii="Arial" w:hAnsi="Arial" w:cs="Arial"/>
        </w:rPr>
        <w:t>antibody serotypes</w:t>
      </w:r>
      <w:r w:rsidR="003C048C" w:rsidRPr="00C02A73">
        <w:rPr>
          <w:rFonts w:ascii="Arial" w:hAnsi="Arial" w:cs="Arial"/>
        </w:rPr>
        <w:t>,</w:t>
      </w:r>
      <w:r w:rsidR="003964D0" w:rsidRPr="00C02A73">
        <w:rPr>
          <w:rFonts w:ascii="Arial" w:hAnsi="Arial" w:cs="Arial"/>
        </w:rPr>
        <w:fldChar w:fldCharType="begin"/>
      </w:r>
      <w:r w:rsidR="00A61E0A" w:rsidRPr="00C02A73">
        <w:rPr>
          <w:rFonts w:ascii="Arial" w:hAnsi="Arial" w:cs="Arial"/>
        </w:rPr>
        <w:instrText xml:space="preserve"> ADDIN EN.CITE &lt;EndNote&gt;&lt;Cite&gt;&lt;Author&gt;WHO&lt;/Author&gt;&lt;Year&gt;2009&lt;/Year&gt;&lt;RecNum&gt;45&lt;/RecNum&gt;&lt;DisplayText&gt;(21)&lt;/DisplayText&gt;&lt;record&gt;&lt;rec-number&gt;45&lt;/rec-number&gt;&lt;foreign-keys&gt;&lt;key app="EN" db-id="ttt5azpahefvd1ex0aqxft54dvw5w5dzate2"&gt;45&lt;/key&gt;&lt;/foreign-keys&gt;&lt;ref-type name="Report"&gt;27&lt;/ref-type&gt;&lt;contributors&gt;&lt;authors&gt;&lt;author&gt;WHO&lt;/author&gt;&lt;/authors&gt;&lt;/contributors&gt;&lt;titles&gt;&lt;title&gt;WHO/Health Canada consultation on serological criteria for evaluation and licensing of new pneumococcal vaccines &lt;/title&gt;&lt;/titles&gt;&lt;dates&gt;&lt;year&gt;2009&lt;/year&gt;&lt;/dates&gt;&lt;urls&gt;&lt;/urls&gt;&lt;/record&gt;&lt;/Cite&gt;&lt;/EndNote&gt;</w:instrText>
      </w:r>
      <w:r w:rsidR="003964D0" w:rsidRPr="00C02A73">
        <w:rPr>
          <w:rFonts w:ascii="Arial" w:hAnsi="Arial" w:cs="Arial"/>
        </w:rPr>
        <w:fldChar w:fldCharType="separate"/>
      </w:r>
      <w:r w:rsidR="00A61E0A" w:rsidRPr="00C02A73">
        <w:rPr>
          <w:rFonts w:ascii="Arial" w:hAnsi="Arial" w:cs="Arial"/>
          <w:noProof/>
        </w:rPr>
        <w:t>(</w:t>
      </w:r>
      <w:hyperlink w:anchor="_ENREF_21" w:tooltip="WHO, 2009 #45" w:history="1">
        <w:r w:rsidR="00EA05AB" w:rsidRPr="00C02A73">
          <w:rPr>
            <w:rFonts w:ascii="Arial" w:hAnsi="Arial" w:cs="Arial"/>
            <w:noProof/>
          </w:rPr>
          <w:t>21</w:t>
        </w:r>
      </w:hyperlink>
      <w:r w:rsidR="00A61E0A" w:rsidRPr="00C02A73">
        <w:rPr>
          <w:rFonts w:ascii="Arial" w:hAnsi="Arial" w:cs="Arial"/>
          <w:noProof/>
        </w:rPr>
        <w:t>)</w:t>
      </w:r>
      <w:r w:rsidR="003964D0" w:rsidRPr="00C02A73">
        <w:rPr>
          <w:rFonts w:ascii="Arial" w:hAnsi="Arial" w:cs="Arial"/>
        </w:rPr>
        <w:fldChar w:fldCharType="end"/>
      </w:r>
      <w:r w:rsidR="00CB54B0" w:rsidRPr="00C02A73">
        <w:rPr>
          <w:rFonts w:ascii="Arial" w:hAnsi="Arial" w:cs="Arial"/>
        </w:rPr>
        <w:t xml:space="preserve"> 2 </w:t>
      </w:r>
      <w:proofErr w:type="spellStart"/>
      <w:r w:rsidR="004F3684" w:rsidRPr="00C02A73">
        <w:rPr>
          <w:rFonts w:ascii="Arial" w:hAnsi="Arial" w:cs="Arial"/>
        </w:rPr>
        <w:t>μg</w:t>
      </w:r>
      <w:proofErr w:type="spellEnd"/>
      <w:r w:rsidR="004F3684" w:rsidRPr="00C02A73">
        <w:rPr>
          <w:rFonts w:ascii="Arial" w:hAnsi="Arial" w:cs="Arial"/>
        </w:rPr>
        <w:t xml:space="preserve">/mL for Men </w:t>
      </w:r>
      <w:r w:rsidR="008066A6" w:rsidRPr="00C02A73">
        <w:rPr>
          <w:rFonts w:ascii="Arial" w:hAnsi="Arial" w:cs="Arial"/>
        </w:rPr>
        <w:t xml:space="preserve">antibody serotypes </w:t>
      </w:r>
      <w:r w:rsidR="00AA2FFE" w:rsidRPr="00C02A73">
        <w:rPr>
          <w:rFonts w:ascii="Arial" w:hAnsi="Arial" w:cs="Arial"/>
        </w:rPr>
        <w:fldChar w:fldCharType="begin"/>
      </w:r>
      <w:r w:rsidR="00A61E0A" w:rsidRPr="00C02A73">
        <w:rPr>
          <w:rFonts w:ascii="Arial" w:hAnsi="Arial" w:cs="Arial"/>
        </w:rPr>
        <w:instrText xml:space="preserve"> ADDIN EN.CITE &lt;EndNote&gt;&lt;Cite&gt;&lt;Author&gt;Peltola&lt;/Author&gt;&lt;Year&gt;1977&lt;/Year&gt;&lt;RecNum&gt;46&lt;/RecNum&gt;&lt;DisplayText&gt;(22)&lt;/DisplayText&gt;&lt;record&gt;&lt;rec-number&gt;46&lt;/rec-number&gt;&lt;foreign-keys&gt;&lt;key app="EN" db-id="ttt5azpahefvd1ex0aqxft54dvw5w5dzate2"&gt;46&lt;/key&gt;&lt;/foreign-keys&gt;&lt;ref-type name="Journal Article"&gt;17&lt;/ref-type&gt;&lt;contributors&gt;&lt;authors&gt;&lt;author&gt;Peltola, H.&lt;/author&gt;&lt;author&gt;Makela, H.&lt;/author&gt;&lt;author&gt;Kayhty, H.&lt;/author&gt;&lt;author&gt;Jousimies, H.&lt;/author&gt;&lt;author&gt;Herva, E.&lt;/author&gt;&lt;author&gt;Hallstrom, K.&lt;/author&gt;&lt;author&gt;Sivonen, A.&lt;/author&gt;&lt;author&gt;Renkonen, O. V.&lt;/author&gt;&lt;author&gt;Pettay, O.&lt;/author&gt;&lt;author&gt;Karanko, V.&lt;/author&gt;&lt;author&gt;Ahvonen, P.&lt;/author&gt;&lt;author&gt;Sarna, S.&lt;/author&gt;&lt;/authors&gt;&lt;/contributors&gt;&lt;titles&gt;&lt;title&gt;Clinical efficacy of meningococcus group A capsular polysaccharide vaccine in children three months to five years of age&lt;/title&gt;&lt;secondary-title&gt;N Engl J Med&lt;/secondary-title&gt;&lt;/titles&gt;&lt;periodical&gt;&lt;full-title&gt;N Engl J Med&lt;/full-title&gt;&lt;/periodical&gt;&lt;pages&gt;686-91&lt;/pages&gt;&lt;volume&gt;297&lt;/volume&gt;&lt;number&gt;13&lt;/number&gt;&lt;dates&gt;&lt;year&gt;1977&lt;/year&gt;&lt;/dates&gt;&lt;isbn&gt;0028-4793 (Print)&amp;#xD;0028-4793 (Linking)&lt;/isbn&gt;&lt;work-type&gt;Clinical Trial&amp;#xD;Research Support, U S Gov&amp;apos;t, P H S&lt;/work-type&gt;&lt;urls&gt;&lt;/urls&gt;&lt;/record&gt;&lt;/Cite&gt;&lt;/EndNote&gt;</w:instrText>
      </w:r>
      <w:r w:rsidR="00AA2FFE" w:rsidRPr="00C02A73">
        <w:rPr>
          <w:rFonts w:ascii="Arial" w:hAnsi="Arial" w:cs="Arial"/>
        </w:rPr>
        <w:fldChar w:fldCharType="separate"/>
      </w:r>
      <w:r w:rsidR="00A61E0A" w:rsidRPr="00C02A73">
        <w:rPr>
          <w:rFonts w:ascii="Arial" w:hAnsi="Arial" w:cs="Arial"/>
          <w:noProof/>
        </w:rPr>
        <w:t>(</w:t>
      </w:r>
      <w:hyperlink w:anchor="_ENREF_22" w:tooltip="Peltola, 1977 #46" w:history="1">
        <w:r w:rsidR="00EA05AB" w:rsidRPr="00C02A73">
          <w:rPr>
            <w:rFonts w:ascii="Arial" w:hAnsi="Arial" w:cs="Arial"/>
            <w:noProof/>
          </w:rPr>
          <w:t>22</w:t>
        </w:r>
      </w:hyperlink>
      <w:r w:rsidR="00A61E0A" w:rsidRPr="00C02A73">
        <w:rPr>
          <w:rFonts w:ascii="Arial" w:hAnsi="Arial" w:cs="Arial"/>
          <w:noProof/>
        </w:rPr>
        <w:t>)</w:t>
      </w:r>
      <w:r w:rsidR="00AA2FFE" w:rsidRPr="00C02A73">
        <w:rPr>
          <w:rFonts w:ascii="Arial" w:hAnsi="Arial" w:cs="Arial"/>
        </w:rPr>
        <w:fldChar w:fldCharType="end"/>
      </w:r>
      <w:r w:rsidR="008066A6" w:rsidRPr="00C02A73">
        <w:rPr>
          <w:rFonts w:ascii="Arial" w:hAnsi="Arial" w:cs="Arial"/>
        </w:rPr>
        <w:t>,</w:t>
      </w:r>
      <w:r w:rsidR="00653F47" w:rsidRPr="00C02A73">
        <w:rPr>
          <w:rFonts w:ascii="Arial" w:hAnsi="Arial" w:cs="Arial"/>
        </w:rPr>
        <w:t xml:space="preserve"> </w:t>
      </w:r>
      <w:r w:rsidR="00CB54B0" w:rsidRPr="00C02A73">
        <w:rPr>
          <w:rFonts w:ascii="Arial" w:hAnsi="Arial" w:cs="Arial"/>
        </w:rPr>
        <w:t xml:space="preserve">1.0 </w:t>
      </w:r>
      <w:proofErr w:type="spellStart"/>
      <w:r w:rsidR="00CB54B0" w:rsidRPr="00C02A73">
        <w:rPr>
          <w:rFonts w:ascii="Arial" w:hAnsi="Arial" w:cs="Arial"/>
        </w:rPr>
        <w:t>μg</w:t>
      </w:r>
      <w:proofErr w:type="spellEnd"/>
      <w:r w:rsidR="00CB54B0" w:rsidRPr="00C02A73">
        <w:rPr>
          <w:rFonts w:ascii="Arial" w:hAnsi="Arial" w:cs="Arial"/>
        </w:rPr>
        <w:t>/mL (long-term) and 0.15μg/mL (short-term</w:t>
      </w:r>
      <w:r w:rsidR="004F3684" w:rsidRPr="00C02A73">
        <w:rPr>
          <w:rFonts w:ascii="Arial" w:hAnsi="Arial" w:cs="Arial"/>
        </w:rPr>
        <w:t>) for HIB</w:t>
      </w:r>
      <w:r w:rsidR="007C35BF" w:rsidRPr="00C02A73">
        <w:rPr>
          <w:rFonts w:ascii="Arial" w:hAnsi="Arial" w:cs="Arial"/>
        </w:rPr>
        <w:t xml:space="preserve"> antibody </w:t>
      </w:r>
      <w:r w:rsidR="003964D0" w:rsidRPr="00C02A73">
        <w:rPr>
          <w:rFonts w:ascii="Arial" w:hAnsi="Arial" w:cs="Arial"/>
        </w:rPr>
        <w:fldChar w:fldCharType="begin"/>
      </w:r>
      <w:r w:rsidR="00A61E0A" w:rsidRPr="00C02A73">
        <w:rPr>
          <w:rFonts w:ascii="Arial" w:hAnsi="Arial" w:cs="Arial"/>
        </w:rPr>
        <w:instrText xml:space="preserve"> ADDIN EN.CITE &lt;EndNote&gt;&lt;Cite&gt;&lt;Author&gt;Kayhty&lt;/Author&gt;&lt;Year&gt;1983&lt;/Year&gt;&lt;RecNum&gt;48&lt;/RecNum&gt;&lt;DisplayText&gt;(23)&lt;/DisplayText&gt;&lt;record&gt;&lt;rec-number&gt;48&lt;/rec-number&gt;&lt;foreign-keys&gt;&lt;key app="EN" db-id="ttt5azpahefvd1ex0aqxft54dvw5w5dzate2"&gt;48&lt;/key&gt;&lt;/foreign-keys&gt;&lt;ref-type name="Journal Article"&gt;17&lt;/ref-type&gt;&lt;contributors&gt;&lt;authors&gt;&lt;author&gt;Kayhty, H.&lt;/author&gt;&lt;author&gt;Peltola, H.&lt;/author&gt;&lt;author&gt;Karanko, V.&lt;/author&gt;&lt;author&gt;Makela, P. H.&lt;/author&gt;&lt;/authors&gt;&lt;/contributors&gt;&lt;titles&gt;&lt;title&gt;The protective level of serum antibodies to the capsular polysaccharide of Haemophilus influenzae type b&lt;/title&gt;&lt;secondary-title&gt;J Infect Dis&lt;/secondary-title&gt;&lt;/titles&gt;&lt;periodical&gt;&lt;full-title&gt;J Infect Dis&lt;/full-title&gt;&lt;/periodical&gt;&lt;volume&gt;147&lt;/volume&gt;&lt;number&gt;6&lt;/number&gt;&lt;dates&gt;&lt;year&gt;1983&lt;/year&gt;&lt;/dates&gt;&lt;isbn&gt;0022-1899 (Print)&amp;#xD;0022-1899 (Linking)&lt;/isbn&gt;&lt;urls&gt;&lt;/urls&gt;&lt;/record&gt;&lt;/Cite&gt;&lt;/EndNote&gt;</w:instrText>
      </w:r>
      <w:r w:rsidR="003964D0" w:rsidRPr="00C02A73">
        <w:rPr>
          <w:rFonts w:ascii="Arial" w:hAnsi="Arial" w:cs="Arial"/>
        </w:rPr>
        <w:fldChar w:fldCharType="separate"/>
      </w:r>
      <w:r w:rsidR="00A61E0A" w:rsidRPr="00C02A73">
        <w:rPr>
          <w:rFonts w:ascii="Arial" w:hAnsi="Arial" w:cs="Arial"/>
          <w:noProof/>
        </w:rPr>
        <w:t>(</w:t>
      </w:r>
      <w:hyperlink w:anchor="_ENREF_23" w:tooltip="Kayhty, 1983 #48" w:history="1">
        <w:r w:rsidR="00EA05AB" w:rsidRPr="00C02A73">
          <w:rPr>
            <w:rFonts w:ascii="Arial" w:hAnsi="Arial" w:cs="Arial"/>
            <w:noProof/>
          </w:rPr>
          <w:t>23</w:t>
        </w:r>
      </w:hyperlink>
      <w:r w:rsidR="00A61E0A" w:rsidRPr="00C02A73">
        <w:rPr>
          <w:rFonts w:ascii="Arial" w:hAnsi="Arial" w:cs="Arial"/>
          <w:noProof/>
        </w:rPr>
        <w:t>)</w:t>
      </w:r>
      <w:r w:rsidR="003964D0" w:rsidRPr="00C02A73">
        <w:rPr>
          <w:rFonts w:ascii="Arial" w:hAnsi="Arial" w:cs="Arial"/>
        </w:rPr>
        <w:fldChar w:fldCharType="end"/>
      </w:r>
      <w:r w:rsidR="007C35BF" w:rsidRPr="00C02A73">
        <w:rPr>
          <w:rFonts w:ascii="Arial" w:hAnsi="Arial" w:cs="Arial"/>
        </w:rPr>
        <w:t xml:space="preserve">, </w:t>
      </w:r>
      <w:r w:rsidR="00CB54B0" w:rsidRPr="00C02A73">
        <w:rPr>
          <w:rFonts w:ascii="Arial" w:hAnsi="Arial" w:cs="Arial"/>
        </w:rPr>
        <w:t>and 0.1 IU/mL (long-term) and 0.01 IU/ml</w:t>
      </w:r>
      <w:r w:rsidR="004F3684" w:rsidRPr="00C02A73">
        <w:rPr>
          <w:rFonts w:ascii="Arial" w:hAnsi="Arial" w:cs="Arial"/>
        </w:rPr>
        <w:t xml:space="preserve"> </w:t>
      </w:r>
      <w:r w:rsidR="008232A3" w:rsidRPr="00C02A73">
        <w:rPr>
          <w:rFonts w:ascii="Arial" w:hAnsi="Arial" w:cs="Arial"/>
        </w:rPr>
        <w:t>(short-term) for TET and DIP</w:t>
      </w:r>
      <w:r w:rsidR="007C35BF" w:rsidRPr="00C02A73">
        <w:rPr>
          <w:rFonts w:ascii="Arial" w:hAnsi="Arial" w:cs="Arial"/>
        </w:rPr>
        <w:t xml:space="preserve"> antibody </w:t>
      </w:r>
      <w:r w:rsidR="003964D0" w:rsidRPr="00C02A73">
        <w:rPr>
          <w:rFonts w:ascii="Arial" w:hAnsi="Arial" w:cs="Arial"/>
        </w:rPr>
        <w:fldChar w:fldCharType="begin"/>
      </w:r>
      <w:r w:rsidR="00A61E0A" w:rsidRPr="00C02A73">
        <w:rPr>
          <w:rFonts w:ascii="Arial" w:hAnsi="Arial" w:cs="Arial"/>
        </w:rPr>
        <w:instrText xml:space="preserve"> ADDIN EN.CITE &lt;EndNote&gt;&lt;Cite&gt;&lt;Author&gt;Plotkin&lt;/Author&gt;&lt;Year&gt;2001&lt;/Year&gt;&lt;RecNum&gt;49&lt;/RecNum&gt;&lt;DisplayText&gt;(24)&lt;/DisplayText&gt;&lt;record&gt;&lt;rec-number&gt;49&lt;/rec-number&gt;&lt;foreign-keys&gt;&lt;key app="EN" db-id="ttt5azpahefvd1ex0aqxft54dvw5w5dzate2"&gt;49&lt;/key&gt;&lt;/foreign-keys&gt;&lt;ref-type name="Journal Article"&gt;17&lt;/ref-type&gt;&lt;contributors&gt;&lt;authors&gt;&lt;author&gt;Plotkin, S. A.&lt;/author&gt;&lt;/authors&gt;&lt;/contributors&gt;&lt;titles&gt;&lt;title&gt;Immunologic correlates of protection induced by vaccination&lt;/title&gt;&lt;secondary-title&gt;Pediatr Infect Dis J&lt;/secondary-title&gt;&lt;/titles&gt;&lt;periodical&gt;&lt;full-title&gt;Pediatr Infect Dis J&lt;/full-title&gt;&lt;/periodical&gt;&lt;pages&gt;63-75&lt;/pages&gt;&lt;volume&gt;20&lt;/volume&gt;&lt;number&gt;1&lt;/number&gt;&lt;dates&gt;&lt;year&gt;2001&lt;/year&gt;&lt;/dates&gt;&lt;isbn&gt;0891-3668 (Print)&amp;#xD;0891-3668 (Linking)&lt;/isbn&gt;&lt;work-type&gt;Review&lt;/work-type&gt;&lt;urls&gt;&lt;/urls&gt;&lt;/record&gt;&lt;/Cite&gt;&lt;/EndNote&gt;</w:instrText>
      </w:r>
      <w:r w:rsidR="003964D0" w:rsidRPr="00C02A73">
        <w:rPr>
          <w:rFonts w:ascii="Arial" w:hAnsi="Arial" w:cs="Arial"/>
        </w:rPr>
        <w:fldChar w:fldCharType="separate"/>
      </w:r>
      <w:r w:rsidR="00A61E0A" w:rsidRPr="00C02A73">
        <w:rPr>
          <w:rFonts w:ascii="Arial" w:hAnsi="Arial" w:cs="Arial"/>
          <w:noProof/>
        </w:rPr>
        <w:t>(</w:t>
      </w:r>
      <w:hyperlink w:anchor="_ENREF_24" w:tooltip="Plotkin, 2001 #49" w:history="1">
        <w:r w:rsidR="00EA05AB" w:rsidRPr="00C02A73">
          <w:rPr>
            <w:rFonts w:ascii="Arial" w:hAnsi="Arial" w:cs="Arial"/>
            <w:noProof/>
          </w:rPr>
          <w:t>24</w:t>
        </w:r>
      </w:hyperlink>
      <w:r w:rsidR="00A61E0A" w:rsidRPr="00C02A73">
        <w:rPr>
          <w:rFonts w:ascii="Arial" w:hAnsi="Arial" w:cs="Arial"/>
          <w:noProof/>
        </w:rPr>
        <w:t>)</w:t>
      </w:r>
      <w:r w:rsidR="003964D0" w:rsidRPr="00C02A73">
        <w:rPr>
          <w:rFonts w:ascii="Arial" w:hAnsi="Arial" w:cs="Arial"/>
        </w:rPr>
        <w:fldChar w:fldCharType="end"/>
      </w:r>
      <w:r w:rsidR="007C35BF" w:rsidRPr="00C02A73">
        <w:rPr>
          <w:rFonts w:ascii="Arial" w:hAnsi="Arial" w:cs="Arial"/>
        </w:rPr>
        <w:t>.</w:t>
      </w:r>
      <w:r w:rsidR="00D7489F" w:rsidRPr="00C02A73">
        <w:rPr>
          <w:rFonts w:ascii="Arial" w:hAnsi="Arial" w:cs="Arial"/>
        </w:rPr>
        <w:t xml:space="preserve"> </w:t>
      </w:r>
    </w:p>
    <w:p w:rsidR="00E54729" w:rsidRPr="00C02A73" w:rsidRDefault="009C4AAC" w:rsidP="00E54729">
      <w:pPr>
        <w:rPr>
          <w:rFonts w:ascii="Arial" w:hAnsi="Arial" w:cs="Arial"/>
          <w:b/>
        </w:rPr>
      </w:pPr>
      <w:r w:rsidRPr="00C02A73">
        <w:rPr>
          <w:rFonts w:ascii="Arial" w:hAnsi="Arial" w:cs="Arial"/>
          <w:b/>
        </w:rPr>
        <w:t xml:space="preserve">Results </w:t>
      </w:r>
    </w:p>
    <w:p w:rsidR="000E7DF6" w:rsidRPr="00C02A73" w:rsidRDefault="00155A77" w:rsidP="000E7DF6">
      <w:pPr>
        <w:rPr>
          <w:rFonts w:ascii="Arial" w:hAnsi="Arial" w:cs="Arial"/>
          <w:i/>
        </w:rPr>
      </w:pPr>
      <w:r w:rsidRPr="00C02A73">
        <w:rPr>
          <w:rFonts w:ascii="Arial" w:hAnsi="Arial" w:cs="Arial"/>
          <w:i/>
        </w:rPr>
        <w:t xml:space="preserve">Age and </w:t>
      </w:r>
      <w:r w:rsidR="00611C94" w:rsidRPr="00C02A73">
        <w:rPr>
          <w:rFonts w:ascii="Arial" w:hAnsi="Arial" w:cs="Arial"/>
          <w:i/>
        </w:rPr>
        <w:t xml:space="preserve">functional antibodies in saliva </w:t>
      </w:r>
    </w:p>
    <w:p w:rsidR="000439F4" w:rsidRPr="00C02A73" w:rsidRDefault="007711BB" w:rsidP="00880429">
      <w:pPr>
        <w:spacing w:line="480" w:lineRule="auto"/>
        <w:rPr>
          <w:rFonts w:ascii="Arial" w:hAnsi="Arial" w:cs="Arial"/>
        </w:rPr>
      </w:pPr>
      <w:r w:rsidRPr="00C02A73">
        <w:rPr>
          <w:rFonts w:ascii="Arial" w:hAnsi="Arial" w:cs="Arial"/>
        </w:rPr>
        <w:t>C</w:t>
      </w:r>
      <w:r w:rsidR="000E7DF6" w:rsidRPr="00C02A73">
        <w:rPr>
          <w:rFonts w:ascii="Arial" w:hAnsi="Arial" w:cs="Arial"/>
        </w:rPr>
        <w:t xml:space="preserve">ompared with younger adults, older participants </w:t>
      </w:r>
      <w:r w:rsidR="00947F9E" w:rsidRPr="00C02A73">
        <w:rPr>
          <w:rFonts w:ascii="Arial" w:hAnsi="Arial" w:cs="Arial"/>
        </w:rPr>
        <w:t>registered</w:t>
      </w:r>
      <w:r w:rsidR="000E7DF6" w:rsidRPr="00C02A73">
        <w:rPr>
          <w:rFonts w:ascii="Arial" w:hAnsi="Arial" w:cs="Arial"/>
        </w:rPr>
        <w:t xml:space="preserve"> </w:t>
      </w:r>
      <w:r w:rsidR="00FC2C89" w:rsidRPr="00C02A73">
        <w:rPr>
          <w:rFonts w:ascii="Arial" w:hAnsi="Arial" w:cs="Arial"/>
        </w:rPr>
        <w:t xml:space="preserve">significantly </w:t>
      </w:r>
      <w:r w:rsidR="000E7DF6" w:rsidRPr="00C02A73">
        <w:rPr>
          <w:rFonts w:ascii="Arial" w:hAnsi="Arial" w:cs="Arial"/>
        </w:rPr>
        <w:t xml:space="preserve">lower </w:t>
      </w:r>
      <w:r w:rsidR="009845C6" w:rsidRPr="00C02A73">
        <w:rPr>
          <w:rFonts w:ascii="Arial" w:hAnsi="Arial" w:cs="Arial"/>
        </w:rPr>
        <w:t>concentrations of functional antibodies in saliva</w:t>
      </w:r>
      <w:r w:rsidR="00ED5017" w:rsidRPr="00C02A73">
        <w:rPr>
          <w:rFonts w:ascii="Arial" w:hAnsi="Arial" w:cs="Arial"/>
        </w:rPr>
        <w:t xml:space="preserve"> for several antibodies: 3/12 for IgA; 4/12 for IgM; 4/12 for IgG </w:t>
      </w:r>
      <w:proofErr w:type="spellStart"/>
      <w:r w:rsidR="00ED5017" w:rsidRPr="00C02A73">
        <w:rPr>
          <w:rFonts w:ascii="Arial" w:hAnsi="Arial" w:cs="Arial"/>
        </w:rPr>
        <w:t>Pn</w:t>
      </w:r>
      <w:proofErr w:type="spellEnd"/>
      <w:r w:rsidR="00ED5017" w:rsidRPr="00C02A73">
        <w:rPr>
          <w:rFonts w:ascii="Arial" w:hAnsi="Arial" w:cs="Arial"/>
        </w:rPr>
        <w:t xml:space="preserve"> antibodies and </w:t>
      </w:r>
      <w:r w:rsidR="001A24DF" w:rsidRPr="00C02A73">
        <w:rPr>
          <w:rFonts w:ascii="Arial" w:hAnsi="Arial" w:cs="Arial"/>
        </w:rPr>
        <w:t xml:space="preserve">also for IgG, </w:t>
      </w:r>
      <w:r w:rsidR="00ED5017" w:rsidRPr="00C02A73">
        <w:rPr>
          <w:rFonts w:ascii="Arial" w:hAnsi="Arial" w:cs="Arial"/>
        </w:rPr>
        <w:t xml:space="preserve">4/4 Men </w:t>
      </w:r>
      <w:r w:rsidR="001A24DF" w:rsidRPr="00C02A73">
        <w:rPr>
          <w:rFonts w:ascii="Arial" w:hAnsi="Arial" w:cs="Arial"/>
        </w:rPr>
        <w:t xml:space="preserve">antibodies, </w:t>
      </w:r>
      <w:r w:rsidR="00ED5017" w:rsidRPr="00C02A73">
        <w:rPr>
          <w:rFonts w:ascii="Arial" w:hAnsi="Arial" w:cs="Arial"/>
        </w:rPr>
        <w:t>DIP and HIB</w:t>
      </w:r>
      <w:r w:rsidRPr="00C02A73">
        <w:rPr>
          <w:rFonts w:ascii="Arial" w:hAnsi="Arial" w:cs="Arial"/>
        </w:rPr>
        <w:t xml:space="preserve"> (Table 1)</w:t>
      </w:r>
      <w:r w:rsidR="00ED5017" w:rsidRPr="00C02A73">
        <w:rPr>
          <w:rFonts w:ascii="Arial" w:hAnsi="Arial" w:cs="Arial"/>
        </w:rPr>
        <w:t xml:space="preserve">. </w:t>
      </w:r>
      <w:r w:rsidR="003F65F8" w:rsidRPr="00C02A73">
        <w:rPr>
          <w:rFonts w:ascii="Arial" w:hAnsi="Arial" w:cs="Arial"/>
        </w:rPr>
        <w:t xml:space="preserve">No </w:t>
      </w:r>
      <w:r w:rsidR="00567E6D" w:rsidRPr="00C02A73">
        <w:rPr>
          <w:rFonts w:ascii="Arial" w:hAnsi="Arial" w:cs="Arial"/>
        </w:rPr>
        <w:t xml:space="preserve">difference was seen between age groups for </w:t>
      </w:r>
      <w:r w:rsidR="00D33D13" w:rsidRPr="00C02A73">
        <w:rPr>
          <w:rFonts w:ascii="Arial" w:hAnsi="Arial" w:cs="Arial"/>
        </w:rPr>
        <w:t>TET</w:t>
      </w:r>
      <w:r w:rsidR="005551DF" w:rsidRPr="00C02A73">
        <w:rPr>
          <w:rFonts w:ascii="Arial" w:hAnsi="Arial" w:cs="Arial"/>
        </w:rPr>
        <w:t xml:space="preserve">. </w:t>
      </w:r>
      <w:r w:rsidR="004B47F7" w:rsidRPr="00C02A73">
        <w:rPr>
          <w:rFonts w:ascii="Arial" w:hAnsi="Arial" w:cs="Arial"/>
        </w:rPr>
        <w:t>Following Holm-</w:t>
      </w:r>
      <w:proofErr w:type="spellStart"/>
      <w:r w:rsidR="004B47F7" w:rsidRPr="00C02A73">
        <w:rPr>
          <w:rFonts w:ascii="Arial" w:hAnsi="Arial" w:cs="Arial"/>
        </w:rPr>
        <w:t>Bonferroni</w:t>
      </w:r>
      <w:proofErr w:type="spellEnd"/>
      <w:r w:rsidR="004B47F7" w:rsidRPr="00C02A73">
        <w:rPr>
          <w:rFonts w:ascii="Arial" w:hAnsi="Arial" w:cs="Arial"/>
        </w:rPr>
        <w:t xml:space="preserve"> correction, </w:t>
      </w:r>
      <w:r w:rsidR="00917B50" w:rsidRPr="00C02A73">
        <w:rPr>
          <w:rFonts w:ascii="Arial" w:hAnsi="Arial" w:cs="Arial"/>
        </w:rPr>
        <w:t>differences that were initially indicated significant at t</w:t>
      </w:r>
      <w:r w:rsidR="002853E7" w:rsidRPr="00C02A73">
        <w:rPr>
          <w:rFonts w:ascii="Arial" w:hAnsi="Arial" w:cs="Arial"/>
        </w:rPr>
        <w:t>he 0.05 level failed to remain</w:t>
      </w:r>
      <w:r w:rsidR="00917B50" w:rsidRPr="00C02A73">
        <w:rPr>
          <w:rFonts w:ascii="Arial" w:hAnsi="Arial" w:cs="Arial"/>
        </w:rPr>
        <w:t xml:space="preserve"> significance. </w:t>
      </w:r>
      <w:r w:rsidR="000439F4" w:rsidRPr="00C02A73">
        <w:rPr>
          <w:rFonts w:ascii="Arial" w:hAnsi="Arial" w:cs="Arial"/>
        </w:rPr>
        <w:t xml:space="preserve"> </w:t>
      </w:r>
      <w:proofErr w:type="gramStart"/>
      <w:r w:rsidR="00CC3152" w:rsidRPr="00C02A73">
        <w:rPr>
          <w:rFonts w:ascii="Arial" w:hAnsi="Arial" w:cs="Arial"/>
        </w:rPr>
        <w:t>Although</w:t>
      </w:r>
      <w:r w:rsidR="003C7835" w:rsidRPr="00C02A73">
        <w:rPr>
          <w:rFonts w:ascii="Arial" w:hAnsi="Arial" w:cs="Arial"/>
        </w:rPr>
        <w:t xml:space="preserve"> not statistically significant</w:t>
      </w:r>
      <w:r w:rsidR="00CC3152" w:rsidRPr="00C02A73">
        <w:rPr>
          <w:rFonts w:ascii="Arial" w:hAnsi="Arial" w:cs="Arial"/>
        </w:rPr>
        <w:t>,</w:t>
      </w:r>
      <w:r w:rsidR="003C7835" w:rsidRPr="00C02A73">
        <w:rPr>
          <w:rFonts w:ascii="Arial" w:hAnsi="Arial" w:cs="Arial"/>
        </w:rPr>
        <w:t xml:space="preserve"> </w:t>
      </w:r>
      <w:r w:rsidR="00CC3152" w:rsidRPr="00C02A73">
        <w:rPr>
          <w:rFonts w:ascii="Arial" w:hAnsi="Arial" w:cs="Arial"/>
        </w:rPr>
        <w:t>o</w:t>
      </w:r>
      <w:r w:rsidR="000E7DF6" w:rsidRPr="00C02A73">
        <w:rPr>
          <w:rFonts w:ascii="Arial" w:hAnsi="Arial" w:cs="Arial"/>
        </w:rPr>
        <w:t xml:space="preserve">lder adults had a lower </w:t>
      </w:r>
      <w:r w:rsidR="00BE1173" w:rsidRPr="00C02A73">
        <w:rPr>
          <w:rFonts w:ascii="Arial" w:hAnsi="Arial" w:cs="Arial"/>
        </w:rPr>
        <w:t xml:space="preserve">salivary </w:t>
      </w:r>
      <w:r w:rsidR="000E7DF6" w:rsidRPr="00C02A73">
        <w:rPr>
          <w:rFonts w:ascii="Arial" w:hAnsi="Arial" w:cs="Arial"/>
        </w:rPr>
        <w:t xml:space="preserve">flow rate </w:t>
      </w:r>
      <w:r w:rsidR="00FC2C89" w:rsidRPr="00C02A73">
        <w:rPr>
          <w:rFonts w:ascii="Arial" w:hAnsi="Arial" w:cs="Arial"/>
        </w:rPr>
        <w:t>than</w:t>
      </w:r>
      <w:r w:rsidR="000E7DF6" w:rsidRPr="00C02A73">
        <w:rPr>
          <w:rFonts w:ascii="Arial" w:hAnsi="Arial" w:cs="Arial"/>
        </w:rPr>
        <w:t xml:space="preserve"> youn</w:t>
      </w:r>
      <w:r w:rsidR="00CC3152" w:rsidRPr="00C02A73">
        <w:rPr>
          <w:rFonts w:ascii="Arial" w:hAnsi="Arial" w:cs="Arial"/>
        </w:rPr>
        <w:t xml:space="preserve">ger adults, with median rates of 0.31 mL/min </w:t>
      </w:r>
      <w:r w:rsidR="00715799" w:rsidRPr="00C02A73">
        <w:rPr>
          <w:rFonts w:ascii="Arial" w:hAnsi="Arial" w:cs="Arial"/>
        </w:rPr>
        <w:t xml:space="preserve">(range, 0.10–0.97 mL/min) </w:t>
      </w:r>
      <w:r w:rsidR="00CC3152" w:rsidRPr="00C02A73">
        <w:rPr>
          <w:rFonts w:ascii="Arial" w:hAnsi="Arial" w:cs="Arial"/>
        </w:rPr>
        <w:t xml:space="preserve">and 0.38 </w:t>
      </w:r>
      <w:r w:rsidR="00E34009" w:rsidRPr="00C02A73">
        <w:rPr>
          <w:rFonts w:ascii="Arial" w:hAnsi="Arial" w:cs="Arial"/>
        </w:rPr>
        <w:t>mL/min</w:t>
      </w:r>
      <w:r w:rsidR="00715799" w:rsidRPr="00C02A73">
        <w:rPr>
          <w:rFonts w:ascii="Arial" w:hAnsi="Arial" w:cs="Arial"/>
        </w:rPr>
        <w:t xml:space="preserve"> (range, 0.11–0.89 mL/min)</w:t>
      </w:r>
      <w:r w:rsidR="00E34009" w:rsidRPr="00C02A73">
        <w:rPr>
          <w:rFonts w:ascii="Arial" w:hAnsi="Arial" w:cs="Arial"/>
        </w:rPr>
        <w:t xml:space="preserve">, </w:t>
      </w:r>
      <w:r w:rsidR="00CC3152" w:rsidRPr="00C02A73">
        <w:rPr>
          <w:rFonts w:ascii="Arial" w:hAnsi="Arial" w:cs="Arial"/>
        </w:rPr>
        <w:t>respectively.</w:t>
      </w:r>
      <w:proofErr w:type="gramEnd"/>
      <w:r w:rsidR="00CC3152" w:rsidRPr="00C02A73">
        <w:rPr>
          <w:rFonts w:ascii="Arial" w:hAnsi="Arial" w:cs="Arial"/>
        </w:rPr>
        <w:t xml:space="preserve"> </w:t>
      </w:r>
      <w:r w:rsidR="00880429" w:rsidRPr="00C02A73">
        <w:rPr>
          <w:rFonts w:ascii="Arial" w:hAnsi="Arial" w:cs="Arial"/>
        </w:rPr>
        <w:t>Older adults had lower functional antibody saliva secretion rat</w:t>
      </w:r>
      <w:r w:rsidR="003F65F8" w:rsidRPr="00C02A73">
        <w:rPr>
          <w:rFonts w:ascii="Arial" w:hAnsi="Arial" w:cs="Arial"/>
        </w:rPr>
        <w:t xml:space="preserve">es </w:t>
      </w:r>
      <w:r w:rsidR="00FC2C89" w:rsidRPr="00C02A73">
        <w:rPr>
          <w:rFonts w:ascii="Arial" w:hAnsi="Arial" w:cs="Arial"/>
        </w:rPr>
        <w:t>than</w:t>
      </w:r>
      <w:r w:rsidR="003F65F8" w:rsidRPr="00C02A73">
        <w:rPr>
          <w:rFonts w:ascii="Arial" w:hAnsi="Arial" w:cs="Arial"/>
        </w:rPr>
        <w:t xml:space="preserve"> younger adults</w:t>
      </w:r>
      <w:r w:rsidR="003F65F8" w:rsidRPr="00C02A73">
        <w:t xml:space="preserve"> </w:t>
      </w:r>
      <w:r w:rsidR="003F65F8" w:rsidRPr="00C02A73">
        <w:rPr>
          <w:rFonts w:ascii="Arial" w:hAnsi="Arial" w:cs="Arial"/>
        </w:rPr>
        <w:t xml:space="preserve">for the </w:t>
      </w:r>
      <w:r w:rsidR="00D45C21" w:rsidRPr="00C02A73">
        <w:rPr>
          <w:rFonts w:ascii="Arial" w:hAnsi="Arial" w:cs="Arial"/>
        </w:rPr>
        <w:t xml:space="preserve">25/36 </w:t>
      </w:r>
      <w:r w:rsidR="00524621" w:rsidRPr="00C02A73">
        <w:rPr>
          <w:rFonts w:ascii="Arial" w:hAnsi="Arial" w:cs="Arial"/>
        </w:rPr>
        <w:t xml:space="preserve">comparisons </w:t>
      </w:r>
      <w:r w:rsidR="003F65F8" w:rsidRPr="00C02A73">
        <w:rPr>
          <w:rFonts w:ascii="Arial" w:hAnsi="Arial" w:cs="Arial"/>
        </w:rPr>
        <w:t>of</w:t>
      </w:r>
      <w:r w:rsidR="00AA0AA9" w:rsidRPr="00C02A73">
        <w:rPr>
          <w:rFonts w:ascii="Arial" w:hAnsi="Arial" w:cs="Arial"/>
        </w:rPr>
        <w:t xml:space="preserve"> 12</w:t>
      </w:r>
      <w:r w:rsidR="00D45C21" w:rsidRPr="00C02A73">
        <w:rPr>
          <w:rFonts w:ascii="Arial" w:hAnsi="Arial" w:cs="Arial"/>
        </w:rPr>
        <w:t xml:space="preserve"> </w:t>
      </w:r>
      <w:proofErr w:type="spellStart"/>
      <w:r w:rsidR="003F65F8" w:rsidRPr="00C02A73">
        <w:rPr>
          <w:rFonts w:ascii="Arial" w:hAnsi="Arial" w:cs="Arial"/>
        </w:rPr>
        <w:t>Pn</w:t>
      </w:r>
      <w:proofErr w:type="spellEnd"/>
      <w:r w:rsidR="003F65F8" w:rsidRPr="00C02A73">
        <w:rPr>
          <w:rFonts w:ascii="Arial" w:hAnsi="Arial" w:cs="Arial"/>
        </w:rPr>
        <w:t xml:space="preserve"> serotypes across IgG, IgM and IgA</w:t>
      </w:r>
      <w:r w:rsidR="00880429" w:rsidRPr="00C02A73">
        <w:rPr>
          <w:rFonts w:ascii="Arial" w:hAnsi="Arial" w:cs="Arial"/>
        </w:rPr>
        <w:t xml:space="preserve"> </w:t>
      </w:r>
      <w:r w:rsidR="003F65F8" w:rsidRPr="00C02A73">
        <w:rPr>
          <w:rFonts w:ascii="Arial" w:hAnsi="Arial" w:cs="Arial"/>
        </w:rPr>
        <w:t>(</w:t>
      </w:r>
      <w:r w:rsidR="009F53D8" w:rsidRPr="00C02A73">
        <w:rPr>
          <w:rFonts w:ascii="Arial" w:hAnsi="Arial" w:cs="Arial"/>
        </w:rPr>
        <w:t>Figure 1</w:t>
      </w:r>
      <w:r w:rsidR="003F65F8" w:rsidRPr="00C02A73">
        <w:rPr>
          <w:rFonts w:ascii="Arial" w:hAnsi="Arial" w:cs="Arial"/>
        </w:rPr>
        <w:t xml:space="preserve">). </w:t>
      </w:r>
      <w:r w:rsidR="000352A0" w:rsidRPr="00C02A73">
        <w:rPr>
          <w:rFonts w:ascii="Arial" w:hAnsi="Arial" w:cs="Arial"/>
        </w:rPr>
        <w:t xml:space="preserve">Figure 2 shows this age difference in saliva secretion rates was also evident for IgG </w:t>
      </w:r>
      <w:r w:rsidR="009F53D8" w:rsidRPr="00C02A73">
        <w:rPr>
          <w:rFonts w:ascii="Arial" w:hAnsi="Arial" w:cs="Arial"/>
        </w:rPr>
        <w:t>MEN serotypes</w:t>
      </w:r>
      <w:r w:rsidR="003F65F8" w:rsidRPr="00C02A73">
        <w:rPr>
          <w:rFonts w:ascii="Arial" w:hAnsi="Arial" w:cs="Arial"/>
        </w:rPr>
        <w:t xml:space="preserve">, TET, DIP and HIB. </w:t>
      </w:r>
      <w:r w:rsidR="000439F4" w:rsidRPr="00C02A73">
        <w:rPr>
          <w:rFonts w:ascii="Arial" w:hAnsi="Arial" w:cs="Arial"/>
        </w:rPr>
        <w:t>Following Holm-</w:t>
      </w:r>
      <w:proofErr w:type="spellStart"/>
      <w:r w:rsidR="000439F4" w:rsidRPr="00C02A73">
        <w:rPr>
          <w:rFonts w:ascii="Arial" w:hAnsi="Arial" w:cs="Arial"/>
        </w:rPr>
        <w:lastRenderedPageBreak/>
        <w:t>Bonferroni</w:t>
      </w:r>
      <w:proofErr w:type="spellEnd"/>
      <w:r w:rsidR="000439F4" w:rsidRPr="00C02A73">
        <w:rPr>
          <w:rFonts w:ascii="Arial" w:hAnsi="Arial" w:cs="Arial"/>
        </w:rPr>
        <w:t xml:space="preserve"> correction</w:t>
      </w:r>
      <w:r w:rsidR="008C2753" w:rsidRPr="00C02A73">
        <w:rPr>
          <w:rFonts w:ascii="Arial" w:hAnsi="Arial" w:cs="Arial"/>
        </w:rPr>
        <w:t>, differences in secretion at the 0.05 level were</w:t>
      </w:r>
      <w:r w:rsidR="000D4979" w:rsidRPr="00C02A73">
        <w:rPr>
          <w:rFonts w:ascii="Arial" w:hAnsi="Arial" w:cs="Arial"/>
        </w:rPr>
        <w:t xml:space="preserve"> no longer significant </w:t>
      </w:r>
      <w:r w:rsidR="00652E33" w:rsidRPr="00C02A73">
        <w:rPr>
          <w:rFonts w:ascii="Arial" w:hAnsi="Arial" w:cs="Arial"/>
        </w:rPr>
        <w:t xml:space="preserve">across all immunoglobulin subclasses, in addition to Pn9V for IgM. </w:t>
      </w:r>
    </w:p>
    <w:p w:rsidR="00D85FBD" w:rsidRPr="00C02A73" w:rsidRDefault="00DB3850" w:rsidP="00E54729">
      <w:pPr>
        <w:rPr>
          <w:rFonts w:ascii="Arial" w:hAnsi="Arial" w:cs="Arial"/>
          <w:i/>
        </w:rPr>
      </w:pPr>
      <w:r w:rsidRPr="00C02A73">
        <w:rPr>
          <w:rFonts w:ascii="Arial" w:hAnsi="Arial" w:cs="Arial"/>
          <w:i/>
        </w:rPr>
        <w:t xml:space="preserve">Age and functional antibodies in serum </w:t>
      </w:r>
    </w:p>
    <w:p w:rsidR="00ED5017" w:rsidRPr="00C02A73" w:rsidRDefault="005A0B10" w:rsidP="00097A24">
      <w:pPr>
        <w:spacing w:line="480" w:lineRule="auto"/>
        <w:rPr>
          <w:rFonts w:ascii="Arial" w:hAnsi="Arial" w:cs="Arial"/>
        </w:rPr>
      </w:pPr>
      <w:r w:rsidRPr="00C02A73">
        <w:rPr>
          <w:rFonts w:ascii="Arial" w:hAnsi="Arial" w:cs="Arial"/>
        </w:rPr>
        <w:t>As presented in Table 2, older adults de</w:t>
      </w:r>
      <w:r w:rsidR="00ED5017" w:rsidRPr="00C02A73">
        <w:rPr>
          <w:rFonts w:ascii="Arial" w:hAnsi="Arial" w:cs="Arial"/>
        </w:rPr>
        <w:t>monstrated lower concentrations for fewer antibodies</w:t>
      </w:r>
      <w:r w:rsidR="001A24DF" w:rsidRPr="00C02A73">
        <w:rPr>
          <w:rFonts w:ascii="Arial" w:hAnsi="Arial" w:cs="Arial"/>
        </w:rPr>
        <w:t xml:space="preserve"> </w:t>
      </w:r>
      <w:r w:rsidR="00ED5017" w:rsidRPr="00C02A73">
        <w:rPr>
          <w:rFonts w:ascii="Arial" w:hAnsi="Arial" w:cs="Arial"/>
        </w:rPr>
        <w:t xml:space="preserve">than observed in saliva; </w:t>
      </w:r>
      <w:r w:rsidR="001A24DF" w:rsidRPr="00C02A73">
        <w:rPr>
          <w:rFonts w:ascii="Arial" w:hAnsi="Arial" w:cs="Arial"/>
        </w:rPr>
        <w:t xml:space="preserve">1/12 for IgA; 3/12 for IgM; 2/12 for IgG </w:t>
      </w:r>
      <w:proofErr w:type="spellStart"/>
      <w:r w:rsidR="001A24DF" w:rsidRPr="00C02A73">
        <w:rPr>
          <w:rFonts w:ascii="Arial" w:hAnsi="Arial" w:cs="Arial"/>
        </w:rPr>
        <w:t>Pn</w:t>
      </w:r>
      <w:proofErr w:type="spellEnd"/>
      <w:r w:rsidR="001A24DF" w:rsidRPr="00C02A73">
        <w:rPr>
          <w:rFonts w:ascii="Arial" w:hAnsi="Arial" w:cs="Arial"/>
        </w:rPr>
        <w:t xml:space="preserve"> antibodies, and also 3/4 MEN, HIB and DIP for IgG (not TET). </w:t>
      </w:r>
      <w:r w:rsidR="00DF5BFC" w:rsidRPr="00C02A73">
        <w:rPr>
          <w:rFonts w:ascii="Arial" w:hAnsi="Arial" w:cs="Arial"/>
        </w:rPr>
        <w:t xml:space="preserve">Only findings with </w:t>
      </w:r>
      <w:r w:rsidR="00DF5BFC" w:rsidRPr="00C02A73">
        <w:rPr>
          <w:rFonts w:ascii="Arial" w:hAnsi="Arial" w:cs="Arial"/>
          <w:i/>
        </w:rPr>
        <w:t>p</w:t>
      </w:r>
      <w:r w:rsidR="00DF5BFC" w:rsidRPr="00C02A73">
        <w:rPr>
          <w:rFonts w:ascii="Arial" w:hAnsi="Arial" w:cs="Arial"/>
        </w:rPr>
        <w:t xml:space="preserve"> values indicated as ≤ 0.01 withstood </w:t>
      </w:r>
      <w:proofErr w:type="gramStart"/>
      <w:r w:rsidR="00DF5BFC" w:rsidRPr="00C02A73">
        <w:rPr>
          <w:rFonts w:ascii="Arial" w:hAnsi="Arial" w:cs="Arial"/>
        </w:rPr>
        <w:t>adjustment</w:t>
      </w:r>
      <w:proofErr w:type="gramEnd"/>
      <w:r w:rsidR="00DF5BFC" w:rsidRPr="00C02A73">
        <w:rPr>
          <w:rFonts w:ascii="Arial" w:hAnsi="Arial" w:cs="Arial"/>
        </w:rPr>
        <w:t xml:space="preserve">. </w:t>
      </w:r>
    </w:p>
    <w:p w:rsidR="005953DC" w:rsidRPr="00C02A73" w:rsidRDefault="00D01DF3" w:rsidP="00097A24">
      <w:pPr>
        <w:spacing w:line="480" w:lineRule="auto"/>
        <w:rPr>
          <w:rFonts w:ascii="Arial" w:hAnsi="Arial" w:cs="Arial"/>
          <w:i/>
        </w:rPr>
      </w:pPr>
      <w:r w:rsidRPr="00C02A73">
        <w:rPr>
          <w:rFonts w:ascii="Arial" w:hAnsi="Arial" w:cs="Arial"/>
          <w:i/>
        </w:rPr>
        <w:t xml:space="preserve">Antibody levels </w:t>
      </w:r>
      <w:r w:rsidR="00025B0B" w:rsidRPr="00C02A73">
        <w:rPr>
          <w:rFonts w:ascii="Arial" w:hAnsi="Arial" w:cs="Arial"/>
          <w:i/>
        </w:rPr>
        <w:t xml:space="preserve">in relation to </w:t>
      </w:r>
      <w:r w:rsidR="00F21B67" w:rsidRPr="00C02A73">
        <w:rPr>
          <w:rFonts w:ascii="Arial" w:hAnsi="Arial" w:cs="Arial"/>
          <w:i/>
        </w:rPr>
        <w:t>vac</w:t>
      </w:r>
      <w:r w:rsidR="004E7EE1" w:rsidRPr="00C02A73">
        <w:rPr>
          <w:rFonts w:ascii="Arial" w:hAnsi="Arial" w:cs="Arial"/>
          <w:i/>
        </w:rPr>
        <w:t xml:space="preserve">cination and protective titres </w:t>
      </w:r>
    </w:p>
    <w:p w:rsidR="0045651F" w:rsidRPr="00C02A73" w:rsidRDefault="004E7EE1" w:rsidP="004E7EE1">
      <w:pPr>
        <w:spacing w:line="480" w:lineRule="auto"/>
        <w:rPr>
          <w:rFonts w:ascii="Arial" w:hAnsi="Arial" w:cs="Arial"/>
        </w:rPr>
      </w:pPr>
      <w:r w:rsidRPr="00C02A73">
        <w:rPr>
          <w:rFonts w:ascii="Arial" w:hAnsi="Arial" w:cs="Arial"/>
        </w:rPr>
        <w:t xml:space="preserve">Ten participants </w:t>
      </w:r>
      <w:r w:rsidR="00CC2F71" w:rsidRPr="00C02A73">
        <w:rPr>
          <w:rFonts w:ascii="Arial" w:hAnsi="Arial" w:cs="Arial"/>
        </w:rPr>
        <w:t xml:space="preserve">(36%) </w:t>
      </w:r>
      <w:r w:rsidRPr="00C02A73">
        <w:rPr>
          <w:rFonts w:ascii="Arial" w:hAnsi="Arial" w:cs="Arial"/>
        </w:rPr>
        <w:t xml:space="preserve">in the younger adult group had received </w:t>
      </w:r>
      <w:r w:rsidR="00436F62" w:rsidRPr="00C02A73">
        <w:rPr>
          <w:rFonts w:ascii="Arial" w:hAnsi="Arial" w:cs="Arial"/>
        </w:rPr>
        <w:t xml:space="preserve">PPV23 </w:t>
      </w:r>
      <w:r w:rsidR="008A44E5" w:rsidRPr="00C02A73">
        <w:rPr>
          <w:rFonts w:ascii="Arial" w:hAnsi="Arial" w:cs="Arial"/>
        </w:rPr>
        <w:t xml:space="preserve">within the past 4 years </w:t>
      </w:r>
      <w:r w:rsidRPr="00C02A73">
        <w:rPr>
          <w:rFonts w:ascii="Arial" w:hAnsi="Arial" w:cs="Arial"/>
        </w:rPr>
        <w:t xml:space="preserve">through </w:t>
      </w:r>
      <w:r w:rsidR="00697FF2" w:rsidRPr="00C02A73">
        <w:rPr>
          <w:rFonts w:ascii="Arial" w:hAnsi="Arial" w:cs="Arial"/>
        </w:rPr>
        <w:t>research participation</w:t>
      </w:r>
      <w:r w:rsidR="00546C1F" w:rsidRPr="00C02A73">
        <w:rPr>
          <w:rFonts w:ascii="Arial" w:hAnsi="Arial" w:cs="Arial"/>
        </w:rPr>
        <w:t xml:space="preserve">, and </w:t>
      </w:r>
      <w:r w:rsidR="00BA7BD7" w:rsidRPr="00C02A73">
        <w:rPr>
          <w:rFonts w:ascii="Arial" w:hAnsi="Arial" w:cs="Arial"/>
        </w:rPr>
        <w:t xml:space="preserve">a minority </w:t>
      </w:r>
      <w:r w:rsidR="0045651F" w:rsidRPr="00C02A73">
        <w:rPr>
          <w:rFonts w:ascii="Arial" w:hAnsi="Arial" w:cs="Arial"/>
        </w:rPr>
        <w:t xml:space="preserve">had received other vaccinations relevant to this investigation: </w:t>
      </w:r>
      <w:r w:rsidRPr="00C02A73">
        <w:rPr>
          <w:rFonts w:ascii="Arial" w:hAnsi="Arial" w:cs="Arial"/>
        </w:rPr>
        <w:t>meningi</w:t>
      </w:r>
      <w:r w:rsidR="0045651F" w:rsidRPr="00C02A73">
        <w:rPr>
          <w:rFonts w:ascii="Arial" w:hAnsi="Arial" w:cs="Arial"/>
        </w:rPr>
        <w:t xml:space="preserve">tis C (n = 5), tetanus (n = 3). </w:t>
      </w:r>
      <w:r w:rsidRPr="00C02A73">
        <w:rPr>
          <w:rFonts w:ascii="Arial" w:hAnsi="Arial" w:cs="Arial"/>
        </w:rPr>
        <w:t xml:space="preserve">Fifteen older adults </w:t>
      </w:r>
      <w:r w:rsidR="00CC2F71" w:rsidRPr="00C02A73">
        <w:rPr>
          <w:rFonts w:ascii="Arial" w:hAnsi="Arial" w:cs="Arial"/>
        </w:rPr>
        <w:t xml:space="preserve">(34%) </w:t>
      </w:r>
      <w:r w:rsidR="0045651F" w:rsidRPr="00C02A73">
        <w:rPr>
          <w:rFonts w:ascii="Arial" w:hAnsi="Arial" w:cs="Arial"/>
        </w:rPr>
        <w:t>had received PPV23</w:t>
      </w:r>
      <w:r w:rsidRPr="00C02A73">
        <w:rPr>
          <w:rFonts w:ascii="Arial" w:hAnsi="Arial" w:cs="Arial"/>
        </w:rPr>
        <w:t xml:space="preserve"> within the past 6 years.  </w:t>
      </w:r>
    </w:p>
    <w:p w:rsidR="00001F02" w:rsidRPr="00C02A73" w:rsidRDefault="00001F02" w:rsidP="004E7EE1">
      <w:pPr>
        <w:spacing w:line="480" w:lineRule="auto"/>
        <w:rPr>
          <w:rFonts w:ascii="Arial" w:hAnsi="Arial" w:cs="Arial"/>
        </w:rPr>
      </w:pPr>
      <w:r w:rsidRPr="00C02A73">
        <w:rPr>
          <w:rFonts w:ascii="Arial" w:hAnsi="Arial" w:cs="Arial"/>
        </w:rPr>
        <w:t>In saliva, younger adults</w:t>
      </w:r>
      <w:r w:rsidR="00C60C54" w:rsidRPr="00C02A73">
        <w:rPr>
          <w:rFonts w:ascii="Arial" w:hAnsi="Arial" w:cs="Arial"/>
        </w:rPr>
        <w:t xml:space="preserve"> </w:t>
      </w:r>
      <w:r w:rsidR="0045651F" w:rsidRPr="00C02A73">
        <w:rPr>
          <w:rFonts w:ascii="Arial" w:hAnsi="Arial" w:cs="Arial"/>
        </w:rPr>
        <w:t>who h</w:t>
      </w:r>
      <w:r w:rsidR="00243EB7" w:rsidRPr="00C02A73">
        <w:rPr>
          <w:rFonts w:ascii="Arial" w:hAnsi="Arial" w:cs="Arial"/>
        </w:rPr>
        <w:t xml:space="preserve">ad received </w:t>
      </w:r>
      <w:r w:rsidR="0045651F" w:rsidRPr="00C02A73">
        <w:rPr>
          <w:rFonts w:ascii="Arial" w:hAnsi="Arial" w:cs="Arial"/>
        </w:rPr>
        <w:t xml:space="preserve">PPV23 </w:t>
      </w:r>
      <w:r w:rsidR="00947F9E" w:rsidRPr="00C02A73">
        <w:rPr>
          <w:rFonts w:ascii="Arial" w:hAnsi="Arial" w:cs="Arial"/>
        </w:rPr>
        <w:t>had</w:t>
      </w:r>
      <w:r w:rsidRPr="00C02A73">
        <w:rPr>
          <w:rFonts w:ascii="Arial" w:hAnsi="Arial" w:cs="Arial"/>
        </w:rPr>
        <w:t xml:space="preserve"> higher </w:t>
      </w:r>
      <w:r w:rsidR="00C60C54" w:rsidRPr="00C02A73">
        <w:rPr>
          <w:rFonts w:ascii="Arial" w:hAnsi="Arial" w:cs="Arial"/>
        </w:rPr>
        <w:t xml:space="preserve">concentrations </w:t>
      </w:r>
      <w:r w:rsidR="00862BB4" w:rsidRPr="00C02A73">
        <w:rPr>
          <w:rFonts w:ascii="Arial" w:hAnsi="Arial" w:cs="Arial"/>
        </w:rPr>
        <w:t>of</w:t>
      </w:r>
      <w:r w:rsidR="009B65AC" w:rsidRPr="00C02A73">
        <w:rPr>
          <w:rFonts w:ascii="Arial" w:hAnsi="Arial" w:cs="Arial"/>
        </w:rPr>
        <w:t xml:space="preserve"> </w:t>
      </w:r>
      <w:r w:rsidR="005746FF" w:rsidRPr="00C02A73">
        <w:rPr>
          <w:rFonts w:ascii="Arial" w:hAnsi="Arial" w:cs="Arial"/>
        </w:rPr>
        <w:t xml:space="preserve">5 </w:t>
      </w:r>
      <w:r w:rsidR="00C60C54" w:rsidRPr="00C02A73">
        <w:rPr>
          <w:rFonts w:ascii="Arial" w:hAnsi="Arial" w:cs="Arial"/>
        </w:rPr>
        <w:t>IgG</w:t>
      </w:r>
      <w:r w:rsidR="00FF5642" w:rsidRPr="00C02A73">
        <w:rPr>
          <w:rFonts w:ascii="Arial" w:hAnsi="Arial" w:cs="Arial"/>
        </w:rPr>
        <w:t xml:space="preserve"> and </w:t>
      </w:r>
      <w:r w:rsidR="005746FF" w:rsidRPr="00C02A73">
        <w:rPr>
          <w:rFonts w:ascii="Arial" w:hAnsi="Arial" w:cs="Arial"/>
        </w:rPr>
        <w:t>2</w:t>
      </w:r>
      <w:r w:rsidR="00381745" w:rsidRPr="00C02A73">
        <w:rPr>
          <w:rFonts w:ascii="Arial" w:hAnsi="Arial" w:cs="Arial"/>
        </w:rPr>
        <w:t xml:space="preserve"> IgA</w:t>
      </w:r>
      <w:r w:rsidR="00FF5642" w:rsidRPr="00C02A73">
        <w:rPr>
          <w:rFonts w:ascii="Arial" w:hAnsi="Arial" w:cs="Arial"/>
        </w:rPr>
        <w:t xml:space="preserve"> </w:t>
      </w:r>
      <w:r w:rsidR="00C60C54" w:rsidRPr="00C02A73">
        <w:rPr>
          <w:rFonts w:ascii="Arial" w:hAnsi="Arial" w:cs="Arial"/>
        </w:rPr>
        <w:t xml:space="preserve">specific </w:t>
      </w:r>
      <w:proofErr w:type="spellStart"/>
      <w:r w:rsidR="00243EB7" w:rsidRPr="00C02A73">
        <w:rPr>
          <w:rFonts w:ascii="Arial" w:hAnsi="Arial" w:cs="Arial"/>
        </w:rPr>
        <w:t>Pn</w:t>
      </w:r>
      <w:proofErr w:type="spellEnd"/>
      <w:r w:rsidR="00243EB7" w:rsidRPr="00C02A73">
        <w:rPr>
          <w:rFonts w:ascii="Arial" w:hAnsi="Arial" w:cs="Arial"/>
        </w:rPr>
        <w:t xml:space="preserve"> </w:t>
      </w:r>
      <w:r w:rsidR="00C60C54" w:rsidRPr="00C02A73">
        <w:rPr>
          <w:rFonts w:ascii="Arial" w:hAnsi="Arial" w:cs="Arial"/>
        </w:rPr>
        <w:t xml:space="preserve">serotypes compared to those who had not </w:t>
      </w:r>
      <w:r w:rsidR="00546C1F" w:rsidRPr="00C02A73">
        <w:rPr>
          <w:rFonts w:ascii="Arial" w:hAnsi="Arial" w:cs="Arial"/>
        </w:rPr>
        <w:t>been vaccinated</w:t>
      </w:r>
      <w:r w:rsidR="00971526" w:rsidRPr="00C02A73">
        <w:rPr>
          <w:rFonts w:ascii="Arial" w:hAnsi="Arial" w:cs="Arial"/>
        </w:rPr>
        <w:t xml:space="preserve"> </w:t>
      </w:r>
      <w:r w:rsidR="00243EB7" w:rsidRPr="00C02A73">
        <w:rPr>
          <w:rFonts w:ascii="Arial" w:hAnsi="Arial" w:cs="Arial"/>
        </w:rPr>
        <w:t>(</w:t>
      </w:r>
      <w:r w:rsidR="00CC3152" w:rsidRPr="00C02A73">
        <w:rPr>
          <w:rFonts w:ascii="Arial" w:hAnsi="Arial" w:cs="Arial"/>
        </w:rPr>
        <w:t>Supplementary Table 1, S1</w:t>
      </w:r>
      <w:r w:rsidR="00971526" w:rsidRPr="00C02A73">
        <w:rPr>
          <w:rFonts w:ascii="Arial" w:hAnsi="Arial" w:cs="Arial"/>
        </w:rPr>
        <w:t>). The same significant findings emerged for saliva</w:t>
      </w:r>
      <w:r w:rsidR="00546C1F" w:rsidRPr="00C02A73">
        <w:rPr>
          <w:rFonts w:ascii="Arial" w:hAnsi="Arial" w:cs="Arial"/>
        </w:rPr>
        <w:t>ry</w:t>
      </w:r>
      <w:r w:rsidR="00971526" w:rsidRPr="00C02A73">
        <w:rPr>
          <w:rFonts w:ascii="Arial" w:hAnsi="Arial" w:cs="Arial"/>
        </w:rPr>
        <w:t xml:space="preserve"> secretion rates; with the addition of Pn5, 7, 19A and 23F for IgG and Pn3 for IgA, </w:t>
      </w:r>
      <w:r w:rsidR="00546C1F" w:rsidRPr="00C02A73">
        <w:rPr>
          <w:rFonts w:ascii="Arial" w:hAnsi="Arial" w:cs="Arial"/>
        </w:rPr>
        <w:t xml:space="preserve">all </w:t>
      </w:r>
      <w:r w:rsidR="00971526" w:rsidRPr="00C02A73">
        <w:rPr>
          <w:rFonts w:ascii="Arial" w:hAnsi="Arial" w:cs="Arial"/>
          <w:i/>
        </w:rPr>
        <w:t>p</w:t>
      </w:r>
      <w:r w:rsidR="00971526" w:rsidRPr="00C02A73">
        <w:rPr>
          <w:rFonts w:ascii="Arial" w:hAnsi="Arial" w:cs="Arial"/>
        </w:rPr>
        <w:t xml:space="preserve"> &lt; .05. </w:t>
      </w:r>
      <w:r w:rsidR="004D75E3" w:rsidRPr="00C02A73">
        <w:rPr>
          <w:rFonts w:ascii="Arial" w:hAnsi="Arial" w:cs="Arial"/>
        </w:rPr>
        <w:t>However, these vaccination differences in saliva did with not with</w:t>
      </w:r>
      <w:r w:rsidR="0043048A" w:rsidRPr="00C02A73">
        <w:rPr>
          <w:rFonts w:ascii="Arial" w:hAnsi="Arial" w:cs="Arial"/>
        </w:rPr>
        <w:t>stand Holm-</w:t>
      </w:r>
      <w:proofErr w:type="spellStart"/>
      <w:r w:rsidR="0043048A" w:rsidRPr="00C02A73">
        <w:rPr>
          <w:rFonts w:ascii="Arial" w:hAnsi="Arial" w:cs="Arial"/>
        </w:rPr>
        <w:t>Bonferroni</w:t>
      </w:r>
      <w:proofErr w:type="spellEnd"/>
      <w:r w:rsidR="0043048A" w:rsidRPr="00C02A73">
        <w:rPr>
          <w:rFonts w:ascii="Arial" w:hAnsi="Arial" w:cs="Arial"/>
        </w:rPr>
        <w:t xml:space="preserve"> adjustment</w:t>
      </w:r>
      <w:r w:rsidR="004D75E3" w:rsidRPr="00C02A73">
        <w:rPr>
          <w:rFonts w:ascii="Arial" w:hAnsi="Arial" w:cs="Arial"/>
        </w:rPr>
        <w:t xml:space="preserve">. </w:t>
      </w:r>
      <w:r w:rsidR="00971526" w:rsidRPr="00C02A73">
        <w:rPr>
          <w:rFonts w:ascii="Arial" w:hAnsi="Arial" w:cs="Arial"/>
        </w:rPr>
        <w:t xml:space="preserve">In older adults, no significant differences were observed </w:t>
      </w:r>
      <w:r w:rsidR="001821A1" w:rsidRPr="00C02A73">
        <w:rPr>
          <w:rFonts w:ascii="Arial" w:hAnsi="Arial" w:cs="Arial"/>
        </w:rPr>
        <w:t xml:space="preserve">in relation to </w:t>
      </w:r>
      <w:r w:rsidR="00971526" w:rsidRPr="00C02A73">
        <w:rPr>
          <w:rFonts w:ascii="Arial" w:hAnsi="Arial" w:cs="Arial"/>
        </w:rPr>
        <w:t xml:space="preserve">vaccination for </w:t>
      </w:r>
      <w:r w:rsidR="009320D2" w:rsidRPr="00C02A73">
        <w:rPr>
          <w:rFonts w:ascii="Arial" w:hAnsi="Arial" w:cs="Arial"/>
        </w:rPr>
        <w:t>saliva</w:t>
      </w:r>
      <w:r w:rsidR="00546C1F" w:rsidRPr="00C02A73">
        <w:rPr>
          <w:rFonts w:ascii="Arial" w:hAnsi="Arial" w:cs="Arial"/>
        </w:rPr>
        <w:t>ry</w:t>
      </w:r>
      <w:r w:rsidR="00381745" w:rsidRPr="00C02A73">
        <w:rPr>
          <w:rFonts w:ascii="Arial" w:hAnsi="Arial" w:cs="Arial"/>
        </w:rPr>
        <w:t xml:space="preserve"> </w:t>
      </w:r>
      <w:r w:rsidR="00971526" w:rsidRPr="00C02A73">
        <w:rPr>
          <w:rFonts w:ascii="Arial" w:hAnsi="Arial" w:cs="Arial"/>
        </w:rPr>
        <w:t>anti</w:t>
      </w:r>
      <w:r w:rsidR="007A3036" w:rsidRPr="00C02A73">
        <w:rPr>
          <w:rFonts w:ascii="Arial" w:hAnsi="Arial" w:cs="Arial"/>
        </w:rPr>
        <w:t>body concentration</w:t>
      </w:r>
      <w:r w:rsidR="00546C1F" w:rsidRPr="00C02A73">
        <w:rPr>
          <w:rFonts w:ascii="Arial" w:hAnsi="Arial" w:cs="Arial"/>
        </w:rPr>
        <w:t>s</w:t>
      </w:r>
      <w:r w:rsidR="007A3036" w:rsidRPr="00C02A73">
        <w:rPr>
          <w:rFonts w:ascii="Arial" w:hAnsi="Arial" w:cs="Arial"/>
        </w:rPr>
        <w:t xml:space="preserve"> </w:t>
      </w:r>
      <w:r w:rsidR="00CC3152" w:rsidRPr="00C02A73">
        <w:rPr>
          <w:rFonts w:ascii="Arial" w:hAnsi="Arial" w:cs="Arial"/>
        </w:rPr>
        <w:t>(Table S1</w:t>
      </w:r>
      <w:r w:rsidR="009320D2" w:rsidRPr="00C02A73">
        <w:rPr>
          <w:rFonts w:ascii="Arial" w:hAnsi="Arial" w:cs="Arial"/>
        </w:rPr>
        <w:t xml:space="preserve">) or </w:t>
      </w:r>
      <w:r w:rsidR="00971526" w:rsidRPr="00C02A73">
        <w:rPr>
          <w:rFonts w:ascii="Arial" w:hAnsi="Arial" w:cs="Arial"/>
        </w:rPr>
        <w:t xml:space="preserve">secretion rates. </w:t>
      </w:r>
    </w:p>
    <w:p w:rsidR="00D651B9" w:rsidRPr="00C02A73" w:rsidRDefault="00D651B9" w:rsidP="00097A24">
      <w:pPr>
        <w:spacing w:line="480" w:lineRule="auto"/>
        <w:rPr>
          <w:rFonts w:ascii="Arial" w:hAnsi="Arial" w:cs="Arial"/>
        </w:rPr>
      </w:pPr>
      <w:r w:rsidRPr="00C02A73">
        <w:rPr>
          <w:rFonts w:ascii="Arial" w:hAnsi="Arial" w:cs="Arial"/>
        </w:rPr>
        <w:t xml:space="preserve">In serum, younger adults </w:t>
      </w:r>
      <w:r w:rsidR="000B23F3" w:rsidRPr="00C02A73">
        <w:rPr>
          <w:rFonts w:ascii="Arial" w:hAnsi="Arial" w:cs="Arial"/>
        </w:rPr>
        <w:t xml:space="preserve">who had received PPV23 </w:t>
      </w:r>
      <w:r w:rsidRPr="00C02A73">
        <w:rPr>
          <w:rFonts w:ascii="Arial" w:hAnsi="Arial" w:cs="Arial"/>
        </w:rPr>
        <w:t xml:space="preserve">demonstrated higher antibody concentrations for </w:t>
      </w:r>
      <w:r w:rsidR="004C6162" w:rsidRPr="00C02A73">
        <w:rPr>
          <w:rFonts w:ascii="Arial" w:hAnsi="Arial" w:cs="Arial"/>
        </w:rPr>
        <w:t xml:space="preserve">IgG </w:t>
      </w:r>
      <w:r w:rsidR="00AC0095" w:rsidRPr="00C02A73">
        <w:rPr>
          <w:rFonts w:ascii="Arial" w:hAnsi="Arial" w:cs="Arial"/>
        </w:rPr>
        <w:t>(</w:t>
      </w:r>
      <w:r w:rsidR="004C6162" w:rsidRPr="00C02A73">
        <w:rPr>
          <w:rFonts w:ascii="Arial" w:hAnsi="Arial" w:cs="Arial"/>
        </w:rPr>
        <w:t>8/12</w:t>
      </w:r>
      <w:r w:rsidR="00AC0095" w:rsidRPr="00C02A73">
        <w:rPr>
          <w:rFonts w:ascii="Arial" w:hAnsi="Arial" w:cs="Arial"/>
        </w:rPr>
        <w:t>)</w:t>
      </w:r>
      <w:r w:rsidR="004C6162" w:rsidRPr="00C02A73">
        <w:rPr>
          <w:rFonts w:ascii="Arial" w:hAnsi="Arial" w:cs="Arial"/>
        </w:rPr>
        <w:t xml:space="preserve">, IgA </w:t>
      </w:r>
      <w:r w:rsidR="00AC0095" w:rsidRPr="00C02A73">
        <w:rPr>
          <w:rFonts w:ascii="Arial" w:hAnsi="Arial" w:cs="Arial"/>
        </w:rPr>
        <w:t>(</w:t>
      </w:r>
      <w:r w:rsidR="004C6162" w:rsidRPr="00C02A73">
        <w:rPr>
          <w:rFonts w:ascii="Arial" w:hAnsi="Arial" w:cs="Arial"/>
        </w:rPr>
        <w:t>12/12</w:t>
      </w:r>
      <w:r w:rsidR="00AC0095" w:rsidRPr="00C02A73">
        <w:rPr>
          <w:rFonts w:ascii="Arial" w:hAnsi="Arial" w:cs="Arial"/>
        </w:rPr>
        <w:t>)</w:t>
      </w:r>
      <w:r w:rsidR="004C6162" w:rsidRPr="00C02A73">
        <w:rPr>
          <w:rFonts w:ascii="Arial" w:hAnsi="Arial" w:cs="Arial"/>
        </w:rPr>
        <w:t xml:space="preserve"> and IgM </w:t>
      </w:r>
      <w:r w:rsidR="00AC0095" w:rsidRPr="00C02A73">
        <w:rPr>
          <w:rFonts w:ascii="Arial" w:hAnsi="Arial" w:cs="Arial"/>
        </w:rPr>
        <w:t>(</w:t>
      </w:r>
      <w:r w:rsidR="004C6162" w:rsidRPr="00C02A73">
        <w:rPr>
          <w:rFonts w:ascii="Arial" w:hAnsi="Arial" w:cs="Arial"/>
        </w:rPr>
        <w:t>5/12</w:t>
      </w:r>
      <w:r w:rsidR="00AC0095" w:rsidRPr="00C02A73">
        <w:rPr>
          <w:rFonts w:ascii="Arial" w:hAnsi="Arial" w:cs="Arial"/>
        </w:rPr>
        <w:t>)</w:t>
      </w:r>
      <w:r w:rsidR="000B23F3" w:rsidRPr="00C02A73">
        <w:rPr>
          <w:rFonts w:ascii="Arial" w:hAnsi="Arial" w:cs="Arial"/>
        </w:rPr>
        <w:t xml:space="preserve"> serotypes</w:t>
      </w:r>
      <w:r w:rsidR="00BA7BD7" w:rsidRPr="00C02A73">
        <w:rPr>
          <w:rFonts w:ascii="Arial" w:hAnsi="Arial" w:cs="Arial"/>
        </w:rPr>
        <w:t xml:space="preserve"> (Supplementary Table 2). T</w:t>
      </w:r>
      <w:r w:rsidR="006A4CF1" w:rsidRPr="00C02A73">
        <w:rPr>
          <w:rFonts w:ascii="Arial" w:hAnsi="Arial" w:cs="Arial"/>
        </w:rPr>
        <w:t>he s</w:t>
      </w:r>
      <w:r w:rsidR="0012352F" w:rsidRPr="00C02A73">
        <w:rPr>
          <w:rFonts w:ascii="Arial" w:hAnsi="Arial" w:cs="Arial"/>
        </w:rPr>
        <w:t>erum levels of anti-</w:t>
      </w:r>
      <w:proofErr w:type="spellStart"/>
      <w:r w:rsidR="0012352F" w:rsidRPr="00C02A73">
        <w:rPr>
          <w:rFonts w:ascii="Arial" w:hAnsi="Arial" w:cs="Arial"/>
        </w:rPr>
        <w:t>Pn</w:t>
      </w:r>
      <w:proofErr w:type="spellEnd"/>
      <w:r w:rsidR="006A4CF1" w:rsidRPr="00C02A73">
        <w:rPr>
          <w:rFonts w:ascii="Arial" w:hAnsi="Arial" w:cs="Arial"/>
        </w:rPr>
        <w:t xml:space="preserve"> </w:t>
      </w:r>
      <w:r w:rsidR="00FF7748" w:rsidRPr="00C02A73">
        <w:rPr>
          <w:rFonts w:ascii="Arial" w:hAnsi="Arial" w:cs="Arial"/>
        </w:rPr>
        <w:t xml:space="preserve">Ig </w:t>
      </w:r>
      <w:r w:rsidR="006A4CF1" w:rsidRPr="00C02A73">
        <w:rPr>
          <w:rFonts w:ascii="Arial" w:hAnsi="Arial" w:cs="Arial"/>
        </w:rPr>
        <w:t xml:space="preserve">of </w:t>
      </w:r>
      <w:r w:rsidRPr="00C02A73">
        <w:rPr>
          <w:rFonts w:ascii="Arial" w:hAnsi="Arial" w:cs="Arial"/>
        </w:rPr>
        <w:t>vaccinated and non-vaccinated older adults</w:t>
      </w:r>
      <w:r w:rsidR="00BA7BD7" w:rsidRPr="00C02A73">
        <w:rPr>
          <w:rFonts w:ascii="Arial" w:hAnsi="Arial" w:cs="Arial"/>
        </w:rPr>
        <w:t xml:space="preserve"> were observed for fewer serotypes</w:t>
      </w:r>
      <w:r w:rsidR="004C6162" w:rsidRPr="00C02A73">
        <w:rPr>
          <w:rFonts w:ascii="Arial" w:hAnsi="Arial" w:cs="Arial"/>
        </w:rPr>
        <w:t xml:space="preserve">: IgG </w:t>
      </w:r>
      <w:r w:rsidR="00AC0095" w:rsidRPr="00C02A73">
        <w:rPr>
          <w:rFonts w:ascii="Arial" w:hAnsi="Arial" w:cs="Arial"/>
        </w:rPr>
        <w:t>(</w:t>
      </w:r>
      <w:r w:rsidR="004C6162" w:rsidRPr="00C02A73">
        <w:rPr>
          <w:rFonts w:ascii="Arial" w:hAnsi="Arial" w:cs="Arial"/>
        </w:rPr>
        <w:t>4/12</w:t>
      </w:r>
      <w:r w:rsidR="00AC0095" w:rsidRPr="00C02A73">
        <w:rPr>
          <w:rFonts w:ascii="Arial" w:hAnsi="Arial" w:cs="Arial"/>
        </w:rPr>
        <w:t>)</w:t>
      </w:r>
      <w:r w:rsidR="004C6162" w:rsidRPr="00C02A73">
        <w:rPr>
          <w:rFonts w:ascii="Arial" w:hAnsi="Arial" w:cs="Arial"/>
        </w:rPr>
        <w:t xml:space="preserve">, IgA </w:t>
      </w:r>
      <w:r w:rsidR="00AC0095" w:rsidRPr="00C02A73">
        <w:rPr>
          <w:rFonts w:ascii="Arial" w:hAnsi="Arial" w:cs="Arial"/>
        </w:rPr>
        <w:t>(</w:t>
      </w:r>
      <w:r w:rsidR="004C6162" w:rsidRPr="00C02A73">
        <w:rPr>
          <w:rFonts w:ascii="Arial" w:hAnsi="Arial" w:cs="Arial"/>
        </w:rPr>
        <w:t>5</w:t>
      </w:r>
      <w:r w:rsidR="00AC0095" w:rsidRPr="00C02A73">
        <w:rPr>
          <w:rFonts w:ascii="Arial" w:hAnsi="Arial" w:cs="Arial"/>
        </w:rPr>
        <w:t>/12)</w:t>
      </w:r>
      <w:r w:rsidR="004C6162" w:rsidRPr="00C02A73">
        <w:rPr>
          <w:rFonts w:ascii="Arial" w:hAnsi="Arial" w:cs="Arial"/>
        </w:rPr>
        <w:t xml:space="preserve"> and IgM</w:t>
      </w:r>
      <w:r w:rsidR="00EA1B5E" w:rsidRPr="00C02A73">
        <w:rPr>
          <w:rFonts w:ascii="Arial" w:hAnsi="Arial" w:cs="Arial"/>
        </w:rPr>
        <w:t xml:space="preserve"> </w:t>
      </w:r>
      <w:r w:rsidR="00AC0095" w:rsidRPr="00C02A73">
        <w:rPr>
          <w:rFonts w:ascii="Arial" w:hAnsi="Arial" w:cs="Arial"/>
        </w:rPr>
        <w:t>(</w:t>
      </w:r>
      <w:r w:rsidR="00EA1B5E" w:rsidRPr="00C02A73">
        <w:rPr>
          <w:rFonts w:ascii="Arial" w:hAnsi="Arial" w:cs="Arial"/>
        </w:rPr>
        <w:t>1/12</w:t>
      </w:r>
      <w:r w:rsidR="00AC0095" w:rsidRPr="00C02A73">
        <w:rPr>
          <w:rFonts w:ascii="Arial" w:hAnsi="Arial" w:cs="Arial"/>
        </w:rPr>
        <w:t>)</w:t>
      </w:r>
      <w:r w:rsidR="00BA7BD7" w:rsidRPr="00C02A73">
        <w:rPr>
          <w:rFonts w:ascii="Arial" w:hAnsi="Arial" w:cs="Arial"/>
        </w:rPr>
        <w:t xml:space="preserve">. </w:t>
      </w:r>
      <w:r w:rsidR="00FF429E" w:rsidRPr="00C02A73">
        <w:rPr>
          <w:rFonts w:ascii="Arial" w:hAnsi="Arial" w:cs="Arial"/>
        </w:rPr>
        <w:t>Findings indicated as significant at the 0.05 level, for both younger and older vaccination groups, were</w:t>
      </w:r>
      <w:r w:rsidR="0043048A" w:rsidRPr="00C02A73">
        <w:rPr>
          <w:rFonts w:ascii="Arial" w:hAnsi="Arial" w:cs="Arial"/>
        </w:rPr>
        <w:t xml:space="preserve"> not upheld following correction</w:t>
      </w:r>
      <w:r w:rsidR="00FF429E" w:rsidRPr="00C02A73">
        <w:rPr>
          <w:rFonts w:ascii="Arial" w:hAnsi="Arial" w:cs="Arial"/>
        </w:rPr>
        <w:t xml:space="preserve"> for multiple comparisons. </w:t>
      </w:r>
      <w:r w:rsidR="00F47835" w:rsidRPr="00C02A73">
        <w:rPr>
          <w:rFonts w:ascii="Arial" w:hAnsi="Arial" w:cs="Arial"/>
        </w:rPr>
        <w:t>In general, vaccinated younger adults had higher antibody concentrations compared with vaccinated older adults</w:t>
      </w:r>
      <w:r w:rsidR="004D75E3" w:rsidRPr="00C02A73">
        <w:rPr>
          <w:rFonts w:ascii="Arial" w:hAnsi="Arial" w:cs="Arial"/>
        </w:rPr>
        <w:t xml:space="preserve">. </w:t>
      </w:r>
    </w:p>
    <w:p w:rsidR="005953DC" w:rsidRPr="00C02A73" w:rsidRDefault="00815966" w:rsidP="00097A24">
      <w:pPr>
        <w:spacing w:line="480" w:lineRule="auto"/>
        <w:rPr>
          <w:rFonts w:ascii="Arial" w:hAnsi="Arial" w:cs="Arial"/>
        </w:rPr>
      </w:pPr>
      <w:r w:rsidRPr="00C02A73">
        <w:rPr>
          <w:rFonts w:ascii="Arial" w:hAnsi="Arial" w:cs="Arial"/>
        </w:rPr>
        <w:lastRenderedPageBreak/>
        <w:t>In younger adults</w:t>
      </w:r>
      <w:r w:rsidR="006867F1" w:rsidRPr="00C02A73">
        <w:rPr>
          <w:rFonts w:ascii="Arial" w:hAnsi="Arial" w:cs="Arial"/>
        </w:rPr>
        <w:t>, 68</w:t>
      </w:r>
      <w:r w:rsidR="00386515" w:rsidRPr="00C02A73">
        <w:rPr>
          <w:rFonts w:ascii="Arial" w:hAnsi="Arial" w:cs="Arial"/>
        </w:rPr>
        <w:t>% demonstrate</w:t>
      </w:r>
      <w:r w:rsidR="00F47835" w:rsidRPr="00C02A73">
        <w:rPr>
          <w:rFonts w:ascii="Arial" w:hAnsi="Arial" w:cs="Arial"/>
        </w:rPr>
        <w:t xml:space="preserve">d protective levels on ≥ </w:t>
      </w:r>
      <w:r w:rsidR="00386515" w:rsidRPr="00C02A73">
        <w:rPr>
          <w:rFonts w:ascii="Arial" w:hAnsi="Arial" w:cs="Arial"/>
        </w:rPr>
        <w:t xml:space="preserve">8/12 </w:t>
      </w:r>
      <w:proofErr w:type="spellStart"/>
      <w:r w:rsidR="0012352F" w:rsidRPr="00C02A73">
        <w:rPr>
          <w:rFonts w:ascii="Arial" w:hAnsi="Arial" w:cs="Arial"/>
        </w:rPr>
        <w:t>Pn</w:t>
      </w:r>
      <w:proofErr w:type="spellEnd"/>
      <w:r w:rsidR="00D4191B" w:rsidRPr="00C02A73">
        <w:rPr>
          <w:rFonts w:ascii="Arial" w:hAnsi="Arial" w:cs="Arial"/>
        </w:rPr>
        <w:t xml:space="preserve"> </w:t>
      </w:r>
      <w:r w:rsidR="00386515" w:rsidRPr="00C02A73">
        <w:rPr>
          <w:rFonts w:ascii="Arial" w:hAnsi="Arial" w:cs="Arial"/>
        </w:rPr>
        <w:t>serotypes</w:t>
      </w:r>
      <w:r w:rsidR="00FF7748" w:rsidRPr="00C02A73">
        <w:rPr>
          <w:rFonts w:ascii="Arial" w:hAnsi="Arial" w:cs="Arial"/>
        </w:rPr>
        <w:t xml:space="preserve">, and 66% of </w:t>
      </w:r>
      <w:r w:rsidR="006867F1" w:rsidRPr="00C02A73">
        <w:rPr>
          <w:rFonts w:ascii="Arial" w:hAnsi="Arial" w:cs="Arial"/>
        </w:rPr>
        <w:t>older adults</w:t>
      </w:r>
      <w:r w:rsidR="00386515" w:rsidRPr="00C02A73">
        <w:rPr>
          <w:rFonts w:ascii="Arial" w:hAnsi="Arial" w:cs="Arial"/>
        </w:rPr>
        <w:t xml:space="preserve"> </w:t>
      </w:r>
      <w:r w:rsidR="006867F1" w:rsidRPr="00C02A73">
        <w:rPr>
          <w:rFonts w:ascii="Arial" w:hAnsi="Arial" w:cs="Arial"/>
        </w:rPr>
        <w:t xml:space="preserve">displayed </w:t>
      </w:r>
      <w:r w:rsidR="00386515" w:rsidRPr="00C02A73">
        <w:rPr>
          <w:rFonts w:ascii="Arial" w:hAnsi="Arial" w:cs="Arial"/>
        </w:rPr>
        <w:t xml:space="preserve">protective levels </w:t>
      </w:r>
      <w:r w:rsidR="00CC2F71" w:rsidRPr="00C02A73">
        <w:rPr>
          <w:rFonts w:ascii="Arial" w:hAnsi="Arial" w:cs="Arial"/>
        </w:rPr>
        <w:t>on</w:t>
      </w:r>
      <w:r w:rsidR="00F47835" w:rsidRPr="00C02A73">
        <w:rPr>
          <w:rFonts w:ascii="Arial" w:hAnsi="Arial" w:cs="Arial"/>
        </w:rPr>
        <w:t xml:space="preserve"> ≥ </w:t>
      </w:r>
      <w:r w:rsidR="00CC2F71" w:rsidRPr="00C02A73">
        <w:rPr>
          <w:rFonts w:ascii="Arial" w:hAnsi="Arial" w:cs="Arial"/>
        </w:rPr>
        <w:t>8/12 serotypes.</w:t>
      </w:r>
      <w:r w:rsidR="00F47835" w:rsidRPr="00C02A73">
        <w:rPr>
          <w:rFonts w:ascii="Arial" w:hAnsi="Arial" w:cs="Arial"/>
        </w:rPr>
        <w:t xml:space="preserve"> </w:t>
      </w:r>
      <w:r w:rsidR="007662CA" w:rsidRPr="00C02A73">
        <w:rPr>
          <w:rFonts w:ascii="Arial" w:hAnsi="Arial" w:cs="Arial"/>
        </w:rPr>
        <w:t xml:space="preserve"> </w:t>
      </w:r>
      <w:r w:rsidR="007E62CB" w:rsidRPr="00C02A73">
        <w:rPr>
          <w:rFonts w:ascii="Arial" w:hAnsi="Arial" w:cs="Arial"/>
        </w:rPr>
        <w:t xml:space="preserve">For younger adults, protective titres were observed in 54%, 26%, 7% and 32% of individuals for Men A, C, W and Y, respectively. A similar proportion of older adults were protected against Men A (52%), although no older participants were protected against Men C or W and only 9% against </w:t>
      </w:r>
      <w:r w:rsidR="00961F33" w:rsidRPr="00C02A73">
        <w:rPr>
          <w:rFonts w:ascii="Arial" w:hAnsi="Arial" w:cs="Arial"/>
        </w:rPr>
        <w:t>Men Y. All, or almost all, younger adults were protected against Tet (100%), DIP (96%) and HIB (82%), with the majority of in</w:t>
      </w:r>
      <w:r w:rsidR="00653F47" w:rsidRPr="00C02A73">
        <w:rPr>
          <w:rFonts w:ascii="Arial" w:hAnsi="Arial" w:cs="Arial"/>
        </w:rPr>
        <w:t xml:space="preserve">dividuals reaching levels for </w:t>
      </w:r>
      <w:r w:rsidR="00961F33" w:rsidRPr="00C02A73">
        <w:rPr>
          <w:rFonts w:ascii="Arial" w:hAnsi="Arial" w:cs="Arial"/>
        </w:rPr>
        <w:t xml:space="preserve">long-term protection. In older adults, 91% were protected against TET, 57% against DIP and 59% against HIB. </w:t>
      </w:r>
    </w:p>
    <w:p w:rsidR="0081670C" w:rsidRPr="00C02A73" w:rsidRDefault="0081670C" w:rsidP="0081670C">
      <w:pPr>
        <w:spacing w:line="480" w:lineRule="auto"/>
        <w:rPr>
          <w:rFonts w:ascii="Arial" w:hAnsi="Arial" w:cs="Arial"/>
          <w:i/>
        </w:rPr>
      </w:pPr>
      <w:r w:rsidRPr="00C02A73">
        <w:rPr>
          <w:rFonts w:ascii="Arial" w:hAnsi="Arial" w:cs="Arial"/>
          <w:i/>
        </w:rPr>
        <w:t xml:space="preserve">Chronic medication </w:t>
      </w:r>
    </w:p>
    <w:p w:rsidR="0081670C" w:rsidRPr="00C02A73" w:rsidRDefault="00FF5642" w:rsidP="0081670C">
      <w:pPr>
        <w:spacing w:line="480" w:lineRule="auto"/>
        <w:rPr>
          <w:rFonts w:ascii="Arial" w:hAnsi="Arial" w:cs="Arial"/>
        </w:rPr>
      </w:pPr>
      <w:r w:rsidRPr="00C02A73">
        <w:rPr>
          <w:rFonts w:ascii="Arial" w:hAnsi="Arial" w:cs="Arial"/>
        </w:rPr>
        <w:t xml:space="preserve">In older adults, </w:t>
      </w:r>
      <w:r w:rsidR="00A40000" w:rsidRPr="00C02A73">
        <w:rPr>
          <w:rFonts w:ascii="Arial" w:hAnsi="Arial" w:cs="Arial"/>
        </w:rPr>
        <w:t xml:space="preserve">those </w:t>
      </w:r>
      <w:r w:rsidR="0081670C" w:rsidRPr="00C02A73">
        <w:rPr>
          <w:rFonts w:ascii="Arial" w:hAnsi="Arial" w:cs="Arial"/>
        </w:rPr>
        <w:t xml:space="preserve">taking chronic medication had significantly lower </w:t>
      </w:r>
      <w:r w:rsidRPr="00C02A73">
        <w:rPr>
          <w:rFonts w:ascii="Arial" w:hAnsi="Arial" w:cs="Arial"/>
        </w:rPr>
        <w:t xml:space="preserve">salivary </w:t>
      </w:r>
      <w:r w:rsidR="0081670C" w:rsidRPr="00C02A73">
        <w:rPr>
          <w:rFonts w:ascii="Arial" w:hAnsi="Arial" w:cs="Arial"/>
        </w:rPr>
        <w:t xml:space="preserve">IgM antibodies for Pn1, 4, 5, 9, 18C, 19A, 19F and 23F compared with individuals who were not, </w:t>
      </w:r>
      <w:r w:rsidR="0081670C" w:rsidRPr="00C02A73">
        <w:rPr>
          <w:rFonts w:ascii="Arial" w:hAnsi="Arial" w:cs="Arial"/>
          <w:i/>
        </w:rPr>
        <w:t>p</w:t>
      </w:r>
      <w:r w:rsidR="0081670C" w:rsidRPr="00C02A73">
        <w:rPr>
          <w:rFonts w:ascii="Arial" w:hAnsi="Arial" w:cs="Arial"/>
        </w:rPr>
        <w:t xml:space="preserve"> &lt; 0.05 for all comparisons.  A similar pattern emerged for saliva secretion rates, where Pn1, 5, 9, 18C, 19A, 19F and 23F secretion was significantly (</w:t>
      </w:r>
      <w:r w:rsidR="0081670C" w:rsidRPr="00C02A73">
        <w:rPr>
          <w:rFonts w:ascii="Arial" w:hAnsi="Arial" w:cs="Arial"/>
          <w:i/>
        </w:rPr>
        <w:t>p</w:t>
      </w:r>
      <w:r w:rsidR="0081670C" w:rsidRPr="00C02A73">
        <w:rPr>
          <w:rFonts w:ascii="Arial" w:hAnsi="Arial" w:cs="Arial"/>
        </w:rPr>
        <w:t xml:space="preserve"> &lt; 0.05) reduced for IgM. There were no significant differences for IgG o</w:t>
      </w:r>
      <w:r w:rsidR="00BF63EC" w:rsidRPr="00C02A73">
        <w:rPr>
          <w:rFonts w:ascii="Arial" w:hAnsi="Arial" w:cs="Arial"/>
        </w:rPr>
        <w:t xml:space="preserve">r IgA, secretion rates, or </w:t>
      </w:r>
      <w:r w:rsidR="0081670C" w:rsidRPr="00C02A73">
        <w:rPr>
          <w:rFonts w:ascii="Arial" w:hAnsi="Arial" w:cs="Arial"/>
        </w:rPr>
        <w:t xml:space="preserve">flow rate. In serum, older adults taking chronic medication had significantly lower levels of </w:t>
      </w:r>
      <w:proofErr w:type="spellStart"/>
      <w:r w:rsidR="00A322DF" w:rsidRPr="00C02A73">
        <w:rPr>
          <w:rFonts w:ascii="Arial" w:hAnsi="Arial" w:cs="Arial"/>
        </w:rPr>
        <w:t>IgM</w:t>
      </w:r>
      <w:proofErr w:type="spellEnd"/>
      <w:r w:rsidR="00A322DF" w:rsidRPr="00C02A73">
        <w:rPr>
          <w:rFonts w:ascii="Arial" w:hAnsi="Arial" w:cs="Arial"/>
        </w:rPr>
        <w:t xml:space="preserve"> against </w:t>
      </w:r>
      <w:proofErr w:type="spellStart"/>
      <w:r w:rsidR="0081670C" w:rsidRPr="00C02A73">
        <w:rPr>
          <w:rFonts w:ascii="Arial" w:hAnsi="Arial" w:cs="Arial"/>
        </w:rPr>
        <w:t>Pn</w:t>
      </w:r>
      <w:proofErr w:type="spellEnd"/>
      <w:r w:rsidR="0081670C" w:rsidRPr="00C02A73">
        <w:rPr>
          <w:rFonts w:ascii="Arial" w:hAnsi="Arial" w:cs="Arial"/>
        </w:rPr>
        <w:t xml:space="preserve"> 19F and 23F. </w:t>
      </w:r>
      <w:r w:rsidR="007711BB" w:rsidRPr="00C02A73">
        <w:rPr>
          <w:rFonts w:ascii="Arial" w:hAnsi="Arial" w:cs="Arial"/>
        </w:rPr>
        <w:t>F</w:t>
      </w:r>
      <w:r w:rsidR="001A7656" w:rsidRPr="00C02A73">
        <w:rPr>
          <w:rFonts w:ascii="Arial" w:hAnsi="Arial" w:cs="Arial"/>
        </w:rPr>
        <w:t xml:space="preserve">indings in relation to chronic medication did not reach </w:t>
      </w:r>
      <w:r w:rsidR="001A7656" w:rsidRPr="00C02A73">
        <w:rPr>
          <w:rFonts w:ascii="Arial" w:hAnsi="Arial" w:cs="Arial"/>
          <w:i/>
        </w:rPr>
        <w:t>p</w:t>
      </w:r>
      <w:r w:rsidR="001A7656" w:rsidRPr="00C02A73">
        <w:rPr>
          <w:rFonts w:ascii="Arial" w:hAnsi="Arial" w:cs="Arial"/>
        </w:rPr>
        <w:t xml:space="preserve"> &lt; </w:t>
      </w:r>
      <w:proofErr w:type="gramStart"/>
      <w:r w:rsidR="001A7656" w:rsidRPr="00C02A73">
        <w:rPr>
          <w:rFonts w:ascii="Arial" w:hAnsi="Arial" w:cs="Arial"/>
        </w:rPr>
        <w:t>0.01,</w:t>
      </w:r>
      <w:proofErr w:type="gramEnd"/>
      <w:r w:rsidR="001A7656" w:rsidRPr="00C02A73">
        <w:rPr>
          <w:rFonts w:ascii="Arial" w:hAnsi="Arial" w:cs="Arial"/>
        </w:rPr>
        <w:t xml:space="preserve"> as such they do not remain significant when applying Holm-</w:t>
      </w:r>
      <w:proofErr w:type="spellStart"/>
      <w:r w:rsidR="001A7656" w:rsidRPr="00C02A73">
        <w:rPr>
          <w:rFonts w:ascii="Arial" w:hAnsi="Arial" w:cs="Arial"/>
        </w:rPr>
        <w:t>Bonferroni</w:t>
      </w:r>
      <w:proofErr w:type="spellEnd"/>
      <w:r w:rsidR="001A7656" w:rsidRPr="00C02A73">
        <w:rPr>
          <w:rFonts w:ascii="Arial" w:hAnsi="Arial" w:cs="Arial"/>
        </w:rPr>
        <w:t xml:space="preserve"> adjustment to observed </w:t>
      </w:r>
      <w:r w:rsidR="001A7656" w:rsidRPr="00C02A73">
        <w:rPr>
          <w:rFonts w:ascii="Arial" w:hAnsi="Arial" w:cs="Arial"/>
          <w:i/>
        </w:rPr>
        <w:t>p</w:t>
      </w:r>
      <w:r w:rsidR="001A7656" w:rsidRPr="00C02A73">
        <w:rPr>
          <w:rFonts w:ascii="Arial" w:hAnsi="Arial" w:cs="Arial"/>
        </w:rPr>
        <w:t xml:space="preserve"> values. </w:t>
      </w:r>
      <w:r w:rsidR="00A90288" w:rsidRPr="00C02A73">
        <w:rPr>
          <w:rFonts w:ascii="Arial" w:hAnsi="Arial" w:cs="Arial"/>
        </w:rPr>
        <w:t xml:space="preserve">There was no significant difference in age in older adults between those who were </w:t>
      </w:r>
      <w:r w:rsidR="007711BB" w:rsidRPr="00C02A73">
        <w:rPr>
          <w:rFonts w:ascii="Arial" w:hAnsi="Arial" w:cs="Arial"/>
        </w:rPr>
        <w:t xml:space="preserve">and were not taking medication. </w:t>
      </w:r>
    </w:p>
    <w:p w:rsidR="00155A77" w:rsidRPr="00C02A73" w:rsidRDefault="00155A77" w:rsidP="00E54729">
      <w:pPr>
        <w:rPr>
          <w:rFonts w:ascii="Arial" w:hAnsi="Arial" w:cs="Arial"/>
          <w:b/>
        </w:rPr>
      </w:pPr>
    </w:p>
    <w:p w:rsidR="00E54729" w:rsidRPr="00C02A73" w:rsidRDefault="00E54729" w:rsidP="00E54729">
      <w:pPr>
        <w:rPr>
          <w:rFonts w:ascii="Arial" w:hAnsi="Arial" w:cs="Arial"/>
          <w:b/>
        </w:rPr>
      </w:pPr>
      <w:r w:rsidRPr="00C02A73">
        <w:rPr>
          <w:rFonts w:ascii="Arial" w:hAnsi="Arial" w:cs="Arial"/>
          <w:b/>
        </w:rPr>
        <w:t xml:space="preserve">Discussion </w:t>
      </w:r>
    </w:p>
    <w:p w:rsidR="000B759E" w:rsidRPr="00C02A73" w:rsidRDefault="00EA5517" w:rsidP="00582E6E">
      <w:pPr>
        <w:spacing w:line="480" w:lineRule="auto"/>
        <w:rPr>
          <w:rFonts w:ascii="Arial" w:eastAsia="ScalaLancetPro" w:hAnsi="Arial" w:cs="Arial"/>
        </w:rPr>
      </w:pPr>
      <w:r w:rsidRPr="00C02A73">
        <w:rPr>
          <w:rFonts w:ascii="Arial" w:hAnsi="Arial" w:cs="Arial"/>
        </w:rPr>
        <w:t xml:space="preserve">This is the first study that has carried out </w:t>
      </w:r>
      <w:r w:rsidR="007B6E30" w:rsidRPr="00C02A73">
        <w:rPr>
          <w:rFonts w:ascii="Arial" w:hAnsi="Arial" w:cs="Arial"/>
        </w:rPr>
        <w:t xml:space="preserve">bacterial </w:t>
      </w:r>
      <w:r w:rsidR="00BF63EC" w:rsidRPr="00C02A73">
        <w:rPr>
          <w:rFonts w:ascii="Arial" w:hAnsi="Arial" w:cs="Arial"/>
        </w:rPr>
        <w:t xml:space="preserve">functional antibody analyses of </w:t>
      </w:r>
      <w:r w:rsidRPr="00C02A73">
        <w:rPr>
          <w:rFonts w:ascii="Arial" w:hAnsi="Arial" w:cs="Arial"/>
        </w:rPr>
        <w:t>thi</w:t>
      </w:r>
      <w:r w:rsidR="00BF63EC" w:rsidRPr="00C02A73">
        <w:rPr>
          <w:rFonts w:ascii="Arial" w:hAnsi="Arial" w:cs="Arial"/>
        </w:rPr>
        <w:t>s depth in relation to age. S</w:t>
      </w:r>
      <w:r w:rsidR="00FE70F9" w:rsidRPr="00C02A73">
        <w:rPr>
          <w:rFonts w:ascii="Arial" w:hAnsi="Arial" w:cs="Arial"/>
        </w:rPr>
        <w:t>ecretion of salivary antibodies</w:t>
      </w:r>
      <w:r w:rsidR="0066760E" w:rsidRPr="00C02A73">
        <w:rPr>
          <w:rFonts w:ascii="Arial" w:hAnsi="Arial" w:cs="Arial"/>
        </w:rPr>
        <w:t xml:space="preserve"> against </w:t>
      </w:r>
      <w:r w:rsidR="004E6FB2" w:rsidRPr="00C02A73">
        <w:rPr>
          <w:rFonts w:ascii="Arial" w:hAnsi="Arial" w:cs="Arial"/>
        </w:rPr>
        <w:t>bacterial antigens</w:t>
      </w:r>
      <w:r w:rsidR="00BF63EC" w:rsidRPr="00C02A73">
        <w:rPr>
          <w:rFonts w:ascii="Arial" w:hAnsi="Arial" w:cs="Arial"/>
        </w:rPr>
        <w:t xml:space="preserve"> was </w:t>
      </w:r>
      <w:r w:rsidR="00FE70F9" w:rsidRPr="00C02A73">
        <w:rPr>
          <w:rFonts w:ascii="Arial" w:hAnsi="Arial" w:cs="Arial"/>
        </w:rPr>
        <w:t>significantly reduced in older adults</w:t>
      </w:r>
      <w:r w:rsidR="00DE4E96" w:rsidRPr="00C02A73">
        <w:rPr>
          <w:rFonts w:ascii="Arial" w:hAnsi="Arial" w:cs="Arial"/>
        </w:rPr>
        <w:t xml:space="preserve">. </w:t>
      </w:r>
      <w:r w:rsidR="003467B2" w:rsidRPr="00C02A73">
        <w:rPr>
          <w:rFonts w:ascii="Arial" w:hAnsi="Arial" w:cs="Arial"/>
        </w:rPr>
        <w:t>It has previously been shown that IgG and IgM salivary antibody secretion rates for</w:t>
      </w:r>
      <w:r w:rsidR="004E6FB2" w:rsidRPr="00C02A73">
        <w:rPr>
          <w:rFonts w:ascii="Arial" w:hAnsi="Arial" w:cs="Arial"/>
        </w:rPr>
        <w:t xml:space="preserve"> commensal bacteria</w:t>
      </w:r>
      <w:r w:rsidR="003467B2" w:rsidRPr="00C02A73">
        <w:rPr>
          <w:rFonts w:ascii="Arial" w:hAnsi="Arial" w:cs="Arial"/>
        </w:rPr>
        <w:t xml:space="preserve"> </w:t>
      </w:r>
      <w:r w:rsidR="003467B2" w:rsidRPr="00C02A73">
        <w:rPr>
          <w:rFonts w:ascii="Arial" w:eastAsia="ScalaLancetPro" w:hAnsi="Arial" w:cs="Arial"/>
        </w:rPr>
        <w:t>are reduced with age</w:t>
      </w:r>
      <w:r w:rsidR="007C35BF" w:rsidRPr="00C02A73">
        <w:rPr>
          <w:rFonts w:ascii="Arial" w:eastAsia="ScalaLancetPro" w:hAnsi="Arial" w:cs="Arial"/>
        </w:rPr>
        <w:t xml:space="preserve"> </w:t>
      </w:r>
      <w:r w:rsidR="003964D0" w:rsidRPr="00C02A73">
        <w:rPr>
          <w:rFonts w:ascii="Arial" w:eastAsia="ScalaLancetPro" w:hAnsi="Arial" w:cs="Arial"/>
        </w:rPr>
        <w:fldChar w:fldCharType="begin"/>
      </w:r>
      <w:r w:rsidR="00A61E0A" w:rsidRPr="00C02A73">
        <w:rPr>
          <w:rFonts w:ascii="Arial" w:eastAsia="ScalaLancetPro" w:hAnsi="Arial" w:cs="Arial"/>
        </w:rPr>
        <w:instrText xml:space="preserve"> ADDIN EN.CITE &lt;EndNote&gt;&lt;Cite&gt;&lt;Author&gt;Percival&lt;/Author&gt;&lt;Year&gt;1997&lt;/Year&gt;&lt;RecNum&gt;20&lt;/RecNum&gt;&lt;DisplayText&gt;(17)&lt;/DisplayText&gt;&lt;record&gt;&lt;rec-number&gt;20&lt;/rec-number&gt;&lt;foreign-keys&gt;&lt;key app="EN" db-id="ttt5azpahefvd1ex0aqxft54dvw5w5dzate2"&gt;20&lt;/key&gt;&lt;/foreign-keys&gt;&lt;ref-type name="Journal Article"&gt;17&lt;/ref-type&gt;&lt;contributors&gt;&lt;authors&gt;&lt;author&gt;Percival, R. S.&lt;/author&gt;&lt;author&gt;Marsh, P. D.&lt;/author&gt;&lt;author&gt;Challacombe, S. J.&lt;/author&gt;&lt;/authors&gt;&lt;/contributors&gt;&lt;titles&gt;&lt;title&gt;Age-related changes in salivary antibodies to commensal oral and gut biota&lt;/title&gt;&lt;secondary-title&gt;Oral Microbiol Immunol&lt;/secondary-title&gt;&lt;/titles&gt;&lt;periodical&gt;&lt;full-title&gt;Oral Microbiol Immunol&lt;/full-title&gt;&lt;/periodical&gt;&lt;pages&gt;57-63&lt;/pages&gt;&lt;volume&gt;12&lt;/volume&gt;&lt;number&gt;1&lt;/number&gt;&lt;dates&gt;&lt;year&gt;1997&lt;/year&gt;&lt;/dates&gt;&lt;isbn&gt;0902-0055 (Print)&amp;#xD;0902-0055 (Linking)&lt;/isbn&gt;&lt;work-type&gt;Research Support, Non-U S Gov&amp;apos;t&lt;/work-type&gt;&lt;urls&gt;&lt;/urls&gt;&lt;/record&gt;&lt;/Cite&gt;&lt;/EndNote&gt;</w:instrText>
      </w:r>
      <w:r w:rsidR="003964D0" w:rsidRPr="00C02A73">
        <w:rPr>
          <w:rFonts w:ascii="Arial" w:eastAsia="ScalaLancetPro" w:hAnsi="Arial" w:cs="Arial"/>
        </w:rPr>
        <w:fldChar w:fldCharType="separate"/>
      </w:r>
      <w:r w:rsidR="00A61E0A" w:rsidRPr="00C02A73">
        <w:rPr>
          <w:rFonts w:ascii="Arial" w:eastAsia="ScalaLancetPro" w:hAnsi="Arial" w:cs="Arial"/>
          <w:noProof/>
        </w:rPr>
        <w:t>(</w:t>
      </w:r>
      <w:hyperlink w:anchor="_ENREF_17" w:tooltip="Percival, 1997 #20" w:history="1">
        <w:r w:rsidR="00EA05AB" w:rsidRPr="00C02A73">
          <w:rPr>
            <w:rFonts w:ascii="Arial" w:eastAsia="ScalaLancetPro" w:hAnsi="Arial" w:cs="Arial"/>
            <w:noProof/>
          </w:rPr>
          <w:t>17</w:t>
        </w:r>
      </w:hyperlink>
      <w:r w:rsidR="00A61E0A" w:rsidRPr="00C02A73">
        <w:rPr>
          <w:rFonts w:ascii="Arial" w:eastAsia="ScalaLancetPro" w:hAnsi="Arial" w:cs="Arial"/>
          <w:noProof/>
        </w:rPr>
        <w:t>)</w:t>
      </w:r>
      <w:r w:rsidR="003964D0" w:rsidRPr="00C02A73">
        <w:rPr>
          <w:rFonts w:ascii="Arial" w:eastAsia="ScalaLancetPro" w:hAnsi="Arial" w:cs="Arial"/>
        </w:rPr>
        <w:fldChar w:fldCharType="end"/>
      </w:r>
      <w:r w:rsidR="0029747A" w:rsidRPr="00C02A73">
        <w:rPr>
          <w:rFonts w:ascii="Arial" w:eastAsia="ScalaLancetPro" w:hAnsi="Arial" w:cs="Arial"/>
        </w:rPr>
        <w:t>; t</w:t>
      </w:r>
      <w:r w:rsidR="009E31E7" w:rsidRPr="00C02A73">
        <w:rPr>
          <w:rFonts w:ascii="Arial" w:eastAsia="ScalaLancetPro" w:hAnsi="Arial" w:cs="Arial"/>
        </w:rPr>
        <w:t xml:space="preserve">he present study extends these findings </w:t>
      </w:r>
      <w:r w:rsidR="00F83BAD" w:rsidRPr="00C02A73">
        <w:rPr>
          <w:rFonts w:ascii="Arial" w:eastAsia="ScalaLancetPro" w:hAnsi="Arial" w:cs="Arial"/>
        </w:rPr>
        <w:t xml:space="preserve">to bacteria </w:t>
      </w:r>
      <w:r w:rsidR="00057EE1" w:rsidRPr="00C02A73">
        <w:rPr>
          <w:rFonts w:ascii="Arial" w:eastAsia="ScalaLancetPro" w:hAnsi="Arial" w:cs="Arial"/>
        </w:rPr>
        <w:t xml:space="preserve">that </w:t>
      </w:r>
      <w:r w:rsidR="00F83BAD" w:rsidRPr="00C02A73">
        <w:rPr>
          <w:rFonts w:ascii="Arial" w:eastAsia="ScalaLancetPro" w:hAnsi="Arial" w:cs="Arial"/>
        </w:rPr>
        <w:t>caus</w:t>
      </w:r>
      <w:r w:rsidR="00057EE1" w:rsidRPr="00C02A73">
        <w:rPr>
          <w:rFonts w:ascii="Arial" w:eastAsia="ScalaLancetPro" w:hAnsi="Arial" w:cs="Arial"/>
        </w:rPr>
        <w:t>e</w:t>
      </w:r>
      <w:r w:rsidR="00F83BAD" w:rsidRPr="00C02A73">
        <w:rPr>
          <w:rFonts w:ascii="Arial" w:eastAsia="ScalaLancetPro" w:hAnsi="Arial" w:cs="Arial"/>
        </w:rPr>
        <w:t xml:space="preserve"> infectious disease. </w:t>
      </w:r>
      <w:r w:rsidR="00CF26EB" w:rsidRPr="00C02A73">
        <w:rPr>
          <w:rFonts w:ascii="Arial" w:eastAsia="ScalaLancetPro" w:hAnsi="Arial" w:cs="Arial"/>
        </w:rPr>
        <w:t xml:space="preserve"> Antibody </w:t>
      </w:r>
      <w:r w:rsidR="00796EA0" w:rsidRPr="00C02A73">
        <w:rPr>
          <w:rFonts w:ascii="Arial" w:eastAsia="ScalaLancetPro" w:hAnsi="Arial" w:cs="Arial"/>
        </w:rPr>
        <w:t xml:space="preserve">saliva </w:t>
      </w:r>
      <w:r w:rsidR="00CF26EB" w:rsidRPr="00C02A73">
        <w:rPr>
          <w:rFonts w:ascii="Arial" w:eastAsia="ScalaLancetPro" w:hAnsi="Arial" w:cs="Arial"/>
        </w:rPr>
        <w:t xml:space="preserve">concentrations were </w:t>
      </w:r>
      <w:r w:rsidR="00CF26EB" w:rsidRPr="00C02A73">
        <w:rPr>
          <w:rFonts w:ascii="Arial" w:eastAsia="ScalaLancetPro" w:hAnsi="Arial" w:cs="Arial"/>
        </w:rPr>
        <w:lastRenderedPageBreak/>
        <w:t>also significantly lower in older adults, although findings were less</w:t>
      </w:r>
      <w:r w:rsidR="00BF63EC" w:rsidRPr="00C02A73">
        <w:rPr>
          <w:rFonts w:ascii="Arial" w:eastAsia="ScalaLancetPro" w:hAnsi="Arial" w:cs="Arial"/>
        </w:rPr>
        <w:t xml:space="preserve"> consistent </w:t>
      </w:r>
      <w:r w:rsidR="00796EA0" w:rsidRPr="00C02A73">
        <w:rPr>
          <w:rFonts w:ascii="Arial" w:eastAsia="ScalaLancetPro" w:hAnsi="Arial" w:cs="Arial"/>
        </w:rPr>
        <w:t xml:space="preserve">compared with secretion. </w:t>
      </w:r>
      <w:r w:rsidR="00D92787" w:rsidRPr="00C02A73">
        <w:rPr>
          <w:rFonts w:ascii="Arial" w:hAnsi="Arial" w:cs="Arial"/>
        </w:rPr>
        <w:t xml:space="preserve">Secretion may be </w:t>
      </w:r>
      <w:r w:rsidR="00096F77" w:rsidRPr="00C02A73">
        <w:rPr>
          <w:rFonts w:ascii="Arial" w:hAnsi="Arial" w:cs="Arial"/>
        </w:rPr>
        <w:t xml:space="preserve">a </w:t>
      </w:r>
      <w:r w:rsidR="00E210AD" w:rsidRPr="00C02A73">
        <w:rPr>
          <w:rFonts w:ascii="Arial" w:hAnsi="Arial" w:cs="Arial"/>
        </w:rPr>
        <w:t xml:space="preserve">more relevant </w:t>
      </w:r>
      <w:r w:rsidR="00D92787" w:rsidRPr="00C02A73">
        <w:rPr>
          <w:rFonts w:ascii="Arial" w:hAnsi="Arial" w:cs="Arial"/>
        </w:rPr>
        <w:t xml:space="preserve">as it takes into account </w:t>
      </w:r>
      <w:r w:rsidR="00582E6E" w:rsidRPr="00C02A73">
        <w:rPr>
          <w:rFonts w:ascii="Arial" w:hAnsi="Arial" w:cs="Arial"/>
        </w:rPr>
        <w:t xml:space="preserve">changes in saliva volume and, for IgA, it has been proposed the combination of concentration and flow reflects the total amount </w:t>
      </w:r>
      <w:r w:rsidR="000027C2" w:rsidRPr="00C02A73">
        <w:rPr>
          <w:rFonts w:ascii="Arial" w:hAnsi="Arial" w:cs="Arial"/>
        </w:rPr>
        <w:t xml:space="preserve">of immunoglobulin </w:t>
      </w:r>
      <w:r w:rsidR="00582E6E" w:rsidRPr="00C02A73">
        <w:rPr>
          <w:rFonts w:ascii="Arial" w:hAnsi="Arial" w:cs="Arial"/>
        </w:rPr>
        <w:t>covering th</w:t>
      </w:r>
      <w:r w:rsidR="0029747A" w:rsidRPr="00C02A73">
        <w:rPr>
          <w:rFonts w:ascii="Arial" w:hAnsi="Arial" w:cs="Arial"/>
        </w:rPr>
        <w:t>e mucos</w:t>
      </w:r>
      <w:r w:rsidR="0066760E" w:rsidRPr="00C02A73">
        <w:rPr>
          <w:rFonts w:ascii="Arial" w:hAnsi="Arial" w:cs="Arial"/>
        </w:rPr>
        <w:t>al surface, thus providing</w:t>
      </w:r>
      <w:r w:rsidR="0029747A" w:rsidRPr="00C02A73">
        <w:rPr>
          <w:rFonts w:ascii="Arial" w:hAnsi="Arial" w:cs="Arial"/>
        </w:rPr>
        <w:t xml:space="preserve"> a</w:t>
      </w:r>
      <w:r w:rsidR="00582E6E" w:rsidRPr="00C02A73">
        <w:rPr>
          <w:rFonts w:ascii="Arial" w:hAnsi="Arial" w:cs="Arial"/>
        </w:rPr>
        <w:t xml:space="preserve"> be</w:t>
      </w:r>
      <w:r w:rsidR="000B759E" w:rsidRPr="00C02A73">
        <w:rPr>
          <w:rFonts w:ascii="Arial" w:hAnsi="Arial" w:cs="Arial"/>
        </w:rPr>
        <w:t xml:space="preserve">tter estimate of </w:t>
      </w:r>
      <w:r w:rsidR="0029747A" w:rsidRPr="00C02A73">
        <w:rPr>
          <w:rFonts w:ascii="Arial" w:hAnsi="Arial" w:cs="Arial"/>
        </w:rPr>
        <w:t>protection</w:t>
      </w:r>
      <w:r w:rsidR="007C35BF" w:rsidRPr="00C02A73">
        <w:rPr>
          <w:rFonts w:ascii="Arial" w:hAnsi="Arial" w:cs="Arial"/>
        </w:rPr>
        <w:t xml:space="preserve"> </w:t>
      </w:r>
      <w:r w:rsidR="00483A41" w:rsidRPr="00C02A73">
        <w:rPr>
          <w:rFonts w:ascii="Arial" w:hAnsi="Arial" w:cs="Arial"/>
        </w:rPr>
        <w:fldChar w:fldCharType="begin"/>
      </w:r>
      <w:r w:rsidR="00483A41" w:rsidRPr="00C02A73">
        <w:rPr>
          <w:rFonts w:ascii="Arial" w:hAnsi="Arial" w:cs="Arial"/>
        </w:rPr>
        <w:instrText xml:space="preserve"> ADDIN EN.CITE &lt;EndNote&gt;&lt;Cite&gt;&lt;Author&gt;Bishop&lt;/Author&gt;&lt;Year&gt;2006&lt;/Year&gt;&lt;RecNum&gt;34&lt;/RecNum&gt;&lt;DisplayText&gt;(11)&lt;/DisplayText&gt;&lt;record&gt;&lt;rec-number&gt;34&lt;/rec-number&gt;&lt;foreign-keys&gt;&lt;key app="EN" db-id="ttt5azpahefvd1ex0aqxft54dvw5w5dzate2"&gt;34&lt;/key&gt;&lt;/foreign-keys&gt;&lt;ref-type name="Book Section"&gt;5&lt;/ref-type&gt;&lt;contributors&gt;&lt;authors&gt;&lt;author&gt;Bishop, N. C.&lt;/author&gt;&lt;/authors&gt;&lt;secondary-authors&gt;&lt;author&gt;Gleeson, M.&lt;/author&gt;&lt;/secondary-authors&gt;&lt;/contributors&gt;&lt;titles&gt;&lt;title&gt;Acute exercise and aquired immune function&lt;/title&gt;&lt;secondary-title&gt;Immune function in sport and exercise &lt;/secondary-title&gt;&lt;/titles&gt;&lt;pages&gt;108–109&lt;/pages&gt;&lt;dates&gt;&lt;year&gt;2006&lt;/year&gt;&lt;/dates&gt;&lt;pub-location&gt;London&lt;/pub-location&gt;&lt;publisher&gt;Churchill Livingstone Elsevier&lt;/publisher&gt;&lt;urls&gt;&lt;/urls&gt;&lt;/record&gt;&lt;/Cite&gt;&lt;/EndNote&gt;</w:instrText>
      </w:r>
      <w:r w:rsidR="00483A41" w:rsidRPr="00C02A73">
        <w:rPr>
          <w:rFonts w:ascii="Arial" w:hAnsi="Arial" w:cs="Arial"/>
        </w:rPr>
        <w:fldChar w:fldCharType="separate"/>
      </w:r>
      <w:r w:rsidR="00483A41" w:rsidRPr="00C02A73">
        <w:rPr>
          <w:rFonts w:ascii="Arial" w:hAnsi="Arial" w:cs="Arial"/>
          <w:noProof/>
        </w:rPr>
        <w:t>(</w:t>
      </w:r>
      <w:hyperlink w:anchor="_ENREF_11" w:tooltip="Bishop, 2006 #34" w:history="1">
        <w:r w:rsidR="00EA05AB" w:rsidRPr="00C02A73">
          <w:rPr>
            <w:rFonts w:ascii="Arial" w:hAnsi="Arial" w:cs="Arial"/>
            <w:noProof/>
          </w:rPr>
          <w:t>11</w:t>
        </w:r>
      </w:hyperlink>
      <w:r w:rsidR="00483A41" w:rsidRPr="00C02A73">
        <w:rPr>
          <w:rFonts w:ascii="Arial" w:hAnsi="Arial" w:cs="Arial"/>
          <w:noProof/>
        </w:rPr>
        <w:t>)</w:t>
      </w:r>
      <w:r w:rsidR="00483A41" w:rsidRPr="00C02A73">
        <w:rPr>
          <w:rFonts w:ascii="Arial" w:hAnsi="Arial" w:cs="Arial"/>
        </w:rPr>
        <w:fldChar w:fldCharType="end"/>
      </w:r>
      <w:r w:rsidR="00483A41" w:rsidRPr="00C02A73">
        <w:rPr>
          <w:rFonts w:ascii="Arial" w:hAnsi="Arial" w:cs="Arial"/>
        </w:rPr>
        <w:t>.</w:t>
      </w:r>
      <w:r w:rsidR="00582E6E" w:rsidRPr="00C02A73">
        <w:rPr>
          <w:rFonts w:ascii="Arial" w:hAnsi="Arial" w:cs="Arial"/>
        </w:rPr>
        <w:t xml:space="preserve"> </w:t>
      </w:r>
      <w:r w:rsidR="00D351F4" w:rsidRPr="00C02A73">
        <w:rPr>
          <w:rFonts w:ascii="Arial" w:hAnsi="Arial" w:cs="Arial"/>
        </w:rPr>
        <w:t xml:space="preserve">Indeed, secretion rate, rather than concentration of salivary IgA has been found to be the </w:t>
      </w:r>
      <w:r w:rsidR="00E210AD" w:rsidRPr="00C02A73">
        <w:rPr>
          <w:rFonts w:ascii="Arial" w:hAnsi="Arial" w:cs="Arial"/>
        </w:rPr>
        <w:t>best predictor of URT</w:t>
      </w:r>
      <w:r w:rsidR="007C35BF" w:rsidRPr="00C02A73">
        <w:rPr>
          <w:rFonts w:ascii="Arial" w:hAnsi="Arial" w:cs="Arial"/>
        </w:rPr>
        <w:t xml:space="preserve"> infection </w:t>
      </w:r>
      <w:r w:rsidR="003964D0" w:rsidRPr="00C02A73">
        <w:rPr>
          <w:rFonts w:ascii="Arial" w:hAnsi="Arial" w:cs="Arial"/>
        </w:rPr>
        <w:fldChar w:fldCharType="begin"/>
      </w:r>
      <w:r w:rsidR="00A61E0A" w:rsidRPr="00C02A73">
        <w:rPr>
          <w:rFonts w:ascii="Arial" w:hAnsi="Arial" w:cs="Arial"/>
        </w:rPr>
        <w:instrText xml:space="preserve"> ADDIN EN.CITE &lt;EndNote&gt;&lt;Cite&gt;&lt;Author&gt;Bishop&lt;/Author&gt;&lt;Year&gt;2009&lt;/Year&gt;&lt;RecNum&gt;3&lt;/RecNum&gt;&lt;DisplayText&gt;(15)&lt;/DisplayText&gt;&lt;record&gt;&lt;rec-number&gt;3&lt;/rec-number&gt;&lt;foreign-keys&gt;&lt;key app="EN" db-id="ttt5azpahefvd1ex0aqxft54dvw5w5dzate2"&gt;3&lt;/key&gt;&lt;/foreign-keys&gt;&lt;ref-type name="Journal Article"&gt;17&lt;/ref-type&gt;&lt;contributors&gt;&lt;authors&gt;&lt;author&gt;Bishop, N. C.&lt;/author&gt;&lt;author&gt;Gleeson, M.&lt;/author&gt;&lt;/authors&gt;&lt;/contributors&gt;&lt;titles&gt;&lt;title&gt;Acute and chronic effects of exercise on markers of mucosal immunity&lt;/title&gt;&lt;secondary-title&gt;Front Biosci&lt;/secondary-title&gt;&lt;/titles&gt;&lt;periodical&gt;&lt;full-title&gt;Front Biosci&lt;/full-title&gt;&lt;/periodical&gt;&lt;pages&gt;4444-56&lt;/pages&gt;&lt;volume&gt;14&lt;/volume&gt;&lt;dates&gt;&lt;year&gt;2009&lt;/year&gt;&lt;/dates&gt;&lt;isbn&gt;1093-4715 (Electronic)&amp;#xD;1093-4715 (Linking)&lt;/isbn&gt;&lt;work-type&gt;Review&lt;/work-type&gt;&lt;urls&gt;&lt;/urls&gt;&lt;/record&gt;&lt;/Cite&gt;&lt;/EndNote&gt;</w:instrText>
      </w:r>
      <w:r w:rsidR="003964D0" w:rsidRPr="00C02A73">
        <w:rPr>
          <w:rFonts w:ascii="Arial" w:hAnsi="Arial" w:cs="Arial"/>
        </w:rPr>
        <w:fldChar w:fldCharType="separate"/>
      </w:r>
      <w:r w:rsidR="00A61E0A" w:rsidRPr="00C02A73">
        <w:rPr>
          <w:rFonts w:ascii="Arial" w:hAnsi="Arial" w:cs="Arial"/>
          <w:noProof/>
        </w:rPr>
        <w:t>(</w:t>
      </w:r>
      <w:hyperlink w:anchor="_ENREF_15" w:tooltip="Bishop, 2009 #3" w:history="1">
        <w:r w:rsidR="00EA05AB" w:rsidRPr="00C02A73">
          <w:rPr>
            <w:rFonts w:ascii="Arial" w:hAnsi="Arial" w:cs="Arial"/>
            <w:noProof/>
          </w:rPr>
          <w:t>15</w:t>
        </w:r>
      </w:hyperlink>
      <w:r w:rsidR="00A61E0A" w:rsidRPr="00C02A73">
        <w:rPr>
          <w:rFonts w:ascii="Arial" w:hAnsi="Arial" w:cs="Arial"/>
          <w:noProof/>
        </w:rPr>
        <w:t>)</w:t>
      </w:r>
      <w:r w:rsidR="003964D0" w:rsidRPr="00C02A73">
        <w:rPr>
          <w:rFonts w:ascii="Arial" w:hAnsi="Arial" w:cs="Arial"/>
        </w:rPr>
        <w:fldChar w:fldCharType="end"/>
      </w:r>
      <w:r w:rsidR="007C35BF" w:rsidRPr="00C02A73">
        <w:rPr>
          <w:rFonts w:ascii="Arial" w:hAnsi="Arial" w:cs="Arial"/>
        </w:rPr>
        <w:t>.</w:t>
      </w:r>
      <w:r w:rsidR="000B759E" w:rsidRPr="00C02A73">
        <w:rPr>
          <w:rFonts w:ascii="Arial" w:hAnsi="Arial" w:cs="Arial"/>
        </w:rPr>
        <w:t xml:space="preserve"> The reduced antibody secretion rate observed in</w:t>
      </w:r>
      <w:r w:rsidR="006C0CE0" w:rsidRPr="00C02A73">
        <w:rPr>
          <w:rFonts w:ascii="Arial" w:hAnsi="Arial" w:cs="Arial"/>
        </w:rPr>
        <w:t xml:space="preserve"> saliva of</w:t>
      </w:r>
      <w:r w:rsidR="000B759E" w:rsidRPr="00C02A73">
        <w:rPr>
          <w:rFonts w:ascii="Arial" w:hAnsi="Arial" w:cs="Arial"/>
        </w:rPr>
        <w:t xml:space="preserve"> older adults reveals another aspect of </w:t>
      </w:r>
      <w:r w:rsidR="00A322DF" w:rsidRPr="00C02A73">
        <w:rPr>
          <w:rFonts w:ascii="Arial" w:hAnsi="Arial" w:cs="Arial"/>
        </w:rPr>
        <w:t>immunosenescence</w:t>
      </w:r>
      <w:r w:rsidR="000B759E" w:rsidRPr="00C02A73">
        <w:rPr>
          <w:rFonts w:ascii="Arial" w:hAnsi="Arial" w:cs="Arial"/>
        </w:rPr>
        <w:t xml:space="preserve"> t</w:t>
      </w:r>
      <w:r w:rsidR="0066760E" w:rsidRPr="00C02A73">
        <w:rPr>
          <w:rFonts w:ascii="Arial" w:hAnsi="Arial" w:cs="Arial"/>
        </w:rPr>
        <w:t>hat may contribute</w:t>
      </w:r>
      <w:r w:rsidR="000B759E" w:rsidRPr="00C02A73">
        <w:rPr>
          <w:rFonts w:ascii="Arial" w:hAnsi="Arial" w:cs="Arial"/>
        </w:rPr>
        <w:t xml:space="preserve"> to infection risk in the elderly. </w:t>
      </w:r>
    </w:p>
    <w:p w:rsidR="00A047D5" w:rsidRPr="00C02A73" w:rsidRDefault="00EA05AB" w:rsidP="00582E6E">
      <w:pPr>
        <w:spacing w:line="480" w:lineRule="auto"/>
        <w:rPr>
          <w:rFonts w:ascii="Arial" w:hAnsi="Arial" w:cs="Arial"/>
        </w:rPr>
      </w:pPr>
      <w:r w:rsidRPr="00C02A73">
        <w:rPr>
          <w:rFonts w:ascii="Arial" w:hAnsi="Arial" w:cs="Arial"/>
        </w:rPr>
        <w:t>Although o</w:t>
      </w:r>
      <w:r w:rsidR="00012FDA" w:rsidRPr="00C02A73">
        <w:rPr>
          <w:rFonts w:ascii="Arial" w:hAnsi="Arial" w:cs="Arial"/>
        </w:rPr>
        <w:t xml:space="preserve">lder adults </w:t>
      </w:r>
      <w:r w:rsidR="0066760E" w:rsidRPr="00C02A73">
        <w:rPr>
          <w:rFonts w:ascii="Arial" w:hAnsi="Arial" w:cs="Arial"/>
        </w:rPr>
        <w:t xml:space="preserve">had </w:t>
      </w:r>
      <w:r w:rsidR="00012FDA" w:rsidRPr="00C02A73">
        <w:rPr>
          <w:rFonts w:ascii="Arial" w:hAnsi="Arial" w:cs="Arial"/>
        </w:rPr>
        <w:t xml:space="preserve">lower flow rates than </w:t>
      </w:r>
      <w:r w:rsidR="009B05E3" w:rsidRPr="00C02A73">
        <w:rPr>
          <w:rFonts w:ascii="Arial" w:hAnsi="Arial" w:cs="Arial"/>
        </w:rPr>
        <w:t xml:space="preserve">their </w:t>
      </w:r>
      <w:r w:rsidR="00012FDA" w:rsidRPr="00C02A73">
        <w:rPr>
          <w:rFonts w:ascii="Arial" w:hAnsi="Arial" w:cs="Arial"/>
        </w:rPr>
        <w:t xml:space="preserve">younger </w:t>
      </w:r>
      <w:r w:rsidR="009B05E3" w:rsidRPr="00C02A73">
        <w:rPr>
          <w:rFonts w:ascii="Arial" w:hAnsi="Arial" w:cs="Arial"/>
        </w:rPr>
        <w:t>counterparts</w:t>
      </w:r>
      <w:r w:rsidRPr="00C02A73">
        <w:rPr>
          <w:rFonts w:ascii="Arial" w:hAnsi="Arial" w:cs="Arial"/>
        </w:rPr>
        <w:t xml:space="preserve">, the difference was not significant; this is consistent with some previous findings others </w:t>
      </w:r>
      <w:r w:rsidRPr="00C02A73">
        <w:rPr>
          <w:rFonts w:ascii="Arial" w:hAnsi="Arial" w:cs="Arial"/>
        </w:rPr>
        <w:fldChar w:fldCharType="begin"/>
      </w:r>
      <w:r w:rsidRPr="00C02A73">
        <w:rPr>
          <w:rFonts w:ascii="Arial" w:hAnsi="Arial" w:cs="Arial"/>
        </w:rPr>
        <w:instrText xml:space="preserve"> ADDIN EN.CITE &lt;EndNote&gt;&lt;Cite&gt;&lt;Author&gt;Nagler&lt;/Author&gt;&lt;Year&gt;2004&lt;/Year&gt;&lt;RecNum&gt;27&lt;/RecNum&gt;&lt;DisplayText&gt;(25)&lt;/DisplayText&gt;&lt;record&gt;&lt;rec-number&gt;27&lt;/rec-number&gt;&lt;foreign-keys&gt;&lt;key app="EN" db-id="ttt5azpahefvd1ex0aqxft54dvw5w5dzate2"&gt;27&lt;/key&gt;&lt;/foreign-keys&gt;&lt;ref-type name="Journal Article"&gt;17&lt;/ref-type&gt;&lt;contributors&gt;&lt;authors&gt;&lt;author&gt;Nagler, R. M.&lt;/author&gt;&lt;/authors&gt;&lt;/contributors&gt;&lt;titles&gt;&lt;title&gt;Salivary glands and the aging process: mechanistic aspects, health-status and medicinal-efficacy monitoring&lt;/title&gt;&lt;secondary-title&gt;Biogerontology&lt;/secondary-title&gt;&lt;/titles&gt;&lt;periodical&gt;&lt;full-title&gt;Biogerontology&lt;/full-title&gt;&lt;/periodical&gt;&lt;pages&gt;223-33&lt;/pages&gt;&lt;volume&gt;5&lt;/volume&gt;&lt;number&gt;4&lt;/number&gt;&lt;dates&gt;&lt;year&gt;2004&lt;/year&gt;&lt;/dates&gt;&lt;isbn&gt;1389-5729 (Print)&amp;#xD;1389-5729 (Linking)&lt;/isbn&gt;&lt;work-type&gt;Review&lt;/work-type&gt;&lt;urls&gt;&lt;/urls&gt;&lt;/record&gt;&lt;/Cite&gt;&lt;/EndNote&gt;</w:instrText>
      </w:r>
      <w:r w:rsidRPr="00C02A73">
        <w:rPr>
          <w:rFonts w:ascii="Arial" w:hAnsi="Arial" w:cs="Arial"/>
        </w:rPr>
        <w:fldChar w:fldCharType="separate"/>
      </w:r>
      <w:r w:rsidRPr="00C02A73">
        <w:rPr>
          <w:rFonts w:ascii="Arial" w:hAnsi="Arial" w:cs="Arial"/>
          <w:noProof/>
        </w:rPr>
        <w:t>(</w:t>
      </w:r>
      <w:hyperlink w:anchor="_ENREF_25" w:tooltip="Nagler, 2004 #27" w:history="1">
        <w:r w:rsidRPr="00C02A73">
          <w:rPr>
            <w:rFonts w:ascii="Arial" w:hAnsi="Arial" w:cs="Arial"/>
            <w:noProof/>
          </w:rPr>
          <w:t>25</w:t>
        </w:r>
      </w:hyperlink>
      <w:r w:rsidRPr="00C02A73">
        <w:rPr>
          <w:rFonts w:ascii="Arial" w:hAnsi="Arial" w:cs="Arial"/>
          <w:noProof/>
        </w:rPr>
        <w:t>)</w:t>
      </w:r>
      <w:r w:rsidRPr="00C02A73">
        <w:rPr>
          <w:rFonts w:ascii="Arial" w:hAnsi="Arial" w:cs="Arial"/>
        </w:rPr>
        <w:fldChar w:fldCharType="end"/>
      </w:r>
      <w:r w:rsidR="007C35BF" w:rsidRPr="00C02A73">
        <w:rPr>
          <w:rFonts w:ascii="Arial" w:hAnsi="Arial" w:cs="Arial"/>
        </w:rPr>
        <w:t xml:space="preserve"> </w:t>
      </w:r>
      <w:r w:rsidRPr="00C02A73">
        <w:rPr>
          <w:rFonts w:ascii="Arial" w:hAnsi="Arial" w:cs="Arial"/>
        </w:rPr>
        <w:t xml:space="preserve">but not others </w:t>
      </w:r>
      <w:r w:rsidR="003964D0" w:rsidRPr="00C02A73">
        <w:rPr>
          <w:rFonts w:ascii="Arial" w:hAnsi="Arial" w:cs="Arial"/>
        </w:rPr>
        <w:fldChar w:fldCharType="begin"/>
      </w:r>
      <w:r w:rsidRPr="00C02A73">
        <w:rPr>
          <w:rFonts w:ascii="Arial" w:hAnsi="Arial" w:cs="Arial"/>
        </w:rPr>
        <w:instrText xml:space="preserve"> ADDIN EN.CITE &lt;EndNote&gt;&lt;Cite&gt;&lt;Author&gt;Miletic&lt;/Author&gt;&lt;Year&gt;1996&lt;/Year&gt;&lt;RecNum&gt;26&lt;/RecNum&gt;&lt;DisplayText&gt;(13, 26)&lt;/DisplayText&gt;&lt;record&gt;&lt;rec-number&gt;26&lt;/rec-number&gt;&lt;foreign-keys&gt;&lt;key app="EN" db-id="ttt5azpahefvd1ex0aqxft54dvw5w5dzate2"&gt;26&lt;/key&gt;&lt;/foreign-keys&gt;&lt;ref-type name="Journal Article"&gt;17&lt;/ref-type&gt;&lt;contributors&gt;&lt;authors&gt;&lt;author&gt;Miletic, I. D.&lt;/author&gt;&lt;author&gt;Schiffman, S. S.&lt;/author&gt;&lt;author&gt;Miletic, V. D.&lt;/author&gt;&lt;author&gt;Sattely-Miller, E. A.&lt;/author&gt;&lt;/authors&gt;&lt;/contributors&gt;&lt;titles&gt;&lt;title&gt;Salivary IgA secretion rate in young and elderly persons&lt;/title&gt;&lt;secondary-title&gt;Physiol Behav&lt;/secondary-title&gt;&lt;/titles&gt;&lt;periodical&gt;&lt;full-title&gt;Physiol Behav&lt;/full-title&gt;&lt;/periodical&gt;&lt;pages&gt;243-8&lt;/pages&gt;&lt;volume&gt;60&lt;/volume&gt;&lt;number&gt;1&lt;/number&gt;&lt;dates&gt;&lt;year&gt;1996&lt;/year&gt;&lt;/dates&gt;&lt;isbn&gt;0031-9384 (Print)&amp;#xD;0031-9384 (Linking)&lt;/isbn&gt;&lt;urls&gt;&lt;/urls&gt;&lt;/record&gt;&lt;/Cite&gt;&lt;Cite&gt;&lt;Author&gt;Gupta&lt;/Author&gt;&lt;Year&gt;2006&lt;/Year&gt;&lt;RecNum&gt;25&lt;/RecNum&gt;&lt;record&gt;&lt;rec-number&gt;25&lt;/rec-number&gt;&lt;foreign-keys&gt;&lt;key app="EN" db-id="ttt5azpahefvd1ex0aqxft54dvw5w5dzate2"&gt;25&lt;/key&gt;&lt;/foreign-keys&gt;&lt;ref-type name="Journal Article"&gt;17&lt;/ref-type&gt;&lt;contributors&gt;&lt;authors&gt;&lt;author&gt;Gupta, A.&lt;/author&gt;&lt;author&gt;Epstein, J. B.&lt;/author&gt;&lt;author&gt;Sroussi, H.&lt;/author&gt;&lt;/authors&gt;&lt;/contributors&gt;&lt;titles&gt;&lt;title&gt;Hyposalivation in elderly patients&lt;/title&gt;&lt;secondary-title&gt;J Can Dent Assoc&lt;/secondary-title&gt;&lt;/titles&gt;&lt;periodical&gt;&lt;full-title&gt;J Can Dent Assoc&lt;/full-title&gt;&lt;/periodical&gt;&lt;pages&gt;841-6&lt;/pages&gt;&lt;volume&gt;72&lt;/volume&gt;&lt;number&gt;9&lt;/number&gt;&lt;dates&gt;&lt;year&gt;2006&lt;/year&gt;&lt;/dates&gt;&lt;isbn&gt;1488-2159 (Electronic)&amp;#xD;0709-8936 (Linking)&lt;/isbn&gt;&lt;urls&gt;&lt;/urls&gt;&lt;/record&gt;&lt;/Cite&gt;&lt;/EndNote&gt;</w:instrText>
      </w:r>
      <w:r w:rsidR="003964D0" w:rsidRPr="00C02A73">
        <w:rPr>
          <w:rFonts w:ascii="Arial" w:hAnsi="Arial" w:cs="Arial"/>
        </w:rPr>
        <w:fldChar w:fldCharType="separate"/>
      </w:r>
      <w:r w:rsidRPr="00C02A73">
        <w:rPr>
          <w:rFonts w:ascii="Arial" w:hAnsi="Arial" w:cs="Arial"/>
          <w:noProof/>
        </w:rPr>
        <w:t>(</w:t>
      </w:r>
      <w:hyperlink w:anchor="_ENREF_13" w:tooltip="Miletic, 1996 #26" w:history="1">
        <w:r w:rsidRPr="00C02A73">
          <w:rPr>
            <w:rFonts w:ascii="Arial" w:hAnsi="Arial" w:cs="Arial"/>
            <w:noProof/>
          </w:rPr>
          <w:t>13</w:t>
        </w:r>
      </w:hyperlink>
      <w:r w:rsidRPr="00C02A73">
        <w:rPr>
          <w:rFonts w:ascii="Arial" w:hAnsi="Arial" w:cs="Arial"/>
          <w:noProof/>
        </w:rPr>
        <w:t xml:space="preserve">, </w:t>
      </w:r>
      <w:hyperlink w:anchor="_ENREF_26" w:tooltip="Gupta, 2006 #25" w:history="1">
        <w:r w:rsidRPr="00C02A73">
          <w:rPr>
            <w:rFonts w:ascii="Arial" w:hAnsi="Arial" w:cs="Arial"/>
            <w:noProof/>
          </w:rPr>
          <w:t>26</w:t>
        </w:r>
      </w:hyperlink>
      <w:r w:rsidRPr="00C02A73">
        <w:rPr>
          <w:rFonts w:ascii="Arial" w:hAnsi="Arial" w:cs="Arial"/>
          <w:noProof/>
        </w:rPr>
        <w:t>)</w:t>
      </w:r>
      <w:r w:rsidR="003964D0" w:rsidRPr="00C02A73">
        <w:rPr>
          <w:rFonts w:ascii="Arial" w:hAnsi="Arial" w:cs="Arial"/>
        </w:rPr>
        <w:fldChar w:fldCharType="end"/>
      </w:r>
      <w:r w:rsidR="00482F80" w:rsidRPr="00C02A73">
        <w:rPr>
          <w:rFonts w:ascii="Arial" w:hAnsi="Arial" w:cs="Arial"/>
        </w:rPr>
        <w:t xml:space="preserve">. </w:t>
      </w:r>
      <w:r w:rsidR="00B56F24" w:rsidRPr="00C02A73">
        <w:rPr>
          <w:rFonts w:ascii="Arial" w:hAnsi="Arial" w:cs="Arial"/>
        </w:rPr>
        <w:t xml:space="preserve">Dry mouth, </w:t>
      </w:r>
      <w:proofErr w:type="spellStart"/>
      <w:r w:rsidR="00B56F24" w:rsidRPr="00C02A73">
        <w:rPr>
          <w:rFonts w:ascii="Arial" w:hAnsi="Arial" w:cs="Arial"/>
        </w:rPr>
        <w:t>xerostomia</w:t>
      </w:r>
      <w:proofErr w:type="spellEnd"/>
      <w:r w:rsidR="00B56F24" w:rsidRPr="00C02A73">
        <w:rPr>
          <w:rFonts w:ascii="Arial" w:hAnsi="Arial" w:cs="Arial"/>
        </w:rPr>
        <w:t xml:space="preserve">, </w:t>
      </w:r>
      <w:r w:rsidR="00472E2C" w:rsidRPr="00C02A73">
        <w:rPr>
          <w:rFonts w:ascii="Arial" w:hAnsi="Arial" w:cs="Arial"/>
        </w:rPr>
        <w:t xml:space="preserve">is common in </w:t>
      </w:r>
      <w:r w:rsidR="00A322DF" w:rsidRPr="00C02A73">
        <w:rPr>
          <w:rFonts w:ascii="Arial" w:hAnsi="Arial" w:cs="Arial"/>
        </w:rPr>
        <w:t>older adults</w:t>
      </w:r>
      <w:r w:rsidR="00472E2C" w:rsidRPr="00C02A73">
        <w:rPr>
          <w:rFonts w:ascii="Arial" w:hAnsi="Arial" w:cs="Arial"/>
        </w:rPr>
        <w:t xml:space="preserve"> and </w:t>
      </w:r>
      <w:r w:rsidR="00A322DF" w:rsidRPr="00C02A73">
        <w:rPr>
          <w:rFonts w:ascii="Arial" w:hAnsi="Arial" w:cs="Arial"/>
        </w:rPr>
        <w:t xml:space="preserve">is </w:t>
      </w:r>
      <w:r w:rsidR="00472E2C" w:rsidRPr="00C02A73">
        <w:rPr>
          <w:rFonts w:ascii="Arial" w:hAnsi="Arial" w:cs="Arial"/>
        </w:rPr>
        <w:t>associated</w:t>
      </w:r>
      <w:r w:rsidR="007C35BF" w:rsidRPr="00C02A73">
        <w:rPr>
          <w:rFonts w:ascii="Arial" w:hAnsi="Arial" w:cs="Arial"/>
        </w:rPr>
        <w:t xml:space="preserve"> with decrease</w:t>
      </w:r>
      <w:r w:rsidR="00A322DF" w:rsidRPr="00C02A73">
        <w:rPr>
          <w:rFonts w:ascii="Arial" w:hAnsi="Arial" w:cs="Arial"/>
        </w:rPr>
        <w:t>d</w:t>
      </w:r>
      <w:r w:rsidR="007C35BF" w:rsidRPr="00C02A73">
        <w:rPr>
          <w:rFonts w:ascii="Arial" w:hAnsi="Arial" w:cs="Arial"/>
        </w:rPr>
        <w:t xml:space="preserve"> saliva flow </w:t>
      </w:r>
      <w:r w:rsidR="003964D0" w:rsidRPr="00C02A73">
        <w:rPr>
          <w:rFonts w:ascii="Arial" w:hAnsi="Arial" w:cs="Arial"/>
        </w:rPr>
        <w:fldChar w:fldCharType="begin"/>
      </w:r>
      <w:r w:rsidR="00483A41" w:rsidRPr="00C02A73">
        <w:rPr>
          <w:rFonts w:ascii="Arial" w:hAnsi="Arial" w:cs="Arial"/>
        </w:rPr>
        <w:instrText xml:space="preserve"> ADDIN EN.CITE &lt;EndNote&gt;&lt;Cite&gt;&lt;Author&gt;Nagler&lt;/Author&gt;&lt;Year&gt;2004&lt;/Year&gt;&lt;RecNum&gt;27&lt;/RecNum&gt;&lt;DisplayText&gt;(25, 26)&lt;/DisplayText&gt;&lt;record&gt;&lt;rec-number&gt;27&lt;/rec-number&gt;&lt;foreign-keys&gt;&lt;key app="EN" db-id="ttt5azpahefvd1ex0aqxft54dvw5w5dzate2"&gt;27&lt;/key&gt;&lt;/foreign-keys&gt;&lt;ref-type name="Journal Article"&gt;17&lt;/ref-type&gt;&lt;contributors&gt;&lt;authors&gt;&lt;author&gt;Nagler, R. M.&lt;/author&gt;&lt;/authors&gt;&lt;/contributors&gt;&lt;titles&gt;&lt;title&gt;Salivary glands and the aging process: mechanistic aspects, health-status and medicinal-efficacy monitoring&lt;/title&gt;&lt;secondary-title&gt;Biogerontology&lt;/secondary-title&gt;&lt;/titles&gt;&lt;periodical&gt;&lt;full-title&gt;Biogerontology&lt;/full-title&gt;&lt;/periodical&gt;&lt;pages&gt;223-33&lt;/pages&gt;&lt;volume&gt;5&lt;/volume&gt;&lt;number&gt;4&lt;/number&gt;&lt;dates&gt;&lt;year&gt;2004&lt;/year&gt;&lt;/dates&gt;&lt;isbn&gt;1389-5729 (Print)&amp;#xD;1389-5729 (Linking)&lt;/isbn&gt;&lt;work-type&gt;Review&lt;/work-type&gt;&lt;urls&gt;&lt;/urls&gt;&lt;/record&gt;&lt;/Cite&gt;&lt;Cite&gt;&lt;Author&gt;Gupta&lt;/Author&gt;&lt;Year&gt;2006&lt;/Year&gt;&lt;RecNum&gt;25&lt;/RecNum&gt;&lt;record&gt;&lt;rec-number&gt;25&lt;/rec-number&gt;&lt;foreign-keys&gt;&lt;key app="EN" db-id="ttt5azpahefvd1ex0aqxft54dvw5w5dzate2"&gt;25&lt;/key&gt;&lt;/foreign-keys&gt;&lt;ref-type name="Journal Article"&gt;17&lt;/ref-type&gt;&lt;contributors&gt;&lt;authors&gt;&lt;author&gt;Gupta, A.&lt;/author&gt;&lt;author&gt;Epstein, J. B.&lt;/author&gt;&lt;author&gt;Sroussi, H.&lt;/author&gt;&lt;/authors&gt;&lt;/contributors&gt;&lt;titles&gt;&lt;title&gt;Hyposalivation in elderly patients&lt;/title&gt;&lt;secondary-title&gt;J Can Dent Assoc&lt;/secondary-title&gt;&lt;/titles&gt;&lt;periodical&gt;&lt;full-title&gt;J Can Dent Assoc&lt;/full-title&gt;&lt;/periodical&gt;&lt;pages&gt;841-6&lt;/pages&gt;&lt;volume&gt;72&lt;/volume&gt;&lt;number&gt;9&lt;/number&gt;&lt;dates&gt;&lt;year&gt;2006&lt;/year&gt;&lt;/dates&gt;&lt;isbn&gt;1488-2159 (Electronic)&amp;#xD;0709-8936 (Linking)&lt;/isbn&gt;&lt;urls&gt;&lt;/urls&gt;&lt;/record&gt;&lt;/Cite&gt;&lt;/EndNote&gt;</w:instrText>
      </w:r>
      <w:r w:rsidR="003964D0" w:rsidRPr="00C02A73">
        <w:rPr>
          <w:rFonts w:ascii="Arial" w:hAnsi="Arial" w:cs="Arial"/>
        </w:rPr>
        <w:fldChar w:fldCharType="separate"/>
      </w:r>
      <w:r w:rsidR="00483A41" w:rsidRPr="00C02A73">
        <w:rPr>
          <w:rFonts w:ascii="Arial" w:hAnsi="Arial" w:cs="Arial"/>
          <w:noProof/>
        </w:rPr>
        <w:t>(</w:t>
      </w:r>
      <w:hyperlink w:anchor="_ENREF_25" w:tooltip="Nagler, 2004 #27" w:history="1">
        <w:r w:rsidRPr="00C02A73">
          <w:rPr>
            <w:rFonts w:ascii="Arial" w:hAnsi="Arial" w:cs="Arial"/>
            <w:noProof/>
          </w:rPr>
          <w:t>25</w:t>
        </w:r>
      </w:hyperlink>
      <w:r w:rsidR="00483A41" w:rsidRPr="00C02A73">
        <w:rPr>
          <w:rFonts w:ascii="Arial" w:hAnsi="Arial" w:cs="Arial"/>
          <w:noProof/>
        </w:rPr>
        <w:t xml:space="preserve">, </w:t>
      </w:r>
      <w:hyperlink w:anchor="_ENREF_26" w:tooltip="Gupta, 2006 #25" w:history="1">
        <w:r w:rsidRPr="00C02A73">
          <w:rPr>
            <w:rFonts w:ascii="Arial" w:hAnsi="Arial" w:cs="Arial"/>
            <w:noProof/>
          </w:rPr>
          <w:t>26</w:t>
        </w:r>
      </w:hyperlink>
      <w:r w:rsidR="00483A41" w:rsidRPr="00C02A73">
        <w:rPr>
          <w:rFonts w:ascii="Arial" w:hAnsi="Arial" w:cs="Arial"/>
          <w:noProof/>
        </w:rPr>
        <w:t>)</w:t>
      </w:r>
      <w:r w:rsidR="003964D0" w:rsidRPr="00C02A73">
        <w:rPr>
          <w:rFonts w:ascii="Arial" w:hAnsi="Arial" w:cs="Arial"/>
        </w:rPr>
        <w:fldChar w:fldCharType="end"/>
      </w:r>
      <w:r w:rsidR="0066760E" w:rsidRPr="00C02A73">
        <w:rPr>
          <w:rFonts w:ascii="Arial" w:hAnsi="Arial" w:cs="Arial"/>
        </w:rPr>
        <w:t xml:space="preserve"> and</w:t>
      </w:r>
      <w:r w:rsidR="00FF20BD" w:rsidRPr="00C02A73">
        <w:rPr>
          <w:rFonts w:ascii="Arial" w:hAnsi="Arial" w:cs="Arial"/>
        </w:rPr>
        <w:t xml:space="preserve"> an in</w:t>
      </w:r>
      <w:r w:rsidR="007C35BF" w:rsidRPr="00C02A73">
        <w:rPr>
          <w:rFonts w:ascii="Arial" w:hAnsi="Arial" w:cs="Arial"/>
        </w:rPr>
        <w:t xml:space="preserve">creased incidence of infections </w:t>
      </w:r>
      <w:r w:rsidR="003964D0" w:rsidRPr="00C02A73">
        <w:rPr>
          <w:rFonts w:ascii="Arial" w:hAnsi="Arial" w:cs="Arial"/>
        </w:rPr>
        <w:fldChar w:fldCharType="begin"/>
      </w:r>
      <w:r w:rsidR="00483A41" w:rsidRPr="00C02A73">
        <w:rPr>
          <w:rFonts w:ascii="Arial" w:hAnsi="Arial" w:cs="Arial"/>
        </w:rPr>
        <w:instrText xml:space="preserve"> ADDIN EN.CITE &lt;EndNote&gt;&lt;Cite&gt;&lt;Author&gt;Fox&lt;/Author&gt;&lt;Year&gt;1985&lt;/Year&gt;&lt;RecNum&gt;33&lt;/RecNum&gt;&lt;DisplayText&gt;(27)&lt;/DisplayText&gt;&lt;record&gt;&lt;rec-number&gt;33&lt;/rec-number&gt;&lt;foreign-keys&gt;&lt;key app="EN" db-id="ttt5azpahefvd1ex0aqxft54dvw5w5dzate2"&gt;33&lt;/key&gt;&lt;/foreign-keys&gt;&lt;ref-type name="Journal Article"&gt;17&lt;/ref-type&gt;&lt;contributors&gt;&lt;authors&gt;&lt;author&gt;Fox, PC&lt;/author&gt;&lt;author&gt;van der Ven, PF&lt;/author&gt;&lt;author&gt;Sonies, BC&lt;/author&gt;&lt;author&gt;Weiffenbach, JM&lt;/author&gt;&lt;author&gt;Baum, BJ&lt;/author&gt;&lt;/authors&gt;&lt;/contributors&gt;&lt;titles&gt;&lt;title&gt;Xerostomia: evaluation of a symptom with increasing significance&lt;/title&gt;&lt;secondary-title&gt;The Journal of the American Dental Association&lt;/secondary-title&gt;&lt;/titles&gt;&lt;periodical&gt;&lt;full-title&gt;The Journal of the American Dental Association&lt;/full-title&gt;&lt;/periodical&gt;&lt;pages&gt;519-525&lt;/pages&gt;&lt;volume&gt;110&lt;/volume&gt;&lt;number&gt;4&lt;/number&gt;&lt;dates&gt;&lt;year&gt;1985&lt;/year&gt;&lt;pub-dates&gt;&lt;date&gt;April 1, 1985&lt;/date&gt;&lt;/pub-dates&gt;&lt;/dates&gt;&lt;urls&gt;&lt;related-urls&gt;&lt;url&gt;http://jada.ada.org/content/110/4/519.abstract&lt;/url&gt;&lt;/related-urls&gt;&lt;/urls&gt;&lt;/record&gt;&lt;/Cite&gt;&lt;/EndNote&gt;</w:instrText>
      </w:r>
      <w:r w:rsidR="003964D0" w:rsidRPr="00C02A73">
        <w:rPr>
          <w:rFonts w:ascii="Arial" w:hAnsi="Arial" w:cs="Arial"/>
        </w:rPr>
        <w:fldChar w:fldCharType="separate"/>
      </w:r>
      <w:r w:rsidR="00483A41" w:rsidRPr="00C02A73">
        <w:rPr>
          <w:rFonts w:ascii="Arial" w:hAnsi="Arial" w:cs="Arial"/>
          <w:noProof/>
        </w:rPr>
        <w:t>(</w:t>
      </w:r>
      <w:hyperlink w:anchor="_ENREF_27" w:tooltip="Fox, 1985 #33" w:history="1">
        <w:r w:rsidRPr="00C02A73">
          <w:rPr>
            <w:rFonts w:ascii="Arial" w:hAnsi="Arial" w:cs="Arial"/>
            <w:noProof/>
          </w:rPr>
          <w:t>27</w:t>
        </w:r>
      </w:hyperlink>
      <w:r w:rsidR="00483A41" w:rsidRPr="00C02A73">
        <w:rPr>
          <w:rFonts w:ascii="Arial" w:hAnsi="Arial" w:cs="Arial"/>
          <w:noProof/>
        </w:rPr>
        <w:t>)</w:t>
      </w:r>
      <w:r w:rsidR="003964D0" w:rsidRPr="00C02A73">
        <w:rPr>
          <w:rFonts w:ascii="Arial" w:hAnsi="Arial" w:cs="Arial"/>
        </w:rPr>
        <w:fldChar w:fldCharType="end"/>
      </w:r>
      <w:r w:rsidR="007C35BF" w:rsidRPr="00C02A73">
        <w:rPr>
          <w:rFonts w:ascii="Arial" w:hAnsi="Arial" w:cs="Arial"/>
        </w:rPr>
        <w:t>.</w:t>
      </w:r>
      <w:r w:rsidR="002F51C5" w:rsidRPr="00C02A73">
        <w:rPr>
          <w:rFonts w:ascii="Arial" w:hAnsi="Arial" w:cs="Arial"/>
        </w:rPr>
        <w:t xml:space="preserve"> Reduced saliva flow rates in the elderly have been proposed to be driven by medication use</w:t>
      </w:r>
      <w:r w:rsidR="007C35BF" w:rsidRPr="00C02A73">
        <w:rPr>
          <w:rFonts w:ascii="Arial" w:hAnsi="Arial" w:cs="Arial"/>
        </w:rPr>
        <w:t xml:space="preserve"> </w:t>
      </w:r>
      <w:r w:rsidR="003964D0" w:rsidRPr="00C02A73">
        <w:rPr>
          <w:rFonts w:ascii="Arial" w:hAnsi="Arial" w:cs="Arial"/>
        </w:rPr>
        <w:fldChar w:fldCharType="begin"/>
      </w:r>
      <w:r w:rsidRPr="00C02A73">
        <w:rPr>
          <w:rFonts w:ascii="Arial" w:hAnsi="Arial" w:cs="Arial"/>
        </w:rPr>
        <w:instrText xml:space="preserve"> ADDIN EN.CITE &lt;EndNote&gt;&lt;Cite&gt;&lt;Author&gt;Gupta&lt;/Author&gt;&lt;Year&gt;2006&lt;/Year&gt;&lt;RecNum&gt;25&lt;/RecNum&gt;&lt;DisplayText&gt;(26)&lt;/DisplayText&gt;&lt;record&gt;&lt;rec-number&gt;25&lt;/rec-number&gt;&lt;foreign-keys&gt;&lt;key app="EN" db-id="ttt5azpahefvd1ex0aqxft54dvw5w5dzate2"&gt;25&lt;/key&gt;&lt;/foreign-keys&gt;&lt;ref-type name="Journal Article"&gt;17&lt;/ref-type&gt;&lt;contributors&gt;&lt;authors&gt;&lt;author&gt;Gupta, A.&lt;/author&gt;&lt;author&gt;Epstein, J. B.&lt;/author&gt;&lt;author&gt;Sroussi, H.&lt;/author&gt;&lt;/authors&gt;&lt;/contributors&gt;&lt;titles&gt;&lt;title&gt;Hyposalivation in elderly patients&lt;/title&gt;&lt;secondary-title&gt;J Can Dent Assoc&lt;/secondary-title&gt;&lt;/titles&gt;&lt;periodical&gt;&lt;full-title&gt;J Can Dent Assoc&lt;/full-title&gt;&lt;/periodical&gt;&lt;pages&gt;841-6&lt;/pages&gt;&lt;volume&gt;72&lt;/volume&gt;&lt;number&gt;9&lt;/number&gt;&lt;dates&gt;&lt;year&gt;2006&lt;/year&gt;&lt;/dates&gt;&lt;isbn&gt;1488-2159 (Electronic)&amp;#xD;0709-8936 (Linking)&lt;/isbn&gt;&lt;urls&gt;&lt;/urls&gt;&lt;/record&gt;&lt;/Cite&gt;&lt;/EndNote&gt;</w:instrText>
      </w:r>
      <w:r w:rsidR="003964D0" w:rsidRPr="00C02A73">
        <w:rPr>
          <w:rFonts w:ascii="Arial" w:hAnsi="Arial" w:cs="Arial"/>
        </w:rPr>
        <w:fldChar w:fldCharType="separate"/>
      </w:r>
      <w:r w:rsidRPr="00C02A73">
        <w:rPr>
          <w:rFonts w:ascii="Arial" w:hAnsi="Arial" w:cs="Arial"/>
          <w:noProof/>
        </w:rPr>
        <w:t>(</w:t>
      </w:r>
      <w:hyperlink w:anchor="_ENREF_26" w:tooltip="Gupta, 2006 #25" w:history="1">
        <w:r w:rsidRPr="00C02A73">
          <w:rPr>
            <w:rFonts w:ascii="Arial" w:hAnsi="Arial" w:cs="Arial"/>
            <w:noProof/>
          </w:rPr>
          <w:t>26</w:t>
        </w:r>
      </w:hyperlink>
      <w:r w:rsidRPr="00C02A73">
        <w:rPr>
          <w:rFonts w:ascii="Arial" w:hAnsi="Arial" w:cs="Arial"/>
          <w:noProof/>
        </w:rPr>
        <w:t>)</w:t>
      </w:r>
      <w:r w:rsidR="003964D0" w:rsidRPr="00C02A73">
        <w:rPr>
          <w:rFonts w:ascii="Arial" w:hAnsi="Arial" w:cs="Arial"/>
        </w:rPr>
        <w:fldChar w:fldCharType="end"/>
      </w:r>
      <w:r w:rsidR="007C35BF" w:rsidRPr="00C02A73">
        <w:rPr>
          <w:rFonts w:ascii="Arial" w:hAnsi="Arial" w:cs="Arial"/>
        </w:rPr>
        <w:t>.</w:t>
      </w:r>
      <w:r w:rsidR="006F2966" w:rsidRPr="00C02A73">
        <w:rPr>
          <w:rFonts w:ascii="Arial" w:hAnsi="Arial" w:cs="Arial"/>
        </w:rPr>
        <w:t xml:space="preserve"> We found that older adults taking chronic medication had lower concentrations and secret</w:t>
      </w:r>
      <w:r w:rsidR="00DD2BEF" w:rsidRPr="00C02A73">
        <w:rPr>
          <w:rFonts w:ascii="Arial" w:hAnsi="Arial" w:cs="Arial"/>
        </w:rPr>
        <w:t xml:space="preserve">ions of salivary IgM, but not </w:t>
      </w:r>
      <w:r w:rsidR="006F2966" w:rsidRPr="00C02A73">
        <w:rPr>
          <w:rFonts w:ascii="Arial" w:hAnsi="Arial" w:cs="Arial"/>
        </w:rPr>
        <w:t>IgA or IgG</w:t>
      </w:r>
      <w:r w:rsidR="00DD2BEF" w:rsidRPr="00C02A73">
        <w:rPr>
          <w:rFonts w:ascii="Arial" w:hAnsi="Arial" w:cs="Arial"/>
        </w:rPr>
        <w:t xml:space="preserve"> antibodies</w:t>
      </w:r>
      <w:r w:rsidR="006F2966" w:rsidRPr="00C02A73">
        <w:rPr>
          <w:rFonts w:ascii="Arial" w:hAnsi="Arial" w:cs="Arial"/>
        </w:rPr>
        <w:t xml:space="preserve">. </w:t>
      </w:r>
      <w:r w:rsidR="00071BEE" w:rsidRPr="00C02A73">
        <w:rPr>
          <w:rFonts w:ascii="Arial" w:hAnsi="Arial" w:cs="Arial"/>
        </w:rPr>
        <w:t xml:space="preserve"> These findings should be interpreted cautiously, as they did not withstand statistic</w:t>
      </w:r>
      <w:r w:rsidR="00387D4B" w:rsidRPr="00C02A73">
        <w:rPr>
          <w:rFonts w:ascii="Arial" w:hAnsi="Arial" w:cs="Arial"/>
        </w:rPr>
        <w:t>al adjustment</w:t>
      </w:r>
      <w:r w:rsidR="00071BEE" w:rsidRPr="00C02A73">
        <w:rPr>
          <w:rFonts w:ascii="Arial" w:hAnsi="Arial" w:cs="Arial"/>
        </w:rPr>
        <w:t xml:space="preserve">. Due to the small sample size, in addition to the low proportion </w:t>
      </w:r>
      <w:r w:rsidR="00656145" w:rsidRPr="00C02A73">
        <w:rPr>
          <w:rFonts w:ascii="Arial" w:hAnsi="Arial" w:cs="Arial"/>
        </w:rPr>
        <w:t>of</w:t>
      </w:r>
      <w:r w:rsidR="00071BEE" w:rsidRPr="00C02A73">
        <w:rPr>
          <w:rFonts w:ascii="Arial" w:hAnsi="Arial" w:cs="Arial"/>
        </w:rPr>
        <w:t xml:space="preserve"> older adults taking medication (</w:t>
      </w:r>
      <w:r w:rsidR="00656145" w:rsidRPr="00C02A73">
        <w:rPr>
          <w:rFonts w:ascii="Arial" w:hAnsi="Arial" w:cs="Arial"/>
        </w:rPr>
        <w:t>perhaps not representative of the wider elderly population</w:t>
      </w:r>
      <w:r w:rsidR="00071BEE" w:rsidRPr="00C02A73">
        <w:rPr>
          <w:rFonts w:ascii="Arial" w:hAnsi="Arial" w:cs="Arial"/>
        </w:rPr>
        <w:t>)</w:t>
      </w:r>
      <w:r w:rsidR="00656145" w:rsidRPr="00C02A73">
        <w:rPr>
          <w:rFonts w:ascii="Arial" w:hAnsi="Arial" w:cs="Arial"/>
        </w:rPr>
        <w:t>, the effects of medication on IgM</w:t>
      </w:r>
      <w:r w:rsidR="00675E0A" w:rsidRPr="00C02A73">
        <w:rPr>
          <w:rFonts w:ascii="Arial" w:hAnsi="Arial" w:cs="Arial"/>
        </w:rPr>
        <w:t xml:space="preserve"> specific</w:t>
      </w:r>
      <w:r w:rsidR="00656145" w:rsidRPr="00C02A73">
        <w:rPr>
          <w:rFonts w:ascii="Arial" w:hAnsi="Arial" w:cs="Arial"/>
        </w:rPr>
        <w:t xml:space="preserve"> antibodies should be considered preliminary findings and </w:t>
      </w:r>
      <w:r w:rsidR="00675E0A" w:rsidRPr="00C02A73">
        <w:rPr>
          <w:rFonts w:ascii="Arial" w:hAnsi="Arial" w:cs="Arial"/>
        </w:rPr>
        <w:t>the effects of medic</w:t>
      </w:r>
      <w:r w:rsidR="00EA75DA" w:rsidRPr="00C02A73">
        <w:rPr>
          <w:rFonts w:ascii="Arial" w:hAnsi="Arial" w:cs="Arial"/>
        </w:rPr>
        <w:t xml:space="preserve">ation, and also chronic disease/types of disease, </w:t>
      </w:r>
      <w:r w:rsidR="00675E0A" w:rsidRPr="00C02A73">
        <w:rPr>
          <w:rFonts w:ascii="Arial" w:hAnsi="Arial" w:cs="Arial"/>
        </w:rPr>
        <w:t xml:space="preserve">on salivary anti-bacterial antibodies </w:t>
      </w:r>
      <w:r w:rsidR="00656145" w:rsidRPr="00C02A73">
        <w:rPr>
          <w:rFonts w:ascii="Arial" w:hAnsi="Arial" w:cs="Arial"/>
        </w:rPr>
        <w:t>requires further investigation</w:t>
      </w:r>
      <w:r w:rsidR="00EA75DA" w:rsidRPr="00C02A73">
        <w:rPr>
          <w:rFonts w:ascii="Arial" w:hAnsi="Arial" w:cs="Arial"/>
        </w:rPr>
        <w:t xml:space="preserve">. </w:t>
      </w:r>
      <w:r w:rsidR="0074193E" w:rsidRPr="00C02A73">
        <w:rPr>
          <w:rFonts w:ascii="Arial" w:hAnsi="Arial" w:cs="Arial"/>
        </w:rPr>
        <w:t xml:space="preserve">Interestingly, some of the medications reported included dry mouth as a potential side effect, yet no difference in saliva flow rates were observed between those who were and were not taking medication. </w:t>
      </w:r>
      <w:r w:rsidR="00753D79" w:rsidRPr="00C02A73">
        <w:rPr>
          <w:rFonts w:ascii="Arial" w:hAnsi="Arial" w:cs="Arial"/>
        </w:rPr>
        <w:t>Studies have shown that flow rate is not affected by age in healthy individuals</w:t>
      </w:r>
      <w:r w:rsidR="007C35BF" w:rsidRPr="00C02A73">
        <w:rPr>
          <w:rFonts w:ascii="Arial" w:hAnsi="Arial" w:cs="Arial"/>
        </w:rPr>
        <w:t xml:space="preserve"> who are not taking medication </w:t>
      </w:r>
      <w:r w:rsidR="003964D0" w:rsidRPr="00C02A73">
        <w:rPr>
          <w:rFonts w:ascii="Arial" w:hAnsi="Arial" w:cs="Arial"/>
        </w:rPr>
        <w:fldChar w:fldCharType="begin"/>
      </w:r>
      <w:r w:rsidRPr="00C02A73">
        <w:rPr>
          <w:rFonts w:ascii="Arial" w:hAnsi="Arial" w:cs="Arial"/>
        </w:rPr>
        <w:instrText xml:space="preserve"> ADDIN EN.CITE &lt;EndNote&gt;&lt;Cite&gt;&lt;Author&gt;Nagler&lt;/Author&gt;&lt;Year&gt;2004&lt;/Year&gt;&lt;RecNum&gt;27&lt;/RecNum&gt;&lt;DisplayText&gt;(25)&lt;/DisplayText&gt;&lt;record&gt;&lt;rec-number&gt;27&lt;/rec-number&gt;&lt;foreign-keys&gt;&lt;key app="EN" db-id="ttt5azpahefvd1ex0aqxft54dvw5w5dzate2"&gt;27&lt;/key&gt;&lt;/foreign-keys&gt;&lt;ref-type name="Journal Article"&gt;17&lt;/ref-type&gt;&lt;contributors&gt;&lt;authors&gt;&lt;author&gt;Nagler, R. M.&lt;/author&gt;&lt;/authors&gt;&lt;/contributors&gt;&lt;titles&gt;&lt;title&gt;Salivary glands and the aging process: mechanistic aspects, health-status and medicinal-efficacy monitoring&lt;/title&gt;&lt;secondary-title&gt;Biogerontology&lt;/secondary-title&gt;&lt;/titles&gt;&lt;periodical&gt;&lt;full-title&gt;Biogerontology&lt;/full-title&gt;&lt;/periodical&gt;&lt;pages&gt;223-33&lt;/pages&gt;&lt;volume&gt;5&lt;/volume&gt;&lt;number&gt;4&lt;/number&gt;&lt;dates&gt;&lt;year&gt;2004&lt;/year&gt;&lt;/dates&gt;&lt;isbn&gt;1389-5729 (Print)&amp;#xD;1389-5729 (Linking)&lt;/isbn&gt;&lt;work-type&gt;Review&lt;/work-type&gt;&lt;urls&gt;&lt;/urls&gt;&lt;/record&gt;&lt;/Cite&gt;&lt;/EndNote&gt;</w:instrText>
      </w:r>
      <w:r w:rsidR="003964D0" w:rsidRPr="00C02A73">
        <w:rPr>
          <w:rFonts w:ascii="Arial" w:hAnsi="Arial" w:cs="Arial"/>
        </w:rPr>
        <w:fldChar w:fldCharType="separate"/>
      </w:r>
      <w:r w:rsidRPr="00C02A73">
        <w:rPr>
          <w:rFonts w:ascii="Arial" w:hAnsi="Arial" w:cs="Arial"/>
          <w:noProof/>
        </w:rPr>
        <w:t>(</w:t>
      </w:r>
      <w:hyperlink w:anchor="_ENREF_25" w:tooltip="Nagler, 2004 #27" w:history="1">
        <w:r w:rsidRPr="00C02A73">
          <w:rPr>
            <w:rFonts w:ascii="Arial" w:hAnsi="Arial" w:cs="Arial"/>
            <w:noProof/>
          </w:rPr>
          <w:t>25</w:t>
        </w:r>
      </w:hyperlink>
      <w:r w:rsidRPr="00C02A73">
        <w:rPr>
          <w:rFonts w:ascii="Arial" w:hAnsi="Arial" w:cs="Arial"/>
          <w:noProof/>
        </w:rPr>
        <w:t>)</w:t>
      </w:r>
      <w:r w:rsidR="003964D0" w:rsidRPr="00C02A73">
        <w:rPr>
          <w:rFonts w:ascii="Arial" w:hAnsi="Arial" w:cs="Arial"/>
        </w:rPr>
        <w:fldChar w:fldCharType="end"/>
      </w:r>
      <w:r w:rsidR="007C35BF" w:rsidRPr="00C02A73">
        <w:rPr>
          <w:rFonts w:ascii="Arial" w:hAnsi="Arial" w:cs="Arial"/>
        </w:rPr>
        <w:t>.</w:t>
      </w:r>
      <w:r w:rsidR="004F10A2" w:rsidRPr="00C02A73">
        <w:rPr>
          <w:rFonts w:ascii="Arial" w:hAnsi="Arial" w:cs="Arial"/>
        </w:rPr>
        <w:t xml:space="preserve"> However, in the present study, older adults who were not taking medication </w:t>
      </w:r>
      <w:r w:rsidR="00A047D5" w:rsidRPr="00C02A73">
        <w:rPr>
          <w:rFonts w:ascii="Arial" w:hAnsi="Arial" w:cs="Arial"/>
        </w:rPr>
        <w:t xml:space="preserve">also </w:t>
      </w:r>
      <w:r w:rsidR="004F10A2" w:rsidRPr="00C02A73">
        <w:rPr>
          <w:rFonts w:ascii="Arial" w:hAnsi="Arial" w:cs="Arial"/>
        </w:rPr>
        <w:t>had lower secretion rates than younger adults</w:t>
      </w:r>
      <w:r w:rsidR="00A047D5" w:rsidRPr="00C02A73">
        <w:rPr>
          <w:rFonts w:ascii="Arial" w:hAnsi="Arial" w:cs="Arial"/>
        </w:rPr>
        <w:t xml:space="preserve">. </w:t>
      </w:r>
      <w:r w:rsidR="004F10A2" w:rsidRPr="00C02A73">
        <w:rPr>
          <w:rFonts w:ascii="Arial" w:hAnsi="Arial" w:cs="Arial"/>
        </w:rPr>
        <w:t xml:space="preserve">This suggests that </w:t>
      </w:r>
      <w:r w:rsidR="00DC7704" w:rsidRPr="00C02A73">
        <w:rPr>
          <w:rFonts w:ascii="Arial" w:hAnsi="Arial" w:cs="Arial"/>
        </w:rPr>
        <w:t xml:space="preserve">the reduction in secretion rate may be due to ageing </w:t>
      </w:r>
      <w:r w:rsidR="00DC7704" w:rsidRPr="00C02A73">
        <w:rPr>
          <w:rFonts w:ascii="Arial" w:hAnsi="Arial" w:cs="Arial"/>
          <w:i/>
        </w:rPr>
        <w:t>per se</w:t>
      </w:r>
      <w:r w:rsidR="00DC7704" w:rsidRPr="00C02A73">
        <w:rPr>
          <w:rFonts w:ascii="Arial" w:hAnsi="Arial" w:cs="Arial"/>
        </w:rPr>
        <w:t xml:space="preserve">, and not simply reflecting </w:t>
      </w:r>
      <w:r w:rsidR="00A322DF" w:rsidRPr="00C02A73">
        <w:rPr>
          <w:rFonts w:ascii="Arial" w:hAnsi="Arial" w:cs="Arial"/>
        </w:rPr>
        <w:t>reduced</w:t>
      </w:r>
      <w:r w:rsidR="00E210AD" w:rsidRPr="00C02A73">
        <w:rPr>
          <w:rFonts w:ascii="Arial" w:hAnsi="Arial" w:cs="Arial"/>
        </w:rPr>
        <w:t xml:space="preserve"> flow rate due to </w:t>
      </w:r>
      <w:r w:rsidR="00DC7704" w:rsidRPr="00C02A73">
        <w:rPr>
          <w:rFonts w:ascii="Arial" w:hAnsi="Arial" w:cs="Arial"/>
        </w:rPr>
        <w:t>medication.</w:t>
      </w:r>
      <w:r w:rsidR="00B001A6" w:rsidRPr="00C02A73">
        <w:rPr>
          <w:rFonts w:ascii="Arial" w:hAnsi="Arial" w:cs="Arial"/>
        </w:rPr>
        <w:t xml:space="preserve"> </w:t>
      </w:r>
    </w:p>
    <w:p w:rsidR="00C71D55" w:rsidRPr="00C02A73" w:rsidRDefault="00767D06" w:rsidP="00767D06">
      <w:pPr>
        <w:spacing w:line="480" w:lineRule="auto"/>
        <w:rPr>
          <w:rFonts w:ascii="Arial" w:hAnsi="Arial" w:cs="Arial"/>
        </w:rPr>
      </w:pPr>
      <w:r w:rsidRPr="00C02A73">
        <w:rPr>
          <w:rFonts w:ascii="Arial" w:hAnsi="Arial" w:cs="Arial"/>
        </w:rPr>
        <w:lastRenderedPageBreak/>
        <w:t xml:space="preserve">Results in serum did not mirror those of saliva, with lower concentrations in older adults only being observed for a </w:t>
      </w:r>
      <w:r w:rsidR="009D6BD8" w:rsidRPr="00C02A73">
        <w:rPr>
          <w:rFonts w:ascii="Arial" w:hAnsi="Arial" w:cs="Arial"/>
        </w:rPr>
        <w:t>few</w:t>
      </w:r>
      <w:r w:rsidRPr="00C02A73">
        <w:rPr>
          <w:rFonts w:ascii="Arial" w:hAnsi="Arial" w:cs="Arial"/>
        </w:rPr>
        <w:t xml:space="preserve"> antibodies. Previous findings have illustrated a reduction in </w:t>
      </w:r>
      <w:r w:rsidR="000014EB" w:rsidRPr="00C02A73">
        <w:rPr>
          <w:rFonts w:ascii="Arial" w:hAnsi="Arial" w:cs="Arial"/>
        </w:rPr>
        <w:t>natural</w:t>
      </w:r>
      <w:r w:rsidR="00815966" w:rsidRPr="00C02A73">
        <w:rPr>
          <w:rFonts w:ascii="Arial" w:hAnsi="Arial" w:cs="Arial"/>
        </w:rPr>
        <w:t xml:space="preserve">ly </w:t>
      </w:r>
      <w:r w:rsidR="000014EB" w:rsidRPr="00C02A73">
        <w:rPr>
          <w:rFonts w:ascii="Arial" w:hAnsi="Arial" w:cs="Arial"/>
        </w:rPr>
        <w:t xml:space="preserve">acquired </w:t>
      </w:r>
      <w:r w:rsidRPr="00C02A73">
        <w:rPr>
          <w:rFonts w:ascii="Arial" w:hAnsi="Arial" w:cs="Arial"/>
        </w:rPr>
        <w:t xml:space="preserve">IgG and </w:t>
      </w:r>
      <w:r w:rsidR="009320D2" w:rsidRPr="00C02A73">
        <w:rPr>
          <w:rFonts w:ascii="Arial" w:hAnsi="Arial" w:cs="Arial"/>
        </w:rPr>
        <w:t xml:space="preserve">IgM </w:t>
      </w:r>
      <w:r w:rsidR="00B82F95" w:rsidRPr="00C02A73">
        <w:rPr>
          <w:rFonts w:ascii="Arial" w:hAnsi="Arial" w:cs="Arial"/>
        </w:rPr>
        <w:t xml:space="preserve">in older adults </w:t>
      </w:r>
      <w:r w:rsidR="000014EB" w:rsidRPr="00C02A73">
        <w:rPr>
          <w:rFonts w:ascii="Arial" w:hAnsi="Arial" w:cs="Arial"/>
        </w:rPr>
        <w:t>against certain pneumococcal</w:t>
      </w:r>
      <w:r w:rsidR="007C35BF" w:rsidRPr="00C02A73">
        <w:rPr>
          <w:rFonts w:ascii="Arial" w:hAnsi="Arial" w:cs="Arial"/>
        </w:rPr>
        <w:t xml:space="preserve"> serotypes</w:t>
      </w:r>
      <w:r w:rsidR="000014EB" w:rsidRPr="00C02A73">
        <w:rPr>
          <w:rFonts w:ascii="Arial" w:hAnsi="Arial" w:cs="Arial"/>
        </w:rPr>
        <w:t xml:space="preserve"> </w:t>
      </w:r>
      <w:r w:rsidR="003964D0" w:rsidRPr="00C02A73">
        <w:rPr>
          <w:rFonts w:ascii="Arial" w:hAnsi="Arial" w:cs="Arial"/>
        </w:rPr>
        <w:fldChar w:fldCharType="begin"/>
      </w:r>
      <w:r w:rsidR="00A61E0A" w:rsidRPr="00C02A73">
        <w:rPr>
          <w:rFonts w:ascii="Arial" w:hAnsi="Arial" w:cs="Arial"/>
        </w:rPr>
        <w:instrText xml:space="preserve"> ADDIN EN.CITE &lt;EndNote&gt;&lt;Cite&gt;&lt;Author&gt;Simell&lt;/Author&gt;&lt;Year&gt;2008&lt;/Year&gt;&lt;RecNum&gt;18&lt;/RecNum&gt;&lt;DisplayText&gt;(18)&lt;/DisplayText&gt;&lt;record&gt;&lt;rec-number&gt;18&lt;/rec-number&gt;&lt;foreign-keys&gt;&lt;key app="EN" db-id="ttt5azpahefvd1ex0aqxft54dvw5w5dzate2"&gt;18&lt;/key&gt;&lt;/foreign-keys&gt;&lt;ref-type name="Journal Article"&gt;17&lt;/ref-type&gt;&lt;contributors&gt;&lt;authors&gt;&lt;author&gt;Simell, B.&lt;/author&gt;&lt;author&gt;Lahdenkari, M.&lt;/author&gt;&lt;author&gt;Reunanen, A.&lt;/author&gt;&lt;author&gt;Kayhty, H.&lt;/author&gt;&lt;author&gt;Vakevainen, M.&lt;/author&gt;&lt;/authors&gt;&lt;/contributors&gt;&lt;titles&gt;&lt;title&gt;Effects of ageing and gender on naturally acquired antibodies to pneumococcal capsular polysaccharides and virulence-associated proteins&lt;/title&gt;&lt;secondary-title&gt;Clin Vaccine Immunol&lt;/secondary-title&gt;&lt;/titles&gt;&lt;periodical&gt;&lt;full-title&gt;Clin Vaccine Immunol&lt;/full-title&gt;&lt;/periodical&gt;&lt;pages&gt;1391-7&lt;/pages&gt;&lt;volume&gt;15&lt;/volume&gt;&lt;number&gt;9&lt;/number&gt;&lt;dates&gt;&lt;year&gt;2008&lt;/year&gt;&lt;/dates&gt;&lt;isbn&gt;1556-679X (Electronic)&amp;#xD;1556-679X (Linking)&lt;/isbn&gt;&lt;work-type&gt;Research Support, Non-U S Gov&amp;apos;t&lt;/work-type&gt;&lt;urls&gt;&lt;/urls&gt;&lt;/record&gt;&lt;/Cite&gt;&lt;/EndNote&gt;</w:instrText>
      </w:r>
      <w:r w:rsidR="003964D0" w:rsidRPr="00C02A73">
        <w:rPr>
          <w:rFonts w:ascii="Arial" w:hAnsi="Arial" w:cs="Arial"/>
        </w:rPr>
        <w:fldChar w:fldCharType="separate"/>
      </w:r>
      <w:r w:rsidR="00A61E0A" w:rsidRPr="00C02A73">
        <w:rPr>
          <w:rFonts w:ascii="Arial" w:hAnsi="Arial" w:cs="Arial"/>
          <w:noProof/>
        </w:rPr>
        <w:t>(</w:t>
      </w:r>
      <w:hyperlink w:anchor="_ENREF_18" w:tooltip="Simell, 2008 #18" w:history="1">
        <w:r w:rsidR="00EA05AB" w:rsidRPr="00C02A73">
          <w:rPr>
            <w:rFonts w:ascii="Arial" w:hAnsi="Arial" w:cs="Arial"/>
            <w:noProof/>
          </w:rPr>
          <w:t>18</w:t>
        </w:r>
      </w:hyperlink>
      <w:r w:rsidR="00A61E0A" w:rsidRPr="00C02A73">
        <w:rPr>
          <w:rFonts w:ascii="Arial" w:hAnsi="Arial" w:cs="Arial"/>
          <w:noProof/>
        </w:rPr>
        <w:t>)</w:t>
      </w:r>
      <w:r w:rsidR="003964D0" w:rsidRPr="00C02A73">
        <w:rPr>
          <w:rFonts w:ascii="Arial" w:hAnsi="Arial" w:cs="Arial"/>
        </w:rPr>
        <w:fldChar w:fldCharType="end"/>
      </w:r>
      <w:r w:rsidR="007C35BF" w:rsidRPr="00C02A73">
        <w:rPr>
          <w:rFonts w:ascii="Arial" w:hAnsi="Arial" w:cs="Arial"/>
        </w:rPr>
        <w:t>.</w:t>
      </w:r>
      <w:r w:rsidR="00FE5DBB" w:rsidRPr="00C02A73">
        <w:rPr>
          <w:rFonts w:ascii="Arial" w:hAnsi="Arial" w:cs="Arial"/>
        </w:rPr>
        <w:t xml:space="preserve"> </w:t>
      </w:r>
      <w:r w:rsidR="007A3D2B" w:rsidRPr="00C02A73">
        <w:rPr>
          <w:rFonts w:ascii="Arial" w:hAnsi="Arial" w:cs="Arial"/>
        </w:rPr>
        <w:t xml:space="preserve">Interestingly, </w:t>
      </w:r>
      <w:r w:rsidR="00E5119C" w:rsidRPr="00C02A73">
        <w:rPr>
          <w:rFonts w:ascii="Arial" w:hAnsi="Arial" w:cs="Arial"/>
        </w:rPr>
        <w:t xml:space="preserve">the majority from both age groups </w:t>
      </w:r>
      <w:r w:rsidR="009C61A0" w:rsidRPr="00C02A73">
        <w:rPr>
          <w:rFonts w:ascii="Arial" w:hAnsi="Arial" w:cs="Arial"/>
        </w:rPr>
        <w:t xml:space="preserve">demonstrated protective levels on </w:t>
      </w:r>
      <w:r w:rsidR="00E5119C" w:rsidRPr="00C02A73">
        <w:rPr>
          <w:rFonts w:ascii="Arial" w:hAnsi="Arial" w:cs="Arial"/>
        </w:rPr>
        <w:t xml:space="preserve">≥ 8 </w:t>
      </w:r>
      <w:r w:rsidR="009C61A0" w:rsidRPr="00C02A73">
        <w:rPr>
          <w:rFonts w:ascii="Arial" w:hAnsi="Arial" w:cs="Arial"/>
        </w:rPr>
        <w:t xml:space="preserve">of the 12 </w:t>
      </w:r>
      <w:proofErr w:type="spellStart"/>
      <w:r w:rsidR="009C61A0" w:rsidRPr="00C02A73">
        <w:rPr>
          <w:rFonts w:ascii="Arial" w:hAnsi="Arial" w:cs="Arial"/>
        </w:rPr>
        <w:t>Pn</w:t>
      </w:r>
      <w:proofErr w:type="spellEnd"/>
      <w:r w:rsidR="009C61A0" w:rsidRPr="00C02A73">
        <w:rPr>
          <w:rFonts w:ascii="Arial" w:hAnsi="Arial" w:cs="Arial"/>
        </w:rPr>
        <w:t xml:space="preserve"> serotypes</w:t>
      </w:r>
      <w:r w:rsidR="00C71D55" w:rsidRPr="00C02A73">
        <w:rPr>
          <w:rFonts w:ascii="Arial" w:hAnsi="Arial" w:cs="Arial"/>
        </w:rPr>
        <w:t>, yet ≤ 35% ha</w:t>
      </w:r>
      <w:r w:rsidR="00E5119C" w:rsidRPr="00C02A73">
        <w:rPr>
          <w:rFonts w:ascii="Arial" w:hAnsi="Arial" w:cs="Arial"/>
        </w:rPr>
        <w:t>d been vaccinated. Implying</w:t>
      </w:r>
      <w:r w:rsidR="00C71D55" w:rsidRPr="00C02A73">
        <w:rPr>
          <w:rFonts w:ascii="Arial" w:hAnsi="Arial" w:cs="Arial"/>
        </w:rPr>
        <w:t xml:space="preserve"> that in healthy individuals, </w:t>
      </w:r>
      <w:r w:rsidR="00E5119C" w:rsidRPr="00C02A73">
        <w:rPr>
          <w:rFonts w:ascii="Arial" w:hAnsi="Arial" w:cs="Arial"/>
        </w:rPr>
        <w:t>high proportions achieve</w:t>
      </w:r>
      <w:r w:rsidR="00C71D55" w:rsidRPr="00C02A73">
        <w:rPr>
          <w:rFonts w:ascii="Arial" w:hAnsi="Arial" w:cs="Arial"/>
        </w:rPr>
        <w:t xml:space="preserve"> protective levels through nat</w:t>
      </w:r>
      <w:r w:rsidR="00F97601" w:rsidRPr="00C02A73">
        <w:rPr>
          <w:rFonts w:ascii="Arial" w:hAnsi="Arial" w:cs="Arial"/>
        </w:rPr>
        <w:t>ural exposure</w:t>
      </w:r>
      <w:r w:rsidR="00C71D55" w:rsidRPr="00C02A73">
        <w:rPr>
          <w:rFonts w:ascii="Arial" w:hAnsi="Arial" w:cs="Arial"/>
        </w:rPr>
        <w:t xml:space="preserve">. </w:t>
      </w:r>
      <w:r w:rsidR="00C12183" w:rsidRPr="00C02A73">
        <w:rPr>
          <w:rFonts w:ascii="Arial" w:hAnsi="Arial" w:cs="Arial"/>
        </w:rPr>
        <w:t xml:space="preserve">However, </w:t>
      </w:r>
      <w:r w:rsidR="00633CBE" w:rsidRPr="00C02A73">
        <w:rPr>
          <w:rFonts w:ascii="Arial" w:hAnsi="Arial" w:cs="Arial"/>
        </w:rPr>
        <w:t>protection against bacteria may</w:t>
      </w:r>
      <w:r w:rsidR="00E5119C" w:rsidRPr="00C02A73">
        <w:rPr>
          <w:rFonts w:ascii="Arial" w:hAnsi="Arial" w:cs="Arial"/>
        </w:rPr>
        <w:t xml:space="preserve"> </w:t>
      </w:r>
      <w:r w:rsidR="00E12912" w:rsidRPr="00C02A73">
        <w:rPr>
          <w:rFonts w:ascii="Arial" w:hAnsi="Arial" w:cs="Arial"/>
        </w:rPr>
        <w:t>depend</w:t>
      </w:r>
      <w:r w:rsidR="00633CBE" w:rsidRPr="00C02A73">
        <w:rPr>
          <w:rFonts w:ascii="Arial" w:hAnsi="Arial" w:cs="Arial"/>
        </w:rPr>
        <w:t xml:space="preserve"> </w:t>
      </w:r>
      <w:r w:rsidR="00E12912" w:rsidRPr="00C02A73">
        <w:rPr>
          <w:rFonts w:ascii="Arial" w:hAnsi="Arial" w:cs="Arial"/>
        </w:rPr>
        <w:t xml:space="preserve">on </w:t>
      </w:r>
      <w:r w:rsidR="00D3578E" w:rsidRPr="00C02A73">
        <w:rPr>
          <w:rFonts w:ascii="Arial" w:hAnsi="Arial" w:cs="Arial"/>
        </w:rPr>
        <w:t xml:space="preserve">antibody function </w:t>
      </w:r>
      <w:r w:rsidR="00E5119C" w:rsidRPr="00C02A73">
        <w:rPr>
          <w:rFonts w:ascii="Arial" w:hAnsi="Arial" w:cs="Arial"/>
        </w:rPr>
        <w:t>and not just antibody availability</w:t>
      </w:r>
      <w:r w:rsidR="00660167" w:rsidRPr="00C02A73">
        <w:rPr>
          <w:rFonts w:ascii="Arial" w:hAnsi="Arial" w:cs="Arial"/>
        </w:rPr>
        <w:t xml:space="preserve">: </w:t>
      </w:r>
      <w:r w:rsidR="00D3578E" w:rsidRPr="00C02A73">
        <w:rPr>
          <w:rFonts w:ascii="Arial" w:hAnsi="Arial" w:cs="Arial"/>
        </w:rPr>
        <w:t xml:space="preserve">deficits in </w:t>
      </w:r>
      <w:proofErr w:type="spellStart"/>
      <w:r w:rsidR="00D3578E" w:rsidRPr="00C02A73">
        <w:rPr>
          <w:rFonts w:ascii="Arial" w:hAnsi="Arial" w:cs="Arial"/>
        </w:rPr>
        <w:t>opsonophagocytic</w:t>
      </w:r>
      <w:proofErr w:type="spellEnd"/>
      <w:r w:rsidR="00D3578E" w:rsidRPr="00C02A73">
        <w:rPr>
          <w:rFonts w:ascii="Arial" w:hAnsi="Arial" w:cs="Arial"/>
        </w:rPr>
        <w:t xml:space="preserve"> activity and avidity may contribute to risk of pneumo</w:t>
      </w:r>
      <w:r w:rsidR="00A3294D" w:rsidRPr="00C02A73">
        <w:rPr>
          <w:rFonts w:ascii="Arial" w:hAnsi="Arial" w:cs="Arial"/>
        </w:rPr>
        <w:t xml:space="preserve">coccal infection in the elderly </w:t>
      </w:r>
      <w:r w:rsidR="003964D0" w:rsidRPr="00C02A73">
        <w:rPr>
          <w:rFonts w:ascii="Arial" w:hAnsi="Arial" w:cs="Arial"/>
        </w:rPr>
        <w:fldChar w:fldCharType="begin"/>
      </w:r>
      <w:r w:rsidR="005920B3" w:rsidRPr="00C02A73">
        <w:rPr>
          <w:rFonts w:ascii="Arial" w:hAnsi="Arial" w:cs="Arial"/>
        </w:rPr>
        <w:instrText xml:space="preserve"> ADDIN EN.CITE &lt;EndNote&gt;&lt;Cite&gt;&lt;Author&gt;Krone&lt;/Author&gt;&lt;Year&gt;2014&lt;/Year&gt;&lt;RecNum&gt;7&lt;/RecNum&gt;&lt;DisplayText&gt;(5)&lt;/DisplayText&gt;&lt;record&gt;&lt;rec-number&gt;7&lt;/rec-number&gt;&lt;foreign-keys&gt;&lt;key app="EN" db-id="ttt5azpahefvd1ex0aqxft54dvw5w5dzate2"&gt;7&lt;/key&gt;&lt;/foreign-keys&gt;&lt;ref-type name="Journal Article"&gt;17&lt;/ref-type&gt;&lt;contributors&gt;&lt;authors&gt;&lt;author&gt;Krone, C. L.&lt;/author&gt;&lt;author&gt;van de Groep, K.&lt;/author&gt;&lt;author&gt;Trzcinski, K.&lt;/author&gt;&lt;author&gt;Sanders, E. A.&lt;/author&gt;&lt;author&gt;Bogaert, D.&lt;/author&gt;&lt;/authors&gt;&lt;/contributors&gt;&lt;titles&gt;&lt;title&gt;Immunosenescence and pneumococcal disease: an imbalance in host-pathogen interactions&lt;/title&gt;&lt;secondary-title&gt;Lancet Respir Med&lt;/secondary-title&gt;&lt;/titles&gt;&lt;periodical&gt;&lt;full-title&gt;Lancet Respir Med&lt;/full-title&gt;&lt;/periodical&gt;&lt;pages&gt;141-53&lt;/pages&gt;&lt;volume&gt;2&lt;/volume&gt;&lt;number&gt;2&lt;/number&gt;&lt;dates&gt;&lt;year&gt;2014&lt;/year&gt;&lt;/dates&gt;&lt;isbn&gt;2213-2600 (Print)&amp;#xD;2213-2600 (Linking)&lt;/isbn&gt;&lt;work-type&gt;Research Support, Non-U S Gov&amp;apos;t&amp;#xD;Review&lt;/work-type&gt;&lt;urls&gt;&lt;/urls&gt;&lt;/record&gt;&lt;/Cite&gt;&lt;/EndNote&gt;</w:instrText>
      </w:r>
      <w:r w:rsidR="003964D0" w:rsidRPr="00C02A73">
        <w:rPr>
          <w:rFonts w:ascii="Arial" w:hAnsi="Arial" w:cs="Arial"/>
        </w:rPr>
        <w:fldChar w:fldCharType="separate"/>
      </w:r>
      <w:r w:rsidR="005920B3" w:rsidRPr="00C02A73">
        <w:rPr>
          <w:rFonts w:ascii="Arial" w:hAnsi="Arial" w:cs="Arial"/>
          <w:noProof/>
        </w:rPr>
        <w:t>(</w:t>
      </w:r>
      <w:hyperlink w:anchor="_ENREF_5" w:tooltip="Krone, 2014 #7" w:history="1">
        <w:r w:rsidR="00EA05AB" w:rsidRPr="00C02A73">
          <w:rPr>
            <w:rFonts w:ascii="Arial" w:hAnsi="Arial" w:cs="Arial"/>
            <w:noProof/>
          </w:rPr>
          <w:t>5</w:t>
        </w:r>
      </w:hyperlink>
      <w:r w:rsidR="005920B3" w:rsidRPr="00C02A73">
        <w:rPr>
          <w:rFonts w:ascii="Arial" w:hAnsi="Arial" w:cs="Arial"/>
          <w:noProof/>
        </w:rPr>
        <w:t>)</w:t>
      </w:r>
      <w:r w:rsidR="003964D0" w:rsidRPr="00C02A73">
        <w:rPr>
          <w:rFonts w:ascii="Arial" w:hAnsi="Arial" w:cs="Arial"/>
        </w:rPr>
        <w:fldChar w:fldCharType="end"/>
      </w:r>
      <w:r w:rsidR="00A3294D" w:rsidRPr="00C02A73">
        <w:rPr>
          <w:rFonts w:ascii="Arial" w:hAnsi="Arial" w:cs="Arial"/>
        </w:rPr>
        <w:t>.</w:t>
      </w:r>
      <w:r w:rsidR="005D68DD" w:rsidRPr="00C02A73">
        <w:rPr>
          <w:rFonts w:ascii="Arial" w:hAnsi="Arial" w:cs="Arial"/>
        </w:rPr>
        <w:t xml:space="preserve"> </w:t>
      </w:r>
    </w:p>
    <w:p w:rsidR="00471B3D" w:rsidRPr="00C02A73" w:rsidRDefault="00247CF6" w:rsidP="006F4B20">
      <w:pPr>
        <w:spacing w:line="480" w:lineRule="auto"/>
        <w:rPr>
          <w:rFonts w:ascii="Arial" w:hAnsi="Arial" w:cs="Arial"/>
        </w:rPr>
      </w:pPr>
      <w:r w:rsidRPr="00C02A73">
        <w:rPr>
          <w:rFonts w:ascii="Arial" w:hAnsi="Arial" w:cs="Arial"/>
        </w:rPr>
        <w:t>Y</w:t>
      </w:r>
      <w:r w:rsidR="009C61A0" w:rsidRPr="00C02A73">
        <w:rPr>
          <w:rFonts w:ascii="Arial" w:hAnsi="Arial" w:cs="Arial"/>
        </w:rPr>
        <w:t>ounger</w:t>
      </w:r>
      <w:r w:rsidR="009F0CC5" w:rsidRPr="00C02A73">
        <w:rPr>
          <w:rFonts w:ascii="Arial" w:hAnsi="Arial" w:cs="Arial"/>
        </w:rPr>
        <w:t xml:space="preserve"> adults who had received PPV23 </w:t>
      </w:r>
      <w:r w:rsidR="009C61A0" w:rsidRPr="00C02A73">
        <w:rPr>
          <w:rFonts w:ascii="Arial" w:hAnsi="Arial" w:cs="Arial"/>
        </w:rPr>
        <w:t xml:space="preserve">had higher </w:t>
      </w:r>
      <w:r w:rsidR="0017701F" w:rsidRPr="00C02A73">
        <w:rPr>
          <w:rFonts w:ascii="Arial" w:hAnsi="Arial" w:cs="Arial"/>
        </w:rPr>
        <w:t xml:space="preserve">serum </w:t>
      </w:r>
      <w:r w:rsidR="009C61A0" w:rsidRPr="00C02A73">
        <w:rPr>
          <w:rFonts w:ascii="Arial" w:hAnsi="Arial" w:cs="Arial"/>
        </w:rPr>
        <w:t>antibody concentrations</w:t>
      </w:r>
      <w:r w:rsidRPr="00C02A73">
        <w:rPr>
          <w:rFonts w:ascii="Arial" w:hAnsi="Arial" w:cs="Arial"/>
        </w:rPr>
        <w:t xml:space="preserve"> across immunoglobulins and serotypes, where</w:t>
      </w:r>
      <w:r w:rsidR="00C12183" w:rsidRPr="00C02A73">
        <w:rPr>
          <w:rFonts w:ascii="Arial" w:hAnsi="Arial" w:cs="Arial"/>
        </w:rPr>
        <w:t>as</w:t>
      </w:r>
      <w:r w:rsidRPr="00C02A73">
        <w:rPr>
          <w:rFonts w:ascii="Arial" w:hAnsi="Arial" w:cs="Arial"/>
        </w:rPr>
        <w:t xml:space="preserve"> </w:t>
      </w:r>
      <w:r w:rsidR="00E90BF1" w:rsidRPr="00C02A73">
        <w:rPr>
          <w:rFonts w:ascii="Arial" w:hAnsi="Arial" w:cs="Arial"/>
        </w:rPr>
        <w:t xml:space="preserve">minimal differences were observed between vaccinated and unvaccinated older adults. </w:t>
      </w:r>
      <w:r w:rsidR="00387D4B" w:rsidRPr="00C02A73">
        <w:rPr>
          <w:rFonts w:ascii="Arial" w:hAnsi="Arial" w:cs="Arial"/>
        </w:rPr>
        <w:t xml:space="preserve"> Y</w:t>
      </w:r>
      <w:r w:rsidRPr="00C02A73">
        <w:rPr>
          <w:rFonts w:ascii="Arial" w:hAnsi="Arial" w:cs="Arial"/>
        </w:rPr>
        <w:t>ounger adults who had been vaccinated had higher antibody concentrations than vaccinated older adults</w:t>
      </w:r>
      <w:r w:rsidR="00E90BF1" w:rsidRPr="00C02A73">
        <w:rPr>
          <w:rFonts w:ascii="Arial" w:hAnsi="Arial" w:cs="Arial"/>
        </w:rPr>
        <w:t xml:space="preserve">, suggesting </w:t>
      </w:r>
      <w:r w:rsidR="00E12912" w:rsidRPr="00C02A73">
        <w:rPr>
          <w:rFonts w:ascii="Arial" w:hAnsi="Arial" w:cs="Arial"/>
        </w:rPr>
        <w:t>an age-related deterioration in the</w:t>
      </w:r>
      <w:r w:rsidR="00862BB4" w:rsidRPr="00C02A73">
        <w:rPr>
          <w:rFonts w:ascii="Arial" w:hAnsi="Arial" w:cs="Arial"/>
        </w:rPr>
        <w:t xml:space="preserve"> </w:t>
      </w:r>
      <w:r w:rsidR="00E90BF1" w:rsidRPr="00C02A73">
        <w:rPr>
          <w:rFonts w:ascii="Arial" w:hAnsi="Arial" w:cs="Arial"/>
        </w:rPr>
        <w:t>primary response and/or memory</w:t>
      </w:r>
      <w:r w:rsidR="008F0852" w:rsidRPr="00C02A73">
        <w:rPr>
          <w:rFonts w:ascii="Arial" w:hAnsi="Arial" w:cs="Arial"/>
        </w:rPr>
        <w:t xml:space="preserve">.  Although this may support </w:t>
      </w:r>
      <w:r w:rsidR="00242347" w:rsidRPr="00C02A73">
        <w:rPr>
          <w:rFonts w:ascii="Arial" w:hAnsi="Arial" w:cs="Arial"/>
        </w:rPr>
        <w:t>impaired vaccination efficacy</w:t>
      </w:r>
      <w:r w:rsidR="007662CA" w:rsidRPr="00C02A73">
        <w:rPr>
          <w:rFonts w:ascii="Arial" w:hAnsi="Arial" w:cs="Arial"/>
        </w:rPr>
        <w:t xml:space="preserve"> </w:t>
      </w:r>
      <w:r w:rsidR="008F0852" w:rsidRPr="00C02A73">
        <w:rPr>
          <w:rFonts w:ascii="Arial" w:hAnsi="Arial" w:cs="Arial"/>
        </w:rPr>
        <w:t xml:space="preserve">of PPV23 </w:t>
      </w:r>
      <w:r w:rsidR="00F5126C" w:rsidRPr="00C02A73">
        <w:rPr>
          <w:rFonts w:ascii="Arial" w:hAnsi="Arial" w:cs="Arial"/>
        </w:rPr>
        <w:t>with ageing</w:t>
      </w:r>
      <w:r w:rsidR="008F0852" w:rsidRPr="00C02A73">
        <w:rPr>
          <w:rFonts w:ascii="Arial" w:hAnsi="Arial" w:cs="Arial"/>
        </w:rPr>
        <w:t xml:space="preserve"> </w:t>
      </w:r>
      <w:r w:rsidR="00A3294D" w:rsidRPr="00C02A73">
        <w:rPr>
          <w:rFonts w:ascii="Arial" w:hAnsi="Arial" w:cs="Arial"/>
        </w:rPr>
        <w:t>highlighted previously</w:t>
      </w:r>
      <w:r w:rsidR="00483A41" w:rsidRPr="00C02A73">
        <w:rPr>
          <w:rFonts w:ascii="Arial" w:hAnsi="Arial" w:cs="Arial"/>
        </w:rPr>
        <w:t xml:space="preserve"> </w:t>
      </w:r>
      <w:r w:rsidR="00483A41" w:rsidRPr="00C02A73">
        <w:rPr>
          <w:rFonts w:ascii="Arial" w:hAnsi="Arial" w:cs="Arial"/>
        </w:rPr>
        <w:fldChar w:fldCharType="begin"/>
      </w:r>
      <w:r w:rsidR="00483A41" w:rsidRPr="00C02A73">
        <w:rPr>
          <w:rFonts w:ascii="Arial" w:hAnsi="Arial" w:cs="Arial"/>
        </w:rPr>
        <w:instrText xml:space="preserve"> ADDIN EN.CITE &lt;EndNote&gt;&lt;Cite&gt;&lt;Author&gt;Park&lt;/Author&gt;&lt;Year&gt;2011&lt;/Year&gt;&lt;RecNum&gt;37&lt;/RecNum&gt;&lt;DisplayText&gt;(28)&lt;/DisplayText&gt;&lt;record&gt;&lt;rec-number&gt;37&lt;/rec-number&gt;&lt;foreign-keys&gt;&lt;key app="EN" db-id="ttt5azpahefvd1ex0aqxft54dvw5w5dzate2"&gt;37&lt;/key&gt;&lt;/foreign-keys&gt;&lt;ref-type name="Journal Article"&gt;17&lt;/ref-type&gt;&lt;contributors&gt;&lt;authors&gt;&lt;author&gt;Park, S.&lt;/author&gt;&lt;author&gt;Nahm, M. H.&lt;/author&gt;&lt;/authors&gt;&lt;/contributors&gt;&lt;titles&gt;&lt;title&gt;Older adults have a low capacity to opsonize pneumococci due to low IgM antibody response to pneumococcal vaccinations&lt;/title&gt;&lt;secondary-title&gt;Infect Immun&lt;/secondary-title&gt;&lt;/titles&gt;&lt;periodical&gt;&lt;full-title&gt;Infect Immun&lt;/full-title&gt;&lt;/periodical&gt;&lt;pages&gt;314-20&lt;/pages&gt;&lt;volume&gt;79&lt;/volume&gt;&lt;number&gt;1&lt;/number&gt;&lt;dates&gt;&lt;year&gt;2011&lt;/year&gt;&lt;/dates&gt;&lt;isbn&gt;1098-5522 (Electronic)&amp;#xD;0019-9567 (Linking)&lt;/isbn&gt;&lt;work-type&gt;Research Support, N I H , Extramural&lt;/work-type&gt;&lt;urls&gt;&lt;/urls&gt;&lt;/record&gt;&lt;/Cite&gt;&lt;/EndNote&gt;</w:instrText>
      </w:r>
      <w:r w:rsidR="00483A41" w:rsidRPr="00C02A73">
        <w:rPr>
          <w:rFonts w:ascii="Arial" w:hAnsi="Arial" w:cs="Arial"/>
        </w:rPr>
        <w:fldChar w:fldCharType="separate"/>
      </w:r>
      <w:r w:rsidR="00483A41" w:rsidRPr="00C02A73">
        <w:rPr>
          <w:rFonts w:ascii="Arial" w:hAnsi="Arial" w:cs="Arial"/>
          <w:noProof/>
        </w:rPr>
        <w:t>(</w:t>
      </w:r>
      <w:hyperlink w:anchor="_ENREF_28" w:tooltip="Park, 2011 #37" w:history="1">
        <w:r w:rsidR="00EA05AB" w:rsidRPr="00C02A73">
          <w:rPr>
            <w:rFonts w:ascii="Arial" w:hAnsi="Arial" w:cs="Arial"/>
            <w:noProof/>
          </w:rPr>
          <w:t>28</w:t>
        </w:r>
      </w:hyperlink>
      <w:r w:rsidR="00483A41" w:rsidRPr="00C02A73">
        <w:rPr>
          <w:rFonts w:ascii="Arial" w:hAnsi="Arial" w:cs="Arial"/>
          <w:noProof/>
        </w:rPr>
        <w:t>)</w:t>
      </w:r>
      <w:r w:rsidR="00483A41" w:rsidRPr="00C02A73">
        <w:rPr>
          <w:rFonts w:ascii="Arial" w:hAnsi="Arial" w:cs="Arial"/>
        </w:rPr>
        <w:fldChar w:fldCharType="end"/>
      </w:r>
      <w:r w:rsidR="008F0852" w:rsidRPr="00C02A73">
        <w:rPr>
          <w:rFonts w:ascii="Arial" w:hAnsi="Arial" w:cs="Arial"/>
        </w:rPr>
        <w:t xml:space="preserve">, </w:t>
      </w:r>
      <w:r w:rsidR="009F0CC5" w:rsidRPr="00C02A73">
        <w:rPr>
          <w:rFonts w:ascii="Arial" w:hAnsi="Arial" w:cs="Arial"/>
        </w:rPr>
        <w:t xml:space="preserve">this cannot be determined </w:t>
      </w:r>
      <w:r w:rsidR="00387D4B" w:rsidRPr="00C02A73">
        <w:rPr>
          <w:rFonts w:ascii="Arial" w:hAnsi="Arial" w:cs="Arial"/>
        </w:rPr>
        <w:t>in this</w:t>
      </w:r>
      <w:r w:rsidR="00E12912" w:rsidRPr="00C02A73">
        <w:rPr>
          <w:rFonts w:ascii="Arial" w:hAnsi="Arial" w:cs="Arial"/>
        </w:rPr>
        <w:t xml:space="preserve"> </w:t>
      </w:r>
      <w:r w:rsidR="009F0CC5" w:rsidRPr="00C02A73">
        <w:rPr>
          <w:rFonts w:ascii="Arial" w:hAnsi="Arial" w:cs="Arial"/>
        </w:rPr>
        <w:t xml:space="preserve">cross-sectional </w:t>
      </w:r>
      <w:r w:rsidR="00387D4B" w:rsidRPr="00C02A73">
        <w:rPr>
          <w:rFonts w:ascii="Arial" w:hAnsi="Arial" w:cs="Arial"/>
        </w:rPr>
        <w:t>study</w:t>
      </w:r>
      <w:r w:rsidR="00023DF5" w:rsidRPr="00C02A73">
        <w:rPr>
          <w:rFonts w:ascii="Arial" w:hAnsi="Arial" w:cs="Arial"/>
        </w:rPr>
        <w:t>.</w:t>
      </w:r>
      <w:r w:rsidR="00670DFF" w:rsidRPr="00C02A73">
        <w:rPr>
          <w:rFonts w:ascii="Arial" w:hAnsi="Arial" w:cs="Arial"/>
        </w:rPr>
        <w:t xml:space="preserve"> </w:t>
      </w:r>
      <w:r w:rsidR="00450F1B" w:rsidRPr="00C02A73">
        <w:rPr>
          <w:rFonts w:ascii="Arial" w:hAnsi="Arial" w:cs="Arial"/>
        </w:rPr>
        <w:t>The</w:t>
      </w:r>
      <w:r w:rsidR="009F0CC5" w:rsidRPr="00C02A73">
        <w:rPr>
          <w:rFonts w:ascii="Arial" w:hAnsi="Arial" w:cs="Arial"/>
        </w:rPr>
        <w:t xml:space="preserve"> PPV23</w:t>
      </w:r>
      <w:r w:rsidR="00450F1B" w:rsidRPr="00C02A73">
        <w:rPr>
          <w:rFonts w:ascii="Arial" w:hAnsi="Arial" w:cs="Arial"/>
        </w:rPr>
        <w:t xml:space="preserve"> program</w:t>
      </w:r>
      <w:r w:rsidR="004A4D02" w:rsidRPr="00C02A73">
        <w:rPr>
          <w:rFonts w:ascii="Arial" w:hAnsi="Arial" w:cs="Arial"/>
        </w:rPr>
        <w:t>me in the UK for those aged &gt;</w:t>
      </w:r>
      <w:r w:rsidR="00450F1B" w:rsidRPr="00C02A73">
        <w:rPr>
          <w:rFonts w:ascii="Arial" w:hAnsi="Arial" w:cs="Arial"/>
        </w:rPr>
        <w:t xml:space="preserve"> 65 </w:t>
      </w:r>
      <w:r w:rsidR="00023DF5" w:rsidRPr="00C02A73">
        <w:rPr>
          <w:rFonts w:ascii="Arial" w:hAnsi="Arial" w:cs="Arial"/>
        </w:rPr>
        <w:t>shows</w:t>
      </w:r>
      <w:r w:rsidR="00471B3D" w:rsidRPr="00C02A73">
        <w:rPr>
          <w:rFonts w:ascii="Arial" w:hAnsi="Arial" w:cs="Arial"/>
        </w:rPr>
        <w:t xml:space="preserve"> little impact on incidence rates of </w:t>
      </w:r>
      <w:r w:rsidR="00450F1B" w:rsidRPr="00C02A73">
        <w:rPr>
          <w:rFonts w:ascii="Arial" w:hAnsi="Arial" w:cs="Arial"/>
        </w:rPr>
        <w:t>invasive pneumococcal disease</w:t>
      </w:r>
      <w:r w:rsidR="008462CE" w:rsidRPr="00C02A73">
        <w:rPr>
          <w:rFonts w:ascii="Arial" w:hAnsi="Arial" w:cs="Arial"/>
        </w:rPr>
        <w:t xml:space="preserve"> (IPD)</w:t>
      </w:r>
      <w:r w:rsidR="00A3294D" w:rsidRPr="00C02A73">
        <w:rPr>
          <w:rFonts w:ascii="Arial" w:hAnsi="Arial" w:cs="Arial"/>
        </w:rPr>
        <w:t xml:space="preserve"> </w:t>
      </w:r>
      <w:r w:rsidR="003964D0" w:rsidRPr="00C02A73">
        <w:rPr>
          <w:rFonts w:ascii="Arial" w:hAnsi="Arial" w:cs="Arial"/>
        </w:rPr>
        <w:fldChar w:fldCharType="begin"/>
      </w:r>
      <w:r w:rsidR="00483A41" w:rsidRPr="00C02A73">
        <w:rPr>
          <w:rFonts w:ascii="Arial" w:hAnsi="Arial" w:cs="Arial"/>
        </w:rPr>
        <w:instrText xml:space="preserve"> ADDIN EN.CITE &lt;EndNote&gt;&lt;Cite&gt;&lt;Year&gt;2011&lt;/Year&gt;&lt;RecNum&gt;51&lt;/RecNum&gt;&lt;DisplayText&gt;(29)&lt;/DisplayText&gt;&lt;record&gt;&lt;rec-number&gt;51&lt;/rec-number&gt;&lt;foreign-keys&gt;&lt;key app="EN" db-id="ttt5azpahefvd1ex0aqxft54dvw5w5dzate2"&gt;51&lt;/key&gt;&lt;/foreign-keys&gt;&lt;ref-type name="Web Page"&gt;12&lt;/ref-type&gt;&lt;contributors&gt;&lt;/contributors&gt;&lt;titles&gt;&lt;title&gt;Joint Committee for Vaccination and Immunisation statement on the routine pneumococcal vaccination programme for adults aged 65 years and older&lt;/title&gt;&lt;/titles&gt;&lt;number&gt;9th October 2014&lt;/number&gt;&lt;dates&gt;&lt;year&gt;2011&lt;/year&gt;&lt;/dates&gt;&lt;urls&gt;&lt;related-urls&gt;&lt;url&gt;http://webarchive.nationalarchives.gov.uk/20130107105354/http://www.dh.gov.uk/prod_consum_dh/groups/dh_digitalassets/@dh/@ab/documents/digitalasset/dh_128704.pdf&lt;/url&gt;&lt;/related-urls&gt;&lt;/urls&gt;&lt;access-date&gt;22nd July 2014&lt;/access-date&gt;&lt;/record&gt;&lt;/Cite&gt;&lt;/EndNote&gt;</w:instrText>
      </w:r>
      <w:r w:rsidR="003964D0" w:rsidRPr="00C02A73">
        <w:rPr>
          <w:rFonts w:ascii="Arial" w:hAnsi="Arial" w:cs="Arial"/>
        </w:rPr>
        <w:fldChar w:fldCharType="separate"/>
      </w:r>
      <w:r w:rsidR="00483A41" w:rsidRPr="00C02A73">
        <w:rPr>
          <w:rFonts w:ascii="Arial" w:hAnsi="Arial" w:cs="Arial"/>
          <w:noProof/>
        </w:rPr>
        <w:t>(</w:t>
      </w:r>
      <w:hyperlink w:anchor="_ENREF_29" w:tooltip=", 2011 #51" w:history="1">
        <w:r w:rsidR="00EA05AB" w:rsidRPr="00C02A73">
          <w:rPr>
            <w:rFonts w:ascii="Arial" w:hAnsi="Arial" w:cs="Arial"/>
            <w:noProof/>
          </w:rPr>
          <w:t>29</w:t>
        </w:r>
      </w:hyperlink>
      <w:r w:rsidR="00483A41" w:rsidRPr="00C02A73">
        <w:rPr>
          <w:rFonts w:ascii="Arial" w:hAnsi="Arial" w:cs="Arial"/>
          <w:noProof/>
        </w:rPr>
        <w:t>)</w:t>
      </w:r>
      <w:r w:rsidR="003964D0" w:rsidRPr="00C02A73">
        <w:rPr>
          <w:rFonts w:ascii="Arial" w:hAnsi="Arial" w:cs="Arial"/>
        </w:rPr>
        <w:fldChar w:fldCharType="end"/>
      </w:r>
      <w:r w:rsidR="00A3294D" w:rsidRPr="00C02A73">
        <w:rPr>
          <w:rFonts w:ascii="Arial" w:hAnsi="Arial" w:cs="Arial"/>
        </w:rPr>
        <w:t>.</w:t>
      </w:r>
      <w:r w:rsidR="00670DFF" w:rsidRPr="00C02A73">
        <w:rPr>
          <w:rFonts w:ascii="Arial" w:hAnsi="Arial" w:cs="Arial"/>
        </w:rPr>
        <w:t xml:space="preserve"> </w:t>
      </w:r>
      <w:r w:rsidR="00AC0CBB" w:rsidRPr="00C02A73">
        <w:rPr>
          <w:rFonts w:ascii="Arial" w:hAnsi="Arial" w:cs="Arial"/>
        </w:rPr>
        <w:t>The seven</w:t>
      </w:r>
      <w:r w:rsidR="00C001C1" w:rsidRPr="00C02A73">
        <w:rPr>
          <w:rFonts w:ascii="Arial" w:hAnsi="Arial" w:cs="Arial"/>
        </w:rPr>
        <w:t>-</w:t>
      </w:r>
      <w:proofErr w:type="spellStart"/>
      <w:r w:rsidR="00C001C1" w:rsidRPr="00C02A73">
        <w:rPr>
          <w:rFonts w:ascii="Arial" w:hAnsi="Arial" w:cs="Arial"/>
        </w:rPr>
        <w:t>valent</w:t>
      </w:r>
      <w:proofErr w:type="spellEnd"/>
      <w:r w:rsidR="00C001C1" w:rsidRPr="00C02A73">
        <w:rPr>
          <w:rFonts w:ascii="Arial" w:hAnsi="Arial" w:cs="Arial"/>
        </w:rPr>
        <w:t xml:space="preserve"> pneumococcal conjugate vaccine (PCV7) was integrated into UK routine childhood immunisation progra</w:t>
      </w:r>
      <w:r w:rsidR="00AC0CBB" w:rsidRPr="00C02A73">
        <w:rPr>
          <w:rFonts w:ascii="Arial" w:hAnsi="Arial" w:cs="Arial"/>
        </w:rPr>
        <w:t>mme in 2006 and replaced by a thirteen</w:t>
      </w:r>
      <w:r w:rsidR="00C001C1" w:rsidRPr="00C02A73">
        <w:rPr>
          <w:rFonts w:ascii="Arial" w:hAnsi="Arial" w:cs="Arial"/>
        </w:rPr>
        <w:t>-</w:t>
      </w:r>
      <w:proofErr w:type="spellStart"/>
      <w:r w:rsidR="00C001C1" w:rsidRPr="00C02A73">
        <w:rPr>
          <w:rFonts w:ascii="Arial" w:hAnsi="Arial" w:cs="Arial"/>
        </w:rPr>
        <w:t>valent</w:t>
      </w:r>
      <w:proofErr w:type="spellEnd"/>
      <w:r w:rsidR="00C001C1" w:rsidRPr="00C02A73">
        <w:rPr>
          <w:rFonts w:ascii="Arial" w:hAnsi="Arial" w:cs="Arial"/>
        </w:rPr>
        <w:t xml:space="preserve"> equivalent (PCV13) in 2010. </w:t>
      </w:r>
      <w:r w:rsidR="008462CE" w:rsidRPr="00C02A73">
        <w:rPr>
          <w:rFonts w:ascii="Arial" w:hAnsi="Arial" w:cs="Arial"/>
        </w:rPr>
        <w:t xml:space="preserve">This resulted in </w:t>
      </w:r>
      <w:r w:rsidR="008C6500" w:rsidRPr="00C02A73">
        <w:rPr>
          <w:rFonts w:ascii="Arial" w:hAnsi="Arial" w:cs="Arial"/>
        </w:rPr>
        <w:t xml:space="preserve">both </w:t>
      </w:r>
      <w:r w:rsidR="008462CE" w:rsidRPr="00C02A73">
        <w:rPr>
          <w:rFonts w:ascii="Arial" w:hAnsi="Arial" w:cs="Arial"/>
        </w:rPr>
        <w:t>direct and indirect population protection</w:t>
      </w:r>
      <w:r w:rsidR="00F97601" w:rsidRPr="00C02A73">
        <w:rPr>
          <w:rFonts w:ascii="Arial" w:hAnsi="Arial" w:cs="Arial"/>
        </w:rPr>
        <w:t xml:space="preserve"> </w:t>
      </w:r>
      <w:r w:rsidR="008C6500" w:rsidRPr="00C02A73">
        <w:rPr>
          <w:rFonts w:ascii="Arial" w:hAnsi="Arial" w:cs="Arial"/>
        </w:rPr>
        <w:t>via herd immunity and reduced bacterial carriage,</w:t>
      </w:r>
      <w:r w:rsidR="008462CE" w:rsidRPr="00C02A73">
        <w:rPr>
          <w:rFonts w:ascii="Arial" w:hAnsi="Arial" w:cs="Arial"/>
        </w:rPr>
        <w:t xml:space="preserve"> evidenced by large reductions in IPD from vaccine</w:t>
      </w:r>
      <w:r w:rsidR="008C6500" w:rsidRPr="00C02A73">
        <w:rPr>
          <w:rFonts w:ascii="Arial" w:hAnsi="Arial" w:cs="Arial"/>
        </w:rPr>
        <w:t xml:space="preserve"> specific serotypes</w:t>
      </w:r>
      <w:r w:rsidR="00022A8E" w:rsidRPr="00C02A73">
        <w:rPr>
          <w:rFonts w:ascii="Arial" w:hAnsi="Arial" w:cs="Arial"/>
        </w:rPr>
        <w:t xml:space="preserve"> </w:t>
      </w:r>
      <w:r w:rsidR="003964D0" w:rsidRPr="00C02A73">
        <w:rPr>
          <w:rFonts w:ascii="Arial" w:hAnsi="Arial" w:cs="Arial"/>
        </w:rPr>
        <w:fldChar w:fldCharType="begin"/>
      </w:r>
      <w:r w:rsidR="00483A41" w:rsidRPr="00C02A73">
        <w:rPr>
          <w:rFonts w:ascii="Arial" w:hAnsi="Arial" w:cs="Arial"/>
        </w:rPr>
        <w:instrText xml:space="preserve"> ADDIN EN.CITE &lt;EndNote&gt;&lt;Cite&gt;&lt;Year&gt;2013&lt;/Year&gt;&lt;RecNum&gt;54&lt;/RecNum&gt;&lt;DisplayText&gt;(30)&lt;/DisplayText&gt;&lt;record&gt;&lt;rec-number&gt;54&lt;/rec-number&gt;&lt;foreign-keys&gt;&lt;key app="EN" db-id="ttt5azpahefvd1ex0aqxft54dvw5w5dzate2"&gt;54&lt;/key&gt;&lt;/foreign-keys&gt;&lt;ref-type name="Web Page"&gt;12&lt;/ref-type&gt;&lt;contributors&gt;&lt;/contributors&gt;&lt;titles&gt;&lt;title&gt;Joint Committe on Vaccination and Immunisation statement on the wider use of pneumococcal conjugate vaccines in the UK&lt;/title&gt;&lt;/titles&gt;&lt;number&gt;October 9th 2014&lt;/number&gt;&lt;dates&gt;&lt;year&gt;2013&lt;/year&gt;&lt;/dates&gt;&lt;urls&gt;&lt;related-urls&gt;&lt;url&gt;https://www.gov.uk/government/uploads/system/uploads/attachment_data/file/224765/JCVI_statement_on_pneumococcal_vaccination_for_clinical_risk_groups_Final.pdf&lt;/url&gt;&lt;/related-urls&gt;&lt;/urls&gt;&lt;access-date&gt;July 22nd 2014 &lt;/access-date&gt;&lt;/record&gt;&lt;/Cite&gt;&lt;/EndNote&gt;</w:instrText>
      </w:r>
      <w:r w:rsidR="003964D0" w:rsidRPr="00C02A73">
        <w:rPr>
          <w:rFonts w:ascii="Arial" w:hAnsi="Arial" w:cs="Arial"/>
        </w:rPr>
        <w:fldChar w:fldCharType="separate"/>
      </w:r>
      <w:r w:rsidR="00483A41" w:rsidRPr="00C02A73">
        <w:rPr>
          <w:rFonts w:ascii="Arial" w:hAnsi="Arial" w:cs="Arial"/>
          <w:noProof/>
        </w:rPr>
        <w:t>(</w:t>
      </w:r>
      <w:hyperlink w:anchor="_ENREF_30" w:tooltip=", 2013 #54" w:history="1">
        <w:r w:rsidR="00EA05AB" w:rsidRPr="00C02A73">
          <w:rPr>
            <w:rFonts w:ascii="Arial" w:hAnsi="Arial" w:cs="Arial"/>
            <w:noProof/>
          </w:rPr>
          <w:t>30</w:t>
        </w:r>
      </w:hyperlink>
      <w:r w:rsidR="00483A41" w:rsidRPr="00C02A73">
        <w:rPr>
          <w:rFonts w:ascii="Arial" w:hAnsi="Arial" w:cs="Arial"/>
          <w:noProof/>
        </w:rPr>
        <w:t>)</w:t>
      </w:r>
      <w:r w:rsidR="003964D0" w:rsidRPr="00C02A73">
        <w:rPr>
          <w:rFonts w:ascii="Arial" w:hAnsi="Arial" w:cs="Arial"/>
        </w:rPr>
        <w:fldChar w:fldCharType="end"/>
      </w:r>
      <w:r w:rsidR="00022A8E" w:rsidRPr="00C02A73">
        <w:rPr>
          <w:rFonts w:ascii="Arial" w:hAnsi="Arial" w:cs="Arial"/>
        </w:rPr>
        <w:t>.</w:t>
      </w:r>
      <w:r w:rsidR="004A4D02" w:rsidRPr="00C02A73">
        <w:rPr>
          <w:rFonts w:ascii="Arial" w:hAnsi="Arial" w:cs="Arial"/>
        </w:rPr>
        <w:t xml:space="preserve"> </w:t>
      </w:r>
      <w:r w:rsidR="00B11A12" w:rsidRPr="00C02A73">
        <w:rPr>
          <w:rFonts w:ascii="Arial" w:hAnsi="Arial" w:cs="Arial"/>
        </w:rPr>
        <w:t>A</w:t>
      </w:r>
      <w:r w:rsidR="00022A8E" w:rsidRPr="00C02A73">
        <w:rPr>
          <w:rFonts w:ascii="Arial" w:hAnsi="Arial" w:cs="Arial"/>
        </w:rPr>
        <w:t xml:space="preserve"> recent trial evaluating the efficacy of P</w:t>
      </w:r>
      <w:r w:rsidR="00B11A12" w:rsidRPr="00C02A73">
        <w:rPr>
          <w:rFonts w:ascii="Arial" w:hAnsi="Arial" w:cs="Arial"/>
        </w:rPr>
        <w:t xml:space="preserve">CV13 </w:t>
      </w:r>
      <w:r w:rsidR="003F1DB0" w:rsidRPr="00C02A73">
        <w:rPr>
          <w:rFonts w:ascii="Arial" w:hAnsi="Arial" w:cs="Arial"/>
        </w:rPr>
        <w:t xml:space="preserve">in adults aged </w:t>
      </w:r>
      <w:r w:rsidR="004A4D02" w:rsidRPr="00C02A73">
        <w:rPr>
          <w:rFonts w:ascii="Arial" w:hAnsi="Arial" w:cs="Arial"/>
        </w:rPr>
        <w:t xml:space="preserve">≥ 65 </w:t>
      </w:r>
      <w:r w:rsidR="003F1DB0" w:rsidRPr="00C02A73">
        <w:rPr>
          <w:rFonts w:ascii="Arial" w:hAnsi="Arial" w:cs="Arial"/>
        </w:rPr>
        <w:t xml:space="preserve"> (</w:t>
      </w:r>
      <w:proofErr w:type="spellStart"/>
      <w:r w:rsidR="003F1DB0" w:rsidRPr="00C02A73">
        <w:rPr>
          <w:rFonts w:ascii="Arial" w:hAnsi="Arial" w:cs="Arial"/>
        </w:rPr>
        <w:t>CAPiTA</w:t>
      </w:r>
      <w:proofErr w:type="spellEnd"/>
      <w:r w:rsidR="003F1DB0" w:rsidRPr="00C02A73">
        <w:rPr>
          <w:rFonts w:ascii="Arial" w:hAnsi="Arial" w:cs="Arial"/>
        </w:rPr>
        <w:t xml:space="preserve">) has shown </w:t>
      </w:r>
      <w:r w:rsidR="001A50A3" w:rsidRPr="00C02A73">
        <w:rPr>
          <w:rFonts w:ascii="Arial" w:hAnsi="Arial" w:cs="Arial"/>
        </w:rPr>
        <w:t xml:space="preserve">significant </w:t>
      </w:r>
      <w:r w:rsidR="003F1DB0" w:rsidRPr="00C02A73">
        <w:rPr>
          <w:rFonts w:ascii="Arial" w:hAnsi="Arial" w:cs="Arial"/>
        </w:rPr>
        <w:t xml:space="preserve">reductions </w:t>
      </w:r>
      <w:r w:rsidR="006C3760" w:rsidRPr="00C02A73">
        <w:rPr>
          <w:rFonts w:ascii="Arial" w:hAnsi="Arial" w:cs="Arial"/>
        </w:rPr>
        <w:t>in CAP</w:t>
      </w:r>
      <w:r w:rsidR="00B11A12" w:rsidRPr="00C02A73">
        <w:rPr>
          <w:rFonts w:ascii="Arial" w:hAnsi="Arial" w:cs="Arial"/>
        </w:rPr>
        <w:t xml:space="preserve"> and IPD</w:t>
      </w:r>
      <w:r w:rsidR="001A50A3" w:rsidRPr="00C02A73">
        <w:rPr>
          <w:rFonts w:ascii="Arial" w:hAnsi="Arial" w:cs="Arial"/>
        </w:rPr>
        <w:t xml:space="preserve"> </w:t>
      </w:r>
      <w:r w:rsidR="003964D0" w:rsidRPr="00C02A73">
        <w:rPr>
          <w:rFonts w:ascii="Arial" w:hAnsi="Arial" w:cs="Arial"/>
        </w:rPr>
        <w:fldChar w:fldCharType="begin"/>
      </w:r>
      <w:r w:rsidR="00483A41" w:rsidRPr="00C02A73">
        <w:rPr>
          <w:rFonts w:ascii="Arial" w:hAnsi="Arial" w:cs="Arial"/>
        </w:rPr>
        <w:instrText xml:space="preserve"> ADDIN EN.CITE &lt;EndNote&gt;&lt;Cite&gt;&lt;Year&gt;2014&lt;/Year&gt;&lt;RecNum&gt;55&lt;/RecNum&gt;&lt;DisplayText&gt;(31)&lt;/DisplayText&gt;&lt;record&gt;&lt;rec-number&gt;55&lt;/rec-number&gt;&lt;foreign-keys&gt;&lt;key app="EN" db-id="ttt5azpahefvd1ex0aqxft54dvw5w5dzate2"&gt;55&lt;/key&gt;&lt;/foreign-keys&gt;&lt;ref-type name="Web Page"&gt;12&lt;/ref-type&gt;&lt;contributors&gt;&lt;/contributors&gt;&lt;titles&gt;&lt;title&gt;Pfizer press release&lt;/title&gt;&lt;/titles&gt;&lt;number&gt;October 9th 2014 &lt;/number&gt;&lt;dates&gt;&lt;year&gt;2014&lt;/year&gt;&lt;/dates&gt;&lt;urls&gt;&lt;related-urls&gt;&lt;url&gt;http://www.pfizer.com/news/press-release/press-release-detail/pfizer_presents_detailed_results_from_landmark_community_acquired_pneumonia_immunization_trial_in_adults_capita_evaluating_efficacy_of_prevenar_13&lt;/url&gt;&lt;/related-urls&gt;&lt;/urls&gt;&lt;/record&gt;&lt;/Cite&gt;&lt;/EndNote&gt;</w:instrText>
      </w:r>
      <w:r w:rsidR="003964D0" w:rsidRPr="00C02A73">
        <w:rPr>
          <w:rFonts w:ascii="Arial" w:hAnsi="Arial" w:cs="Arial"/>
        </w:rPr>
        <w:fldChar w:fldCharType="separate"/>
      </w:r>
      <w:r w:rsidR="00483A41" w:rsidRPr="00C02A73">
        <w:rPr>
          <w:rFonts w:ascii="Arial" w:hAnsi="Arial" w:cs="Arial"/>
          <w:noProof/>
        </w:rPr>
        <w:t>(</w:t>
      </w:r>
      <w:hyperlink w:anchor="_ENREF_31" w:tooltip=", 2014 #55" w:history="1">
        <w:r w:rsidR="00EA05AB" w:rsidRPr="00C02A73">
          <w:rPr>
            <w:rFonts w:ascii="Arial" w:hAnsi="Arial" w:cs="Arial"/>
            <w:noProof/>
          </w:rPr>
          <w:t>31</w:t>
        </w:r>
      </w:hyperlink>
      <w:r w:rsidR="00483A41" w:rsidRPr="00C02A73">
        <w:rPr>
          <w:rFonts w:ascii="Arial" w:hAnsi="Arial" w:cs="Arial"/>
          <w:noProof/>
        </w:rPr>
        <w:t>)</w:t>
      </w:r>
      <w:r w:rsidR="003964D0" w:rsidRPr="00C02A73">
        <w:rPr>
          <w:rFonts w:ascii="Arial" w:hAnsi="Arial" w:cs="Arial"/>
        </w:rPr>
        <w:fldChar w:fldCharType="end"/>
      </w:r>
      <w:r w:rsidR="003F1DB0" w:rsidRPr="00C02A73">
        <w:rPr>
          <w:rFonts w:ascii="Arial" w:hAnsi="Arial" w:cs="Arial"/>
        </w:rPr>
        <w:t xml:space="preserve">. </w:t>
      </w:r>
      <w:r w:rsidR="00E86594" w:rsidRPr="00C02A73">
        <w:rPr>
          <w:rFonts w:ascii="Arial" w:hAnsi="Arial" w:cs="Arial"/>
        </w:rPr>
        <w:t xml:space="preserve">Although PCV13 </w:t>
      </w:r>
      <w:r w:rsidR="001A50A3" w:rsidRPr="00C02A73">
        <w:rPr>
          <w:rFonts w:ascii="Arial" w:hAnsi="Arial" w:cs="Arial"/>
        </w:rPr>
        <w:t>appears t</w:t>
      </w:r>
      <w:r w:rsidR="00E86594" w:rsidRPr="00C02A73">
        <w:rPr>
          <w:rFonts w:ascii="Arial" w:hAnsi="Arial" w:cs="Arial"/>
        </w:rPr>
        <w:t>o be</w:t>
      </w:r>
      <w:r w:rsidR="004A4D02" w:rsidRPr="00C02A73">
        <w:rPr>
          <w:rFonts w:ascii="Arial" w:hAnsi="Arial" w:cs="Arial"/>
        </w:rPr>
        <w:t xml:space="preserve"> </w:t>
      </w:r>
      <w:r w:rsidR="001A50A3" w:rsidRPr="00C02A73">
        <w:rPr>
          <w:rFonts w:ascii="Arial" w:hAnsi="Arial" w:cs="Arial"/>
        </w:rPr>
        <w:t>more effective in older adults than PPV23</w:t>
      </w:r>
      <w:r w:rsidR="00E86594" w:rsidRPr="00C02A73">
        <w:rPr>
          <w:rFonts w:ascii="Arial" w:hAnsi="Arial" w:cs="Arial"/>
        </w:rPr>
        <w:t>,</w:t>
      </w:r>
      <w:r w:rsidR="000004A3" w:rsidRPr="00C02A73">
        <w:rPr>
          <w:rFonts w:ascii="Arial" w:hAnsi="Arial" w:cs="Arial"/>
        </w:rPr>
        <w:t xml:space="preserve"> it is also much more expensive</w:t>
      </w:r>
      <w:r w:rsidR="001A50A3" w:rsidRPr="00C02A73">
        <w:rPr>
          <w:rFonts w:ascii="Arial" w:hAnsi="Arial" w:cs="Arial"/>
        </w:rPr>
        <w:t xml:space="preserve">.  </w:t>
      </w:r>
    </w:p>
    <w:p w:rsidR="00D16FF6" w:rsidRPr="00C02A73" w:rsidRDefault="004F33B4" w:rsidP="006F4B20">
      <w:pPr>
        <w:spacing w:line="480" w:lineRule="auto"/>
        <w:rPr>
          <w:rFonts w:ascii="Arial" w:hAnsi="Arial" w:cs="Arial"/>
        </w:rPr>
      </w:pPr>
      <w:r w:rsidRPr="00C02A73">
        <w:rPr>
          <w:rFonts w:ascii="Arial" w:hAnsi="Arial" w:cs="Arial"/>
        </w:rPr>
        <w:t>I</w:t>
      </w:r>
      <w:r w:rsidR="006F4B20" w:rsidRPr="00C02A73">
        <w:rPr>
          <w:rFonts w:ascii="Arial" w:hAnsi="Arial" w:cs="Arial"/>
        </w:rPr>
        <w:t xml:space="preserve">n younger adults who had received a pneumococcal vaccine, </w:t>
      </w:r>
      <w:r w:rsidR="00C27A5C" w:rsidRPr="00C02A73">
        <w:rPr>
          <w:rFonts w:ascii="Arial" w:hAnsi="Arial" w:cs="Arial"/>
        </w:rPr>
        <w:t xml:space="preserve">in addition to </w:t>
      </w:r>
      <w:r w:rsidR="00B0644B" w:rsidRPr="00C02A73">
        <w:rPr>
          <w:rFonts w:ascii="Arial" w:hAnsi="Arial" w:cs="Arial"/>
        </w:rPr>
        <w:t xml:space="preserve">higher </w:t>
      </w:r>
      <w:r w:rsidR="00C27A5C" w:rsidRPr="00C02A73">
        <w:rPr>
          <w:rFonts w:ascii="Arial" w:hAnsi="Arial" w:cs="Arial"/>
        </w:rPr>
        <w:t xml:space="preserve">IgG, </w:t>
      </w:r>
      <w:r w:rsidR="00B0644B" w:rsidRPr="00C02A73">
        <w:rPr>
          <w:rFonts w:ascii="Arial" w:hAnsi="Arial" w:cs="Arial"/>
        </w:rPr>
        <w:t>increased</w:t>
      </w:r>
      <w:r w:rsidR="006F4B20" w:rsidRPr="00C02A73">
        <w:rPr>
          <w:rFonts w:ascii="Arial" w:hAnsi="Arial" w:cs="Arial"/>
        </w:rPr>
        <w:t xml:space="preserve"> antibodies</w:t>
      </w:r>
      <w:r w:rsidR="00C27A5C" w:rsidRPr="00C02A73">
        <w:rPr>
          <w:rFonts w:ascii="Arial" w:hAnsi="Arial" w:cs="Arial"/>
        </w:rPr>
        <w:t xml:space="preserve"> for IgM and IgA were also observed. </w:t>
      </w:r>
      <w:r w:rsidR="00196747" w:rsidRPr="00C02A73">
        <w:rPr>
          <w:rFonts w:ascii="Arial" w:hAnsi="Arial" w:cs="Arial"/>
        </w:rPr>
        <w:t xml:space="preserve">In a prior study involving healthy individuals aged </w:t>
      </w:r>
      <w:r w:rsidR="00196747" w:rsidRPr="00C02A73">
        <w:rPr>
          <w:rStyle w:val="Hyperlink"/>
          <w:rFonts w:ascii="Arial" w:hAnsi="Arial" w:cs="Arial"/>
          <w:color w:val="auto"/>
          <w:u w:val="none"/>
        </w:rPr>
        <w:t xml:space="preserve">22–55 years vaccinated with </w:t>
      </w:r>
      <w:r w:rsidR="001052CE" w:rsidRPr="00C02A73">
        <w:rPr>
          <w:rStyle w:val="Hyperlink"/>
          <w:rFonts w:ascii="Arial" w:hAnsi="Arial" w:cs="Arial"/>
          <w:color w:val="auto"/>
          <w:u w:val="none"/>
        </w:rPr>
        <w:t>PPV23</w:t>
      </w:r>
      <w:r w:rsidR="006C3760" w:rsidRPr="00C02A73">
        <w:rPr>
          <w:rFonts w:ascii="Arial" w:hAnsi="Arial" w:cs="Arial"/>
        </w:rPr>
        <w:t>, pneumococcal</w:t>
      </w:r>
      <w:r w:rsidR="004B49AA" w:rsidRPr="00C02A73">
        <w:rPr>
          <w:rFonts w:ascii="Arial" w:hAnsi="Arial" w:cs="Arial"/>
        </w:rPr>
        <w:t xml:space="preserve"> polysaccharide specific </w:t>
      </w:r>
      <w:r w:rsidR="004B49AA" w:rsidRPr="00C02A73">
        <w:rPr>
          <w:rFonts w:ascii="Arial" w:hAnsi="Arial" w:cs="Arial"/>
        </w:rPr>
        <w:lastRenderedPageBreak/>
        <w:t xml:space="preserve">IgM </w:t>
      </w:r>
      <w:r w:rsidR="00B612BB" w:rsidRPr="00C02A73">
        <w:rPr>
          <w:rFonts w:ascii="Arial" w:hAnsi="Arial" w:cs="Arial"/>
        </w:rPr>
        <w:t xml:space="preserve">and IgA was shown to remain higher than pre-vaccination levels one year later </w:t>
      </w:r>
      <w:r w:rsidR="003964D0" w:rsidRPr="00C02A73">
        <w:rPr>
          <w:rFonts w:ascii="Arial" w:hAnsi="Arial" w:cs="Arial"/>
        </w:rPr>
        <w:fldChar w:fldCharType="begin"/>
      </w:r>
      <w:r w:rsidR="00483A41" w:rsidRPr="00C02A73">
        <w:rPr>
          <w:rFonts w:ascii="Arial" w:hAnsi="Arial" w:cs="Arial"/>
        </w:rPr>
        <w:instrText xml:space="preserve"> ADDIN EN.CITE &lt;EndNote&gt;&lt;Cite&gt;&lt;Author&gt;Schutz&lt;/Author&gt;&lt;Year&gt;2013&lt;/Year&gt;&lt;RecNum&gt;40&lt;/RecNum&gt;&lt;DisplayText&gt;(32)&lt;/DisplayText&gt;&lt;record&gt;&lt;rec-number&gt;40&lt;/rec-number&gt;&lt;foreign-keys&gt;&lt;key app="EN" db-id="ttt5azpahefvd1ex0aqxft54dvw5w5dzate2"&gt;40&lt;/key&gt;&lt;/foreign-keys&gt;&lt;ref-type name="Journal Article"&gt;17&lt;/ref-type&gt;&lt;contributors&gt;&lt;authors&gt;&lt;author&gt;Schutz, K.&lt;/author&gt;&lt;author&gt;Hughes, R. G.&lt;/author&gt;&lt;author&gt;Parker, A.&lt;/author&gt;&lt;author&gt;Quinti, I.&lt;/author&gt;&lt;author&gt;Thon, V.&lt;/author&gt;&lt;author&gt;Cavaliere, M.&lt;/author&gt;&lt;author&gt;Wurfel, M.&lt;/author&gt;&lt;author&gt;Herzog, W.&lt;/author&gt;&lt;author&gt;Gessner, J. E.&lt;/author&gt;&lt;author&gt;Baumann, U.&lt;/author&gt;&lt;/authors&gt;&lt;/contributors&gt;&lt;titles&gt;&lt;title&gt;Kinetics of IgM and IgA antibody response to 23-valent pneumococcal polysaccharide vaccination in healthy subjects&lt;/title&gt;&lt;secondary-title&gt;J Clin Immunol&lt;/secondary-title&gt;&lt;/titles&gt;&lt;periodical&gt;&lt;full-title&gt;J Clin Immunol&lt;/full-title&gt;&lt;/periodical&gt;&lt;pages&gt;288-96&lt;/pages&gt;&lt;volume&gt;33&lt;/volume&gt;&lt;number&gt;1&lt;/number&gt;&lt;dates&gt;&lt;year&gt;2013&lt;/year&gt;&lt;/dates&gt;&lt;isbn&gt;1573-2592 (Electronic)&amp;#xD;0271-9142 (Linking)&lt;/isbn&gt;&lt;work-type&gt;Research Support, Non-U S Gov&amp;apos;t&amp;#xD;Validation Studies&lt;/work-type&gt;&lt;urls&gt;&lt;/urls&gt;&lt;/record&gt;&lt;/Cite&gt;&lt;/EndNote&gt;</w:instrText>
      </w:r>
      <w:r w:rsidR="003964D0" w:rsidRPr="00C02A73">
        <w:rPr>
          <w:rFonts w:ascii="Arial" w:hAnsi="Arial" w:cs="Arial"/>
        </w:rPr>
        <w:fldChar w:fldCharType="separate"/>
      </w:r>
      <w:r w:rsidR="00483A41" w:rsidRPr="00C02A73">
        <w:rPr>
          <w:rFonts w:ascii="Arial" w:hAnsi="Arial" w:cs="Arial"/>
          <w:noProof/>
        </w:rPr>
        <w:t>(</w:t>
      </w:r>
      <w:hyperlink w:anchor="_ENREF_32" w:tooltip="Schutz, 2013 #40" w:history="1">
        <w:r w:rsidR="00EA05AB" w:rsidRPr="00C02A73">
          <w:rPr>
            <w:rFonts w:ascii="Arial" w:hAnsi="Arial" w:cs="Arial"/>
            <w:noProof/>
          </w:rPr>
          <w:t>32</w:t>
        </w:r>
      </w:hyperlink>
      <w:r w:rsidR="00483A41" w:rsidRPr="00C02A73">
        <w:rPr>
          <w:rFonts w:ascii="Arial" w:hAnsi="Arial" w:cs="Arial"/>
          <w:noProof/>
        </w:rPr>
        <w:t>)</w:t>
      </w:r>
      <w:r w:rsidR="003964D0" w:rsidRPr="00C02A73">
        <w:rPr>
          <w:rFonts w:ascii="Arial" w:hAnsi="Arial" w:cs="Arial"/>
        </w:rPr>
        <w:fldChar w:fldCharType="end"/>
      </w:r>
      <w:r w:rsidR="00A3294D" w:rsidRPr="00C02A73">
        <w:rPr>
          <w:rFonts w:ascii="Arial" w:hAnsi="Arial" w:cs="Arial"/>
        </w:rPr>
        <w:t>.</w:t>
      </w:r>
      <w:r w:rsidR="00E411C6" w:rsidRPr="00C02A73">
        <w:rPr>
          <w:rFonts w:ascii="Arial" w:hAnsi="Arial" w:cs="Arial"/>
        </w:rPr>
        <w:t xml:space="preserve"> </w:t>
      </w:r>
      <w:r w:rsidR="0065610D" w:rsidRPr="00C02A73">
        <w:rPr>
          <w:rFonts w:ascii="Arial" w:hAnsi="Arial" w:cs="Arial"/>
        </w:rPr>
        <w:t xml:space="preserve">In the present study, younger adults </w:t>
      </w:r>
      <w:r w:rsidR="00080BD3" w:rsidRPr="00C02A73">
        <w:rPr>
          <w:rFonts w:ascii="Arial" w:hAnsi="Arial" w:cs="Arial"/>
        </w:rPr>
        <w:t xml:space="preserve">who received a vaccination had done so within two years, </w:t>
      </w:r>
      <w:r w:rsidR="001052CE" w:rsidRPr="00C02A73">
        <w:rPr>
          <w:rFonts w:ascii="Arial" w:hAnsi="Arial" w:cs="Arial"/>
        </w:rPr>
        <w:t xml:space="preserve">which </w:t>
      </w:r>
      <w:r w:rsidR="00080BD3" w:rsidRPr="00C02A73">
        <w:rPr>
          <w:rFonts w:ascii="Arial" w:hAnsi="Arial" w:cs="Arial"/>
        </w:rPr>
        <w:t xml:space="preserve">may account for elevated IgM and IgA levels. </w:t>
      </w:r>
    </w:p>
    <w:p w:rsidR="00DA4239" w:rsidRPr="00C02A73" w:rsidRDefault="002949A9" w:rsidP="00B37D4D">
      <w:pPr>
        <w:spacing w:line="480" w:lineRule="auto"/>
        <w:rPr>
          <w:rFonts w:ascii="Arial" w:hAnsi="Arial" w:cs="Arial"/>
        </w:rPr>
      </w:pPr>
      <w:r w:rsidRPr="00C02A73">
        <w:rPr>
          <w:rFonts w:ascii="Arial" w:hAnsi="Arial" w:cs="Arial"/>
        </w:rPr>
        <w:t>In saliva, young</w:t>
      </w:r>
      <w:r w:rsidR="00983020" w:rsidRPr="00C02A73">
        <w:rPr>
          <w:rFonts w:ascii="Arial" w:hAnsi="Arial" w:cs="Arial"/>
        </w:rPr>
        <w:t>er adults who had received PPV23</w:t>
      </w:r>
      <w:r w:rsidR="00473612" w:rsidRPr="00C02A73">
        <w:rPr>
          <w:rFonts w:ascii="Arial" w:hAnsi="Arial" w:cs="Arial"/>
        </w:rPr>
        <w:t xml:space="preserve"> showed preliminary evidence of higher </w:t>
      </w:r>
      <w:r w:rsidRPr="00C02A73">
        <w:rPr>
          <w:rFonts w:ascii="Arial" w:hAnsi="Arial" w:cs="Arial"/>
        </w:rPr>
        <w:t>IgG and IgA concentration</w:t>
      </w:r>
      <w:r w:rsidR="00023DF5" w:rsidRPr="00C02A73">
        <w:rPr>
          <w:rFonts w:ascii="Arial" w:hAnsi="Arial" w:cs="Arial"/>
        </w:rPr>
        <w:t>s</w:t>
      </w:r>
      <w:r w:rsidRPr="00C02A73">
        <w:rPr>
          <w:rFonts w:ascii="Arial" w:hAnsi="Arial" w:cs="Arial"/>
        </w:rPr>
        <w:t xml:space="preserve"> and secretion rates than those </w:t>
      </w:r>
      <w:r w:rsidR="00023DF5" w:rsidRPr="00C02A73">
        <w:rPr>
          <w:rFonts w:ascii="Arial" w:hAnsi="Arial" w:cs="Arial"/>
        </w:rPr>
        <w:t>not vaccinated</w:t>
      </w:r>
      <w:r w:rsidR="00473612" w:rsidRPr="00C02A73">
        <w:rPr>
          <w:rFonts w:ascii="Arial" w:hAnsi="Arial" w:cs="Arial"/>
        </w:rPr>
        <w:t>.</w:t>
      </w:r>
      <w:r w:rsidR="002F0A88" w:rsidRPr="00C02A73">
        <w:rPr>
          <w:rFonts w:ascii="Arial" w:hAnsi="Arial" w:cs="Arial"/>
        </w:rPr>
        <w:t xml:space="preserve"> In</w:t>
      </w:r>
      <w:r w:rsidRPr="00C02A73">
        <w:rPr>
          <w:rFonts w:ascii="Arial" w:hAnsi="Arial" w:cs="Arial"/>
        </w:rPr>
        <w:t xml:space="preserve"> contrast, no diff</w:t>
      </w:r>
      <w:r w:rsidR="00247CF6" w:rsidRPr="00C02A73">
        <w:rPr>
          <w:rFonts w:ascii="Arial" w:hAnsi="Arial" w:cs="Arial"/>
        </w:rPr>
        <w:t xml:space="preserve">erences were observed in </w:t>
      </w:r>
      <w:r w:rsidR="009E09A4" w:rsidRPr="00C02A73">
        <w:rPr>
          <w:rFonts w:ascii="Arial" w:hAnsi="Arial" w:cs="Arial"/>
        </w:rPr>
        <w:t>relation to saliva and vaccination for older adults</w:t>
      </w:r>
      <w:r w:rsidR="001D7072" w:rsidRPr="00C02A73">
        <w:rPr>
          <w:rFonts w:ascii="Arial" w:hAnsi="Arial" w:cs="Arial"/>
        </w:rPr>
        <w:t xml:space="preserve">, suggesting PPV23 is ineffective </w:t>
      </w:r>
      <w:r w:rsidR="00983020" w:rsidRPr="00C02A73">
        <w:rPr>
          <w:rFonts w:ascii="Arial" w:hAnsi="Arial" w:cs="Arial"/>
        </w:rPr>
        <w:t>in</w:t>
      </w:r>
      <w:r w:rsidR="001D7072" w:rsidRPr="00C02A73">
        <w:rPr>
          <w:rFonts w:ascii="Arial" w:hAnsi="Arial" w:cs="Arial"/>
        </w:rPr>
        <w:t xml:space="preserve"> producing local memory in this age group</w:t>
      </w:r>
      <w:r w:rsidR="00BB157A" w:rsidRPr="00C02A73">
        <w:rPr>
          <w:rFonts w:ascii="Arial" w:hAnsi="Arial" w:cs="Arial"/>
        </w:rPr>
        <w:t xml:space="preserve">. </w:t>
      </w:r>
      <w:r w:rsidR="006C3760" w:rsidRPr="00C02A73">
        <w:rPr>
          <w:rFonts w:ascii="Arial" w:hAnsi="Arial" w:cs="Arial"/>
        </w:rPr>
        <w:t>In children</w:t>
      </w:r>
      <w:r w:rsidR="005E5817" w:rsidRPr="00C02A73">
        <w:rPr>
          <w:rFonts w:ascii="Arial" w:hAnsi="Arial" w:cs="Arial"/>
        </w:rPr>
        <w:t xml:space="preserve">, significant increases </w:t>
      </w:r>
      <w:r w:rsidR="00E91B5D" w:rsidRPr="00C02A73">
        <w:rPr>
          <w:rFonts w:ascii="Arial" w:hAnsi="Arial" w:cs="Arial"/>
        </w:rPr>
        <w:t xml:space="preserve">in salivary antibodies </w:t>
      </w:r>
      <w:r w:rsidR="00876457" w:rsidRPr="00C02A73">
        <w:rPr>
          <w:rFonts w:ascii="Arial" w:hAnsi="Arial" w:cs="Arial"/>
        </w:rPr>
        <w:t>have onl</w:t>
      </w:r>
      <w:r w:rsidR="004A4D02" w:rsidRPr="00C02A73">
        <w:rPr>
          <w:rFonts w:ascii="Arial" w:hAnsi="Arial" w:cs="Arial"/>
        </w:rPr>
        <w:t xml:space="preserve">y been shown following </w:t>
      </w:r>
      <w:r w:rsidR="00983020" w:rsidRPr="00C02A73">
        <w:rPr>
          <w:rFonts w:ascii="Arial" w:hAnsi="Arial" w:cs="Arial"/>
        </w:rPr>
        <w:t>a booster vaccination</w:t>
      </w:r>
      <w:r w:rsidR="00185207" w:rsidRPr="00C02A73">
        <w:rPr>
          <w:rFonts w:ascii="Arial" w:hAnsi="Arial" w:cs="Arial"/>
        </w:rPr>
        <w:t xml:space="preserve"> </w:t>
      </w:r>
      <w:r w:rsidR="00185207" w:rsidRPr="00C02A73">
        <w:rPr>
          <w:rFonts w:ascii="Arial" w:hAnsi="Arial" w:cs="Arial"/>
        </w:rPr>
        <w:fldChar w:fldCharType="begin"/>
      </w:r>
      <w:r w:rsidR="00483A41" w:rsidRPr="00C02A73">
        <w:rPr>
          <w:rFonts w:ascii="Arial" w:hAnsi="Arial" w:cs="Arial"/>
        </w:rPr>
        <w:instrText xml:space="preserve"> ADDIN EN.CITE &lt;EndNote&gt;&lt;Cite&gt;&lt;Author&gt;Choo&lt;/Author&gt;&lt;Year&gt;2000&lt;/Year&gt;&lt;RecNum&gt;43&lt;/RecNum&gt;&lt;DisplayText&gt;(33)&lt;/DisplayText&gt;&lt;record&gt;&lt;rec-number&gt;43&lt;/rec-number&gt;&lt;foreign-keys&gt;&lt;key app="EN" db-id="ttt5azpahefvd1ex0aqxft54dvw5w5dzate2"&gt;43&lt;/key&gt;&lt;/foreign-keys&gt;&lt;ref-type name="Journal Article"&gt;17&lt;/ref-type&gt;&lt;contributors&gt;&lt;authors&gt;&lt;author&gt;Choo, S.&lt;/author&gt;&lt;author&gt;Zhang, Q.&lt;/author&gt;&lt;author&gt;Seymour, L.&lt;/author&gt;&lt;author&gt;Akhtar, S.&lt;/author&gt;&lt;author&gt;Finn, A.&lt;/author&gt;&lt;/authors&gt;&lt;/contributors&gt;&lt;titles&gt;&lt;title&gt;Primary and booster salivary antibody responses to a 7-valent pneumococcal conjugate vaccine in infants&lt;/title&gt;&lt;secondary-title&gt;J Infect Dis&lt;/secondary-title&gt;&lt;/titles&gt;&lt;periodical&gt;&lt;full-title&gt;J Infect Dis&lt;/full-title&gt;&lt;/periodical&gt;&lt;pages&gt;1260-3&lt;/pages&gt;&lt;volume&gt;182&lt;/volume&gt;&lt;number&gt;4&lt;/number&gt;&lt;dates&gt;&lt;year&gt;2000&lt;/year&gt;&lt;/dates&gt;&lt;isbn&gt;0022-1899 (Print)&amp;#xD;0022-1899 (Linking)&lt;/isbn&gt;&lt;work-type&gt;Clinical Trial&amp;#xD;Clinical Trial, Phase II&amp;#xD;Randomized Controlled Trial&lt;/work-type&gt;&lt;urls&gt;&lt;/urls&gt;&lt;/record&gt;&lt;/Cite&gt;&lt;/EndNote&gt;</w:instrText>
      </w:r>
      <w:r w:rsidR="00185207" w:rsidRPr="00C02A73">
        <w:rPr>
          <w:rFonts w:ascii="Arial" w:hAnsi="Arial" w:cs="Arial"/>
        </w:rPr>
        <w:fldChar w:fldCharType="separate"/>
      </w:r>
      <w:r w:rsidR="00483A41" w:rsidRPr="00C02A73">
        <w:rPr>
          <w:rFonts w:ascii="Arial" w:hAnsi="Arial" w:cs="Arial"/>
          <w:noProof/>
        </w:rPr>
        <w:t>(</w:t>
      </w:r>
      <w:hyperlink w:anchor="_ENREF_33" w:tooltip="Choo, 2000 #43" w:history="1">
        <w:r w:rsidR="00EA05AB" w:rsidRPr="00C02A73">
          <w:rPr>
            <w:rFonts w:ascii="Arial" w:hAnsi="Arial" w:cs="Arial"/>
            <w:noProof/>
          </w:rPr>
          <w:t>33</w:t>
        </w:r>
      </w:hyperlink>
      <w:r w:rsidR="00483A41" w:rsidRPr="00C02A73">
        <w:rPr>
          <w:rFonts w:ascii="Arial" w:hAnsi="Arial" w:cs="Arial"/>
          <w:noProof/>
        </w:rPr>
        <w:t>)</w:t>
      </w:r>
      <w:r w:rsidR="00185207" w:rsidRPr="00C02A73">
        <w:rPr>
          <w:rFonts w:ascii="Arial" w:hAnsi="Arial" w:cs="Arial"/>
        </w:rPr>
        <w:fldChar w:fldCharType="end"/>
      </w:r>
      <w:r w:rsidR="00A3294D" w:rsidRPr="00C02A73">
        <w:rPr>
          <w:rFonts w:ascii="Arial" w:hAnsi="Arial" w:cs="Arial"/>
        </w:rPr>
        <w:t>.</w:t>
      </w:r>
      <w:r w:rsidR="00D20071" w:rsidRPr="00C02A73">
        <w:rPr>
          <w:rFonts w:ascii="Arial" w:hAnsi="Arial" w:cs="Arial"/>
        </w:rPr>
        <w:t xml:space="preserve"> It may b</w:t>
      </w:r>
      <w:r w:rsidR="009D546D" w:rsidRPr="00C02A73">
        <w:rPr>
          <w:rFonts w:ascii="Arial" w:hAnsi="Arial" w:cs="Arial"/>
        </w:rPr>
        <w:t xml:space="preserve">e that a threshold concentration </w:t>
      </w:r>
      <w:r w:rsidR="00D20071" w:rsidRPr="00C02A73">
        <w:rPr>
          <w:rFonts w:ascii="Arial" w:hAnsi="Arial" w:cs="Arial"/>
        </w:rPr>
        <w:t>needs to be reached in serum for protection to be reflected at a local level, or booster vaccinations are required in orde</w:t>
      </w:r>
      <w:r w:rsidR="00983020" w:rsidRPr="00C02A73">
        <w:rPr>
          <w:rFonts w:ascii="Arial" w:hAnsi="Arial" w:cs="Arial"/>
        </w:rPr>
        <w:t>r to elicit a mucosal response; h</w:t>
      </w:r>
      <w:r w:rsidR="00B55CEE" w:rsidRPr="00C02A73">
        <w:rPr>
          <w:rFonts w:ascii="Arial" w:hAnsi="Arial" w:cs="Arial"/>
        </w:rPr>
        <w:t xml:space="preserve">owever, </w:t>
      </w:r>
      <w:r w:rsidR="004B5488" w:rsidRPr="00C02A73">
        <w:rPr>
          <w:rFonts w:ascii="Arial" w:hAnsi="Arial" w:cs="Arial"/>
        </w:rPr>
        <w:t>re-immunisation</w:t>
      </w:r>
      <w:r w:rsidR="009D546D" w:rsidRPr="00C02A73">
        <w:rPr>
          <w:rFonts w:ascii="Arial" w:hAnsi="Arial" w:cs="Arial"/>
        </w:rPr>
        <w:t xml:space="preserve"> with pneumococcal </w:t>
      </w:r>
      <w:r w:rsidR="00CB66FD" w:rsidRPr="00C02A73">
        <w:rPr>
          <w:rFonts w:ascii="Arial" w:hAnsi="Arial" w:cs="Arial"/>
        </w:rPr>
        <w:t>polysaccharide vaccine</w:t>
      </w:r>
      <w:r w:rsidR="009D546D" w:rsidRPr="00C02A73">
        <w:rPr>
          <w:rFonts w:ascii="Arial" w:hAnsi="Arial" w:cs="Arial"/>
        </w:rPr>
        <w:t>s</w:t>
      </w:r>
      <w:r w:rsidR="00CB66FD" w:rsidRPr="00C02A73">
        <w:rPr>
          <w:rFonts w:ascii="Arial" w:hAnsi="Arial" w:cs="Arial"/>
        </w:rPr>
        <w:t xml:space="preserve"> </w:t>
      </w:r>
      <w:r w:rsidR="004B5488" w:rsidRPr="00C02A73">
        <w:rPr>
          <w:rFonts w:ascii="Arial" w:hAnsi="Arial" w:cs="Arial"/>
        </w:rPr>
        <w:t xml:space="preserve">can result in </w:t>
      </w:r>
      <w:r w:rsidR="002D639A" w:rsidRPr="00C02A73">
        <w:rPr>
          <w:rFonts w:ascii="Arial" w:hAnsi="Arial" w:cs="Arial"/>
        </w:rPr>
        <w:t xml:space="preserve">immune </w:t>
      </w:r>
      <w:proofErr w:type="spellStart"/>
      <w:r w:rsidR="005817D8" w:rsidRPr="00C02A73">
        <w:rPr>
          <w:rFonts w:ascii="Arial" w:hAnsi="Arial" w:cs="Arial"/>
        </w:rPr>
        <w:t>hyporesponsiveness</w:t>
      </w:r>
      <w:proofErr w:type="spellEnd"/>
      <w:r w:rsidR="00CD6090" w:rsidRPr="00C02A73">
        <w:rPr>
          <w:rFonts w:ascii="Arial" w:hAnsi="Arial" w:cs="Arial"/>
        </w:rPr>
        <w:t xml:space="preserve"> </w:t>
      </w:r>
      <w:r w:rsidR="00CD6090" w:rsidRPr="00C02A73">
        <w:rPr>
          <w:rFonts w:ascii="Arial" w:hAnsi="Arial" w:cs="Arial"/>
        </w:rPr>
        <w:fldChar w:fldCharType="begin"/>
      </w:r>
      <w:r w:rsidR="00CD6090" w:rsidRPr="00C02A73">
        <w:rPr>
          <w:rFonts w:ascii="Arial" w:hAnsi="Arial" w:cs="Arial"/>
        </w:rPr>
        <w:instrText xml:space="preserve"> ADDIN EN.CITE &lt;EndNote&gt;&lt;Cite&gt;&lt;Author&gt;O&amp;apos;Brien&lt;/Author&gt;&lt;Year&gt;2007&lt;/Year&gt;&lt;RecNum&gt;52&lt;/RecNum&gt;&lt;DisplayText&gt;(34)&lt;/DisplayText&gt;&lt;record&gt;&lt;rec-number&gt;52&lt;/rec-number&gt;&lt;foreign-keys&gt;&lt;key app="EN" db-id="ttt5azpahefvd1ex0aqxft54dvw5w5dzate2"&gt;52&lt;/key&gt;&lt;/foreign-keys&gt;&lt;ref-type name="Journal Article"&gt;17&lt;/ref-type&gt;&lt;contributors&gt;&lt;authors&gt;&lt;author&gt;O&amp;apos;Brien, K. L.&lt;/author&gt;&lt;author&gt;Hochman, M.&lt;/author&gt;&lt;author&gt;Goldblatt, D.&lt;/author&gt;&lt;/authors&gt;&lt;/contributors&gt;&lt;titles&gt;&lt;title&gt;Combined schedules of pneumococcal conjugate and polysaccharide vaccines: is hyporesponsiveness an issue?&lt;/title&gt;&lt;secondary-title&gt;Lancet Infect Dis&lt;/secondary-title&gt;&lt;/titles&gt;&lt;periodical&gt;&lt;full-title&gt;Lancet Infect Dis&lt;/full-title&gt;&lt;/periodical&gt;&lt;pages&gt;597-606&lt;/pages&gt;&lt;volume&gt;7&lt;/volume&gt;&lt;number&gt;9&lt;/number&gt;&lt;dates&gt;&lt;year&gt;2007&lt;/year&gt;&lt;/dates&gt;&lt;isbn&gt;1473-3099 (Print)&amp;#xD;1473-3099 (Linking)&lt;/isbn&gt;&lt;work-type&gt;Review&lt;/work-type&gt;&lt;urls&gt;&lt;/urls&gt;&lt;/record&gt;&lt;/Cite&gt;&lt;/EndNote&gt;</w:instrText>
      </w:r>
      <w:r w:rsidR="00CD6090" w:rsidRPr="00C02A73">
        <w:rPr>
          <w:rFonts w:ascii="Arial" w:hAnsi="Arial" w:cs="Arial"/>
        </w:rPr>
        <w:fldChar w:fldCharType="separate"/>
      </w:r>
      <w:r w:rsidR="00CD6090" w:rsidRPr="00C02A73">
        <w:rPr>
          <w:rFonts w:ascii="Arial" w:hAnsi="Arial" w:cs="Arial"/>
          <w:noProof/>
        </w:rPr>
        <w:t>(</w:t>
      </w:r>
      <w:hyperlink w:anchor="_ENREF_34" w:tooltip="O'Brien, 2007 #52" w:history="1">
        <w:r w:rsidR="00EA05AB" w:rsidRPr="00C02A73">
          <w:rPr>
            <w:rFonts w:ascii="Arial" w:hAnsi="Arial" w:cs="Arial"/>
            <w:noProof/>
          </w:rPr>
          <w:t>34</w:t>
        </w:r>
      </w:hyperlink>
      <w:r w:rsidR="00CD6090" w:rsidRPr="00C02A73">
        <w:rPr>
          <w:rFonts w:ascii="Arial" w:hAnsi="Arial" w:cs="Arial"/>
          <w:noProof/>
        </w:rPr>
        <w:t>)</w:t>
      </w:r>
      <w:r w:rsidR="00CD6090" w:rsidRPr="00C02A73">
        <w:rPr>
          <w:rFonts w:ascii="Arial" w:hAnsi="Arial" w:cs="Arial"/>
        </w:rPr>
        <w:fldChar w:fldCharType="end"/>
      </w:r>
      <w:r w:rsidR="00983020" w:rsidRPr="00C02A73">
        <w:rPr>
          <w:rFonts w:ascii="Arial" w:hAnsi="Arial" w:cs="Arial"/>
        </w:rPr>
        <w:t>.</w:t>
      </w:r>
      <w:r w:rsidR="00BB157A" w:rsidRPr="00C02A73">
        <w:rPr>
          <w:rFonts w:ascii="Arial" w:hAnsi="Arial" w:cs="Arial"/>
        </w:rPr>
        <w:t xml:space="preserve"> </w:t>
      </w:r>
      <w:r w:rsidR="00DB7B2C" w:rsidRPr="00C02A73">
        <w:rPr>
          <w:rFonts w:ascii="Arial" w:hAnsi="Arial" w:cs="Arial"/>
        </w:rPr>
        <w:t>Alternatively, any s</w:t>
      </w:r>
      <w:r w:rsidR="00CD4AA3" w:rsidRPr="00C02A73">
        <w:rPr>
          <w:rFonts w:ascii="Arial" w:hAnsi="Arial" w:cs="Arial"/>
        </w:rPr>
        <w:t xml:space="preserve">alivary response may have </w:t>
      </w:r>
      <w:r w:rsidR="00DB7B2C" w:rsidRPr="00C02A73">
        <w:rPr>
          <w:rFonts w:ascii="Arial" w:hAnsi="Arial" w:cs="Arial"/>
        </w:rPr>
        <w:t>diminished over time</w:t>
      </w:r>
      <w:r w:rsidR="00CD4AA3" w:rsidRPr="00C02A73">
        <w:rPr>
          <w:rFonts w:ascii="Arial" w:hAnsi="Arial" w:cs="Arial"/>
        </w:rPr>
        <w:t xml:space="preserve">. </w:t>
      </w:r>
      <w:r w:rsidR="00DB7B2C" w:rsidRPr="00C02A73">
        <w:rPr>
          <w:rFonts w:ascii="Arial" w:hAnsi="Arial" w:cs="Arial"/>
        </w:rPr>
        <w:t>An increase in salivary antibodi</w:t>
      </w:r>
      <w:r w:rsidR="00251A0F" w:rsidRPr="00C02A73">
        <w:rPr>
          <w:rFonts w:ascii="Arial" w:hAnsi="Arial" w:cs="Arial"/>
        </w:rPr>
        <w:t>es has been observed in adults seven</w:t>
      </w:r>
      <w:r w:rsidR="00DB7B2C" w:rsidRPr="00C02A73">
        <w:rPr>
          <w:rFonts w:ascii="Arial" w:hAnsi="Arial" w:cs="Arial"/>
        </w:rPr>
        <w:t xml:space="preserve"> days following a pneumococcal vaccine</w:t>
      </w:r>
      <w:r w:rsidR="0052519D" w:rsidRPr="00C02A73">
        <w:rPr>
          <w:rFonts w:ascii="Arial" w:hAnsi="Arial" w:cs="Arial"/>
        </w:rPr>
        <w:t>, but maintenance over time was not explored</w:t>
      </w:r>
      <w:r w:rsidR="00A3294D" w:rsidRPr="00C02A73">
        <w:rPr>
          <w:rFonts w:ascii="Arial" w:hAnsi="Arial" w:cs="Arial"/>
        </w:rPr>
        <w:t xml:space="preserve"> </w:t>
      </w:r>
      <w:r w:rsidR="003964D0" w:rsidRPr="00C02A73">
        <w:rPr>
          <w:rFonts w:ascii="Arial" w:hAnsi="Arial" w:cs="Arial"/>
        </w:rPr>
        <w:fldChar w:fldCharType="begin"/>
      </w:r>
      <w:r w:rsidR="00CD6090" w:rsidRPr="00C02A73">
        <w:rPr>
          <w:rFonts w:ascii="Arial" w:hAnsi="Arial" w:cs="Arial"/>
        </w:rPr>
        <w:instrText xml:space="preserve"> ADDIN EN.CITE &lt;EndNote&gt;&lt;Cite&gt;&lt;Author&gt;Nieminen&lt;/Author&gt;&lt;Year&gt;1998&lt;/Year&gt;&lt;RecNum&gt;41&lt;/RecNum&gt;&lt;DisplayText&gt;(35)&lt;/DisplayText&gt;&lt;record&gt;&lt;rec-number&gt;41&lt;/rec-number&gt;&lt;foreign-keys&gt;&lt;key app="EN" db-id="ttt5azpahefvd1ex0aqxft54dvw5w5dzate2"&gt;41&lt;/key&gt;&lt;/foreign-keys&gt;&lt;ref-type name="Journal Article"&gt;17&lt;/ref-type&gt;&lt;contributors&gt;&lt;authors&gt;&lt;author&gt;Nieminen, T.&lt;/author&gt;&lt;author&gt;Eskola, J.&lt;/author&gt;&lt;author&gt;Kayhty, H.&lt;/author&gt;&lt;/authors&gt;&lt;/contributors&gt;&lt;titles&gt;&lt;title&gt;Pneumococcal conjugate vaccination in adults: circulating antibody secreting cell response and humoral antibody responses in saliva and in serum&lt;/title&gt;&lt;secondary-title&gt;Vaccine&lt;/secondary-title&gt;&lt;/titles&gt;&lt;periodical&gt;&lt;full-title&gt;Vaccine&lt;/full-title&gt;&lt;/periodical&gt;&lt;pages&gt;630-6&lt;/pages&gt;&lt;volume&gt;16&lt;/volume&gt;&lt;number&gt;6&lt;/number&gt;&lt;dates&gt;&lt;year&gt;1998&lt;/year&gt;&lt;/dates&gt;&lt;isbn&gt;0264-410X (Print)&amp;#xD;0264-410X (Linking)&lt;/isbn&gt;&lt;work-type&gt;Clinical Trial&amp;#xD;Randomized Controlled Trial&lt;/work-type&gt;&lt;urls&gt;&lt;/urls&gt;&lt;/record&gt;&lt;/Cite&gt;&lt;/EndNote&gt;</w:instrText>
      </w:r>
      <w:r w:rsidR="003964D0" w:rsidRPr="00C02A73">
        <w:rPr>
          <w:rFonts w:ascii="Arial" w:hAnsi="Arial" w:cs="Arial"/>
        </w:rPr>
        <w:fldChar w:fldCharType="separate"/>
      </w:r>
      <w:r w:rsidR="00CD6090" w:rsidRPr="00C02A73">
        <w:rPr>
          <w:rFonts w:ascii="Arial" w:hAnsi="Arial" w:cs="Arial"/>
          <w:noProof/>
        </w:rPr>
        <w:t>(</w:t>
      </w:r>
      <w:hyperlink w:anchor="_ENREF_35" w:tooltip="Nieminen, 1998 #41" w:history="1">
        <w:r w:rsidR="00EA05AB" w:rsidRPr="00C02A73">
          <w:rPr>
            <w:rFonts w:ascii="Arial" w:hAnsi="Arial" w:cs="Arial"/>
            <w:noProof/>
          </w:rPr>
          <w:t>35</w:t>
        </w:r>
      </w:hyperlink>
      <w:r w:rsidR="00CD6090" w:rsidRPr="00C02A73">
        <w:rPr>
          <w:rFonts w:ascii="Arial" w:hAnsi="Arial" w:cs="Arial"/>
          <w:noProof/>
        </w:rPr>
        <w:t>)</w:t>
      </w:r>
      <w:r w:rsidR="003964D0" w:rsidRPr="00C02A73">
        <w:rPr>
          <w:rFonts w:ascii="Arial" w:hAnsi="Arial" w:cs="Arial"/>
        </w:rPr>
        <w:fldChar w:fldCharType="end"/>
      </w:r>
      <w:r w:rsidR="00A3294D" w:rsidRPr="00C02A73">
        <w:rPr>
          <w:rFonts w:ascii="Arial" w:hAnsi="Arial" w:cs="Arial"/>
        </w:rPr>
        <w:t>.</w:t>
      </w:r>
      <w:r w:rsidR="0052519D" w:rsidRPr="00C02A73">
        <w:rPr>
          <w:rFonts w:ascii="Arial" w:hAnsi="Arial" w:cs="Arial"/>
        </w:rPr>
        <w:t xml:space="preserve"> </w:t>
      </w:r>
      <w:r w:rsidR="00F06AC7" w:rsidRPr="00C02A73">
        <w:rPr>
          <w:rFonts w:ascii="Arial" w:hAnsi="Arial" w:cs="Arial"/>
        </w:rPr>
        <w:t>The present findings</w:t>
      </w:r>
      <w:r w:rsidR="00BB157A" w:rsidRPr="00C02A73">
        <w:rPr>
          <w:rFonts w:ascii="Arial" w:hAnsi="Arial" w:cs="Arial"/>
        </w:rPr>
        <w:t xml:space="preserve"> suggest that </w:t>
      </w:r>
      <w:r w:rsidR="00CD4AA3" w:rsidRPr="00C02A73">
        <w:rPr>
          <w:rFonts w:ascii="Arial" w:hAnsi="Arial" w:cs="Arial"/>
        </w:rPr>
        <w:t xml:space="preserve">PPV23 </w:t>
      </w:r>
      <w:r w:rsidR="00BB157A" w:rsidRPr="00C02A73">
        <w:rPr>
          <w:rFonts w:ascii="Arial" w:hAnsi="Arial" w:cs="Arial"/>
        </w:rPr>
        <w:t>cannot confer memory in saliva of older adults</w:t>
      </w:r>
      <w:r w:rsidR="00CD4AA3" w:rsidRPr="00C02A73">
        <w:rPr>
          <w:rFonts w:ascii="Arial" w:hAnsi="Arial" w:cs="Arial"/>
        </w:rPr>
        <w:t>, although further s</w:t>
      </w:r>
      <w:r w:rsidR="00DB7B2C" w:rsidRPr="00C02A73">
        <w:rPr>
          <w:rFonts w:ascii="Arial" w:hAnsi="Arial" w:cs="Arial"/>
        </w:rPr>
        <w:t>tudies specifically looking at vaccination are required</w:t>
      </w:r>
      <w:r w:rsidR="00E90BF1" w:rsidRPr="00C02A73">
        <w:rPr>
          <w:rFonts w:ascii="Arial" w:hAnsi="Arial" w:cs="Arial"/>
        </w:rPr>
        <w:t xml:space="preserve">. </w:t>
      </w:r>
    </w:p>
    <w:p w:rsidR="00114441" w:rsidRPr="00C02A73" w:rsidRDefault="00B9771B" w:rsidP="00E061E5">
      <w:pPr>
        <w:spacing w:line="480" w:lineRule="auto"/>
        <w:rPr>
          <w:rFonts w:ascii="Arial" w:hAnsi="Arial" w:cs="Arial"/>
        </w:rPr>
      </w:pPr>
      <w:r w:rsidRPr="00C02A73">
        <w:rPr>
          <w:rFonts w:ascii="Arial" w:hAnsi="Arial" w:cs="Arial"/>
        </w:rPr>
        <w:t>The</w:t>
      </w:r>
      <w:r w:rsidR="00D9715A" w:rsidRPr="00C02A73">
        <w:rPr>
          <w:rFonts w:ascii="Arial" w:hAnsi="Arial" w:cs="Arial"/>
        </w:rPr>
        <w:t xml:space="preserve"> proportions of partici</w:t>
      </w:r>
      <w:r w:rsidR="00774D19" w:rsidRPr="00C02A73">
        <w:rPr>
          <w:rFonts w:ascii="Arial" w:hAnsi="Arial" w:cs="Arial"/>
        </w:rPr>
        <w:t xml:space="preserve">pants with protective levels </w:t>
      </w:r>
      <w:r w:rsidRPr="00C02A73">
        <w:rPr>
          <w:rFonts w:ascii="Arial" w:hAnsi="Arial" w:cs="Arial"/>
        </w:rPr>
        <w:t xml:space="preserve">for MEN serotypes, TET, DIP and HIB </w:t>
      </w:r>
      <w:r w:rsidR="00774D19" w:rsidRPr="00C02A73">
        <w:rPr>
          <w:rFonts w:ascii="Arial" w:hAnsi="Arial" w:cs="Arial"/>
        </w:rPr>
        <w:t>were</w:t>
      </w:r>
      <w:r w:rsidR="00D9715A" w:rsidRPr="00C02A73">
        <w:rPr>
          <w:rFonts w:ascii="Arial" w:hAnsi="Arial" w:cs="Arial"/>
        </w:rPr>
        <w:t xml:space="preserve"> similar to those observed previously in </w:t>
      </w:r>
      <w:r w:rsidR="00AD559B" w:rsidRPr="00C02A73">
        <w:rPr>
          <w:rFonts w:ascii="Arial" w:hAnsi="Arial" w:cs="Arial"/>
        </w:rPr>
        <w:t>healthy adults</w:t>
      </w:r>
      <w:r w:rsidR="00774D19" w:rsidRPr="00C02A73">
        <w:rPr>
          <w:rFonts w:ascii="Arial" w:hAnsi="Arial" w:cs="Arial"/>
        </w:rPr>
        <w:t xml:space="preserve"> </w:t>
      </w:r>
      <w:r w:rsidR="003964D0" w:rsidRPr="00C02A73">
        <w:rPr>
          <w:rFonts w:ascii="Arial" w:hAnsi="Arial" w:cs="Arial"/>
        </w:rPr>
        <w:fldChar w:fldCharType="begin"/>
      </w:r>
      <w:r w:rsidR="00A61E0A" w:rsidRPr="00C02A73">
        <w:rPr>
          <w:rFonts w:ascii="Arial" w:hAnsi="Arial" w:cs="Arial"/>
        </w:rPr>
        <w:instrText xml:space="preserve"> ADDIN EN.CITE &lt;EndNote&gt;&lt;Cite&gt;&lt;Author&gt;Whitelegg&lt;/Author&gt;&lt;Year&gt;2012&lt;/Year&gt;&lt;RecNum&gt;44&lt;/RecNum&gt;&lt;DisplayText&gt;(19)&lt;/DisplayText&gt;&lt;record&gt;&lt;rec-number&gt;44&lt;/rec-number&gt;&lt;foreign-keys&gt;&lt;key app="EN" db-id="ttt5azpahefvd1ex0aqxft54dvw5w5dzate2"&gt;44&lt;/key&gt;&lt;/foreign-keys&gt;&lt;ref-type name="Journal Article"&gt;17&lt;/ref-type&gt;&lt;contributors&gt;&lt;authors&gt;&lt;author&gt;Whitelegg, A. M.&lt;/author&gt;&lt;author&gt;Birtwistle, J.&lt;/author&gt;&lt;author&gt;Richter, A.&lt;/author&gt;&lt;author&gt;Campbell, J. P.&lt;/author&gt;&lt;author&gt;Turner, J. E.&lt;/author&gt;&lt;author&gt;Ahmed, T. M.&lt;/author&gt;&lt;author&gt;Giles, L. J.&lt;/author&gt;&lt;author&gt;Fellows, M.&lt;/author&gt;&lt;author&gt;Plant, T.&lt;/author&gt;&lt;author&gt;Ferraro, A. J.&lt;/author&gt;&lt;author&gt;Cobbold, M.&lt;/author&gt;&lt;author&gt;Drayson, M. T.&lt;/author&gt;&lt;author&gt;MacLennan, C. A.&lt;/author&gt;&lt;/authors&gt;&lt;/contributors&gt;&lt;titles&gt;&lt;title&gt;Measurement of antibodies to pneumococcal, meningococcal and haemophilus polysaccharides, and tetanus and diphtheria toxoids using a 19-plexed assay&lt;/title&gt;&lt;secondary-title&gt;J Immunol Methods&lt;/secondary-title&gt;&lt;/titles&gt;&lt;periodical&gt;&lt;full-title&gt;J Immunol Methods&lt;/full-title&gt;&lt;/periodical&gt;&lt;pages&gt;37-46&lt;/pages&gt;&lt;volume&gt;377&lt;/volume&gt;&lt;number&gt;1-2&lt;/number&gt;&lt;dates&gt;&lt;year&gt;2012&lt;/year&gt;&lt;/dates&gt;&lt;isbn&gt;1872-7905 (Electronic)&amp;#xD;0022-1759 (Linking)&lt;/isbn&gt;&lt;work-type&gt;Research Support, Non-U S Gov&amp;apos;t&lt;/work-type&gt;&lt;urls&gt;&lt;/urls&gt;&lt;/record&gt;&lt;/Cite&gt;&lt;/EndNote&gt;</w:instrText>
      </w:r>
      <w:r w:rsidR="003964D0" w:rsidRPr="00C02A73">
        <w:rPr>
          <w:rFonts w:ascii="Arial" w:hAnsi="Arial" w:cs="Arial"/>
        </w:rPr>
        <w:fldChar w:fldCharType="separate"/>
      </w:r>
      <w:r w:rsidR="00A61E0A" w:rsidRPr="00C02A73">
        <w:rPr>
          <w:rFonts w:ascii="Arial" w:hAnsi="Arial" w:cs="Arial"/>
          <w:noProof/>
        </w:rPr>
        <w:t>(</w:t>
      </w:r>
      <w:hyperlink w:anchor="_ENREF_19" w:tooltip="Whitelegg, 2012 #44" w:history="1">
        <w:r w:rsidR="00EA05AB" w:rsidRPr="00C02A73">
          <w:rPr>
            <w:rFonts w:ascii="Arial" w:hAnsi="Arial" w:cs="Arial"/>
            <w:noProof/>
          </w:rPr>
          <w:t>19</w:t>
        </w:r>
      </w:hyperlink>
      <w:r w:rsidR="00A61E0A" w:rsidRPr="00C02A73">
        <w:rPr>
          <w:rFonts w:ascii="Arial" w:hAnsi="Arial" w:cs="Arial"/>
          <w:noProof/>
        </w:rPr>
        <w:t>)</w:t>
      </w:r>
      <w:r w:rsidR="003964D0" w:rsidRPr="00C02A73">
        <w:rPr>
          <w:rFonts w:ascii="Arial" w:hAnsi="Arial" w:cs="Arial"/>
        </w:rPr>
        <w:fldChar w:fldCharType="end"/>
      </w:r>
      <w:r w:rsidR="00B0644B" w:rsidRPr="00C02A73">
        <w:rPr>
          <w:rFonts w:ascii="Arial" w:hAnsi="Arial" w:cs="Arial"/>
        </w:rPr>
        <w:t>,</w:t>
      </w:r>
      <w:r w:rsidR="00774D19" w:rsidRPr="00C02A73">
        <w:rPr>
          <w:rFonts w:ascii="Arial" w:hAnsi="Arial" w:cs="Arial"/>
        </w:rPr>
        <w:t xml:space="preserve"> although </w:t>
      </w:r>
      <w:r w:rsidR="009D546D" w:rsidRPr="00C02A73">
        <w:rPr>
          <w:rFonts w:ascii="Arial" w:hAnsi="Arial" w:cs="Arial"/>
        </w:rPr>
        <w:t xml:space="preserve">reference ranges for </w:t>
      </w:r>
      <w:r w:rsidR="00774D19" w:rsidRPr="00C02A73">
        <w:rPr>
          <w:rFonts w:ascii="Arial" w:hAnsi="Arial" w:cs="Arial"/>
        </w:rPr>
        <w:t>age</w:t>
      </w:r>
      <w:r w:rsidR="00433DF0" w:rsidRPr="00C02A73">
        <w:rPr>
          <w:rFonts w:ascii="Arial" w:hAnsi="Arial" w:cs="Arial"/>
        </w:rPr>
        <w:t xml:space="preserve"> have not been established</w:t>
      </w:r>
      <w:r w:rsidR="00774D19" w:rsidRPr="00C02A73">
        <w:rPr>
          <w:rFonts w:ascii="Arial" w:hAnsi="Arial" w:cs="Arial"/>
        </w:rPr>
        <w:t>. Reference ranges are not available for saliva, although this study has demonstrated that is it possible to detect th</w:t>
      </w:r>
      <w:r w:rsidR="00023DF5" w:rsidRPr="00C02A73">
        <w:rPr>
          <w:rFonts w:ascii="Arial" w:hAnsi="Arial" w:cs="Arial"/>
        </w:rPr>
        <w:t>ese</w:t>
      </w:r>
      <w:r w:rsidR="00774D19" w:rsidRPr="00C02A73">
        <w:rPr>
          <w:rFonts w:ascii="Arial" w:hAnsi="Arial" w:cs="Arial"/>
        </w:rPr>
        <w:t xml:space="preserve"> 19 </w:t>
      </w:r>
      <w:r w:rsidR="00CB66FD" w:rsidRPr="00C02A73">
        <w:rPr>
          <w:rFonts w:ascii="Arial" w:hAnsi="Arial" w:cs="Arial"/>
        </w:rPr>
        <w:t xml:space="preserve">bacterial antigen specific </w:t>
      </w:r>
      <w:r w:rsidR="00774D19" w:rsidRPr="00C02A73">
        <w:rPr>
          <w:rFonts w:ascii="Arial" w:hAnsi="Arial" w:cs="Arial"/>
        </w:rPr>
        <w:t xml:space="preserve">antibodies in saliva. </w:t>
      </w:r>
    </w:p>
    <w:p w:rsidR="004F1520" w:rsidRPr="00C02A73" w:rsidRDefault="009A4FC1" w:rsidP="004F1520">
      <w:pPr>
        <w:spacing w:line="480" w:lineRule="auto"/>
        <w:rPr>
          <w:rFonts w:ascii="Arial" w:hAnsi="Arial" w:cs="Arial"/>
        </w:rPr>
      </w:pPr>
      <w:r w:rsidRPr="00C02A73">
        <w:rPr>
          <w:rFonts w:ascii="Arial" w:hAnsi="Arial" w:cs="Arial"/>
        </w:rPr>
        <w:t>In conclusion, o</w:t>
      </w:r>
      <w:r w:rsidR="00D160B2" w:rsidRPr="00C02A73">
        <w:rPr>
          <w:rFonts w:ascii="Arial" w:hAnsi="Arial" w:cs="Arial"/>
        </w:rPr>
        <w:t xml:space="preserve">lder adults have reduced salivary secretion rates of IgA, IgM and IgG antibodies against a range of antigens. Therefore, the reduction in </w:t>
      </w:r>
      <w:r w:rsidR="00ED05F6" w:rsidRPr="00C02A73">
        <w:rPr>
          <w:rFonts w:ascii="Arial" w:hAnsi="Arial" w:cs="Arial"/>
        </w:rPr>
        <w:t xml:space="preserve">adaptive immunity observed with ageing appears to extend to </w:t>
      </w:r>
      <w:r w:rsidR="00E055A2" w:rsidRPr="00C02A73">
        <w:rPr>
          <w:rFonts w:ascii="Arial" w:hAnsi="Arial" w:cs="Arial"/>
        </w:rPr>
        <w:t xml:space="preserve">secretory </w:t>
      </w:r>
      <w:r w:rsidR="00ED05F6" w:rsidRPr="00C02A73">
        <w:rPr>
          <w:rFonts w:ascii="Arial" w:hAnsi="Arial" w:cs="Arial"/>
        </w:rPr>
        <w:t>oral immunity. This decline in local protection may contribute to increased susceptibilit</w:t>
      </w:r>
      <w:r w:rsidR="000B759E" w:rsidRPr="00C02A73">
        <w:rPr>
          <w:rFonts w:ascii="Arial" w:hAnsi="Arial" w:cs="Arial"/>
        </w:rPr>
        <w:t xml:space="preserve">y to infection in the elderly. </w:t>
      </w:r>
      <w:r w:rsidR="007B2057" w:rsidRPr="00C02A73">
        <w:rPr>
          <w:rFonts w:ascii="Arial" w:hAnsi="Arial" w:cs="Arial"/>
        </w:rPr>
        <w:t>A</w:t>
      </w:r>
      <w:r w:rsidR="004A4D02" w:rsidRPr="00C02A73">
        <w:rPr>
          <w:rFonts w:ascii="Arial" w:hAnsi="Arial" w:cs="Arial"/>
        </w:rPr>
        <w:t xml:space="preserve"> relatively </w:t>
      </w:r>
      <w:r w:rsidR="005D14F1" w:rsidRPr="00C02A73">
        <w:rPr>
          <w:rFonts w:ascii="Arial" w:hAnsi="Arial" w:cs="Arial"/>
        </w:rPr>
        <w:t xml:space="preserve">small sample size </w:t>
      </w:r>
      <w:r w:rsidR="007B2057" w:rsidRPr="00C02A73">
        <w:rPr>
          <w:rFonts w:ascii="Arial" w:hAnsi="Arial" w:cs="Arial"/>
        </w:rPr>
        <w:t xml:space="preserve">is a limitation of this investigation </w:t>
      </w:r>
      <w:r w:rsidR="005D14F1" w:rsidRPr="00C02A73">
        <w:rPr>
          <w:rFonts w:ascii="Arial" w:hAnsi="Arial" w:cs="Arial"/>
        </w:rPr>
        <w:t xml:space="preserve">and findings should be replicated in </w:t>
      </w:r>
      <w:r w:rsidR="005D14F1" w:rsidRPr="00C02A73">
        <w:rPr>
          <w:rFonts w:ascii="Arial" w:hAnsi="Arial" w:cs="Arial"/>
        </w:rPr>
        <w:lastRenderedPageBreak/>
        <w:t xml:space="preserve">larger studies. </w:t>
      </w:r>
      <w:r w:rsidR="00473612" w:rsidRPr="00C02A73">
        <w:rPr>
          <w:rFonts w:ascii="Arial" w:hAnsi="Arial" w:cs="Arial"/>
        </w:rPr>
        <w:t>Th</w:t>
      </w:r>
      <w:r w:rsidR="00190AB4" w:rsidRPr="00C02A73">
        <w:rPr>
          <w:rFonts w:ascii="Arial" w:hAnsi="Arial" w:cs="Arial"/>
        </w:rPr>
        <w:t xml:space="preserve">e small sample size </w:t>
      </w:r>
      <w:r w:rsidR="00B079CE" w:rsidRPr="00C02A73">
        <w:rPr>
          <w:rFonts w:ascii="Arial" w:hAnsi="Arial" w:cs="Arial"/>
        </w:rPr>
        <w:t>was a likely contributor</w:t>
      </w:r>
      <w:r w:rsidR="007B2057" w:rsidRPr="00C02A73">
        <w:rPr>
          <w:rFonts w:ascii="Arial" w:hAnsi="Arial" w:cs="Arial"/>
        </w:rPr>
        <w:t xml:space="preserve"> in </w:t>
      </w:r>
      <w:r w:rsidR="00473612" w:rsidRPr="00C02A73">
        <w:rPr>
          <w:rFonts w:ascii="Arial" w:hAnsi="Arial" w:cs="Arial"/>
        </w:rPr>
        <w:t xml:space="preserve">findings </w:t>
      </w:r>
      <w:r w:rsidR="00190AB4" w:rsidRPr="00C02A73">
        <w:rPr>
          <w:rFonts w:ascii="Arial" w:hAnsi="Arial" w:cs="Arial"/>
        </w:rPr>
        <w:t xml:space="preserve">to remain </w:t>
      </w:r>
      <w:r w:rsidR="00473612" w:rsidRPr="00C02A73">
        <w:rPr>
          <w:rFonts w:ascii="Arial" w:hAnsi="Arial" w:cs="Arial"/>
        </w:rPr>
        <w:t>significant at the 0.05 level</w:t>
      </w:r>
      <w:r w:rsidR="00190AB4" w:rsidRPr="00C02A73">
        <w:rPr>
          <w:rFonts w:ascii="Arial" w:hAnsi="Arial" w:cs="Arial"/>
        </w:rPr>
        <w:t xml:space="preserve"> following </w:t>
      </w:r>
      <w:proofErr w:type="gramStart"/>
      <w:r w:rsidR="00190AB4" w:rsidRPr="00C02A73">
        <w:rPr>
          <w:rFonts w:ascii="Arial" w:hAnsi="Arial" w:cs="Arial"/>
        </w:rPr>
        <w:t>adjustment</w:t>
      </w:r>
      <w:proofErr w:type="gramEnd"/>
      <w:r w:rsidR="00473612" w:rsidRPr="00C02A73">
        <w:rPr>
          <w:rFonts w:ascii="Arial" w:hAnsi="Arial" w:cs="Arial"/>
        </w:rPr>
        <w:t xml:space="preserve">, although all findings at 0.01 and 0.001 were </w:t>
      </w:r>
      <w:r w:rsidR="00190AB4" w:rsidRPr="00C02A73">
        <w:rPr>
          <w:rFonts w:ascii="Arial" w:hAnsi="Arial" w:cs="Arial"/>
        </w:rPr>
        <w:t xml:space="preserve">still </w:t>
      </w:r>
      <w:r w:rsidR="00473612" w:rsidRPr="00C02A73">
        <w:rPr>
          <w:rFonts w:ascii="Arial" w:hAnsi="Arial" w:cs="Arial"/>
        </w:rPr>
        <w:t xml:space="preserve">supported following correction for multiple comparisons. </w:t>
      </w:r>
      <w:r w:rsidR="0071304D" w:rsidRPr="00C02A73">
        <w:rPr>
          <w:rFonts w:ascii="Arial" w:hAnsi="Arial" w:cs="Arial"/>
        </w:rPr>
        <w:t>To unders</w:t>
      </w:r>
      <w:r w:rsidR="00BC65F4" w:rsidRPr="00C02A73">
        <w:rPr>
          <w:rFonts w:ascii="Arial" w:hAnsi="Arial" w:cs="Arial"/>
        </w:rPr>
        <w:t>tand the practical implications</w:t>
      </w:r>
      <w:r w:rsidR="0071304D" w:rsidRPr="00C02A73">
        <w:rPr>
          <w:rFonts w:ascii="Arial" w:hAnsi="Arial" w:cs="Arial"/>
        </w:rPr>
        <w:t xml:space="preserve"> of age-related changes in </w:t>
      </w:r>
      <w:r w:rsidR="00D034D3" w:rsidRPr="00C02A73">
        <w:rPr>
          <w:rFonts w:ascii="Arial" w:hAnsi="Arial" w:cs="Arial"/>
        </w:rPr>
        <w:t>oral functional antibodies, f</w:t>
      </w:r>
      <w:r w:rsidR="005D14F1" w:rsidRPr="00C02A73">
        <w:rPr>
          <w:rFonts w:ascii="Arial" w:hAnsi="Arial" w:cs="Arial"/>
        </w:rPr>
        <w:t xml:space="preserve">uture studies should explore the relationship between saliva parameters, carriage of bacteria </w:t>
      </w:r>
      <w:r w:rsidR="00F06AC7" w:rsidRPr="00C02A73">
        <w:rPr>
          <w:rFonts w:ascii="Arial" w:hAnsi="Arial" w:cs="Arial"/>
        </w:rPr>
        <w:t>and infection incidence</w:t>
      </w:r>
      <w:r w:rsidR="005F42C4" w:rsidRPr="00C02A73">
        <w:rPr>
          <w:rFonts w:ascii="Arial" w:hAnsi="Arial" w:cs="Arial"/>
        </w:rPr>
        <w:t xml:space="preserve">. </w:t>
      </w:r>
      <w:r w:rsidR="00D034D3" w:rsidRPr="00C02A73">
        <w:rPr>
          <w:rFonts w:ascii="Arial" w:hAnsi="Arial" w:cs="Arial"/>
        </w:rPr>
        <w:t xml:space="preserve">Given that </w:t>
      </w:r>
      <w:r w:rsidR="00021761" w:rsidRPr="00C02A73">
        <w:rPr>
          <w:rFonts w:ascii="Arial" w:hAnsi="Arial" w:cs="Arial"/>
        </w:rPr>
        <w:t>the transmission of pneumococci may occur via saliva and saliva swabs have been proposed as a method to improve detection of pneumococcal colonisation</w:t>
      </w:r>
      <w:r w:rsidR="00555459" w:rsidRPr="00C02A73">
        <w:rPr>
          <w:rFonts w:ascii="Arial" w:hAnsi="Arial" w:cs="Arial"/>
        </w:rPr>
        <w:t xml:space="preserve"> </w:t>
      </w:r>
      <w:r w:rsidR="003964D0" w:rsidRPr="00C02A73">
        <w:rPr>
          <w:rFonts w:ascii="Arial" w:hAnsi="Arial" w:cs="Arial"/>
        </w:rPr>
        <w:fldChar w:fldCharType="begin"/>
      </w:r>
      <w:r w:rsidR="00CD6090" w:rsidRPr="00C02A73">
        <w:rPr>
          <w:rFonts w:ascii="Arial" w:hAnsi="Arial" w:cs="Arial"/>
        </w:rPr>
        <w:instrText xml:space="preserve"> ADDIN EN.CITE &lt;EndNote&gt;&lt;Cite&gt;&lt;Author&gt;Levine&lt;/Author&gt;&lt;Year&gt;2012&lt;/Year&gt;&lt;RecNum&gt;8&lt;/RecNum&gt;&lt;DisplayText&gt;(5, 36)&lt;/DisplayText&gt;&lt;record&gt;&lt;rec-number&gt;8&lt;/rec-number&gt;&lt;foreign-keys&gt;&lt;key app="EN" db-id="ttt5azpahefvd1ex0aqxft54dvw5w5dzate2"&gt;8&lt;/key&gt;&lt;/foreign-keys&gt;&lt;ref-type name="Journal Article"&gt;17&lt;/ref-type&gt;&lt;contributors&gt;&lt;authors&gt;&lt;author&gt;Levine, H.&lt;/author&gt;&lt;author&gt;Zarka, S.&lt;/author&gt;&lt;author&gt;Dagan, R.&lt;/author&gt;&lt;author&gt;Sela, T.&lt;/author&gt;&lt;author&gt;Rozhavski, V.&lt;/author&gt;&lt;author&gt;Cohen, D. I.&lt;/author&gt;&lt;author&gt;Balicer, R. D.&lt;/author&gt;&lt;/authors&gt;&lt;/contributors&gt;&lt;titles&gt;&lt;title&gt;Transmission of Streptococcus pneumoniae in adults may occur through saliva&lt;/title&gt;&lt;secondary-title&gt;Epidemiol Infect&lt;/secondary-title&gt;&lt;/titles&gt;&lt;periodical&gt;&lt;full-title&gt;Epidemiol Infect&lt;/full-title&gt;&lt;/periodical&gt;&lt;pages&gt;561-5&lt;/pages&gt;&lt;volume&gt;140&lt;/volume&gt;&lt;number&gt;3&lt;/number&gt;&lt;dates&gt;&lt;year&gt;2012&lt;/year&gt;&lt;/dates&gt;&lt;isbn&gt;1469-4409 (Electronic)&amp;#xD;0950-2688 (Linking)&lt;/isbn&gt;&lt;work-type&gt;Research Support, Non-U S Gov&amp;apos;t&lt;/work-type&gt;&lt;urls&gt;&lt;/urls&gt;&lt;/record&gt;&lt;/Cite&gt;&lt;Cite&gt;&lt;Author&gt;Krone&lt;/Author&gt;&lt;Year&gt;2014&lt;/Year&gt;&lt;RecNum&gt;7&lt;/RecNum&gt;&lt;record&gt;&lt;rec-number&gt;7&lt;/rec-number&gt;&lt;foreign-keys&gt;&lt;key app="EN" db-id="ttt5azpahefvd1ex0aqxft54dvw5w5dzate2"&gt;7&lt;/key&gt;&lt;/foreign-keys&gt;&lt;ref-type name="Journal Article"&gt;17&lt;/ref-type&gt;&lt;contributors&gt;&lt;authors&gt;&lt;author&gt;Krone, C. L.&lt;/author&gt;&lt;author&gt;van de Groep, K.&lt;/author&gt;&lt;author&gt;Trzcinski, K.&lt;/author&gt;&lt;author&gt;Sanders, E. A.&lt;/author&gt;&lt;author&gt;Bogaert, D.&lt;/author&gt;&lt;/authors&gt;&lt;/contributors&gt;&lt;titles&gt;&lt;title&gt;Immunosenescence and pneumococcal disease: an imbalance in host-pathogen interactions&lt;/title&gt;&lt;secondary-title&gt;Lancet Respir Med&lt;/secondary-title&gt;&lt;/titles&gt;&lt;periodical&gt;&lt;full-title&gt;Lancet Respir Med&lt;/full-title&gt;&lt;/periodical&gt;&lt;pages&gt;141-53&lt;/pages&gt;&lt;volume&gt;2&lt;/volume&gt;&lt;number&gt;2&lt;/number&gt;&lt;dates&gt;&lt;year&gt;2014&lt;/year&gt;&lt;/dates&gt;&lt;isbn&gt;2213-2600 (Print)&amp;#xD;2213-2600 (Linking)&lt;/isbn&gt;&lt;work-type&gt;Research Support, Non-U S Gov&amp;apos;t&amp;#xD;Review&lt;/work-type&gt;&lt;urls&gt;&lt;/urls&gt;&lt;/record&gt;&lt;/Cite&gt;&lt;/EndNote&gt;</w:instrText>
      </w:r>
      <w:r w:rsidR="003964D0" w:rsidRPr="00C02A73">
        <w:rPr>
          <w:rFonts w:ascii="Arial" w:hAnsi="Arial" w:cs="Arial"/>
        </w:rPr>
        <w:fldChar w:fldCharType="separate"/>
      </w:r>
      <w:r w:rsidR="00CD6090" w:rsidRPr="00C02A73">
        <w:rPr>
          <w:rFonts w:ascii="Arial" w:hAnsi="Arial" w:cs="Arial"/>
          <w:noProof/>
        </w:rPr>
        <w:t>(</w:t>
      </w:r>
      <w:hyperlink w:anchor="_ENREF_5" w:tooltip="Krone, 2014 #7" w:history="1">
        <w:r w:rsidR="00EA05AB" w:rsidRPr="00C02A73">
          <w:rPr>
            <w:rFonts w:ascii="Arial" w:hAnsi="Arial" w:cs="Arial"/>
            <w:noProof/>
          </w:rPr>
          <w:t>5</w:t>
        </w:r>
      </w:hyperlink>
      <w:r w:rsidR="00CD6090" w:rsidRPr="00C02A73">
        <w:rPr>
          <w:rFonts w:ascii="Arial" w:hAnsi="Arial" w:cs="Arial"/>
          <w:noProof/>
        </w:rPr>
        <w:t xml:space="preserve">, </w:t>
      </w:r>
      <w:hyperlink w:anchor="_ENREF_36" w:tooltip="Levine, 2012 #8" w:history="1">
        <w:r w:rsidR="00EA05AB" w:rsidRPr="00C02A73">
          <w:rPr>
            <w:rFonts w:ascii="Arial" w:hAnsi="Arial" w:cs="Arial"/>
            <w:noProof/>
          </w:rPr>
          <w:t>36</w:t>
        </w:r>
      </w:hyperlink>
      <w:r w:rsidR="00CD6090" w:rsidRPr="00C02A73">
        <w:rPr>
          <w:rFonts w:ascii="Arial" w:hAnsi="Arial" w:cs="Arial"/>
          <w:noProof/>
        </w:rPr>
        <w:t>)</w:t>
      </w:r>
      <w:r w:rsidR="003964D0" w:rsidRPr="00C02A73">
        <w:rPr>
          <w:rFonts w:ascii="Arial" w:hAnsi="Arial" w:cs="Arial"/>
        </w:rPr>
        <w:fldChar w:fldCharType="end"/>
      </w:r>
      <w:r w:rsidR="00555459" w:rsidRPr="00C02A73">
        <w:rPr>
          <w:rFonts w:ascii="Arial" w:hAnsi="Arial" w:cs="Arial"/>
        </w:rPr>
        <w:t>,</w:t>
      </w:r>
      <w:r w:rsidR="00021761" w:rsidRPr="00C02A73">
        <w:rPr>
          <w:rFonts w:ascii="Arial" w:hAnsi="Arial" w:cs="Arial"/>
        </w:rPr>
        <w:t xml:space="preserve"> </w:t>
      </w:r>
      <w:r w:rsidR="00D034D3" w:rsidRPr="00C02A73">
        <w:rPr>
          <w:rFonts w:ascii="Arial" w:hAnsi="Arial" w:cs="Arial"/>
        </w:rPr>
        <w:t>saliva may become of increasing importance in research relating to infectious disease</w:t>
      </w:r>
      <w:r w:rsidR="006D3569" w:rsidRPr="00C02A73">
        <w:rPr>
          <w:rFonts w:ascii="Arial" w:hAnsi="Arial" w:cs="Arial"/>
        </w:rPr>
        <w:t xml:space="preserve"> in the elderly</w:t>
      </w:r>
      <w:r w:rsidR="00D034D3" w:rsidRPr="00C02A73">
        <w:rPr>
          <w:rFonts w:ascii="Arial" w:hAnsi="Arial" w:cs="Arial"/>
        </w:rPr>
        <w:t xml:space="preserve">. </w:t>
      </w:r>
      <w:r w:rsidR="003F7EC0" w:rsidRPr="00C02A73">
        <w:rPr>
          <w:rFonts w:ascii="Arial" w:hAnsi="Arial" w:cs="Arial"/>
        </w:rPr>
        <w:t xml:space="preserve"> </w:t>
      </w:r>
    </w:p>
    <w:p w:rsidR="00D056FF" w:rsidRPr="00C02A73" w:rsidRDefault="00D056FF" w:rsidP="00FF39C6">
      <w:pPr>
        <w:spacing w:after="0" w:line="480" w:lineRule="auto"/>
        <w:rPr>
          <w:rFonts w:ascii="Arial" w:hAnsi="Arial" w:cs="Arial"/>
          <w:b/>
        </w:rPr>
      </w:pPr>
    </w:p>
    <w:p w:rsidR="00D056FF" w:rsidRPr="00C02A73" w:rsidRDefault="00D056FF" w:rsidP="00FF39C6">
      <w:pPr>
        <w:spacing w:after="0" w:line="480" w:lineRule="auto"/>
        <w:rPr>
          <w:rFonts w:ascii="Arial" w:hAnsi="Arial" w:cs="Arial"/>
          <w:b/>
        </w:rPr>
      </w:pPr>
    </w:p>
    <w:p w:rsidR="00D056FF" w:rsidRPr="00C02A73" w:rsidRDefault="00D056FF" w:rsidP="00FF39C6">
      <w:pPr>
        <w:spacing w:after="0" w:line="480" w:lineRule="auto"/>
        <w:rPr>
          <w:rFonts w:ascii="Arial" w:hAnsi="Arial" w:cs="Arial"/>
          <w:b/>
        </w:rPr>
      </w:pPr>
    </w:p>
    <w:p w:rsidR="00D056FF" w:rsidRPr="00C02A73" w:rsidRDefault="00D056FF" w:rsidP="00FF39C6">
      <w:pPr>
        <w:spacing w:after="0" w:line="480" w:lineRule="auto"/>
        <w:rPr>
          <w:rFonts w:ascii="Arial" w:hAnsi="Arial" w:cs="Arial"/>
          <w:b/>
        </w:rPr>
      </w:pPr>
    </w:p>
    <w:p w:rsidR="00D056FF" w:rsidRPr="00C02A73" w:rsidRDefault="00D056FF" w:rsidP="00FF39C6">
      <w:pPr>
        <w:spacing w:after="0" w:line="480" w:lineRule="auto"/>
        <w:rPr>
          <w:rFonts w:ascii="Arial" w:hAnsi="Arial" w:cs="Arial"/>
          <w:b/>
        </w:rPr>
      </w:pPr>
    </w:p>
    <w:p w:rsidR="00FF39C6" w:rsidRPr="00C02A73" w:rsidRDefault="00FF39C6" w:rsidP="00FF39C6">
      <w:pPr>
        <w:spacing w:after="0" w:line="480" w:lineRule="auto"/>
        <w:rPr>
          <w:rFonts w:ascii="Arial" w:hAnsi="Arial" w:cs="Arial"/>
          <w:b/>
        </w:rPr>
      </w:pPr>
      <w:r w:rsidRPr="00C02A73">
        <w:rPr>
          <w:rFonts w:ascii="Arial" w:hAnsi="Arial" w:cs="Arial"/>
          <w:b/>
        </w:rPr>
        <w:t xml:space="preserve">Funding </w:t>
      </w:r>
    </w:p>
    <w:p w:rsidR="00FF39C6" w:rsidRPr="00C02A73" w:rsidRDefault="00FF39C6" w:rsidP="00FF39C6">
      <w:pPr>
        <w:spacing w:after="0" w:line="480" w:lineRule="auto"/>
        <w:rPr>
          <w:rFonts w:ascii="Arial" w:hAnsi="Arial" w:cs="Arial"/>
        </w:rPr>
      </w:pPr>
      <w:r w:rsidRPr="00C02A73">
        <w:rPr>
          <w:rFonts w:ascii="Arial" w:hAnsi="Arial" w:cs="Arial"/>
        </w:rPr>
        <w:t xml:space="preserve">This work was supported by the University of Birmingham </w:t>
      </w:r>
    </w:p>
    <w:p w:rsidR="00FF39C6" w:rsidRPr="00C02A73" w:rsidRDefault="00FF39C6" w:rsidP="00FF39C6">
      <w:pPr>
        <w:spacing w:after="0" w:line="480" w:lineRule="auto"/>
        <w:rPr>
          <w:rFonts w:ascii="Arial" w:hAnsi="Arial" w:cs="Arial"/>
          <w:b/>
        </w:rPr>
      </w:pPr>
      <w:r w:rsidRPr="00C02A73">
        <w:rPr>
          <w:rFonts w:ascii="Arial" w:hAnsi="Arial" w:cs="Arial"/>
          <w:b/>
        </w:rPr>
        <w:t xml:space="preserve">Disclosures </w:t>
      </w:r>
    </w:p>
    <w:p w:rsidR="00FF39C6" w:rsidRPr="00C02A73" w:rsidRDefault="00FF39C6" w:rsidP="00FF39C6">
      <w:pPr>
        <w:spacing w:after="0" w:line="480" w:lineRule="auto"/>
        <w:rPr>
          <w:rFonts w:ascii="Arial" w:hAnsi="Arial" w:cs="Arial"/>
        </w:rPr>
      </w:pPr>
      <w:r w:rsidRPr="00C02A73">
        <w:rPr>
          <w:rFonts w:ascii="Arial" w:hAnsi="Arial" w:cs="Arial"/>
        </w:rPr>
        <w:t>The authors report no conflict of interests</w:t>
      </w:r>
    </w:p>
    <w:p w:rsidR="00FF39C6" w:rsidRPr="00C02A73" w:rsidRDefault="00FF39C6" w:rsidP="00FF39C6">
      <w:pPr>
        <w:spacing w:after="0" w:line="480" w:lineRule="auto"/>
        <w:rPr>
          <w:rFonts w:ascii="Arial" w:hAnsi="Arial" w:cs="Arial"/>
          <w:b/>
        </w:rPr>
      </w:pPr>
      <w:r w:rsidRPr="00C02A73">
        <w:rPr>
          <w:rFonts w:ascii="Arial" w:hAnsi="Arial" w:cs="Arial"/>
          <w:b/>
        </w:rPr>
        <w:t xml:space="preserve">Ethics </w:t>
      </w:r>
    </w:p>
    <w:p w:rsidR="00255A27" w:rsidRPr="00C02A73" w:rsidRDefault="00FF39C6" w:rsidP="004F1520">
      <w:pPr>
        <w:spacing w:line="480" w:lineRule="auto"/>
        <w:rPr>
          <w:rFonts w:ascii="Arial" w:hAnsi="Arial" w:cs="Arial"/>
        </w:rPr>
      </w:pPr>
      <w:r w:rsidRPr="00C02A73">
        <w:rPr>
          <w:rFonts w:ascii="Arial" w:hAnsi="Arial" w:cs="Arial"/>
        </w:rPr>
        <w:t xml:space="preserve">All participants gave written informed consent prior to the study, which had the appropriate Ethics Committee approval. </w:t>
      </w:r>
    </w:p>
    <w:p w:rsidR="00A7766A" w:rsidRPr="00C02A73" w:rsidRDefault="00A7766A" w:rsidP="00DE70B1">
      <w:pPr>
        <w:rPr>
          <w:rFonts w:ascii="Arial" w:hAnsi="Arial" w:cs="Arial"/>
          <w:b/>
        </w:rPr>
      </w:pPr>
    </w:p>
    <w:p w:rsidR="00C02A73" w:rsidRPr="00C02A73" w:rsidRDefault="00C02A73" w:rsidP="00DE70B1">
      <w:pPr>
        <w:rPr>
          <w:rFonts w:ascii="Arial" w:hAnsi="Arial" w:cs="Arial"/>
          <w:b/>
        </w:rPr>
      </w:pPr>
    </w:p>
    <w:p w:rsidR="00C02A73" w:rsidRPr="00C02A73" w:rsidRDefault="00C02A73" w:rsidP="00DE70B1">
      <w:pPr>
        <w:rPr>
          <w:rFonts w:ascii="Arial" w:hAnsi="Arial" w:cs="Arial"/>
          <w:b/>
        </w:rPr>
      </w:pPr>
    </w:p>
    <w:p w:rsidR="00C02A73" w:rsidRPr="00C02A73" w:rsidRDefault="00C02A73" w:rsidP="00DE70B1">
      <w:pPr>
        <w:rPr>
          <w:rFonts w:ascii="Arial" w:hAnsi="Arial" w:cs="Arial"/>
          <w:b/>
        </w:rPr>
      </w:pPr>
    </w:p>
    <w:p w:rsidR="00C02A73" w:rsidRPr="00C02A73" w:rsidRDefault="00C02A73" w:rsidP="00DE70B1">
      <w:pPr>
        <w:rPr>
          <w:rFonts w:ascii="Arial" w:hAnsi="Arial" w:cs="Arial"/>
          <w:b/>
        </w:rPr>
      </w:pPr>
    </w:p>
    <w:p w:rsidR="00C02A73" w:rsidRPr="00C02A73" w:rsidRDefault="00C02A73" w:rsidP="00DE70B1">
      <w:pPr>
        <w:rPr>
          <w:rFonts w:ascii="Arial" w:hAnsi="Arial" w:cs="Arial"/>
          <w:b/>
        </w:rPr>
      </w:pPr>
    </w:p>
    <w:p w:rsidR="0005548B" w:rsidRPr="00C02A73" w:rsidRDefault="004F1520" w:rsidP="00DE70B1">
      <w:pPr>
        <w:rPr>
          <w:rFonts w:ascii="Arial" w:hAnsi="Arial" w:cs="Arial"/>
        </w:rPr>
      </w:pPr>
      <w:r w:rsidRPr="00C02A73">
        <w:rPr>
          <w:rFonts w:ascii="Arial" w:hAnsi="Arial" w:cs="Arial"/>
          <w:b/>
        </w:rPr>
        <w:lastRenderedPageBreak/>
        <w:t xml:space="preserve">References </w:t>
      </w:r>
    </w:p>
    <w:p w:rsidR="00EA05AB" w:rsidRPr="00C02A73" w:rsidRDefault="003964D0" w:rsidP="00561957">
      <w:pPr>
        <w:spacing w:after="0" w:line="360" w:lineRule="auto"/>
        <w:ind w:left="567" w:hanging="567"/>
        <w:rPr>
          <w:rFonts w:ascii="Arial" w:hAnsi="Arial" w:cs="Arial"/>
          <w:noProof/>
        </w:rPr>
      </w:pPr>
      <w:r w:rsidRPr="00C02A73">
        <w:rPr>
          <w:rFonts w:ascii="Arial" w:hAnsi="Arial" w:cs="Arial"/>
        </w:rPr>
        <w:fldChar w:fldCharType="begin"/>
      </w:r>
      <w:r w:rsidR="0005548B" w:rsidRPr="00C02A73">
        <w:rPr>
          <w:rFonts w:ascii="Arial" w:hAnsi="Arial" w:cs="Arial"/>
        </w:rPr>
        <w:instrText xml:space="preserve"> ADDIN EN.REFLIST </w:instrText>
      </w:r>
      <w:r w:rsidRPr="00C02A73">
        <w:rPr>
          <w:rFonts w:ascii="Arial" w:hAnsi="Arial" w:cs="Arial"/>
        </w:rPr>
        <w:fldChar w:fldCharType="separate"/>
      </w:r>
      <w:bookmarkStart w:id="1" w:name="_ENREF_1"/>
      <w:r w:rsidR="00EA05AB" w:rsidRPr="00C02A73">
        <w:rPr>
          <w:rFonts w:ascii="Arial" w:hAnsi="Arial" w:cs="Arial"/>
          <w:noProof/>
        </w:rPr>
        <w:t>1.</w:t>
      </w:r>
      <w:r w:rsidR="00EA05AB" w:rsidRPr="00C02A73">
        <w:rPr>
          <w:rFonts w:ascii="Arial" w:hAnsi="Arial" w:cs="Arial"/>
          <w:noProof/>
        </w:rPr>
        <w:tab/>
        <w:t>Lord JM. The effect of ageing of the immune system on vaccination responses.</w:t>
      </w:r>
      <w:r w:rsidR="00EA05AB" w:rsidRPr="00C02A73">
        <w:rPr>
          <w:rFonts w:ascii="Arial" w:hAnsi="Arial" w:cs="Arial"/>
          <w:i/>
          <w:noProof/>
        </w:rPr>
        <w:t xml:space="preserve"> Hum Vaccin Immunother. </w:t>
      </w:r>
      <w:r w:rsidR="00EA05AB" w:rsidRPr="00C02A73">
        <w:rPr>
          <w:rFonts w:ascii="Arial" w:hAnsi="Arial" w:cs="Arial"/>
          <w:noProof/>
        </w:rPr>
        <w:t>2013;9(6):1364-1367.</w:t>
      </w:r>
      <w:bookmarkEnd w:id="1"/>
    </w:p>
    <w:p w:rsidR="00EA05AB" w:rsidRPr="00C02A73" w:rsidRDefault="00EA05AB" w:rsidP="00561957">
      <w:pPr>
        <w:spacing w:after="0" w:line="360" w:lineRule="auto"/>
        <w:ind w:left="567" w:hanging="567"/>
        <w:rPr>
          <w:rFonts w:ascii="Arial" w:hAnsi="Arial" w:cs="Arial"/>
          <w:noProof/>
        </w:rPr>
      </w:pPr>
      <w:bookmarkStart w:id="2" w:name="_ENREF_2"/>
      <w:r w:rsidRPr="00C02A73">
        <w:rPr>
          <w:rFonts w:ascii="Arial" w:hAnsi="Arial" w:cs="Arial"/>
          <w:noProof/>
        </w:rPr>
        <w:t>2.</w:t>
      </w:r>
      <w:r w:rsidRPr="00C02A73">
        <w:rPr>
          <w:rFonts w:ascii="Arial" w:hAnsi="Arial" w:cs="Arial"/>
          <w:noProof/>
        </w:rPr>
        <w:tab/>
        <w:t>Gavazzi G, Krause KH. Ageing and infection.</w:t>
      </w:r>
      <w:r w:rsidRPr="00C02A73">
        <w:rPr>
          <w:rFonts w:ascii="Arial" w:hAnsi="Arial" w:cs="Arial"/>
          <w:i/>
          <w:noProof/>
        </w:rPr>
        <w:t xml:space="preserve"> Lancet Infect Dis. </w:t>
      </w:r>
      <w:r w:rsidRPr="00C02A73">
        <w:rPr>
          <w:rFonts w:ascii="Arial" w:hAnsi="Arial" w:cs="Arial"/>
          <w:noProof/>
        </w:rPr>
        <w:t>2002;2(11):659-666.</w:t>
      </w:r>
      <w:bookmarkEnd w:id="2"/>
    </w:p>
    <w:p w:rsidR="00EA05AB" w:rsidRPr="00C02A73" w:rsidRDefault="00EA05AB" w:rsidP="00561957">
      <w:pPr>
        <w:spacing w:after="0" w:line="360" w:lineRule="auto"/>
        <w:ind w:left="567" w:hanging="567"/>
        <w:rPr>
          <w:rFonts w:ascii="Arial" w:hAnsi="Arial" w:cs="Arial"/>
          <w:noProof/>
        </w:rPr>
      </w:pPr>
      <w:bookmarkStart w:id="3" w:name="_ENREF_3"/>
      <w:r w:rsidRPr="00C02A73">
        <w:rPr>
          <w:rFonts w:ascii="Arial" w:hAnsi="Arial" w:cs="Arial"/>
          <w:noProof/>
        </w:rPr>
        <w:t>3.</w:t>
      </w:r>
      <w:r w:rsidRPr="00C02A73">
        <w:rPr>
          <w:rFonts w:ascii="Arial" w:hAnsi="Arial" w:cs="Arial"/>
          <w:noProof/>
        </w:rPr>
        <w:tab/>
        <w:t xml:space="preserve">NHS National End of Life Care Programme. Deaths in Older </w:t>
      </w:r>
      <w:r w:rsidR="000E46C3" w:rsidRPr="00C02A73">
        <w:rPr>
          <w:rFonts w:ascii="Arial" w:hAnsi="Arial" w:cs="Arial"/>
          <w:noProof/>
        </w:rPr>
        <w:t xml:space="preserve">Adults in England Available at: </w:t>
      </w:r>
      <w:r w:rsidRPr="00C02A73">
        <w:rPr>
          <w:rFonts w:ascii="Arial" w:hAnsi="Arial" w:cs="Arial"/>
          <w:noProof/>
        </w:rPr>
        <w:t>file:///C:/Users/Heanejlj/Downloads/Deaths_in_Older_Adults_in_England_FINAL_REPORT2%20(4).pdf. Accessed October 9th 2014.</w:t>
      </w:r>
      <w:bookmarkEnd w:id="3"/>
    </w:p>
    <w:p w:rsidR="00EA05AB" w:rsidRPr="00C02A73" w:rsidRDefault="00EA05AB" w:rsidP="00561957">
      <w:pPr>
        <w:spacing w:after="0" w:line="360" w:lineRule="auto"/>
        <w:ind w:left="567" w:hanging="567"/>
        <w:rPr>
          <w:rFonts w:ascii="Arial" w:hAnsi="Arial" w:cs="Arial"/>
          <w:noProof/>
        </w:rPr>
      </w:pPr>
      <w:bookmarkStart w:id="4" w:name="_ENREF_4"/>
      <w:r w:rsidRPr="00C02A73">
        <w:rPr>
          <w:rFonts w:ascii="Arial" w:hAnsi="Arial" w:cs="Arial"/>
          <w:noProof/>
        </w:rPr>
        <w:t>4.</w:t>
      </w:r>
      <w:r w:rsidRPr="00C02A73">
        <w:rPr>
          <w:rFonts w:ascii="Arial" w:hAnsi="Arial" w:cs="Arial"/>
          <w:noProof/>
        </w:rPr>
        <w:tab/>
        <w:t>Stupka JE, Mortensen EM, Anzueto A, Restrepo MI. Community-acquired pneumonia in elderly patients.</w:t>
      </w:r>
      <w:r w:rsidRPr="00C02A73">
        <w:rPr>
          <w:rFonts w:ascii="Arial" w:hAnsi="Arial" w:cs="Arial"/>
          <w:i/>
          <w:noProof/>
        </w:rPr>
        <w:t xml:space="preserve"> Aging health. </w:t>
      </w:r>
      <w:r w:rsidRPr="00C02A73">
        <w:rPr>
          <w:rFonts w:ascii="Arial" w:hAnsi="Arial" w:cs="Arial"/>
          <w:noProof/>
        </w:rPr>
        <w:t>2009;5(6):763-774.</w:t>
      </w:r>
      <w:bookmarkEnd w:id="4"/>
    </w:p>
    <w:p w:rsidR="00EA05AB" w:rsidRPr="00C02A73" w:rsidRDefault="00EA05AB" w:rsidP="00561957">
      <w:pPr>
        <w:spacing w:after="0" w:line="360" w:lineRule="auto"/>
        <w:ind w:left="567" w:hanging="567"/>
        <w:rPr>
          <w:rFonts w:ascii="Arial" w:hAnsi="Arial" w:cs="Arial"/>
          <w:noProof/>
        </w:rPr>
      </w:pPr>
      <w:bookmarkStart w:id="5" w:name="_ENREF_5"/>
      <w:r w:rsidRPr="00C02A73">
        <w:rPr>
          <w:rFonts w:ascii="Arial" w:hAnsi="Arial" w:cs="Arial"/>
          <w:noProof/>
        </w:rPr>
        <w:t>5.</w:t>
      </w:r>
      <w:r w:rsidRPr="00C02A73">
        <w:rPr>
          <w:rFonts w:ascii="Arial" w:hAnsi="Arial" w:cs="Arial"/>
          <w:noProof/>
        </w:rPr>
        <w:tab/>
        <w:t>Krone CL, van de Groep K, Trzcinski K, Sanders EA, Bogaert D. Immunosenescence and pneumococcal disease: an imbalance in host-pathogen interactions.</w:t>
      </w:r>
      <w:r w:rsidRPr="00C02A73">
        <w:rPr>
          <w:rFonts w:ascii="Arial" w:hAnsi="Arial" w:cs="Arial"/>
          <w:i/>
          <w:noProof/>
        </w:rPr>
        <w:t xml:space="preserve"> Lancet Respir Med. </w:t>
      </w:r>
      <w:r w:rsidRPr="00C02A73">
        <w:rPr>
          <w:rFonts w:ascii="Arial" w:hAnsi="Arial" w:cs="Arial"/>
          <w:noProof/>
        </w:rPr>
        <w:t>2014;2(2):141-153.</w:t>
      </w:r>
      <w:bookmarkEnd w:id="5"/>
    </w:p>
    <w:p w:rsidR="00EA05AB" w:rsidRPr="00C02A73" w:rsidRDefault="00EA05AB" w:rsidP="00561957">
      <w:pPr>
        <w:spacing w:after="0" w:line="360" w:lineRule="auto"/>
        <w:ind w:left="567" w:hanging="567"/>
        <w:rPr>
          <w:rFonts w:ascii="Arial" w:hAnsi="Arial" w:cs="Arial"/>
          <w:noProof/>
        </w:rPr>
      </w:pPr>
      <w:bookmarkStart w:id="6" w:name="_ENREF_6"/>
      <w:r w:rsidRPr="00C02A73">
        <w:rPr>
          <w:rFonts w:ascii="Arial" w:hAnsi="Arial" w:cs="Arial"/>
          <w:noProof/>
        </w:rPr>
        <w:t>6.</w:t>
      </w:r>
      <w:r w:rsidRPr="00C02A73">
        <w:rPr>
          <w:rFonts w:ascii="Arial" w:hAnsi="Arial" w:cs="Arial"/>
          <w:noProof/>
        </w:rPr>
        <w:tab/>
        <w:t>Thigpen MC, Whitney CG, Messonnier NE, Zell ER, Lynfield R, Hadler JL</w:t>
      </w:r>
      <w:r w:rsidRPr="00C02A73">
        <w:rPr>
          <w:rFonts w:ascii="Arial" w:hAnsi="Arial" w:cs="Arial"/>
          <w:i/>
          <w:noProof/>
        </w:rPr>
        <w:t>, et al.</w:t>
      </w:r>
      <w:r w:rsidRPr="00C02A73">
        <w:rPr>
          <w:rFonts w:ascii="Arial" w:hAnsi="Arial" w:cs="Arial"/>
          <w:noProof/>
        </w:rPr>
        <w:t xml:space="preserve"> Bacterial Meningitis in the United States, 1998–2007.</w:t>
      </w:r>
      <w:r w:rsidR="000E46C3" w:rsidRPr="00C02A73">
        <w:rPr>
          <w:rFonts w:ascii="Arial" w:hAnsi="Arial" w:cs="Arial"/>
          <w:i/>
          <w:noProof/>
        </w:rPr>
        <w:t xml:space="preserve"> N Engl J Med</w:t>
      </w:r>
      <w:r w:rsidRPr="00C02A73">
        <w:rPr>
          <w:rFonts w:ascii="Arial" w:hAnsi="Arial" w:cs="Arial"/>
          <w:i/>
          <w:noProof/>
        </w:rPr>
        <w:t xml:space="preserve">. </w:t>
      </w:r>
      <w:r w:rsidRPr="00C02A73">
        <w:rPr>
          <w:rFonts w:ascii="Arial" w:hAnsi="Arial" w:cs="Arial"/>
          <w:noProof/>
        </w:rPr>
        <w:t>2011;364(21):2016-2025.</w:t>
      </w:r>
      <w:bookmarkEnd w:id="6"/>
    </w:p>
    <w:p w:rsidR="00EA05AB" w:rsidRPr="00C02A73" w:rsidRDefault="00EA05AB" w:rsidP="00561957">
      <w:pPr>
        <w:spacing w:after="0" w:line="360" w:lineRule="auto"/>
        <w:ind w:left="567" w:hanging="567"/>
        <w:rPr>
          <w:rFonts w:ascii="Arial" w:hAnsi="Arial" w:cs="Arial"/>
          <w:noProof/>
        </w:rPr>
      </w:pPr>
      <w:bookmarkStart w:id="7" w:name="_ENREF_7"/>
      <w:r w:rsidRPr="00C02A73">
        <w:rPr>
          <w:rFonts w:ascii="Arial" w:hAnsi="Arial" w:cs="Arial"/>
          <w:noProof/>
        </w:rPr>
        <w:t>7.</w:t>
      </w:r>
      <w:r w:rsidRPr="00C02A73">
        <w:rPr>
          <w:rFonts w:ascii="Arial" w:hAnsi="Arial" w:cs="Arial"/>
          <w:noProof/>
        </w:rPr>
        <w:tab/>
        <w:t>Domingo P, Pomar V, de Benito N, Coll P. The spectrum of acute bacterial meningitis in elderly patients.</w:t>
      </w:r>
      <w:r w:rsidRPr="00C02A73">
        <w:rPr>
          <w:rFonts w:ascii="Arial" w:hAnsi="Arial" w:cs="Arial"/>
          <w:i/>
          <w:noProof/>
        </w:rPr>
        <w:t xml:space="preserve"> BMC Infect Dis. </w:t>
      </w:r>
      <w:r w:rsidRPr="00C02A73">
        <w:rPr>
          <w:rFonts w:ascii="Arial" w:hAnsi="Arial" w:cs="Arial"/>
          <w:noProof/>
        </w:rPr>
        <w:t>2013;13(108):1471-2334.</w:t>
      </w:r>
      <w:bookmarkEnd w:id="7"/>
    </w:p>
    <w:p w:rsidR="00EA05AB" w:rsidRPr="00C02A73" w:rsidRDefault="00EA05AB" w:rsidP="00561957">
      <w:pPr>
        <w:spacing w:after="0" w:line="360" w:lineRule="auto"/>
        <w:ind w:left="567" w:hanging="567"/>
        <w:rPr>
          <w:rFonts w:ascii="Arial" w:hAnsi="Arial" w:cs="Arial"/>
          <w:noProof/>
        </w:rPr>
      </w:pPr>
      <w:bookmarkStart w:id="8" w:name="_ENREF_8"/>
      <w:r w:rsidRPr="00C02A73">
        <w:rPr>
          <w:rFonts w:ascii="Arial" w:hAnsi="Arial" w:cs="Arial"/>
          <w:noProof/>
        </w:rPr>
        <w:t>8.</w:t>
      </w:r>
      <w:r w:rsidRPr="00C02A73">
        <w:rPr>
          <w:rFonts w:ascii="Arial" w:hAnsi="Arial" w:cs="Arial"/>
          <w:noProof/>
        </w:rPr>
        <w:tab/>
        <w:t>Puleston R, Beck C, Tahir M, Bardhan M, Charlemagne P, Alves C</w:t>
      </w:r>
      <w:r w:rsidRPr="00C02A73">
        <w:rPr>
          <w:rFonts w:ascii="Arial" w:hAnsi="Arial" w:cs="Arial"/>
          <w:i/>
          <w:noProof/>
        </w:rPr>
        <w:t>, et al.</w:t>
      </w:r>
      <w:r w:rsidRPr="00C02A73">
        <w:rPr>
          <w:rFonts w:ascii="Arial" w:hAnsi="Arial" w:cs="Arial"/>
          <w:noProof/>
        </w:rPr>
        <w:t xml:space="preserve"> An unusual transmission event of Neisseria meningitidis serogroup W135 type 2a in a healthcare setting, England, 2012.</w:t>
      </w:r>
      <w:r w:rsidRPr="00C02A73">
        <w:rPr>
          <w:rFonts w:ascii="Arial" w:hAnsi="Arial" w:cs="Arial"/>
          <w:i/>
          <w:noProof/>
        </w:rPr>
        <w:t xml:space="preserve"> Euro Surveill. </w:t>
      </w:r>
      <w:r w:rsidRPr="00C02A73">
        <w:rPr>
          <w:rFonts w:ascii="Arial" w:hAnsi="Arial" w:cs="Arial"/>
          <w:noProof/>
        </w:rPr>
        <w:t>2012;17(44):20308.</w:t>
      </w:r>
      <w:bookmarkEnd w:id="8"/>
    </w:p>
    <w:p w:rsidR="00EA05AB" w:rsidRPr="00C02A73" w:rsidRDefault="00EA05AB" w:rsidP="00561957">
      <w:pPr>
        <w:spacing w:after="0" w:line="360" w:lineRule="auto"/>
        <w:ind w:left="567" w:hanging="567"/>
        <w:rPr>
          <w:rFonts w:ascii="Arial" w:hAnsi="Arial" w:cs="Arial"/>
          <w:noProof/>
        </w:rPr>
      </w:pPr>
      <w:bookmarkStart w:id="9" w:name="_ENREF_9"/>
      <w:r w:rsidRPr="00C02A73">
        <w:rPr>
          <w:rFonts w:ascii="Arial" w:hAnsi="Arial" w:cs="Arial"/>
          <w:noProof/>
        </w:rPr>
        <w:t>9.</w:t>
      </w:r>
      <w:r w:rsidRPr="00C02A73">
        <w:rPr>
          <w:rFonts w:ascii="Arial" w:hAnsi="Arial" w:cs="Arial"/>
          <w:noProof/>
        </w:rPr>
        <w:tab/>
        <w:t>Rubach MP, Bender JM, Mottice S, Hanson K, Weng HY, Korgenski K</w:t>
      </w:r>
      <w:r w:rsidRPr="00C02A73">
        <w:rPr>
          <w:rFonts w:ascii="Arial" w:hAnsi="Arial" w:cs="Arial"/>
          <w:i/>
          <w:noProof/>
        </w:rPr>
        <w:t>, et al.</w:t>
      </w:r>
      <w:r w:rsidRPr="00C02A73">
        <w:rPr>
          <w:rFonts w:ascii="Arial" w:hAnsi="Arial" w:cs="Arial"/>
          <w:noProof/>
        </w:rPr>
        <w:t xml:space="preserve"> Increasing incidence of invasive Haemophilus influenzae disease in adults, Utah, USA.</w:t>
      </w:r>
      <w:r w:rsidRPr="00C02A73">
        <w:rPr>
          <w:rFonts w:ascii="Arial" w:hAnsi="Arial" w:cs="Arial"/>
          <w:i/>
          <w:noProof/>
        </w:rPr>
        <w:t xml:space="preserve"> Emerg Infect Dis. </w:t>
      </w:r>
      <w:r w:rsidRPr="00C02A73">
        <w:rPr>
          <w:rFonts w:ascii="Arial" w:hAnsi="Arial" w:cs="Arial"/>
          <w:noProof/>
        </w:rPr>
        <w:t>2011;17(9):1645-1650.</w:t>
      </w:r>
      <w:bookmarkEnd w:id="9"/>
    </w:p>
    <w:p w:rsidR="00EA05AB" w:rsidRPr="00C02A73" w:rsidRDefault="00EA05AB" w:rsidP="00561957">
      <w:pPr>
        <w:spacing w:after="0" w:line="360" w:lineRule="auto"/>
        <w:ind w:left="567" w:hanging="567"/>
        <w:rPr>
          <w:rFonts w:ascii="Arial" w:hAnsi="Arial" w:cs="Arial"/>
          <w:noProof/>
        </w:rPr>
      </w:pPr>
      <w:bookmarkStart w:id="10" w:name="_ENREF_10"/>
      <w:r w:rsidRPr="00C02A73">
        <w:rPr>
          <w:rFonts w:ascii="Arial" w:hAnsi="Arial" w:cs="Arial"/>
          <w:noProof/>
        </w:rPr>
        <w:t>10.</w:t>
      </w:r>
      <w:r w:rsidRPr="00C02A73">
        <w:rPr>
          <w:rFonts w:ascii="Arial" w:hAnsi="Arial" w:cs="Arial"/>
          <w:noProof/>
        </w:rPr>
        <w:tab/>
        <w:t>Nurkka A, Obiero J, Kayhty H, Scott JA. Effects of sample collection and storage methods on antipneumococcal immunoglobulin A in saliva.</w:t>
      </w:r>
      <w:r w:rsidRPr="00C02A73">
        <w:rPr>
          <w:rFonts w:ascii="Arial" w:hAnsi="Arial" w:cs="Arial"/>
          <w:i/>
          <w:noProof/>
        </w:rPr>
        <w:t xml:space="preserve"> Clin Diagn Lab Immunol. </w:t>
      </w:r>
      <w:r w:rsidRPr="00C02A73">
        <w:rPr>
          <w:rFonts w:ascii="Arial" w:hAnsi="Arial" w:cs="Arial"/>
          <w:noProof/>
        </w:rPr>
        <w:t>2003;10(3):357-361.</w:t>
      </w:r>
      <w:bookmarkEnd w:id="10"/>
    </w:p>
    <w:p w:rsidR="00EA05AB" w:rsidRPr="00C02A73" w:rsidRDefault="00EA05AB" w:rsidP="00561957">
      <w:pPr>
        <w:spacing w:after="0" w:line="360" w:lineRule="auto"/>
        <w:ind w:left="567" w:hanging="567"/>
        <w:rPr>
          <w:rFonts w:ascii="Arial" w:hAnsi="Arial" w:cs="Arial"/>
          <w:noProof/>
        </w:rPr>
      </w:pPr>
      <w:bookmarkStart w:id="11" w:name="_ENREF_11"/>
      <w:r w:rsidRPr="00C02A73">
        <w:rPr>
          <w:rFonts w:ascii="Arial" w:hAnsi="Arial" w:cs="Arial"/>
          <w:noProof/>
        </w:rPr>
        <w:t>11.</w:t>
      </w:r>
      <w:r w:rsidRPr="00C02A73">
        <w:rPr>
          <w:rFonts w:ascii="Arial" w:hAnsi="Arial" w:cs="Arial"/>
          <w:noProof/>
        </w:rPr>
        <w:tab/>
        <w:t>Bishop NC. Acute exercise and aquired immune function. In: Gleeson M, ed. Immune function in sport and exercise London: Churchill Livingstone Elsevier; 2006:108–109.</w:t>
      </w:r>
      <w:bookmarkEnd w:id="11"/>
    </w:p>
    <w:p w:rsidR="00EA05AB" w:rsidRPr="00C02A73" w:rsidRDefault="00EA05AB" w:rsidP="00561957">
      <w:pPr>
        <w:spacing w:after="0" w:line="360" w:lineRule="auto"/>
        <w:ind w:left="567" w:hanging="567"/>
        <w:rPr>
          <w:rFonts w:ascii="Arial" w:hAnsi="Arial" w:cs="Arial"/>
          <w:noProof/>
        </w:rPr>
      </w:pPr>
      <w:bookmarkStart w:id="12" w:name="_ENREF_12"/>
      <w:r w:rsidRPr="00C02A73">
        <w:rPr>
          <w:rFonts w:ascii="Arial" w:hAnsi="Arial" w:cs="Arial"/>
          <w:noProof/>
        </w:rPr>
        <w:t>12.</w:t>
      </w:r>
      <w:r w:rsidRPr="00C02A73">
        <w:rPr>
          <w:rFonts w:ascii="Arial" w:hAnsi="Arial" w:cs="Arial"/>
          <w:noProof/>
        </w:rPr>
        <w:tab/>
        <w:t>Evans P, Der G, Ford G, Hucklebridge F, Hunt K, Lambert S. Social class, sex, and age differences in mucosal immunity in a large community sample.</w:t>
      </w:r>
      <w:r w:rsidRPr="00C02A73">
        <w:rPr>
          <w:rFonts w:ascii="Arial" w:hAnsi="Arial" w:cs="Arial"/>
          <w:i/>
          <w:noProof/>
        </w:rPr>
        <w:t xml:space="preserve"> Brain Behav Immun. </w:t>
      </w:r>
      <w:r w:rsidRPr="00C02A73">
        <w:rPr>
          <w:rFonts w:ascii="Arial" w:hAnsi="Arial" w:cs="Arial"/>
          <w:noProof/>
        </w:rPr>
        <w:t>2000;14(1):41-48.</w:t>
      </w:r>
      <w:bookmarkEnd w:id="12"/>
    </w:p>
    <w:p w:rsidR="00EA05AB" w:rsidRPr="00C02A73" w:rsidRDefault="00EA05AB" w:rsidP="00561957">
      <w:pPr>
        <w:spacing w:after="0" w:line="360" w:lineRule="auto"/>
        <w:ind w:left="567" w:hanging="567"/>
        <w:rPr>
          <w:rFonts w:ascii="Arial" w:hAnsi="Arial" w:cs="Arial"/>
          <w:noProof/>
        </w:rPr>
      </w:pPr>
      <w:bookmarkStart w:id="13" w:name="_ENREF_13"/>
      <w:r w:rsidRPr="00C02A73">
        <w:rPr>
          <w:rFonts w:ascii="Arial" w:hAnsi="Arial" w:cs="Arial"/>
          <w:noProof/>
        </w:rPr>
        <w:t>13.</w:t>
      </w:r>
      <w:r w:rsidRPr="00C02A73">
        <w:rPr>
          <w:rFonts w:ascii="Arial" w:hAnsi="Arial" w:cs="Arial"/>
          <w:noProof/>
        </w:rPr>
        <w:tab/>
        <w:t>Miletic ID, Schiffman SS, Miletic VD, Sattely-Miller EA. Salivary IgA secretion rate in young and elderly persons.</w:t>
      </w:r>
      <w:r w:rsidRPr="00C02A73">
        <w:rPr>
          <w:rFonts w:ascii="Arial" w:hAnsi="Arial" w:cs="Arial"/>
          <w:i/>
          <w:noProof/>
        </w:rPr>
        <w:t xml:space="preserve"> Physiol Behav. </w:t>
      </w:r>
      <w:r w:rsidRPr="00C02A73">
        <w:rPr>
          <w:rFonts w:ascii="Arial" w:hAnsi="Arial" w:cs="Arial"/>
          <w:noProof/>
        </w:rPr>
        <w:t>1996;60(1):243-248.</w:t>
      </w:r>
      <w:bookmarkEnd w:id="13"/>
    </w:p>
    <w:p w:rsidR="00EA05AB" w:rsidRPr="00C02A73" w:rsidRDefault="00EA05AB" w:rsidP="00561957">
      <w:pPr>
        <w:spacing w:after="0" w:line="360" w:lineRule="auto"/>
        <w:ind w:left="567" w:hanging="567"/>
        <w:rPr>
          <w:rFonts w:ascii="Arial" w:hAnsi="Arial" w:cs="Arial"/>
          <w:noProof/>
        </w:rPr>
      </w:pPr>
      <w:bookmarkStart w:id="14" w:name="_ENREF_14"/>
      <w:r w:rsidRPr="00C02A73">
        <w:rPr>
          <w:rFonts w:ascii="Arial" w:hAnsi="Arial" w:cs="Arial"/>
          <w:noProof/>
        </w:rPr>
        <w:lastRenderedPageBreak/>
        <w:t>14.</w:t>
      </w:r>
      <w:r w:rsidRPr="00C02A73">
        <w:rPr>
          <w:rFonts w:ascii="Arial" w:hAnsi="Arial" w:cs="Arial"/>
          <w:noProof/>
        </w:rPr>
        <w:tab/>
        <w:t>Arranz E, O'Mahony S, Barton JR, Ferguson A. Immunosenescence and mucosal immunity: significant effects of old age on secretory IgA concentrations and intraepithelial lymphocyte counts.</w:t>
      </w:r>
      <w:r w:rsidRPr="00C02A73">
        <w:rPr>
          <w:rFonts w:ascii="Arial" w:hAnsi="Arial" w:cs="Arial"/>
          <w:i/>
          <w:noProof/>
        </w:rPr>
        <w:t xml:space="preserve"> Gut. </w:t>
      </w:r>
      <w:r w:rsidRPr="00C02A73">
        <w:rPr>
          <w:rFonts w:ascii="Arial" w:hAnsi="Arial" w:cs="Arial"/>
          <w:noProof/>
        </w:rPr>
        <w:t>1992;33(7):882-886.</w:t>
      </w:r>
      <w:bookmarkEnd w:id="14"/>
    </w:p>
    <w:p w:rsidR="00EA05AB" w:rsidRPr="00C02A73" w:rsidRDefault="00EA05AB" w:rsidP="00561957">
      <w:pPr>
        <w:spacing w:after="0" w:line="360" w:lineRule="auto"/>
        <w:ind w:left="567" w:hanging="567"/>
        <w:rPr>
          <w:rFonts w:ascii="Arial" w:hAnsi="Arial" w:cs="Arial"/>
          <w:noProof/>
        </w:rPr>
      </w:pPr>
      <w:bookmarkStart w:id="15" w:name="_ENREF_15"/>
      <w:r w:rsidRPr="00C02A73">
        <w:rPr>
          <w:rFonts w:ascii="Arial" w:hAnsi="Arial" w:cs="Arial"/>
          <w:noProof/>
        </w:rPr>
        <w:t>15.</w:t>
      </w:r>
      <w:r w:rsidRPr="00C02A73">
        <w:rPr>
          <w:rFonts w:ascii="Arial" w:hAnsi="Arial" w:cs="Arial"/>
          <w:noProof/>
        </w:rPr>
        <w:tab/>
        <w:t>Bishop NC, Gleeson M. Acute and chronic effects of exercise on markers of mucosal immunity.</w:t>
      </w:r>
      <w:r w:rsidRPr="00C02A73">
        <w:rPr>
          <w:rFonts w:ascii="Arial" w:hAnsi="Arial" w:cs="Arial"/>
          <w:i/>
          <w:noProof/>
        </w:rPr>
        <w:t xml:space="preserve"> Front Biosci. </w:t>
      </w:r>
      <w:r w:rsidRPr="00C02A73">
        <w:rPr>
          <w:rFonts w:ascii="Arial" w:hAnsi="Arial" w:cs="Arial"/>
          <w:noProof/>
        </w:rPr>
        <w:t>2009;14(4444-4456.</w:t>
      </w:r>
      <w:bookmarkEnd w:id="15"/>
    </w:p>
    <w:p w:rsidR="00EA05AB" w:rsidRPr="00C02A73" w:rsidRDefault="00EA05AB" w:rsidP="00561957">
      <w:pPr>
        <w:spacing w:after="0" w:line="360" w:lineRule="auto"/>
        <w:ind w:left="567" w:hanging="567"/>
        <w:rPr>
          <w:rFonts w:ascii="Arial" w:hAnsi="Arial" w:cs="Arial"/>
          <w:noProof/>
        </w:rPr>
      </w:pPr>
      <w:bookmarkStart w:id="16" w:name="_ENREF_16"/>
      <w:r w:rsidRPr="00C02A73">
        <w:rPr>
          <w:rFonts w:ascii="Arial" w:hAnsi="Arial" w:cs="Arial"/>
          <w:noProof/>
        </w:rPr>
        <w:t>16.</w:t>
      </w:r>
      <w:r w:rsidRPr="00C02A73">
        <w:rPr>
          <w:rFonts w:ascii="Arial" w:hAnsi="Arial" w:cs="Arial"/>
          <w:noProof/>
        </w:rPr>
        <w:tab/>
        <w:t>Brandtzaeg P. Do salivary antibodies reliably reflect both mucosal and systemic immunity?</w:t>
      </w:r>
      <w:r w:rsidRPr="00C02A73">
        <w:rPr>
          <w:rFonts w:ascii="Arial" w:hAnsi="Arial" w:cs="Arial"/>
          <w:i/>
          <w:noProof/>
        </w:rPr>
        <w:t xml:space="preserve"> Ann N Y Acad Sci. </w:t>
      </w:r>
      <w:r w:rsidRPr="00C02A73">
        <w:rPr>
          <w:rFonts w:ascii="Arial" w:hAnsi="Arial" w:cs="Arial"/>
          <w:noProof/>
        </w:rPr>
        <w:t>2007:288-311.</w:t>
      </w:r>
      <w:bookmarkEnd w:id="16"/>
    </w:p>
    <w:p w:rsidR="00EA05AB" w:rsidRPr="00C02A73" w:rsidRDefault="00EA05AB" w:rsidP="00561957">
      <w:pPr>
        <w:spacing w:after="0" w:line="360" w:lineRule="auto"/>
        <w:ind w:left="567" w:hanging="567"/>
        <w:rPr>
          <w:rFonts w:ascii="Arial" w:hAnsi="Arial" w:cs="Arial"/>
          <w:noProof/>
        </w:rPr>
      </w:pPr>
      <w:bookmarkStart w:id="17" w:name="_ENREF_17"/>
      <w:r w:rsidRPr="00C02A73">
        <w:rPr>
          <w:rFonts w:ascii="Arial" w:hAnsi="Arial" w:cs="Arial"/>
          <w:noProof/>
        </w:rPr>
        <w:t>17.</w:t>
      </w:r>
      <w:r w:rsidRPr="00C02A73">
        <w:rPr>
          <w:rFonts w:ascii="Arial" w:hAnsi="Arial" w:cs="Arial"/>
          <w:noProof/>
        </w:rPr>
        <w:tab/>
        <w:t>Percival RS, Marsh PD, Challacombe SJ. Age-related changes in salivary antibodies to commensal oral and gut biota.</w:t>
      </w:r>
      <w:r w:rsidRPr="00C02A73">
        <w:rPr>
          <w:rFonts w:ascii="Arial" w:hAnsi="Arial" w:cs="Arial"/>
          <w:i/>
          <w:noProof/>
        </w:rPr>
        <w:t xml:space="preserve"> Oral Microbiol Immunol. </w:t>
      </w:r>
      <w:r w:rsidRPr="00C02A73">
        <w:rPr>
          <w:rFonts w:ascii="Arial" w:hAnsi="Arial" w:cs="Arial"/>
          <w:noProof/>
        </w:rPr>
        <w:t>1997;12(1):57-63.</w:t>
      </w:r>
      <w:bookmarkEnd w:id="17"/>
    </w:p>
    <w:p w:rsidR="00EA05AB" w:rsidRPr="00C02A73" w:rsidRDefault="00EA05AB" w:rsidP="00561957">
      <w:pPr>
        <w:spacing w:after="0" w:line="360" w:lineRule="auto"/>
        <w:ind w:left="567" w:hanging="567"/>
        <w:rPr>
          <w:rFonts w:ascii="Arial" w:hAnsi="Arial" w:cs="Arial"/>
          <w:noProof/>
        </w:rPr>
      </w:pPr>
      <w:bookmarkStart w:id="18" w:name="_ENREF_18"/>
      <w:r w:rsidRPr="00C02A73">
        <w:rPr>
          <w:rFonts w:ascii="Arial" w:hAnsi="Arial" w:cs="Arial"/>
          <w:noProof/>
        </w:rPr>
        <w:t>18.</w:t>
      </w:r>
      <w:r w:rsidRPr="00C02A73">
        <w:rPr>
          <w:rFonts w:ascii="Arial" w:hAnsi="Arial" w:cs="Arial"/>
          <w:noProof/>
        </w:rPr>
        <w:tab/>
        <w:t>Simell B, Lahdenkari M, Reunanen A, Kayhty H, Vakevainen M. Effects of ageing and gender on naturally acquired antibodies to pneumococcal capsular polysaccharides and virulence-associated proteins.</w:t>
      </w:r>
      <w:r w:rsidRPr="00C02A73">
        <w:rPr>
          <w:rFonts w:ascii="Arial" w:hAnsi="Arial" w:cs="Arial"/>
          <w:i/>
          <w:noProof/>
        </w:rPr>
        <w:t xml:space="preserve"> Clin Vaccine Immunol. </w:t>
      </w:r>
      <w:r w:rsidRPr="00C02A73">
        <w:rPr>
          <w:rFonts w:ascii="Arial" w:hAnsi="Arial" w:cs="Arial"/>
          <w:noProof/>
        </w:rPr>
        <w:t>2008;15(9):1391-1397.</w:t>
      </w:r>
      <w:bookmarkEnd w:id="18"/>
    </w:p>
    <w:p w:rsidR="00EA05AB" w:rsidRPr="00C02A73" w:rsidRDefault="00EA05AB" w:rsidP="00561957">
      <w:pPr>
        <w:spacing w:after="0" w:line="360" w:lineRule="auto"/>
        <w:ind w:left="567" w:hanging="567"/>
        <w:rPr>
          <w:rFonts w:ascii="Arial" w:hAnsi="Arial" w:cs="Arial"/>
          <w:noProof/>
        </w:rPr>
      </w:pPr>
      <w:bookmarkStart w:id="19" w:name="_ENREF_19"/>
      <w:r w:rsidRPr="00C02A73">
        <w:rPr>
          <w:rFonts w:ascii="Arial" w:hAnsi="Arial" w:cs="Arial"/>
          <w:noProof/>
        </w:rPr>
        <w:t>19.</w:t>
      </w:r>
      <w:r w:rsidRPr="00C02A73">
        <w:rPr>
          <w:rFonts w:ascii="Arial" w:hAnsi="Arial" w:cs="Arial"/>
          <w:noProof/>
        </w:rPr>
        <w:tab/>
        <w:t>Whitelegg AM, Birtwistle J, Richter A, Campbell JP, Turner JE, Ahmed TM</w:t>
      </w:r>
      <w:r w:rsidRPr="00C02A73">
        <w:rPr>
          <w:rFonts w:ascii="Arial" w:hAnsi="Arial" w:cs="Arial"/>
          <w:i/>
          <w:noProof/>
        </w:rPr>
        <w:t>, et al.</w:t>
      </w:r>
      <w:r w:rsidRPr="00C02A73">
        <w:rPr>
          <w:rFonts w:ascii="Arial" w:hAnsi="Arial" w:cs="Arial"/>
          <w:noProof/>
        </w:rPr>
        <w:t xml:space="preserve"> Measurement of antibodies to pneumococcal, meningococcal and haemophilus polysaccharides, and tetanus and diphtheria toxoids using a 19-plexed assay.</w:t>
      </w:r>
      <w:r w:rsidRPr="00C02A73">
        <w:rPr>
          <w:rFonts w:ascii="Arial" w:hAnsi="Arial" w:cs="Arial"/>
          <w:i/>
          <w:noProof/>
        </w:rPr>
        <w:t xml:space="preserve"> J Immunol Methods. </w:t>
      </w:r>
      <w:r w:rsidRPr="00C02A73">
        <w:rPr>
          <w:rFonts w:ascii="Arial" w:hAnsi="Arial" w:cs="Arial"/>
          <w:noProof/>
        </w:rPr>
        <w:t>2012;377(1-2):37-46.</w:t>
      </w:r>
      <w:bookmarkEnd w:id="19"/>
    </w:p>
    <w:p w:rsidR="00EA05AB" w:rsidRPr="00C02A73" w:rsidRDefault="00EA05AB" w:rsidP="00561957">
      <w:pPr>
        <w:spacing w:after="0" w:line="360" w:lineRule="auto"/>
        <w:ind w:left="567" w:hanging="567"/>
        <w:rPr>
          <w:rFonts w:ascii="Arial" w:hAnsi="Arial" w:cs="Arial"/>
          <w:noProof/>
        </w:rPr>
      </w:pPr>
      <w:bookmarkStart w:id="20" w:name="_ENREF_20"/>
      <w:r w:rsidRPr="00C02A73">
        <w:rPr>
          <w:rFonts w:ascii="Arial" w:hAnsi="Arial" w:cs="Arial"/>
          <w:noProof/>
        </w:rPr>
        <w:t>20.</w:t>
      </w:r>
      <w:r w:rsidRPr="00C02A73">
        <w:rPr>
          <w:rFonts w:ascii="Arial" w:hAnsi="Arial" w:cs="Arial"/>
          <w:noProof/>
        </w:rPr>
        <w:tab/>
        <w:t>Oliver SJ, Laing SJ, Wilson S, Bilzon JL, Walters R, Walsh NP. Salivary immunoglobulin A response at rest and after exercise following a 48 h period of fluid and/or energy restriction.</w:t>
      </w:r>
      <w:r w:rsidRPr="00C02A73">
        <w:rPr>
          <w:rFonts w:ascii="Arial" w:hAnsi="Arial" w:cs="Arial"/>
          <w:i/>
          <w:noProof/>
        </w:rPr>
        <w:t xml:space="preserve"> Br J Nutr. </w:t>
      </w:r>
      <w:r w:rsidRPr="00C02A73">
        <w:rPr>
          <w:rFonts w:ascii="Arial" w:hAnsi="Arial" w:cs="Arial"/>
          <w:noProof/>
        </w:rPr>
        <w:t>2007;97(6):1109-1116.</w:t>
      </w:r>
      <w:bookmarkEnd w:id="20"/>
    </w:p>
    <w:p w:rsidR="00EA05AB" w:rsidRPr="00C02A73" w:rsidRDefault="00EA05AB" w:rsidP="00561957">
      <w:pPr>
        <w:spacing w:after="0" w:line="360" w:lineRule="auto"/>
        <w:ind w:left="567" w:hanging="567"/>
        <w:rPr>
          <w:rFonts w:ascii="Arial" w:hAnsi="Arial" w:cs="Arial"/>
          <w:noProof/>
        </w:rPr>
      </w:pPr>
      <w:bookmarkStart w:id="21" w:name="_ENREF_21"/>
      <w:r w:rsidRPr="00C02A73">
        <w:rPr>
          <w:rFonts w:ascii="Arial" w:hAnsi="Arial" w:cs="Arial"/>
          <w:noProof/>
        </w:rPr>
        <w:t>21.</w:t>
      </w:r>
      <w:r w:rsidRPr="00C02A73">
        <w:rPr>
          <w:rFonts w:ascii="Arial" w:hAnsi="Arial" w:cs="Arial"/>
          <w:noProof/>
        </w:rPr>
        <w:tab/>
        <w:t>WHO. WHO/Health Canada consultation on serological criteria for evaluation and licensing of new pneumococcal vaccines 2009.</w:t>
      </w:r>
      <w:bookmarkEnd w:id="21"/>
    </w:p>
    <w:p w:rsidR="00EA05AB" w:rsidRPr="00C02A73" w:rsidRDefault="00EA05AB" w:rsidP="00561957">
      <w:pPr>
        <w:spacing w:after="0" w:line="360" w:lineRule="auto"/>
        <w:ind w:left="567" w:hanging="567"/>
        <w:rPr>
          <w:rFonts w:ascii="Arial" w:hAnsi="Arial" w:cs="Arial"/>
          <w:noProof/>
        </w:rPr>
      </w:pPr>
      <w:bookmarkStart w:id="22" w:name="_ENREF_22"/>
      <w:r w:rsidRPr="00C02A73">
        <w:rPr>
          <w:rFonts w:ascii="Arial" w:hAnsi="Arial" w:cs="Arial"/>
          <w:noProof/>
        </w:rPr>
        <w:t>22.</w:t>
      </w:r>
      <w:r w:rsidRPr="00C02A73">
        <w:rPr>
          <w:rFonts w:ascii="Arial" w:hAnsi="Arial" w:cs="Arial"/>
          <w:noProof/>
        </w:rPr>
        <w:tab/>
        <w:t>Peltola H, Makela H, Kayhty H, Jousimies H, Herva E, Hallstrom K</w:t>
      </w:r>
      <w:r w:rsidRPr="00C02A73">
        <w:rPr>
          <w:rFonts w:ascii="Arial" w:hAnsi="Arial" w:cs="Arial"/>
          <w:i/>
          <w:noProof/>
        </w:rPr>
        <w:t>, et al.</w:t>
      </w:r>
      <w:r w:rsidRPr="00C02A73">
        <w:rPr>
          <w:rFonts w:ascii="Arial" w:hAnsi="Arial" w:cs="Arial"/>
          <w:noProof/>
        </w:rPr>
        <w:t xml:space="preserve"> Clinical efficacy of meningococcus group A capsular polysaccharide vaccine in children three months to five years of age.</w:t>
      </w:r>
      <w:r w:rsidRPr="00C02A73">
        <w:rPr>
          <w:rFonts w:ascii="Arial" w:hAnsi="Arial" w:cs="Arial"/>
          <w:i/>
          <w:noProof/>
        </w:rPr>
        <w:t xml:space="preserve"> N Engl J Med. </w:t>
      </w:r>
      <w:r w:rsidRPr="00C02A73">
        <w:rPr>
          <w:rFonts w:ascii="Arial" w:hAnsi="Arial" w:cs="Arial"/>
          <w:noProof/>
        </w:rPr>
        <w:t>1977;297(13):686-691.</w:t>
      </w:r>
      <w:bookmarkEnd w:id="22"/>
    </w:p>
    <w:p w:rsidR="00EA05AB" w:rsidRPr="00C02A73" w:rsidRDefault="00EA05AB" w:rsidP="00561957">
      <w:pPr>
        <w:spacing w:after="0" w:line="360" w:lineRule="auto"/>
        <w:ind w:left="567" w:hanging="567"/>
        <w:rPr>
          <w:rFonts w:ascii="Arial" w:hAnsi="Arial" w:cs="Arial"/>
          <w:noProof/>
        </w:rPr>
      </w:pPr>
      <w:bookmarkStart w:id="23" w:name="_ENREF_23"/>
      <w:r w:rsidRPr="00C02A73">
        <w:rPr>
          <w:rFonts w:ascii="Arial" w:hAnsi="Arial" w:cs="Arial"/>
          <w:noProof/>
        </w:rPr>
        <w:t>23.</w:t>
      </w:r>
      <w:r w:rsidRPr="00C02A73">
        <w:rPr>
          <w:rFonts w:ascii="Arial" w:hAnsi="Arial" w:cs="Arial"/>
          <w:noProof/>
        </w:rPr>
        <w:tab/>
        <w:t>Kayhty H, Peltola H, Karanko V, Makela PH. The protective level of serum antibodies to the capsular polysaccharide of Haemophilus influenzae type b.</w:t>
      </w:r>
      <w:r w:rsidRPr="00C02A73">
        <w:rPr>
          <w:rFonts w:ascii="Arial" w:hAnsi="Arial" w:cs="Arial"/>
          <w:i/>
          <w:noProof/>
        </w:rPr>
        <w:t xml:space="preserve"> J Infect Dis. </w:t>
      </w:r>
      <w:r w:rsidRPr="00C02A73">
        <w:rPr>
          <w:rFonts w:ascii="Arial" w:hAnsi="Arial" w:cs="Arial"/>
          <w:noProof/>
        </w:rPr>
        <w:t>1983;147(6).</w:t>
      </w:r>
      <w:bookmarkEnd w:id="23"/>
    </w:p>
    <w:p w:rsidR="00EA05AB" w:rsidRPr="00C02A73" w:rsidRDefault="00EA05AB" w:rsidP="00561957">
      <w:pPr>
        <w:spacing w:after="0" w:line="360" w:lineRule="auto"/>
        <w:ind w:left="567" w:hanging="567"/>
        <w:rPr>
          <w:rFonts w:ascii="Arial" w:hAnsi="Arial" w:cs="Arial"/>
          <w:noProof/>
        </w:rPr>
      </w:pPr>
      <w:bookmarkStart w:id="24" w:name="_ENREF_24"/>
      <w:r w:rsidRPr="00C02A73">
        <w:rPr>
          <w:rFonts w:ascii="Arial" w:hAnsi="Arial" w:cs="Arial"/>
          <w:noProof/>
        </w:rPr>
        <w:t>24.</w:t>
      </w:r>
      <w:r w:rsidRPr="00C02A73">
        <w:rPr>
          <w:rFonts w:ascii="Arial" w:hAnsi="Arial" w:cs="Arial"/>
          <w:noProof/>
        </w:rPr>
        <w:tab/>
        <w:t>Plotkin SA. Immunologic correlates of protection induced by vaccination.</w:t>
      </w:r>
      <w:r w:rsidRPr="00C02A73">
        <w:rPr>
          <w:rFonts w:ascii="Arial" w:hAnsi="Arial" w:cs="Arial"/>
          <w:i/>
          <w:noProof/>
        </w:rPr>
        <w:t xml:space="preserve"> Pediatr Infect Dis J. </w:t>
      </w:r>
      <w:r w:rsidRPr="00C02A73">
        <w:rPr>
          <w:rFonts w:ascii="Arial" w:hAnsi="Arial" w:cs="Arial"/>
          <w:noProof/>
        </w:rPr>
        <w:t>2001;20(1):63-75.</w:t>
      </w:r>
      <w:bookmarkEnd w:id="24"/>
    </w:p>
    <w:p w:rsidR="00EA05AB" w:rsidRPr="00C02A73" w:rsidRDefault="00EA05AB" w:rsidP="00561957">
      <w:pPr>
        <w:spacing w:after="0" w:line="360" w:lineRule="auto"/>
        <w:ind w:left="567" w:hanging="567"/>
        <w:rPr>
          <w:rFonts w:ascii="Arial" w:hAnsi="Arial" w:cs="Arial"/>
          <w:noProof/>
        </w:rPr>
      </w:pPr>
      <w:bookmarkStart w:id="25" w:name="_ENREF_25"/>
      <w:r w:rsidRPr="00C02A73">
        <w:rPr>
          <w:rFonts w:ascii="Arial" w:hAnsi="Arial" w:cs="Arial"/>
          <w:noProof/>
        </w:rPr>
        <w:t>25.</w:t>
      </w:r>
      <w:r w:rsidRPr="00C02A73">
        <w:rPr>
          <w:rFonts w:ascii="Arial" w:hAnsi="Arial" w:cs="Arial"/>
          <w:noProof/>
        </w:rPr>
        <w:tab/>
        <w:t>Nagler RM. Salivary glands and the aging process: mechanistic aspects, health-status and medicinal-efficacy monitoring.</w:t>
      </w:r>
      <w:r w:rsidRPr="00C02A73">
        <w:rPr>
          <w:rFonts w:ascii="Arial" w:hAnsi="Arial" w:cs="Arial"/>
          <w:i/>
          <w:noProof/>
        </w:rPr>
        <w:t xml:space="preserve"> Biogerontology. </w:t>
      </w:r>
      <w:r w:rsidRPr="00C02A73">
        <w:rPr>
          <w:rFonts w:ascii="Arial" w:hAnsi="Arial" w:cs="Arial"/>
          <w:noProof/>
        </w:rPr>
        <w:t>2004;5(4):223-233.</w:t>
      </w:r>
      <w:bookmarkEnd w:id="25"/>
    </w:p>
    <w:p w:rsidR="00EA05AB" w:rsidRPr="00C02A73" w:rsidRDefault="00EA05AB" w:rsidP="00561957">
      <w:pPr>
        <w:spacing w:after="0" w:line="360" w:lineRule="auto"/>
        <w:ind w:left="567" w:hanging="567"/>
        <w:rPr>
          <w:rFonts w:ascii="Arial" w:hAnsi="Arial" w:cs="Arial"/>
          <w:noProof/>
        </w:rPr>
      </w:pPr>
      <w:bookmarkStart w:id="26" w:name="_ENREF_26"/>
      <w:r w:rsidRPr="00C02A73">
        <w:rPr>
          <w:rFonts w:ascii="Arial" w:hAnsi="Arial" w:cs="Arial"/>
          <w:noProof/>
        </w:rPr>
        <w:t>26.</w:t>
      </w:r>
      <w:r w:rsidRPr="00C02A73">
        <w:rPr>
          <w:rFonts w:ascii="Arial" w:hAnsi="Arial" w:cs="Arial"/>
          <w:noProof/>
        </w:rPr>
        <w:tab/>
        <w:t>Gupta A, Epstein JB, Sroussi H. Hyposalivation in elderly patients.</w:t>
      </w:r>
      <w:r w:rsidRPr="00C02A73">
        <w:rPr>
          <w:rFonts w:ascii="Arial" w:hAnsi="Arial" w:cs="Arial"/>
          <w:i/>
          <w:noProof/>
        </w:rPr>
        <w:t xml:space="preserve"> J Can Dent Assoc. </w:t>
      </w:r>
      <w:r w:rsidRPr="00C02A73">
        <w:rPr>
          <w:rFonts w:ascii="Arial" w:hAnsi="Arial" w:cs="Arial"/>
          <w:noProof/>
        </w:rPr>
        <w:t>2006;72(9):841-846.</w:t>
      </w:r>
      <w:bookmarkEnd w:id="26"/>
    </w:p>
    <w:p w:rsidR="00EA05AB" w:rsidRPr="00C02A73" w:rsidRDefault="00EA05AB" w:rsidP="00561957">
      <w:pPr>
        <w:spacing w:after="0" w:line="360" w:lineRule="auto"/>
        <w:ind w:left="567" w:hanging="567"/>
        <w:rPr>
          <w:rFonts w:ascii="Arial" w:hAnsi="Arial" w:cs="Arial"/>
          <w:noProof/>
        </w:rPr>
      </w:pPr>
      <w:bookmarkStart w:id="27" w:name="_ENREF_27"/>
      <w:r w:rsidRPr="00C02A73">
        <w:rPr>
          <w:rFonts w:ascii="Arial" w:hAnsi="Arial" w:cs="Arial"/>
          <w:noProof/>
        </w:rPr>
        <w:t>27.</w:t>
      </w:r>
      <w:r w:rsidRPr="00C02A73">
        <w:rPr>
          <w:rFonts w:ascii="Arial" w:hAnsi="Arial" w:cs="Arial"/>
          <w:noProof/>
        </w:rPr>
        <w:tab/>
        <w:t>Fox P, van der Ven P, Sonies B, Weiffenbach J, Baum B. Xerostomia: evaluation of a symptom with increasing significance.</w:t>
      </w:r>
      <w:r w:rsidR="000E46C3" w:rsidRPr="00C02A73">
        <w:rPr>
          <w:rFonts w:ascii="Arial" w:hAnsi="Arial" w:cs="Arial"/>
          <w:i/>
          <w:noProof/>
        </w:rPr>
        <w:t xml:space="preserve"> Journal Am Dental Assoc</w:t>
      </w:r>
      <w:r w:rsidRPr="00C02A73">
        <w:rPr>
          <w:rFonts w:ascii="Arial" w:hAnsi="Arial" w:cs="Arial"/>
          <w:i/>
          <w:noProof/>
        </w:rPr>
        <w:t xml:space="preserve">. </w:t>
      </w:r>
      <w:r w:rsidRPr="00C02A73">
        <w:rPr>
          <w:rFonts w:ascii="Arial" w:hAnsi="Arial" w:cs="Arial"/>
          <w:noProof/>
        </w:rPr>
        <w:t>1985;110(4):519-525.</w:t>
      </w:r>
      <w:bookmarkEnd w:id="27"/>
    </w:p>
    <w:p w:rsidR="00EA05AB" w:rsidRPr="00C02A73" w:rsidRDefault="00EA05AB" w:rsidP="00561957">
      <w:pPr>
        <w:spacing w:after="0" w:line="360" w:lineRule="auto"/>
        <w:ind w:left="567" w:hanging="567"/>
        <w:rPr>
          <w:rFonts w:ascii="Arial" w:hAnsi="Arial" w:cs="Arial"/>
          <w:noProof/>
        </w:rPr>
      </w:pPr>
      <w:bookmarkStart w:id="28" w:name="_ENREF_28"/>
      <w:r w:rsidRPr="00C02A73">
        <w:rPr>
          <w:rFonts w:ascii="Arial" w:hAnsi="Arial" w:cs="Arial"/>
          <w:noProof/>
        </w:rPr>
        <w:lastRenderedPageBreak/>
        <w:t>28.</w:t>
      </w:r>
      <w:r w:rsidRPr="00C02A73">
        <w:rPr>
          <w:rFonts w:ascii="Arial" w:hAnsi="Arial" w:cs="Arial"/>
          <w:noProof/>
        </w:rPr>
        <w:tab/>
        <w:t>Park S, Nahm MH. Older adults have a low capacity to opsonize pneumococci due to low IgM antibody response to pneumococcal vaccinations.</w:t>
      </w:r>
      <w:r w:rsidRPr="00C02A73">
        <w:rPr>
          <w:rFonts w:ascii="Arial" w:hAnsi="Arial" w:cs="Arial"/>
          <w:i/>
          <w:noProof/>
        </w:rPr>
        <w:t xml:space="preserve"> Infect Immun. </w:t>
      </w:r>
      <w:r w:rsidRPr="00C02A73">
        <w:rPr>
          <w:rFonts w:ascii="Arial" w:hAnsi="Arial" w:cs="Arial"/>
          <w:noProof/>
        </w:rPr>
        <w:t>2011;79(1):314-320.</w:t>
      </w:r>
      <w:bookmarkEnd w:id="28"/>
    </w:p>
    <w:p w:rsidR="00EA05AB" w:rsidRPr="00C02A73" w:rsidRDefault="00EA05AB" w:rsidP="00561957">
      <w:pPr>
        <w:spacing w:after="0" w:line="360" w:lineRule="auto"/>
        <w:ind w:left="567" w:hanging="567"/>
        <w:rPr>
          <w:rFonts w:ascii="Arial" w:hAnsi="Arial" w:cs="Arial"/>
          <w:noProof/>
        </w:rPr>
      </w:pPr>
      <w:bookmarkStart w:id="29" w:name="_ENREF_29"/>
      <w:r w:rsidRPr="00C02A73">
        <w:rPr>
          <w:rFonts w:ascii="Arial" w:hAnsi="Arial" w:cs="Arial"/>
          <w:noProof/>
        </w:rPr>
        <w:t>29.</w:t>
      </w:r>
      <w:r w:rsidRPr="00C02A73">
        <w:rPr>
          <w:rFonts w:ascii="Arial" w:hAnsi="Arial" w:cs="Arial"/>
          <w:noProof/>
        </w:rPr>
        <w:tab/>
        <w:t xml:space="preserve">Joint Committee for Vaccination and Immunisation statement on the routine pneumococcal vaccination programme for adults aged 65 years and older. Available at: </w:t>
      </w:r>
      <w:hyperlink r:id="rId10" w:history="1">
        <w:r w:rsidRPr="00C02A73">
          <w:rPr>
            <w:rStyle w:val="Hyperlink"/>
            <w:rFonts w:ascii="Arial" w:hAnsi="Arial" w:cs="Arial"/>
            <w:noProof/>
          </w:rPr>
          <w:t>http://webarchive.nationalarchives.gov.uk/20130107105354/http://www.dh.gov.uk/prod_consum_dh/groups/dh_digitalassets/@dh/@ab/documents/digitalasset/dh_128704.pdf</w:t>
        </w:r>
      </w:hyperlink>
      <w:r w:rsidRPr="00C02A73">
        <w:rPr>
          <w:rFonts w:ascii="Arial" w:hAnsi="Arial" w:cs="Arial"/>
          <w:noProof/>
        </w:rPr>
        <w:t>. Accessed 9th October 2014.</w:t>
      </w:r>
      <w:bookmarkEnd w:id="29"/>
    </w:p>
    <w:p w:rsidR="00EA05AB" w:rsidRPr="00C02A73" w:rsidRDefault="00EA05AB" w:rsidP="00561957">
      <w:pPr>
        <w:spacing w:after="0" w:line="360" w:lineRule="auto"/>
        <w:ind w:left="567" w:hanging="567"/>
        <w:rPr>
          <w:rFonts w:ascii="Arial" w:hAnsi="Arial" w:cs="Arial"/>
          <w:noProof/>
        </w:rPr>
      </w:pPr>
      <w:bookmarkStart w:id="30" w:name="_ENREF_30"/>
      <w:r w:rsidRPr="00C02A73">
        <w:rPr>
          <w:rFonts w:ascii="Arial" w:hAnsi="Arial" w:cs="Arial"/>
          <w:noProof/>
        </w:rPr>
        <w:t>30.</w:t>
      </w:r>
      <w:r w:rsidRPr="00C02A73">
        <w:rPr>
          <w:rFonts w:ascii="Arial" w:hAnsi="Arial" w:cs="Arial"/>
          <w:noProof/>
        </w:rPr>
        <w:tab/>
        <w:t>Joint Committe on Vaccination and Immunisation statement on the wider use of pneumococcal conjugate vaccines in the UK. Available at: https://</w:t>
      </w:r>
      <w:hyperlink r:id="rId11" w:history="1">
        <w:r w:rsidRPr="00C02A73">
          <w:rPr>
            <w:rStyle w:val="Hyperlink"/>
            <w:rFonts w:ascii="Arial" w:hAnsi="Arial" w:cs="Arial"/>
            <w:noProof/>
          </w:rPr>
          <w:t>www.gov.uk/government/uploads/system/uploads/attachment_data/file/224765/JCVI_statement_on_pneumococcal_vaccination_for_clinical_risk_groups_Final.pdf</w:t>
        </w:r>
      </w:hyperlink>
      <w:r w:rsidRPr="00C02A73">
        <w:rPr>
          <w:rFonts w:ascii="Arial" w:hAnsi="Arial" w:cs="Arial"/>
          <w:noProof/>
        </w:rPr>
        <w:t>. Accessed October 9th 2014.</w:t>
      </w:r>
      <w:bookmarkEnd w:id="30"/>
    </w:p>
    <w:p w:rsidR="00EA05AB" w:rsidRPr="00C02A73" w:rsidRDefault="00EA05AB" w:rsidP="00561957">
      <w:pPr>
        <w:spacing w:after="0" w:line="360" w:lineRule="auto"/>
        <w:ind w:left="567" w:hanging="567"/>
        <w:rPr>
          <w:rFonts w:ascii="Arial" w:hAnsi="Arial" w:cs="Arial"/>
          <w:noProof/>
        </w:rPr>
      </w:pPr>
      <w:bookmarkStart w:id="31" w:name="_ENREF_31"/>
      <w:r w:rsidRPr="00C02A73">
        <w:rPr>
          <w:rFonts w:ascii="Arial" w:hAnsi="Arial" w:cs="Arial"/>
          <w:noProof/>
        </w:rPr>
        <w:t>31.</w:t>
      </w:r>
      <w:r w:rsidRPr="00C02A73">
        <w:rPr>
          <w:rFonts w:ascii="Arial" w:hAnsi="Arial" w:cs="Arial"/>
          <w:noProof/>
        </w:rPr>
        <w:tab/>
        <w:t xml:space="preserve">Pfizer press release. Available at: </w:t>
      </w:r>
      <w:hyperlink r:id="rId12" w:history="1">
        <w:r w:rsidRPr="00C02A73">
          <w:rPr>
            <w:rStyle w:val="Hyperlink"/>
            <w:rFonts w:ascii="Arial" w:hAnsi="Arial" w:cs="Arial"/>
            <w:noProof/>
          </w:rPr>
          <w:t>http://www.pfizer.com/news/press-release/press-release-detail/pfizer_presents_detailed_results_from_landmark_community_acquired_pneumonia_immunization_trial_in_adults_capita_evaluating_efficacy_of_prevenar_13</w:t>
        </w:r>
      </w:hyperlink>
      <w:r w:rsidRPr="00C02A73">
        <w:rPr>
          <w:rFonts w:ascii="Arial" w:hAnsi="Arial" w:cs="Arial"/>
          <w:noProof/>
        </w:rPr>
        <w:t xml:space="preserve">. Accessed October 9th 2014 </w:t>
      </w:r>
      <w:bookmarkEnd w:id="31"/>
    </w:p>
    <w:p w:rsidR="00EA05AB" w:rsidRPr="00C02A73" w:rsidRDefault="00EA05AB" w:rsidP="00561957">
      <w:pPr>
        <w:spacing w:after="0" w:line="360" w:lineRule="auto"/>
        <w:ind w:left="567" w:hanging="567"/>
        <w:rPr>
          <w:rFonts w:ascii="Arial" w:hAnsi="Arial" w:cs="Arial"/>
          <w:noProof/>
        </w:rPr>
      </w:pPr>
      <w:bookmarkStart w:id="32" w:name="_ENREF_32"/>
      <w:r w:rsidRPr="00C02A73">
        <w:rPr>
          <w:rFonts w:ascii="Arial" w:hAnsi="Arial" w:cs="Arial"/>
          <w:noProof/>
        </w:rPr>
        <w:t>32.</w:t>
      </w:r>
      <w:r w:rsidRPr="00C02A73">
        <w:rPr>
          <w:rFonts w:ascii="Arial" w:hAnsi="Arial" w:cs="Arial"/>
          <w:noProof/>
        </w:rPr>
        <w:tab/>
        <w:t>Schutz K, Hughes RG, Parker A, Quinti I, Thon V, Cavaliere M</w:t>
      </w:r>
      <w:r w:rsidRPr="00C02A73">
        <w:rPr>
          <w:rFonts w:ascii="Arial" w:hAnsi="Arial" w:cs="Arial"/>
          <w:i/>
          <w:noProof/>
        </w:rPr>
        <w:t>, et al.</w:t>
      </w:r>
      <w:r w:rsidRPr="00C02A73">
        <w:rPr>
          <w:rFonts w:ascii="Arial" w:hAnsi="Arial" w:cs="Arial"/>
          <w:noProof/>
        </w:rPr>
        <w:t xml:space="preserve"> Kinetics of IgM and IgA antibody response to 23-valent pneumococcal polysaccharide vaccination in healthy subjects.</w:t>
      </w:r>
      <w:r w:rsidRPr="00C02A73">
        <w:rPr>
          <w:rFonts w:ascii="Arial" w:hAnsi="Arial" w:cs="Arial"/>
          <w:i/>
          <w:noProof/>
        </w:rPr>
        <w:t xml:space="preserve"> J Clin Immunol. </w:t>
      </w:r>
      <w:r w:rsidRPr="00C02A73">
        <w:rPr>
          <w:rFonts w:ascii="Arial" w:hAnsi="Arial" w:cs="Arial"/>
          <w:noProof/>
        </w:rPr>
        <w:t>2013;33(1):288-296.</w:t>
      </w:r>
      <w:bookmarkEnd w:id="32"/>
    </w:p>
    <w:p w:rsidR="00EA05AB" w:rsidRPr="00C02A73" w:rsidRDefault="00EA05AB" w:rsidP="00561957">
      <w:pPr>
        <w:spacing w:after="0" w:line="360" w:lineRule="auto"/>
        <w:ind w:left="567" w:hanging="567"/>
        <w:rPr>
          <w:rFonts w:ascii="Arial" w:hAnsi="Arial" w:cs="Arial"/>
          <w:noProof/>
        </w:rPr>
      </w:pPr>
      <w:bookmarkStart w:id="33" w:name="_ENREF_33"/>
      <w:r w:rsidRPr="00C02A73">
        <w:rPr>
          <w:rFonts w:ascii="Arial" w:hAnsi="Arial" w:cs="Arial"/>
          <w:noProof/>
        </w:rPr>
        <w:t>33.</w:t>
      </w:r>
      <w:r w:rsidRPr="00C02A73">
        <w:rPr>
          <w:rFonts w:ascii="Arial" w:hAnsi="Arial" w:cs="Arial"/>
          <w:noProof/>
        </w:rPr>
        <w:tab/>
        <w:t>Choo S, Zhang Q, Seymour L, Akhtar S, Finn A. Primary and booster salivary antibody responses to a 7-valent pneumococcal conjugate vaccine in infants.</w:t>
      </w:r>
      <w:r w:rsidRPr="00C02A73">
        <w:rPr>
          <w:rFonts w:ascii="Arial" w:hAnsi="Arial" w:cs="Arial"/>
          <w:i/>
          <w:noProof/>
        </w:rPr>
        <w:t xml:space="preserve"> J Infect Dis. </w:t>
      </w:r>
      <w:r w:rsidRPr="00C02A73">
        <w:rPr>
          <w:rFonts w:ascii="Arial" w:hAnsi="Arial" w:cs="Arial"/>
          <w:noProof/>
        </w:rPr>
        <w:t>2000;182(4):1260-1263.</w:t>
      </w:r>
      <w:bookmarkEnd w:id="33"/>
    </w:p>
    <w:p w:rsidR="00EA05AB" w:rsidRPr="00C02A73" w:rsidRDefault="00EA05AB" w:rsidP="00561957">
      <w:pPr>
        <w:spacing w:after="0" w:line="360" w:lineRule="auto"/>
        <w:ind w:left="567" w:hanging="567"/>
        <w:rPr>
          <w:rFonts w:ascii="Arial" w:hAnsi="Arial" w:cs="Arial"/>
          <w:noProof/>
        </w:rPr>
      </w:pPr>
      <w:bookmarkStart w:id="34" w:name="_ENREF_34"/>
      <w:r w:rsidRPr="00C02A73">
        <w:rPr>
          <w:rFonts w:ascii="Arial" w:hAnsi="Arial" w:cs="Arial"/>
          <w:noProof/>
        </w:rPr>
        <w:t>34.</w:t>
      </w:r>
      <w:r w:rsidRPr="00C02A73">
        <w:rPr>
          <w:rFonts w:ascii="Arial" w:hAnsi="Arial" w:cs="Arial"/>
          <w:noProof/>
        </w:rPr>
        <w:tab/>
        <w:t>O'Brien KL, Hochman M, Goldblatt D. Combined schedules of pneumococcal conjugate and polysaccharide vaccines: is hyporesponsiveness an issue?</w:t>
      </w:r>
      <w:r w:rsidRPr="00C02A73">
        <w:rPr>
          <w:rFonts w:ascii="Arial" w:hAnsi="Arial" w:cs="Arial"/>
          <w:i/>
          <w:noProof/>
        </w:rPr>
        <w:t xml:space="preserve"> Lancet Infect Dis. </w:t>
      </w:r>
      <w:r w:rsidRPr="00C02A73">
        <w:rPr>
          <w:rFonts w:ascii="Arial" w:hAnsi="Arial" w:cs="Arial"/>
          <w:noProof/>
        </w:rPr>
        <w:t>2007;7(9):597-606.</w:t>
      </w:r>
      <w:bookmarkEnd w:id="34"/>
    </w:p>
    <w:p w:rsidR="00EA05AB" w:rsidRPr="00C02A73" w:rsidRDefault="00EA05AB" w:rsidP="00561957">
      <w:pPr>
        <w:spacing w:after="0" w:line="360" w:lineRule="auto"/>
        <w:ind w:left="567" w:hanging="567"/>
        <w:rPr>
          <w:rFonts w:ascii="Arial" w:hAnsi="Arial" w:cs="Arial"/>
          <w:noProof/>
        </w:rPr>
      </w:pPr>
      <w:bookmarkStart w:id="35" w:name="_ENREF_35"/>
      <w:r w:rsidRPr="00C02A73">
        <w:rPr>
          <w:rFonts w:ascii="Arial" w:hAnsi="Arial" w:cs="Arial"/>
          <w:noProof/>
        </w:rPr>
        <w:t>35.</w:t>
      </w:r>
      <w:r w:rsidRPr="00C02A73">
        <w:rPr>
          <w:rFonts w:ascii="Arial" w:hAnsi="Arial" w:cs="Arial"/>
          <w:noProof/>
        </w:rPr>
        <w:tab/>
        <w:t>Nieminen T, Eskola J, Kayhty H. Pneumococcal conjugate vaccination in adults: circulating antibody secreting cell response and humoral antibody responses in saliva and in serum.</w:t>
      </w:r>
      <w:r w:rsidRPr="00C02A73">
        <w:rPr>
          <w:rFonts w:ascii="Arial" w:hAnsi="Arial" w:cs="Arial"/>
          <w:i/>
          <w:noProof/>
        </w:rPr>
        <w:t xml:space="preserve"> Vaccine. </w:t>
      </w:r>
      <w:r w:rsidRPr="00C02A73">
        <w:rPr>
          <w:rFonts w:ascii="Arial" w:hAnsi="Arial" w:cs="Arial"/>
          <w:noProof/>
        </w:rPr>
        <w:t>1998;16(6):630-636.</w:t>
      </w:r>
      <w:bookmarkEnd w:id="35"/>
    </w:p>
    <w:p w:rsidR="00EA05AB" w:rsidRPr="00C02A73" w:rsidRDefault="00EA05AB" w:rsidP="00561957">
      <w:pPr>
        <w:spacing w:line="360" w:lineRule="auto"/>
        <w:ind w:left="567" w:hanging="567"/>
        <w:rPr>
          <w:rFonts w:ascii="Arial" w:hAnsi="Arial" w:cs="Arial"/>
          <w:noProof/>
        </w:rPr>
      </w:pPr>
      <w:bookmarkStart w:id="36" w:name="_ENREF_36"/>
      <w:r w:rsidRPr="00C02A73">
        <w:rPr>
          <w:rFonts w:ascii="Arial" w:hAnsi="Arial" w:cs="Arial"/>
          <w:noProof/>
        </w:rPr>
        <w:t>36.</w:t>
      </w:r>
      <w:r w:rsidRPr="00C02A73">
        <w:rPr>
          <w:rFonts w:ascii="Arial" w:hAnsi="Arial" w:cs="Arial"/>
          <w:noProof/>
        </w:rPr>
        <w:tab/>
        <w:t>Levine H, Zarka S, Dagan R, Sela T, Rozhavski V, Cohen DI</w:t>
      </w:r>
      <w:r w:rsidRPr="00C02A73">
        <w:rPr>
          <w:rFonts w:ascii="Arial" w:hAnsi="Arial" w:cs="Arial"/>
          <w:i/>
          <w:noProof/>
        </w:rPr>
        <w:t>, et al.</w:t>
      </w:r>
      <w:r w:rsidRPr="00C02A73">
        <w:rPr>
          <w:rFonts w:ascii="Arial" w:hAnsi="Arial" w:cs="Arial"/>
          <w:noProof/>
        </w:rPr>
        <w:t xml:space="preserve"> Transmission of Streptococcus pneumoniae in adults may occur through saliva.</w:t>
      </w:r>
      <w:r w:rsidRPr="00C02A73">
        <w:rPr>
          <w:rFonts w:ascii="Arial" w:hAnsi="Arial" w:cs="Arial"/>
          <w:i/>
          <w:noProof/>
        </w:rPr>
        <w:t xml:space="preserve"> Epidemiol Infect. </w:t>
      </w:r>
      <w:r w:rsidRPr="00C02A73">
        <w:rPr>
          <w:rFonts w:ascii="Arial" w:hAnsi="Arial" w:cs="Arial"/>
          <w:noProof/>
        </w:rPr>
        <w:t>2012;140(3):561-565.</w:t>
      </w:r>
      <w:bookmarkEnd w:id="36"/>
    </w:p>
    <w:p w:rsidR="00EA05AB" w:rsidRPr="00C02A73" w:rsidRDefault="00EA05AB" w:rsidP="00561957">
      <w:pPr>
        <w:spacing w:line="240" w:lineRule="auto"/>
        <w:ind w:left="567" w:hanging="567"/>
        <w:rPr>
          <w:rFonts w:ascii="Calibri" w:hAnsi="Calibri" w:cs="Arial"/>
          <w:noProof/>
        </w:rPr>
      </w:pPr>
    </w:p>
    <w:p w:rsidR="00E20F67" w:rsidRPr="00C02A73" w:rsidRDefault="003964D0" w:rsidP="00C02A73">
      <w:pPr>
        <w:spacing w:line="480" w:lineRule="auto"/>
        <w:rPr>
          <w:rFonts w:ascii="Arial" w:hAnsi="Arial" w:cs="Arial"/>
          <w:sz w:val="20"/>
          <w:szCs w:val="20"/>
        </w:rPr>
      </w:pPr>
      <w:r w:rsidRPr="00C02A73">
        <w:rPr>
          <w:rFonts w:ascii="Arial" w:hAnsi="Arial" w:cs="Arial"/>
        </w:rPr>
        <w:lastRenderedPageBreak/>
        <w:fldChar w:fldCharType="end"/>
      </w:r>
      <w:proofErr w:type="gramStart"/>
      <w:r w:rsidR="00E20F67" w:rsidRPr="00C02A73">
        <w:rPr>
          <w:rFonts w:ascii="Arial" w:hAnsi="Arial" w:cs="Arial"/>
          <w:b/>
        </w:rPr>
        <w:t>Table 1.</w:t>
      </w:r>
      <w:proofErr w:type="gramEnd"/>
      <w:r w:rsidR="00E20F67" w:rsidRPr="00C02A73">
        <w:rPr>
          <w:rFonts w:ascii="Arial" w:hAnsi="Arial" w:cs="Arial"/>
          <w:b/>
        </w:rPr>
        <w:t xml:space="preserve">  </w:t>
      </w:r>
      <w:proofErr w:type="gramStart"/>
      <w:r w:rsidR="00E20F67" w:rsidRPr="00C02A73">
        <w:rPr>
          <w:rFonts w:ascii="Arial" w:hAnsi="Arial" w:cs="Arial"/>
        </w:rPr>
        <w:t>IgG,</w:t>
      </w:r>
      <w:proofErr w:type="gramEnd"/>
      <w:r w:rsidR="00E20F67" w:rsidRPr="00C02A73">
        <w:rPr>
          <w:rFonts w:ascii="Arial" w:hAnsi="Arial" w:cs="Arial"/>
        </w:rPr>
        <w:t xml:space="preserve"> IgM and IgA functional antibody concentrations for young and older adults in saliva. Data presented is median (5–95 percentile) in ng/ml.  Significant differences between young and old are indicated by *** </w:t>
      </w:r>
      <w:r w:rsidR="00E20F67" w:rsidRPr="00C02A73">
        <w:rPr>
          <w:rFonts w:ascii="Arial" w:hAnsi="Arial" w:cs="Arial"/>
          <w:i/>
        </w:rPr>
        <w:t>p</w:t>
      </w:r>
      <w:r w:rsidR="00E20F67" w:rsidRPr="00C02A73">
        <w:rPr>
          <w:rFonts w:ascii="Arial" w:hAnsi="Arial" w:cs="Arial"/>
        </w:rPr>
        <w:t xml:space="preserve"> &lt; .001, ** </w:t>
      </w:r>
      <w:r w:rsidR="00E20F67" w:rsidRPr="00C02A73">
        <w:rPr>
          <w:rFonts w:ascii="Arial" w:hAnsi="Arial" w:cs="Arial"/>
          <w:i/>
        </w:rPr>
        <w:t>p</w:t>
      </w:r>
      <w:r w:rsidR="00E20F67" w:rsidRPr="00C02A73">
        <w:rPr>
          <w:rFonts w:ascii="Arial" w:hAnsi="Arial" w:cs="Arial"/>
        </w:rPr>
        <w:t xml:space="preserve"> &lt; .01, * </w:t>
      </w:r>
      <w:r w:rsidR="00E20F67" w:rsidRPr="00C02A73">
        <w:rPr>
          <w:rFonts w:ascii="Arial" w:hAnsi="Arial" w:cs="Arial"/>
          <w:i/>
        </w:rPr>
        <w:t>p</w:t>
      </w:r>
      <w:r w:rsidR="00E20F67" w:rsidRPr="00C02A73">
        <w:rPr>
          <w:rFonts w:ascii="Arial" w:hAnsi="Arial" w:cs="Arial"/>
        </w:rPr>
        <w:t xml:space="preserve"> &lt; .05</w:t>
      </w:r>
    </w:p>
    <w:tbl>
      <w:tblPr>
        <w:tblStyle w:val="TableGrid"/>
        <w:tblpPr w:leftFromText="180" w:rightFromText="180" w:vertAnchor="text" w:horzAnchor="margin" w:tblpY="59"/>
        <w:tblW w:w="9768" w:type="dxa"/>
        <w:tblBorders>
          <w:left w:val="none" w:sz="0" w:space="0" w:color="auto"/>
          <w:right w:val="none" w:sz="0" w:space="0" w:color="auto"/>
          <w:insideV w:val="none" w:sz="0" w:space="0" w:color="auto"/>
        </w:tblBorders>
        <w:tblLook w:val="04A0" w:firstRow="1" w:lastRow="0" w:firstColumn="1" w:lastColumn="0" w:noHBand="0" w:noVBand="1"/>
      </w:tblPr>
      <w:tblGrid>
        <w:gridCol w:w="924"/>
        <w:gridCol w:w="1474"/>
        <w:gridCol w:w="120"/>
        <w:gridCol w:w="1275"/>
        <w:gridCol w:w="79"/>
        <w:gridCol w:w="1339"/>
        <w:gridCol w:w="135"/>
        <w:gridCol w:w="1282"/>
        <w:gridCol w:w="79"/>
        <w:gridCol w:w="1197"/>
        <w:gridCol w:w="390"/>
        <w:gridCol w:w="1474"/>
      </w:tblGrid>
      <w:tr w:rsidR="00E20F67" w:rsidRPr="00C02A73" w:rsidTr="00E20F67">
        <w:trPr>
          <w:trHeight w:val="418"/>
        </w:trPr>
        <w:tc>
          <w:tcPr>
            <w:tcW w:w="924" w:type="dxa"/>
          </w:tcPr>
          <w:p w:rsidR="00E20F67" w:rsidRPr="00C02A73" w:rsidRDefault="00E20F67" w:rsidP="00E20F67">
            <w:pPr>
              <w:rPr>
                <w:rFonts w:ascii="Arial" w:hAnsi="Arial" w:cs="Arial"/>
                <w:b/>
                <w:sz w:val="20"/>
                <w:szCs w:val="20"/>
              </w:rPr>
            </w:pPr>
            <w:r w:rsidRPr="00C02A73">
              <w:rPr>
                <w:rFonts w:ascii="Arial" w:hAnsi="Arial" w:cs="Arial"/>
                <w:b/>
                <w:sz w:val="20"/>
                <w:szCs w:val="20"/>
              </w:rPr>
              <w:t>Saliva</w:t>
            </w:r>
          </w:p>
        </w:tc>
        <w:tc>
          <w:tcPr>
            <w:tcW w:w="2869" w:type="dxa"/>
            <w:gridSpan w:val="3"/>
          </w:tcPr>
          <w:p w:rsidR="00E20F67" w:rsidRPr="00C02A73" w:rsidRDefault="00E20F67" w:rsidP="00E20F67">
            <w:pPr>
              <w:jc w:val="center"/>
              <w:rPr>
                <w:rFonts w:ascii="Arial" w:hAnsi="Arial" w:cs="Arial"/>
                <w:b/>
                <w:sz w:val="20"/>
                <w:szCs w:val="20"/>
              </w:rPr>
            </w:pPr>
            <w:r w:rsidRPr="00C02A73">
              <w:rPr>
                <w:rFonts w:ascii="Arial" w:hAnsi="Arial" w:cs="Arial"/>
                <w:b/>
                <w:color w:val="000000"/>
                <w:sz w:val="20"/>
                <w:szCs w:val="20"/>
              </w:rPr>
              <w:t>IgG</w:t>
            </w:r>
          </w:p>
        </w:tc>
        <w:tc>
          <w:tcPr>
            <w:tcW w:w="2835" w:type="dxa"/>
            <w:gridSpan w:val="4"/>
          </w:tcPr>
          <w:p w:rsidR="00E20F67" w:rsidRPr="00C02A73" w:rsidRDefault="00E20F67" w:rsidP="00E20F67">
            <w:pPr>
              <w:jc w:val="center"/>
              <w:rPr>
                <w:rFonts w:ascii="Arial" w:hAnsi="Arial" w:cs="Arial"/>
                <w:b/>
                <w:sz w:val="20"/>
                <w:szCs w:val="20"/>
              </w:rPr>
            </w:pPr>
            <w:r w:rsidRPr="00C02A73">
              <w:rPr>
                <w:rFonts w:ascii="Arial" w:hAnsi="Arial" w:cs="Arial"/>
                <w:b/>
                <w:sz w:val="20"/>
                <w:szCs w:val="20"/>
              </w:rPr>
              <w:t>IgM</w:t>
            </w:r>
          </w:p>
        </w:tc>
        <w:tc>
          <w:tcPr>
            <w:tcW w:w="3140" w:type="dxa"/>
            <w:gridSpan w:val="4"/>
          </w:tcPr>
          <w:p w:rsidR="00E20F67" w:rsidRPr="00C02A73" w:rsidRDefault="00E20F67" w:rsidP="00E20F67">
            <w:pPr>
              <w:jc w:val="center"/>
              <w:rPr>
                <w:rFonts w:ascii="Arial" w:hAnsi="Arial" w:cs="Arial"/>
                <w:b/>
                <w:sz w:val="20"/>
                <w:szCs w:val="20"/>
              </w:rPr>
            </w:pPr>
            <w:r w:rsidRPr="00C02A73">
              <w:rPr>
                <w:rFonts w:ascii="Arial" w:hAnsi="Arial" w:cs="Arial"/>
                <w:b/>
                <w:sz w:val="20"/>
                <w:szCs w:val="20"/>
              </w:rPr>
              <w:t>IgA</w:t>
            </w:r>
          </w:p>
        </w:tc>
      </w:tr>
      <w:tr w:rsidR="00E20F67" w:rsidRPr="00C02A73" w:rsidTr="00E20F67">
        <w:trPr>
          <w:trHeight w:val="418"/>
        </w:trPr>
        <w:tc>
          <w:tcPr>
            <w:tcW w:w="924" w:type="dxa"/>
            <w:tcBorders>
              <w:bottom w:val="single" w:sz="4" w:space="0" w:color="auto"/>
            </w:tcBorders>
          </w:tcPr>
          <w:p w:rsidR="00E20F67" w:rsidRPr="00C02A73" w:rsidRDefault="00E20F67" w:rsidP="00E20F67">
            <w:pPr>
              <w:rPr>
                <w:rFonts w:ascii="Arial" w:hAnsi="Arial" w:cs="Arial"/>
                <w:sz w:val="20"/>
                <w:szCs w:val="20"/>
              </w:rPr>
            </w:pPr>
          </w:p>
        </w:tc>
        <w:tc>
          <w:tcPr>
            <w:tcW w:w="1594" w:type="dxa"/>
            <w:gridSpan w:val="2"/>
            <w:tcBorders>
              <w:bottom w:val="single" w:sz="4" w:space="0" w:color="auto"/>
            </w:tcBorders>
          </w:tcPr>
          <w:p w:rsidR="00E20F67" w:rsidRPr="00C02A73" w:rsidRDefault="00E20F67" w:rsidP="00E20F67">
            <w:pPr>
              <w:jc w:val="center"/>
              <w:rPr>
                <w:rFonts w:ascii="Arial" w:hAnsi="Arial" w:cs="Arial"/>
                <w:b/>
                <w:color w:val="000000"/>
                <w:sz w:val="20"/>
                <w:szCs w:val="20"/>
              </w:rPr>
            </w:pPr>
            <w:r w:rsidRPr="00C02A73">
              <w:rPr>
                <w:rFonts w:ascii="Arial" w:hAnsi="Arial" w:cs="Arial"/>
                <w:b/>
                <w:color w:val="000000"/>
                <w:sz w:val="20"/>
                <w:szCs w:val="20"/>
              </w:rPr>
              <w:t>Young</w:t>
            </w:r>
          </w:p>
        </w:tc>
        <w:tc>
          <w:tcPr>
            <w:tcW w:w="1275" w:type="dxa"/>
            <w:tcBorders>
              <w:bottom w:val="single" w:sz="4" w:space="0" w:color="auto"/>
            </w:tcBorders>
          </w:tcPr>
          <w:p w:rsidR="00E20F67" w:rsidRPr="00C02A73" w:rsidRDefault="00E20F67" w:rsidP="00E20F67">
            <w:pPr>
              <w:jc w:val="center"/>
              <w:rPr>
                <w:rFonts w:ascii="Arial" w:hAnsi="Arial" w:cs="Arial"/>
                <w:b/>
                <w:sz w:val="20"/>
                <w:szCs w:val="20"/>
              </w:rPr>
            </w:pPr>
            <w:r w:rsidRPr="00C02A73">
              <w:rPr>
                <w:rFonts w:ascii="Arial" w:hAnsi="Arial" w:cs="Arial"/>
                <w:b/>
                <w:sz w:val="20"/>
                <w:szCs w:val="20"/>
              </w:rPr>
              <w:t>Old</w:t>
            </w:r>
          </w:p>
        </w:tc>
        <w:tc>
          <w:tcPr>
            <w:tcW w:w="1418" w:type="dxa"/>
            <w:gridSpan w:val="2"/>
            <w:tcBorders>
              <w:bottom w:val="single" w:sz="4" w:space="0" w:color="auto"/>
            </w:tcBorders>
          </w:tcPr>
          <w:p w:rsidR="00E20F67" w:rsidRPr="00C02A73" w:rsidRDefault="00E20F67" w:rsidP="00E20F67">
            <w:pPr>
              <w:jc w:val="center"/>
              <w:rPr>
                <w:rFonts w:ascii="Arial" w:hAnsi="Arial" w:cs="Arial"/>
                <w:b/>
                <w:sz w:val="20"/>
                <w:szCs w:val="20"/>
              </w:rPr>
            </w:pPr>
            <w:r w:rsidRPr="00C02A73">
              <w:rPr>
                <w:rFonts w:ascii="Arial" w:hAnsi="Arial" w:cs="Arial"/>
                <w:b/>
                <w:sz w:val="20"/>
                <w:szCs w:val="20"/>
              </w:rPr>
              <w:t>Young</w:t>
            </w:r>
          </w:p>
        </w:tc>
        <w:tc>
          <w:tcPr>
            <w:tcW w:w="1417" w:type="dxa"/>
            <w:gridSpan w:val="2"/>
            <w:tcBorders>
              <w:bottom w:val="single" w:sz="4" w:space="0" w:color="auto"/>
            </w:tcBorders>
          </w:tcPr>
          <w:p w:rsidR="00E20F67" w:rsidRPr="00C02A73" w:rsidRDefault="00E20F67" w:rsidP="00E20F67">
            <w:pPr>
              <w:jc w:val="center"/>
              <w:rPr>
                <w:rFonts w:ascii="Arial" w:hAnsi="Arial" w:cs="Arial"/>
                <w:b/>
                <w:sz w:val="20"/>
                <w:szCs w:val="20"/>
              </w:rPr>
            </w:pPr>
            <w:r w:rsidRPr="00C02A73">
              <w:rPr>
                <w:rFonts w:ascii="Arial" w:hAnsi="Arial" w:cs="Arial"/>
                <w:b/>
                <w:sz w:val="20"/>
                <w:szCs w:val="20"/>
              </w:rPr>
              <w:t>Old</w:t>
            </w:r>
          </w:p>
        </w:tc>
        <w:tc>
          <w:tcPr>
            <w:tcW w:w="1276" w:type="dxa"/>
            <w:gridSpan w:val="2"/>
            <w:tcBorders>
              <w:bottom w:val="single" w:sz="4" w:space="0" w:color="auto"/>
            </w:tcBorders>
          </w:tcPr>
          <w:p w:rsidR="00E20F67" w:rsidRPr="00C02A73" w:rsidRDefault="00E20F67" w:rsidP="00E20F67">
            <w:pPr>
              <w:jc w:val="center"/>
              <w:rPr>
                <w:rFonts w:ascii="Arial" w:hAnsi="Arial" w:cs="Arial"/>
                <w:b/>
                <w:sz w:val="20"/>
                <w:szCs w:val="20"/>
              </w:rPr>
            </w:pPr>
            <w:r w:rsidRPr="00C02A73">
              <w:rPr>
                <w:rFonts w:ascii="Arial" w:hAnsi="Arial" w:cs="Arial"/>
                <w:b/>
                <w:sz w:val="20"/>
                <w:szCs w:val="20"/>
              </w:rPr>
              <w:t>Young</w:t>
            </w:r>
          </w:p>
        </w:tc>
        <w:tc>
          <w:tcPr>
            <w:tcW w:w="1864" w:type="dxa"/>
            <w:gridSpan w:val="2"/>
            <w:tcBorders>
              <w:bottom w:val="single" w:sz="4" w:space="0" w:color="auto"/>
            </w:tcBorders>
          </w:tcPr>
          <w:p w:rsidR="00E20F67" w:rsidRPr="00C02A73" w:rsidRDefault="00E20F67" w:rsidP="00E20F67">
            <w:pPr>
              <w:jc w:val="center"/>
              <w:rPr>
                <w:rFonts w:ascii="Arial" w:hAnsi="Arial" w:cs="Arial"/>
                <w:b/>
                <w:sz w:val="20"/>
                <w:szCs w:val="20"/>
              </w:rPr>
            </w:pPr>
            <w:r w:rsidRPr="00C02A73">
              <w:rPr>
                <w:rFonts w:ascii="Arial" w:hAnsi="Arial" w:cs="Arial"/>
                <w:b/>
                <w:sz w:val="20"/>
                <w:szCs w:val="20"/>
              </w:rPr>
              <w:t>Old</w:t>
            </w:r>
          </w:p>
        </w:tc>
      </w:tr>
      <w:tr w:rsidR="00E20F67" w:rsidRPr="00C02A73" w:rsidTr="00E20F67">
        <w:trPr>
          <w:trHeight w:val="567"/>
        </w:trPr>
        <w:tc>
          <w:tcPr>
            <w:tcW w:w="924" w:type="dxa"/>
            <w:tcBorders>
              <w:top w:val="single" w:sz="4" w:space="0" w:color="auto"/>
              <w:left w:val="nil"/>
              <w:bottom w:val="nil"/>
              <w:right w:val="nil"/>
            </w:tcBorders>
          </w:tcPr>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Pn1</w:t>
            </w:r>
          </w:p>
          <w:p w:rsidR="00E20F67" w:rsidRPr="00C02A73" w:rsidRDefault="00E20F67" w:rsidP="00E20F67">
            <w:pPr>
              <w:spacing w:line="480" w:lineRule="auto"/>
              <w:rPr>
                <w:rFonts w:ascii="Arial" w:hAnsi="Arial" w:cs="Arial"/>
                <w:sz w:val="20"/>
                <w:szCs w:val="20"/>
              </w:rPr>
            </w:pPr>
          </w:p>
        </w:tc>
        <w:tc>
          <w:tcPr>
            <w:tcW w:w="1474" w:type="dxa"/>
            <w:tcBorders>
              <w:top w:val="single" w:sz="4" w:space="0" w:color="auto"/>
              <w:left w:val="nil"/>
              <w:bottom w:val="nil"/>
              <w:right w:val="nil"/>
            </w:tcBorders>
          </w:tcPr>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1.10</w:t>
            </w:r>
          </w:p>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(0.23</w:t>
            </w:r>
            <w:r w:rsidRPr="00C02A73">
              <w:rPr>
                <w:rFonts w:ascii="Arial" w:hAnsi="Arial" w:cs="Arial"/>
                <w:sz w:val="20"/>
                <w:szCs w:val="20"/>
              </w:rPr>
              <w:br w:type="column"/>
              <w:t>–7.47)</w:t>
            </w:r>
          </w:p>
        </w:tc>
        <w:tc>
          <w:tcPr>
            <w:tcW w:w="1474" w:type="dxa"/>
            <w:gridSpan w:val="3"/>
            <w:tcBorders>
              <w:top w:val="single" w:sz="4" w:space="0" w:color="auto"/>
              <w:left w:val="nil"/>
              <w:bottom w:val="nil"/>
              <w:right w:val="nil"/>
            </w:tcBorders>
          </w:tcPr>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1.03</w:t>
            </w:r>
          </w:p>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(0.13–8.59)</w:t>
            </w:r>
          </w:p>
        </w:tc>
        <w:tc>
          <w:tcPr>
            <w:tcW w:w="1474" w:type="dxa"/>
            <w:gridSpan w:val="2"/>
            <w:tcBorders>
              <w:top w:val="single" w:sz="4" w:space="0" w:color="auto"/>
              <w:left w:val="nil"/>
              <w:bottom w:val="nil"/>
              <w:right w:val="nil"/>
            </w:tcBorders>
          </w:tcPr>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3.24</w:t>
            </w:r>
          </w:p>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(0.79–17.27)</w:t>
            </w:r>
          </w:p>
        </w:tc>
        <w:tc>
          <w:tcPr>
            <w:tcW w:w="1361" w:type="dxa"/>
            <w:gridSpan w:val="2"/>
            <w:tcBorders>
              <w:top w:val="single" w:sz="4" w:space="0" w:color="auto"/>
              <w:left w:val="nil"/>
              <w:bottom w:val="nil"/>
              <w:right w:val="nil"/>
            </w:tcBorders>
          </w:tcPr>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2.44</w:t>
            </w:r>
          </w:p>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(0.09–7.98)</w:t>
            </w:r>
          </w:p>
        </w:tc>
        <w:tc>
          <w:tcPr>
            <w:tcW w:w="1587" w:type="dxa"/>
            <w:gridSpan w:val="2"/>
            <w:tcBorders>
              <w:top w:val="single" w:sz="4" w:space="0" w:color="auto"/>
              <w:left w:val="nil"/>
              <w:bottom w:val="nil"/>
              <w:right w:val="nil"/>
            </w:tcBorders>
          </w:tcPr>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3.75</w:t>
            </w:r>
          </w:p>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(0.99–27.51)</w:t>
            </w:r>
          </w:p>
        </w:tc>
        <w:tc>
          <w:tcPr>
            <w:tcW w:w="1474" w:type="dxa"/>
            <w:tcBorders>
              <w:top w:val="single" w:sz="4" w:space="0" w:color="auto"/>
              <w:left w:val="nil"/>
              <w:bottom w:val="nil"/>
              <w:right w:val="nil"/>
            </w:tcBorders>
          </w:tcPr>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5.50</w:t>
            </w:r>
          </w:p>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(0.86–37.32)</w:t>
            </w:r>
          </w:p>
        </w:tc>
      </w:tr>
      <w:tr w:rsidR="00E20F67" w:rsidRPr="00C02A73" w:rsidTr="00E20F67">
        <w:trPr>
          <w:trHeight w:val="567"/>
        </w:trPr>
        <w:tc>
          <w:tcPr>
            <w:tcW w:w="924" w:type="dxa"/>
            <w:tcBorders>
              <w:top w:val="nil"/>
              <w:left w:val="nil"/>
              <w:bottom w:val="nil"/>
              <w:right w:val="nil"/>
            </w:tcBorders>
          </w:tcPr>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Pn3</w:t>
            </w:r>
          </w:p>
        </w:tc>
        <w:tc>
          <w:tcPr>
            <w:tcW w:w="1474" w:type="dxa"/>
            <w:tcBorders>
              <w:top w:val="nil"/>
              <w:left w:val="nil"/>
              <w:bottom w:val="nil"/>
              <w:right w:val="nil"/>
            </w:tcBorders>
          </w:tcPr>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0.38***</w:t>
            </w:r>
          </w:p>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(0.83–3.78)</w:t>
            </w:r>
          </w:p>
        </w:tc>
        <w:tc>
          <w:tcPr>
            <w:tcW w:w="1474" w:type="dxa"/>
            <w:gridSpan w:val="3"/>
            <w:tcBorders>
              <w:top w:val="nil"/>
              <w:left w:val="nil"/>
              <w:bottom w:val="nil"/>
              <w:right w:val="nil"/>
            </w:tcBorders>
          </w:tcPr>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0.2</w:t>
            </w:r>
          </w:p>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(0.06–0.69)</w:t>
            </w:r>
          </w:p>
        </w:tc>
        <w:tc>
          <w:tcPr>
            <w:tcW w:w="1474" w:type="dxa"/>
            <w:gridSpan w:val="2"/>
            <w:tcBorders>
              <w:top w:val="nil"/>
              <w:left w:val="nil"/>
              <w:bottom w:val="nil"/>
              <w:right w:val="nil"/>
            </w:tcBorders>
          </w:tcPr>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0.47</w:t>
            </w:r>
          </w:p>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(0.08–10.40)</w:t>
            </w:r>
          </w:p>
        </w:tc>
        <w:tc>
          <w:tcPr>
            <w:tcW w:w="1361" w:type="dxa"/>
            <w:gridSpan w:val="2"/>
            <w:tcBorders>
              <w:top w:val="nil"/>
              <w:left w:val="nil"/>
              <w:bottom w:val="nil"/>
              <w:right w:val="nil"/>
            </w:tcBorders>
          </w:tcPr>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0.39</w:t>
            </w:r>
          </w:p>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(0.03–2.93)</w:t>
            </w:r>
          </w:p>
        </w:tc>
        <w:tc>
          <w:tcPr>
            <w:tcW w:w="1587" w:type="dxa"/>
            <w:gridSpan w:val="2"/>
            <w:tcBorders>
              <w:top w:val="nil"/>
              <w:left w:val="nil"/>
              <w:bottom w:val="nil"/>
              <w:right w:val="nil"/>
            </w:tcBorders>
          </w:tcPr>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58.67**</w:t>
            </w:r>
          </w:p>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(9.83–230.23)</w:t>
            </w:r>
          </w:p>
        </w:tc>
        <w:tc>
          <w:tcPr>
            <w:tcW w:w="1474" w:type="dxa"/>
            <w:tcBorders>
              <w:top w:val="nil"/>
              <w:left w:val="nil"/>
              <w:bottom w:val="nil"/>
              <w:right w:val="nil"/>
            </w:tcBorders>
          </w:tcPr>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27.83</w:t>
            </w:r>
          </w:p>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(5.89–142.37)</w:t>
            </w:r>
          </w:p>
        </w:tc>
      </w:tr>
      <w:tr w:rsidR="00E20F67" w:rsidRPr="00C02A73" w:rsidTr="00E20F67">
        <w:trPr>
          <w:trHeight w:val="567"/>
        </w:trPr>
        <w:tc>
          <w:tcPr>
            <w:tcW w:w="924" w:type="dxa"/>
            <w:tcBorders>
              <w:top w:val="nil"/>
              <w:left w:val="nil"/>
              <w:bottom w:val="nil"/>
              <w:right w:val="nil"/>
            </w:tcBorders>
          </w:tcPr>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Pn4</w:t>
            </w:r>
          </w:p>
        </w:tc>
        <w:tc>
          <w:tcPr>
            <w:tcW w:w="1474" w:type="dxa"/>
            <w:tcBorders>
              <w:top w:val="nil"/>
              <w:left w:val="nil"/>
              <w:bottom w:val="nil"/>
              <w:right w:val="nil"/>
            </w:tcBorders>
          </w:tcPr>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0.35*</w:t>
            </w:r>
          </w:p>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(0.10–3.13)</w:t>
            </w:r>
          </w:p>
        </w:tc>
        <w:tc>
          <w:tcPr>
            <w:tcW w:w="1474" w:type="dxa"/>
            <w:gridSpan w:val="3"/>
            <w:tcBorders>
              <w:top w:val="nil"/>
              <w:left w:val="nil"/>
              <w:bottom w:val="nil"/>
              <w:right w:val="nil"/>
            </w:tcBorders>
          </w:tcPr>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0.24</w:t>
            </w:r>
          </w:p>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(0.04–1.52)</w:t>
            </w:r>
          </w:p>
        </w:tc>
        <w:tc>
          <w:tcPr>
            <w:tcW w:w="1474" w:type="dxa"/>
            <w:gridSpan w:val="2"/>
            <w:tcBorders>
              <w:top w:val="nil"/>
              <w:left w:val="nil"/>
              <w:bottom w:val="nil"/>
              <w:right w:val="nil"/>
            </w:tcBorders>
          </w:tcPr>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1.71*</w:t>
            </w:r>
          </w:p>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(0.41–10.15)</w:t>
            </w:r>
          </w:p>
        </w:tc>
        <w:tc>
          <w:tcPr>
            <w:tcW w:w="1361" w:type="dxa"/>
            <w:gridSpan w:val="2"/>
            <w:tcBorders>
              <w:top w:val="nil"/>
              <w:left w:val="nil"/>
              <w:bottom w:val="nil"/>
              <w:right w:val="nil"/>
            </w:tcBorders>
          </w:tcPr>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1.03</w:t>
            </w:r>
          </w:p>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(0.05–5.70)</w:t>
            </w:r>
          </w:p>
        </w:tc>
        <w:tc>
          <w:tcPr>
            <w:tcW w:w="1587" w:type="dxa"/>
            <w:gridSpan w:val="2"/>
            <w:tcBorders>
              <w:top w:val="nil"/>
              <w:left w:val="nil"/>
              <w:bottom w:val="nil"/>
              <w:right w:val="nil"/>
            </w:tcBorders>
          </w:tcPr>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15.48</w:t>
            </w:r>
          </w:p>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(2.92–174.48)</w:t>
            </w:r>
          </w:p>
        </w:tc>
        <w:tc>
          <w:tcPr>
            <w:tcW w:w="1474" w:type="dxa"/>
            <w:tcBorders>
              <w:top w:val="nil"/>
              <w:left w:val="nil"/>
              <w:bottom w:val="nil"/>
              <w:right w:val="nil"/>
            </w:tcBorders>
          </w:tcPr>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10.5</w:t>
            </w:r>
          </w:p>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(2.36–35.13)</w:t>
            </w:r>
          </w:p>
        </w:tc>
      </w:tr>
      <w:tr w:rsidR="00E20F67" w:rsidRPr="00C02A73" w:rsidTr="00E20F67">
        <w:trPr>
          <w:trHeight w:val="567"/>
        </w:trPr>
        <w:tc>
          <w:tcPr>
            <w:tcW w:w="924" w:type="dxa"/>
            <w:tcBorders>
              <w:top w:val="nil"/>
              <w:left w:val="nil"/>
              <w:bottom w:val="nil"/>
              <w:right w:val="nil"/>
            </w:tcBorders>
          </w:tcPr>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Pn5</w:t>
            </w:r>
          </w:p>
        </w:tc>
        <w:tc>
          <w:tcPr>
            <w:tcW w:w="1474" w:type="dxa"/>
            <w:tcBorders>
              <w:top w:val="nil"/>
              <w:left w:val="nil"/>
              <w:bottom w:val="nil"/>
              <w:right w:val="nil"/>
            </w:tcBorders>
          </w:tcPr>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1.30</w:t>
            </w:r>
          </w:p>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(0.26–53.42)</w:t>
            </w:r>
          </w:p>
        </w:tc>
        <w:tc>
          <w:tcPr>
            <w:tcW w:w="1474" w:type="dxa"/>
            <w:gridSpan w:val="3"/>
            <w:tcBorders>
              <w:top w:val="nil"/>
              <w:left w:val="nil"/>
              <w:bottom w:val="nil"/>
              <w:right w:val="nil"/>
            </w:tcBorders>
          </w:tcPr>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1.10</w:t>
            </w:r>
          </w:p>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(0.14–34.29)</w:t>
            </w:r>
          </w:p>
        </w:tc>
        <w:tc>
          <w:tcPr>
            <w:tcW w:w="1474" w:type="dxa"/>
            <w:gridSpan w:val="2"/>
            <w:tcBorders>
              <w:top w:val="nil"/>
              <w:left w:val="nil"/>
              <w:bottom w:val="nil"/>
              <w:right w:val="nil"/>
            </w:tcBorders>
          </w:tcPr>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5.27</w:t>
            </w:r>
          </w:p>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(1.62–57.61)</w:t>
            </w:r>
          </w:p>
        </w:tc>
        <w:tc>
          <w:tcPr>
            <w:tcW w:w="1361" w:type="dxa"/>
            <w:gridSpan w:val="2"/>
            <w:tcBorders>
              <w:top w:val="nil"/>
              <w:left w:val="nil"/>
              <w:bottom w:val="nil"/>
              <w:right w:val="nil"/>
            </w:tcBorders>
          </w:tcPr>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3.99</w:t>
            </w:r>
          </w:p>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(0.21–15.63)</w:t>
            </w:r>
          </w:p>
        </w:tc>
        <w:tc>
          <w:tcPr>
            <w:tcW w:w="1587" w:type="dxa"/>
            <w:gridSpan w:val="2"/>
            <w:tcBorders>
              <w:top w:val="nil"/>
              <w:left w:val="nil"/>
              <w:bottom w:val="nil"/>
              <w:right w:val="nil"/>
            </w:tcBorders>
          </w:tcPr>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3.24</w:t>
            </w:r>
          </w:p>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(0.58–20.55)</w:t>
            </w:r>
          </w:p>
        </w:tc>
        <w:tc>
          <w:tcPr>
            <w:tcW w:w="1474" w:type="dxa"/>
            <w:tcBorders>
              <w:top w:val="nil"/>
              <w:left w:val="nil"/>
              <w:bottom w:val="nil"/>
              <w:right w:val="nil"/>
            </w:tcBorders>
          </w:tcPr>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2.75</w:t>
            </w:r>
          </w:p>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(0.76–9.22)</w:t>
            </w:r>
          </w:p>
        </w:tc>
      </w:tr>
      <w:tr w:rsidR="00E20F67" w:rsidRPr="00C02A73" w:rsidTr="00E20F67">
        <w:trPr>
          <w:trHeight w:val="567"/>
        </w:trPr>
        <w:tc>
          <w:tcPr>
            <w:tcW w:w="924" w:type="dxa"/>
            <w:tcBorders>
              <w:top w:val="nil"/>
              <w:left w:val="nil"/>
              <w:bottom w:val="nil"/>
              <w:right w:val="nil"/>
            </w:tcBorders>
          </w:tcPr>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Pn6B</w:t>
            </w:r>
          </w:p>
        </w:tc>
        <w:tc>
          <w:tcPr>
            <w:tcW w:w="1474" w:type="dxa"/>
            <w:tcBorders>
              <w:top w:val="nil"/>
              <w:left w:val="nil"/>
              <w:bottom w:val="nil"/>
              <w:right w:val="nil"/>
            </w:tcBorders>
          </w:tcPr>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0.59</w:t>
            </w:r>
          </w:p>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(0.08–7.24)</w:t>
            </w:r>
          </w:p>
        </w:tc>
        <w:tc>
          <w:tcPr>
            <w:tcW w:w="1474" w:type="dxa"/>
            <w:gridSpan w:val="3"/>
            <w:tcBorders>
              <w:top w:val="nil"/>
              <w:left w:val="nil"/>
              <w:bottom w:val="nil"/>
              <w:right w:val="nil"/>
            </w:tcBorders>
          </w:tcPr>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0.56</w:t>
            </w:r>
          </w:p>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(0.10–13.19)</w:t>
            </w:r>
          </w:p>
        </w:tc>
        <w:tc>
          <w:tcPr>
            <w:tcW w:w="1474" w:type="dxa"/>
            <w:gridSpan w:val="2"/>
            <w:tcBorders>
              <w:top w:val="nil"/>
              <w:left w:val="nil"/>
              <w:bottom w:val="nil"/>
              <w:right w:val="nil"/>
            </w:tcBorders>
          </w:tcPr>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10.46</w:t>
            </w:r>
          </w:p>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(2.19–59.68)</w:t>
            </w:r>
          </w:p>
        </w:tc>
        <w:tc>
          <w:tcPr>
            <w:tcW w:w="1361" w:type="dxa"/>
            <w:gridSpan w:val="2"/>
            <w:tcBorders>
              <w:top w:val="nil"/>
              <w:left w:val="nil"/>
              <w:bottom w:val="nil"/>
              <w:right w:val="nil"/>
            </w:tcBorders>
          </w:tcPr>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9.72</w:t>
            </w:r>
          </w:p>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(0.43–32.36)</w:t>
            </w:r>
          </w:p>
        </w:tc>
        <w:tc>
          <w:tcPr>
            <w:tcW w:w="1587" w:type="dxa"/>
            <w:gridSpan w:val="2"/>
            <w:tcBorders>
              <w:top w:val="nil"/>
              <w:left w:val="nil"/>
              <w:bottom w:val="nil"/>
              <w:right w:val="nil"/>
            </w:tcBorders>
          </w:tcPr>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13.03*</w:t>
            </w:r>
          </w:p>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(1.37–63.12)</w:t>
            </w:r>
          </w:p>
        </w:tc>
        <w:tc>
          <w:tcPr>
            <w:tcW w:w="1474" w:type="dxa"/>
            <w:tcBorders>
              <w:top w:val="nil"/>
              <w:left w:val="nil"/>
              <w:bottom w:val="nil"/>
              <w:right w:val="nil"/>
            </w:tcBorders>
          </w:tcPr>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7.7</w:t>
            </w:r>
          </w:p>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(1.32–70.66)</w:t>
            </w:r>
          </w:p>
        </w:tc>
      </w:tr>
      <w:tr w:rsidR="00E20F67" w:rsidRPr="00C02A73" w:rsidTr="00E20F67">
        <w:trPr>
          <w:trHeight w:val="567"/>
        </w:trPr>
        <w:tc>
          <w:tcPr>
            <w:tcW w:w="924" w:type="dxa"/>
            <w:tcBorders>
              <w:top w:val="nil"/>
              <w:left w:val="nil"/>
              <w:bottom w:val="nil"/>
              <w:right w:val="nil"/>
            </w:tcBorders>
          </w:tcPr>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Pn7F</w:t>
            </w:r>
          </w:p>
        </w:tc>
        <w:tc>
          <w:tcPr>
            <w:tcW w:w="1474" w:type="dxa"/>
            <w:tcBorders>
              <w:top w:val="nil"/>
              <w:left w:val="nil"/>
              <w:bottom w:val="nil"/>
              <w:right w:val="nil"/>
            </w:tcBorders>
          </w:tcPr>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2.63</w:t>
            </w:r>
          </w:p>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(0.38–15.16)</w:t>
            </w:r>
          </w:p>
        </w:tc>
        <w:tc>
          <w:tcPr>
            <w:tcW w:w="1474" w:type="dxa"/>
            <w:gridSpan w:val="3"/>
            <w:tcBorders>
              <w:top w:val="nil"/>
              <w:left w:val="nil"/>
              <w:bottom w:val="nil"/>
              <w:right w:val="nil"/>
            </w:tcBorders>
          </w:tcPr>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1.61</w:t>
            </w:r>
          </w:p>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(0.21–17.06)</w:t>
            </w:r>
          </w:p>
        </w:tc>
        <w:tc>
          <w:tcPr>
            <w:tcW w:w="1474" w:type="dxa"/>
            <w:gridSpan w:val="2"/>
            <w:tcBorders>
              <w:top w:val="nil"/>
              <w:left w:val="nil"/>
              <w:bottom w:val="nil"/>
              <w:right w:val="nil"/>
            </w:tcBorders>
          </w:tcPr>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2.21</w:t>
            </w:r>
          </w:p>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(0.76–14.61)</w:t>
            </w:r>
          </w:p>
        </w:tc>
        <w:tc>
          <w:tcPr>
            <w:tcW w:w="1361" w:type="dxa"/>
            <w:gridSpan w:val="2"/>
            <w:tcBorders>
              <w:top w:val="nil"/>
              <w:left w:val="nil"/>
              <w:bottom w:val="nil"/>
              <w:right w:val="nil"/>
            </w:tcBorders>
          </w:tcPr>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1.83</w:t>
            </w:r>
          </w:p>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(0.15–6.44)</w:t>
            </w:r>
          </w:p>
        </w:tc>
        <w:tc>
          <w:tcPr>
            <w:tcW w:w="1587" w:type="dxa"/>
            <w:gridSpan w:val="2"/>
            <w:tcBorders>
              <w:top w:val="nil"/>
              <w:left w:val="nil"/>
              <w:bottom w:val="nil"/>
              <w:right w:val="nil"/>
            </w:tcBorders>
          </w:tcPr>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7.56</w:t>
            </w:r>
          </w:p>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(1.90–30.68)</w:t>
            </w:r>
          </w:p>
        </w:tc>
        <w:tc>
          <w:tcPr>
            <w:tcW w:w="1474" w:type="dxa"/>
            <w:tcBorders>
              <w:top w:val="nil"/>
              <w:left w:val="nil"/>
              <w:bottom w:val="nil"/>
              <w:right w:val="nil"/>
            </w:tcBorders>
          </w:tcPr>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5.44</w:t>
            </w:r>
          </w:p>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(1.00–28.92)</w:t>
            </w:r>
          </w:p>
        </w:tc>
      </w:tr>
      <w:tr w:rsidR="00E20F67" w:rsidRPr="00C02A73" w:rsidTr="00E20F67">
        <w:trPr>
          <w:trHeight w:val="567"/>
        </w:trPr>
        <w:tc>
          <w:tcPr>
            <w:tcW w:w="924" w:type="dxa"/>
            <w:tcBorders>
              <w:top w:val="nil"/>
              <w:left w:val="nil"/>
              <w:bottom w:val="nil"/>
              <w:right w:val="nil"/>
            </w:tcBorders>
          </w:tcPr>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Pn9V</w:t>
            </w:r>
          </w:p>
        </w:tc>
        <w:tc>
          <w:tcPr>
            <w:tcW w:w="1474" w:type="dxa"/>
            <w:tcBorders>
              <w:top w:val="nil"/>
              <w:left w:val="nil"/>
              <w:bottom w:val="nil"/>
              <w:right w:val="nil"/>
            </w:tcBorders>
          </w:tcPr>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0.96</w:t>
            </w:r>
          </w:p>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(0.13–9.30)</w:t>
            </w:r>
          </w:p>
        </w:tc>
        <w:tc>
          <w:tcPr>
            <w:tcW w:w="1474" w:type="dxa"/>
            <w:gridSpan w:val="3"/>
            <w:tcBorders>
              <w:top w:val="nil"/>
              <w:left w:val="nil"/>
              <w:bottom w:val="nil"/>
              <w:right w:val="nil"/>
            </w:tcBorders>
          </w:tcPr>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0.54</w:t>
            </w:r>
          </w:p>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(0.08–3.64)</w:t>
            </w:r>
          </w:p>
        </w:tc>
        <w:tc>
          <w:tcPr>
            <w:tcW w:w="1474" w:type="dxa"/>
            <w:gridSpan w:val="2"/>
            <w:tcBorders>
              <w:top w:val="nil"/>
              <w:left w:val="nil"/>
              <w:bottom w:val="nil"/>
              <w:right w:val="nil"/>
            </w:tcBorders>
          </w:tcPr>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3.37</w:t>
            </w:r>
          </w:p>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(1.22–23.65)</w:t>
            </w:r>
          </w:p>
        </w:tc>
        <w:tc>
          <w:tcPr>
            <w:tcW w:w="1361" w:type="dxa"/>
            <w:gridSpan w:val="2"/>
            <w:tcBorders>
              <w:top w:val="nil"/>
              <w:left w:val="nil"/>
              <w:bottom w:val="nil"/>
              <w:right w:val="nil"/>
            </w:tcBorders>
          </w:tcPr>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3.27</w:t>
            </w:r>
          </w:p>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(0.21–11.12)</w:t>
            </w:r>
          </w:p>
        </w:tc>
        <w:tc>
          <w:tcPr>
            <w:tcW w:w="1587" w:type="dxa"/>
            <w:gridSpan w:val="2"/>
            <w:tcBorders>
              <w:top w:val="nil"/>
              <w:left w:val="nil"/>
              <w:bottom w:val="nil"/>
              <w:right w:val="nil"/>
            </w:tcBorders>
          </w:tcPr>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16.57*</w:t>
            </w:r>
          </w:p>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(2.34–106.53)</w:t>
            </w:r>
          </w:p>
        </w:tc>
        <w:tc>
          <w:tcPr>
            <w:tcW w:w="1474" w:type="dxa"/>
            <w:tcBorders>
              <w:top w:val="nil"/>
              <w:left w:val="nil"/>
              <w:bottom w:val="nil"/>
              <w:right w:val="nil"/>
            </w:tcBorders>
          </w:tcPr>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6.66</w:t>
            </w:r>
          </w:p>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(0.92–42.55)</w:t>
            </w:r>
          </w:p>
        </w:tc>
      </w:tr>
      <w:tr w:rsidR="00E20F67" w:rsidRPr="00C02A73" w:rsidTr="00E20F67">
        <w:trPr>
          <w:trHeight w:val="567"/>
        </w:trPr>
        <w:tc>
          <w:tcPr>
            <w:tcW w:w="924" w:type="dxa"/>
            <w:tcBorders>
              <w:top w:val="nil"/>
              <w:left w:val="nil"/>
              <w:bottom w:val="nil"/>
              <w:right w:val="nil"/>
            </w:tcBorders>
          </w:tcPr>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Pn14</w:t>
            </w:r>
          </w:p>
        </w:tc>
        <w:tc>
          <w:tcPr>
            <w:tcW w:w="1474" w:type="dxa"/>
            <w:tcBorders>
              <w:top w:val="nil"/>
              <w:left w:val="nil"/>
              <w:bottom w:val="nil"/>
              <w:right w:val="nil"/>
            </w:tcBorders>
          </w:tcPr>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2.94*</w:t>
            </w:r>
            <w:r w:rsidR="00CF76D4" w:rsidRPr="00C02A73">
              <w:rPr>
                <w:rFonts w:ascii="Arial" w:hAnsi="Arial" w:cs="Arial"/>
                <w:sz w:val="20"/>
                <w:szCs w:val="20"/>
              </w:rPr>
              <w:t>*</w:t>
            </w:r>
          </w:p>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(0.17–83.04)</w:t>
            </w:r>
          </w:p>
        </w:tc>
        <w:tc>
          <w:tcPr>
            <w:tcW w:w="1474" w:type="dxa"/>
            <w:gridSpan w:val="3"/>
            <w:tcBorders>
              <w:top w:val="nil"/>
              <w:left w:val="nil"/>
              <w:bottom w:val="nil"/>
              <w:right w:val="nil"/>
            </w:tcBorders>
          </w:tcPr>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0.74</w:t>
            </w:r>
          </w:p>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(0.13–14.24)</w:t>
            </w:r>
          </w:p>
        </w:tc>
        <w:tc>
          <w:tcPr>
            <w:tcW w:w="1474" w:type="dxa"/>
            <w:gridSpan w:val="2"/>
            <w:tcBorders>
              <w:top w:val="nil"/>
              <w:left w:val="nil"/>
              <w:bottom w:val="nil"/>
              <w:right w:val="nil"/>
            </w:tcBorders>
          </w:tcPr>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2.77</w:t>
            </w:r>
          </w:p>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(0.20–52.15)</w:t>
            </w:r>
          </w:p>
        </w:tc>
        <w:tc>
          <w:tcPr>
            <w:tcW w:w="1361" w:type="dxa"/>
            <w:gridSpan w:val="2"/>
            <w:tcBorders>
              <w:top w:val="nil"/>
              <w:left w:val="nil"/>
              <w:bottom w:val="nil"/>
              <w:right w:val="nil"/>
            </w:tcBorders>
          </w:tcPr>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0.76</w:t>
            </w:r>
          </w:p>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(0.20–39.34)</w:t>
            </w:r>
          </w:p>
        </w:tc>
        <w:tc>
          <w:tcPr>
            <w:tcW w:w="1587" w:type="dxa"/>
            <w:gridSpan w:val="2"/>
            <w:tcBorders>
              <w:top w:val="nil"/>
              <w:left w:val="nil"/>
              <w:bottom w:val="nil"/>
              <w:right w:val="nil"/>
            </w:tcBorders>
          </w:tcPr>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31.71</w:t>
            </w:r>
          </w:p>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(5.72–290.31)</w:t>
            </w:r>
          </w:p>
        </w:tc>
        <w:tc>
          <w:tcPr>
            <w:tcW w:w="1474" w:type="dxa"/>
            <w:tcBorders>
              <w:top w:val="nil"/>
              <w:left w:val="nil"/>
              <w:bottom w:val="nil"/>
              <w:right w:val="nil"/>
            </w:tcBorders>
          </w:tcPr>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22.52</w:t>
            </w:r>
          </w:p>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(3.73–230.78)</w:t>
            </w:r>
          </w:p>
        </w:tc>
      </w:tr>
      <w:tr w:rsidR="00E20F67" w:rsidRPr="00C02A73" w:rsidTr="00E20F67">
        <w:trPr>
          <w:trHeight w:val="567"/>
        </w:trPr>
        <w:tc>
          <w:tcPr>
            <w:tcW w:w="924" w:type="dxa"/>
            <w:tcBorders>
              <w:top w:val="nil"/>
              <w:left w:val="nil"/>
              <w:bottom w:val="nil"/>
              <w:right w:val="nil"/>
            </w:tcBorders>
          </w:tcPr>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Pn18C</w:t>
            </w:r>
          </w:p>
        </w:tc>
        <w:tc>
          <w:tcPr>
            <w:tcW w:w="1474" w:type="dxa"/>
            <w:tcBorders>
              <w:top w:val="nil"/>
              <w:left w:val="nil"/>
              <w:bottom w:val="nil"/>
              <w:right w:val="nil"/>
            </w:tcBorders>
          </w:tcPr>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0.43</w:t>
            </w:r>
          </w:p>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(0.03–33.42)</w:t>
            </w:r>
          </w:p>
        </w:tc>
        <w:tc>
          <w:tcPr>
            <w:tcW w:w="1474" w:type="dxa"/>
            <w:gridSpan w:val="3"/>
            <w:tcBorders>
              <w:top w:val="nil"/>
              <w:left w:val="nil"/>
              <w:bottom w:val="nil"/>
              <w:right w:val="nil"/>
            </w:tcBorders>
          </w:tcPr>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0.54</w:t>
            </w:r>
          </w:p>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(0.09–9.09)</w:t>
            </w:r>
          </w:p>
        </w:tc>
        <w:tc>
          <w:tcPr>
            <w:tcW w:w="1474" w:type="dxa"/>
            <w:gridSpan w:val="2"/>
            <w:tcBorders>
              <w:top w:val="nil"/>
              <w:left w:val="nil"/>
              <w:bottom w:val="nil"/>
              <w:right w:val="nil"/>
            </w:tcBorders>
          </w:tcPr>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1.47</w:t>
            </w:r>
          </w:p>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(0.30–9.78)</w:t>
            </w:r>
          </w:p>
        </w:tc>
        <w:tc>
          <w:tcPr>
            <w:tcW w:w="1361" w:type="dxa"/>
            <w:gridSpan w:val="2"/>
            <w:tcBorders>
              <w:top w:val="nil"/>
              <w:left w:val="nil"/>
              <w:bottom w:val="nil"/>
              <w:right w:val="nil"/>
            </w:tcBorders>
          </w:tcPr>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1.05</w:t>
            </w:r>
          </w:p>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(0.05–11.49)</w:t>
            </w:r>
          </w:p>
        </w:tc>
        <w:tc>
          <w:tcPr>
            <w:tcW w:w="1587" w:type="dxa"/>
            <w:gridSpan w:val="2"/>
            <w:tcBorders>
              <w:top w:val="nil"/>
              <w:left w:val="nil"/>
              <w:bottom w:val="nil"/>
              <w:right w:val="nil"/>
            </w:tcBorders>
          </w:tcPr>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7.73</w:t>
            </w:r>
          </w:p>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(0.71–42.08)</w:t>
            </w:r>
          </w:p>
        </w:tc>
        <w:tc>
          <w:tcPr>
            <w:tcW w:w="1474" w:type="dxa"/>
            <w:tcBorders>
              <w:top w:val="nil"/>
              <w:left w:val="nil"/>
              <w:bottom w:val="nil"/>
              <w:right w:val="nil"/>
            </w:tcBorders>
          </w:tcPr>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4.45</w:t>
            </w:r>
          </w:p>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(0.69–32.86)</w:t>
            </w:r>
          </w:p>
        </w:tc>
      </w:tr>
      <w:tr w:rsidR="00E20F67" w:rsidRPr="00C02A73" w:rsidTr="00E20F67">
        <w:trPr>
          <w:trHeight w:val="567"/>
        </w:trPr>
        <w:tc>
          <w:tcPr>
            <w:tcW w:w="924" w:type="dxa"/>
            <w:tcBorders>
              <w:top w:val="nil"/>
              <w:left w:val="nil"/>
              <w:bottom w:val="nil"/>
              <w:right w:val="nil"/>
            </w:tcBorders>
          </w:tcPr>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Pn19A</w:t>
            </w:r>
          </w:p>
        </w:tc>
        <w:tc>
          <w:tcPr>
            <w:tcW w:w="1474" w:type="dxa"/>
            <w:tcBorders>
              <w:top w:val="nil"/>
              <w:left w:val="nil"/>
              <w:bottom w:val="nil"/>
              <w:right w:val="nil"/>
            </w:tcBorders>
          </w:tcPr>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7.07</w:t>
            </w:r>
          </w:p>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(1.78–27.67)</w:t>
            </w:r>
          </w:p>
        </w:tc>
        <w:tc>
          <w:tcPr>
            <w:tcW w:w="1474" w:type="dxa"/>
            <w:gridSpan w:val="3"/>
            <w:tcBorders>
              <w:top w:val="nil"/>
              <w:left w:val="nil"/>
              <w:bottom w:val="nil"/>
              <w:right w:val="nil"/>
            </w:tcBorders>
          </w:tcPr>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4.92</w:t>
            </w:r>
          </w:p>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(1.00–38.94)</w:t>
            </w:r>
          </w:p>
        </w:tc>
        <w:tc>
          <w:tcPr>
            <w:tcW w:w="1474" w:type="dxa"/>
            <w:gridSpan w:val="2"/>
            <w:tcBorders>
              <w:top w:val="nil"/>
              <w:left w:val="nil"/>
              <w:bottom w:val="nil"/>
              <w:right w:val="nil"/>
            </w:tcBorders>
          </w:tcPr>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4.26</w:t>
            </w:r>
          </w:p>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(1.26–25.98)</w:t>
            </w:r>
          </w:p>
        </w:tc>
        <w:tc>
          <w:tcPr>
            <w:tcW w:w="1361" w:type="dxa"/>
            <w:gridSpan w:val="2"/>
            <w:tcBorders>
              <w:top w:val="nil"/>
              <w:left w:val="nil"/>
              <w:bottom w:val="nil"/>
              <w:right w:val="nil"/>
            </w:tcBorders>
          </w:tcPr>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3.2</w:t>
            </w:r>
          </w:p>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(0.31–12.90)</w:t>
            </w:r>
          </w:p>
        </w:tc>
        <w:tc>
          <w:tcPr>
            <w:tcW w:w="1587" w:type="dxa"/>
            <w:gridSpan w:val="2"/>
            <w:tcBorders>
              <w:top w:val="nil"/>
              <w:left w:val="nil"/>
              <w:bottom w:val="nil"/>
              <w:right w:val="nil"/>
            </w:tcBorders>
          </w:tcPr>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23.9</w:t>
            </w:r>
          </w:p>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(12.07–282.96)</w:t>
            </w:r>
          </w:p>
        </w:tc>
        <w:tc>
          <w:tcPr>
            <w:tcW w:w="1474" w:type="dxa"/>
            <w:tcBorders>
              <w:top w:val="nil"/>
              <w:left w:val="nil"/>
              <w:bottom w:val="nil"/>
              <w:right w:val="nil"/>
            </w:tcBorders>
          </w:tcPr>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20.16</w:t>
            </w:r>
          </w:p>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(5.74–70.79)</w:t>
            </w:r>
          </w:p>
        </w:tc>
      </w:tr>
      <w:tr w:rsidR="00E20F67" w:rsidRPr="00C02A73" w:rsidTr="00E20F67">
        <w:trPr>
          <w:trHeight w:val="567"/>
        </w:trPr>
        <w:tc>
          <w:tcPr>
            <w:tcW w:w="924" w:type="dxa"/>
            <w:tcBorders>
              <w:top w:val="nil"/>
              <w:left w:val="nil"/>
              <w:bottom w:val="nil"/>
              <w:right w:val="nil"/>
            </w:tcBorders>
          </w:tcPr>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Pn19F</w:t>
            </w:r>
          </w:p>
        </w:tc>
        <w:tc>
          <w:tcPr>
            <w:tcW w:w="1474" w:type="dxa"/>
            <w:tcBorders>
              <w:top w:val="nil"/>
              <w:left w:val="nil"/>
              <w:bottom w:val="nil"/>
              <w:right w:val="nil"/>
            </w:tcBorders>
          </w:tcPr>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7.10***</w:t>
            </w:r>
          </w:p>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(2.31–53.65)</w:t>
            </w:r>
          </w:p>
        </w:tc>
        <w:tc>
          <w:tcPr>
            <w:tcW w:w="1474" w:type="dxa"/>
            <w:gridSpan w:val="3"/>
            <w:tcBorders>
              <w:top w:val="nil"/>
              <w:left w:val="nil"/>
              <w:bottom w:val="nil"/>
              <w:right w:val="nil"/>
            </w:tcBorders>
          </w:tcPr>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3.53</w:t>
            </w:r>
          </w:p>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(0.64–20.55)</w:t>
            </w:r>
          </w:p>
        </w:tc>
        <w:tc>
          <w:tcPr>
            <w:tcW w:w="1474" w:type="dxa"/>
            <w:gridSpan w:val="2"/>
            <w:tcBorders>
              <w:top w:val="nil"/>
              <w:left w:val="nil"/>
              <w:bottom w:val="nil"/>
              <w:right w:val="nil"/>
            </w:tcBorders>
          </w:tcPr>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23.67***</w:t>
            </w:r>
          </w:p>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(4.78–103.02)</w:t>
            </w:r>
          </w:p>
        </w:tc>
        <w:tc>
          <w:tcPr>
            <w:tcW w:w="1361" w:type="dxa"/>
            <w:gridSpan w:val="2"/>
            <w:tcBorders>
              <w:top w:val="nil"/>
              <w:left w:val="nil"/>
              <w:bottom w:val="nil"/>
              <w:right w:val="nil"/>
            </w:tcBorders>
          </w:tcPr>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10.4</w:t>
            </w:r>
          </w:p>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(0.48–41.30)</w:t>
            </w:r>
          </w:p>
        </w:tc>
        <w:tc>
          <w:tcPr>
            <w:tcW w:w="1587" w:type="dxa"/>
            <w:gridSpan w:val="2"/>
            <w:tcBorders>
              <w:top w:val="nil"/>
              <w:left w:val="nil"/>
              <w:bottom w:val="nil"/>
              <w:right w:val="nil"/>
            </w:tcBorders>
          </w:tcPr>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32.07</w:t>
            </w:r>
          </w:p>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(14.49–88.79)</w:t>
            </w:r>
          </w:p>
        </w:tc>
        <w:tc>
          <w:tcPr>
            <w:tcW w:w="1474" w:type="dxa"/>
            <w:tcBorders>
              <w:top w:val="nil"/>
              <w:left w:val="nil"/>
              <w:bottom w:val="nil"/>
              <w:right w:val="nil"/>
            </w:tcBorders>
          </w:tcPr>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27.76</w:t>
            </w:r>
          </w:p>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(6.39–84.37)</w:t>
            </w:r>
          </w:p>
        </w:tc>
      </w:tr>
      <w:tr w:rsidR="00E20F67" w:rsidRPr="00C02A73" w:rsidTr="00E20F67">
        <w:trPr>
          <w:trHeight w:val="567"/>
        </w:trPr>
        <w:tc>
          <w:tcPr>
            <w:tcW w:w="924" w:type="dxa"/>
            <w:tcBorders>
              <w:top w:val="nil"/>
              <w:left w:val="nil"/>
              <w:bottom w:val="nil"/>
              <w:right w:val="nil"/>
            </w:tcBorders>
          </w:tcPr>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Pn23F</w:t>
            </w:r>
          </w:p>
        </w:tc>
        <w:tc>
          <w:tcPr>
            <w:tcW w:w="1474" w:type="dxa"/>
            <w:tcBorders>
              <w:top w:val="nil"/>
              <w:left w:val="nil"/>
              <w:bottom w:val="nil"/>
              <w:right w:val="nil"/>
            </w:tcBorders>
          </w:tcPr>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0.49</w:t>
            </w:r>
          </w:p>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(0.05–44.45)</w:t>
            </w:r>
          </w:p>
        </w:tc>
        <w:tc>
          <w:tcPr>
            <w:tcW w:w="1474" w:type="dxa"/>
            <w:gridSpan w:val="3"/>
            <w:tcBorders>
              <w:top w:val="nil"/>
              <w:left w:val="nil"/>
              <w:bottom w:val="nil"/>
              <w:right w:val="nil"/>
            </w:tcBorders>
          </w:tcPr>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0.51</w:t>
            </w:r>
          </w:p>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(0.04–3.45)</w:t>
            </w:r>
          </w:p>
        </w:tc>
        <w:tc>
          <w:tcPr>
            <w:tcW w:w="1474" w:type="dxa"/>
            <w:gridSpan w:val="2"/>
            <w:tcBorders>
              <w:top w:val="nil"/>
              <w:left w:val="nil"/>
              <w:bottom w:val="nil"/>
              <w:right w:val="nil"/>
            </w:tcBorders>
          </w:tcPr>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7.18*</w:t>
            </w:r>
          </w:p>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(2.10–52.58)</w:t>
            </w:r>
          </w:p>
        </w:tc>
        <w:tc>
          <w:tcPr>
            <w:tcW w:w="1361" w:type="dxa"/>
            <w:gridSpan w:val="2"/>
            <w:tcBorders>
              <w:top w:val="nil"/>
              <w:left w:val="nil"/>
              <w:bottom w:val="nil"/>
              <w:right w:val="nil"/>
            </w:tcBorders>
          </w:tcPr>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5.58</w:t>
            </w:r>
          </w:p>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(0.38–17.01)</w:t>
            </w:r>
          </w:p>
        </w:tc>
        <w:tc>
          <w:tcPr>
            <w:tcW w:w="1587" w:type="dxa"/>
            <w:gridSpan w:val="2"/>
            <w:tcBorders>
              <w:top w:val="nil"/>
              <w:left w:val="nil"/>
              <w:bottom w:val="nil"/>
              <w:right w:val="nil"/>
            </w:tcBorders>
          </w:tcPr>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10.76*</w:t>
            </w:r>
          </w:p>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(1.16–64.72)</w:t>
            </w:r>
          </w:p>
        </w:tc>
        <w:tc>
          <w:tcPr>
            <w:tcW w:w="1474" w:type="dxa"/>
            <w:tcBorders>
              <w:top w:val="nil"/>
              <w:left w:val="nil"/>
              <w:bottom w:val="nil"/>
              <w:right w:val="nil"/>
            </w:tcBorders>
          </w:tcPr>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5.18</w:t>
            </w:r>
          </w:p>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(1.22–29.57)</w:t>
            </w:r>
          </w:p>
        </w:tc>
      </w:tr>
      <w:tr w:rsidR="00E20F67" w:rsidRPr="00C02A73" w:rsidTr="00E20F67">
        <w:trPr>
          <w:trHeight w:val="567"/>
        </w:trPr>
        <w:tc>
          <w:tcPr>
            <w:tcW w:w="924" w:type="dxa"/>
            <w:tcBorders>
              <w:top w:val="nil"/>
              <w:left w:val="nil"/>
              <w:bottom w:val="nil"/>
              <w:right w:val="nil"/>
            </w:tcBorders>
          </w:tcPr>
          <w:p w:rsidR="00E20F67" w:rsidRPr="00C02A73" w:rsidRDefault="00E20F67" w:rsidP="00E20F67">
            <w:pPr>
              <w:spacing w:line="480" w:lineRule="auto"/>
              <w:rPr>
                <w:rFonts w:ascii="Arial" w:hAnsi="Arial" w:cs="Arial"/>
                <w:sz w:val="20"/>
                <w:szCs w:val="20"/>
              </w:rPr>
            </w:pPr>
            <w:proofErr w:type="spellStart"/>
            <w:r w:rsidRPr="00C02A73">
              <w:rPr>
                <w:rFonts w:ascii="Arial" w:hAnsi="Arial" w:cs="Arial"/>
                <w:sz w:val="20"/>
                <w:szCs w:val="20"/>
              </w:rPr>
              <w:lastRenderedPageBreak/>
              <w:t>MenA</w:t>
            </w:r>
            <w:proofErr w:type="spellEnd"/>
          </w:p>
        </w:tc>
        <w:tc>
          <w:tcPr>
            <w:tcW w:w="1474" w:type="dxa"/>
            <w:tcBorders>
              <w:top w:val="nil"/>
              <w:left w:val="nil"/>
              <w:bottom w:val="nil"/>
              <w:right w:val="nil"/>
            </w:tcBorders>
          </w:tcPr>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2.48*</w:t>
            </w:r>
            <w:r w:rsidR="00141384" w:rsidRPr="00C02A73">
              <w:rPr>
                <w:rFonts w:ascii="Arial" w:hAnsi="Arial" w:cs="Arial"/>
                <w:sz w:val="20"/>
                <w:szCs w:val="20"/>
              </w:rPr>
              <w:t>*</w:t>
            </w:r>
          </w:p>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(0.45–19.11)</w:t>
            </w:r>
          </w:p>
        </w:tc>
        <w:tc>
          <w:tcPr>
            <w:tcW w:w="1474" w:type="dxa"/>
            <w:gridSpan w:val="3"/>
            <w:tcBorders>
              <w:top w:val="nil"/>
              <w:left w:val="nil"/>
              <w:bottom w:val="nil"/>
              <w:right w:val="nil"/>
            </w:tcBorders>
          </w:tcPr>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1.27</w:t>
            </w:r>
          </w:p>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(0.26–6.92)</w:t>
            </w:r>
          </w:p>
        </w:tc>
        <w:tc>
          <w:tcPr>
            <w:tcW w:w="1474" w:type="dxa"/>
            <w:gridSpan w:val="2"/>
            <w:tcBorders>
              <w:top w:val="nil"/>
              <w:left w:val="nil"/>
              <w:bottom w:val="nil"/>
              <w:right w:val="nil"/>
            </w:tcBorders>
          </w:tcPr>
          <w:p w:rsidR="00E20F67" w:rsidRPr="00C02A73" w:rsidRDefault="00E20F67" w:rsidP="00E20F67">
            <w:pPr>
              <w:spacing w:line="480" w:lineRule="auto"/>
              <w:jc w:val="center"/>
              <w:rPr>
                <w:rFonts w:ascii="Arial" w:hAnsi="Arial" w:cs="Arial"/>
                <w:i/>
                <w:sz w:val="20"/>
                <w:szCs w:val="20"/>
              </w:rPr>
            </w:pPr>
          </w:p>
        </w:tc>
        <w:tc>
          <w:tcPr>
            <w:tcW w:w="1361" w:type="dxa"/>
            <w:gridSpan w:val="2"/>
            <w:tcBorders>
              <w:top w:val="nil"/>
              <w:left w:val="nil"/>
              <w:bottom w:val="nil"/>
              <w:right w:val="nil"/>
            </w:tcBorders>
          </w:tcPr>
          <w:p w:rsidR="00E20F67" w:rsidRPr="00C02A73" w:rsidRDefault="00E20F67" w:rsidP="00E20F67">
            <w:pPr>
              <w:spacing w:line="480" w:lineRule="auto"/>
              <w:jc w:val="center"/>
              <w:rPr>
                <w:rFonts w:ascii="Times New Roman" w:hAnsi="Times New Roman" w:cs="Times New Roman"/>
                <w:i/>
                <w:sz w:val="18"/>
                <w:szCs w:val="18"/>
              </w:rPr>
            </w:pPr>
          </w:p>
        </w:tc>
        <w:tc>
          <w:tcPr>
            <w:tcW w:w="1587" w:type="dxa"/>
            <w:gridSpan w:val="2"/>
            <w:tcBorders>
              <w:top w:val="nil"/>
              <w:left w:val="nil"/>
              <w:bottom w:val="nil"/>
              <w:right w:val="nil"/>
            </w:tcBorders>
          </w:tcPr>
          <w:p w:rsidR="00E20F67" w:rsidRPr="00C02A73" w:rsidRDefault="00E20F67" w:rsidP="00E20F67">
            <w:pPr>
              <w:spacing w:line="480" w:lineRule="auto"/>
              <w:jc w:val="center"/>
              <w:rPr>
                <w:rFonts w:ascii="Arial" w:hAnsi="Arial" w:cs="Arial"/>
                <w:i/>
                <w:sz w:val="20"/>
                <w:szCs w:val="20"/>
              </w:rPr>
            </w:pPr>
          </w:p>
        </w:tc>
        <w:tc>
          <w:tcPr>
            <w:tcW w:w="1474" w:type="dxa"/>
            <w:tcBorders>
              <w:top w:val="nil"/>
              <w:left w:val="nil"/>
              <w:bottom w:val="nil"/>
              <w:right w:val="nil"/>
            </w:tcBorders>
          </w:tcPr>
          <w:p w:rsidR="00E20F67" w:rsidRPr="00C02A73" w:rsidRDefault="00E20F67" w:rsidP="00E20F67">
            <w:pPr>
              <w:spacing w:line="480" w:lineRule="auto"/>
              <w:jc w:val="center"/>
              <w:rPr>
                <w:rFonts w:ascii="Times New Roman" w:hAnsi="Times New Roman" w:cs="Times New Roman"/>
                <w:i/>
                <w:sz w:val="18"/>
                <w:szCs w:val="18"/>
              </w:rPr>
            </w:pPr>
          </w:p>
        </w:tc>
      </w:tr>
      <w:tr w:rsidR="00E20F67" w:rsidRPr="00C02A73" w:rsidTr="00E20F67">
        <w:trPr>
          <w:trHeight w:val="567"/>
        </w:trPr>
        <w:tc>
          <w:tcPr>
            <w:tcW w:w="924" w:type="dxa"/>
            <w:tcBorders>
              <w:top w:val="nil"/>
              <w:left w:val="nil"/>
              <w:bottom w:val="nil"/>
              <w:right w:val="nil"/>
            </w:tcBorders>
          </w:tcPr>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Men C</w:t>
            </w:r>
          </w:p>
        </w:tc>
        <w:tc>
          <w:tcPr>
            <w:tcW w:w="1474" w:type="dxa"/>
            <w:tcBorders>
              <w:top w:val="nil"/>
              <w:left w:val="nil"/>
              <w:bottom w:val="nil"/>
              <w:right w:val="nil"/>
            </w:tcBorders>
          </w:tcPr>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0.38***</w:t>
            </w:r>
          </w:p>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(0.05–12.20)</w:t>
            </w:r>
          </w:p>
        </w:tc>
        <w:tc>
          <w:tcPr>
            <w:tcW w:w="1474" w:type="dxa"/>
            <w:gridSpan w:val="3"/>
            <w:tcBorders>
              <w:top w:val="nil"/>
              <w:left w:val="nil"/>
              <w:bottom w:val="nil"/>
              <w:right w:val="nil"/>
            </w:tcBorders>
          </w:tcPr>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0.07</w:t>
            </w:r>
          </w:p>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(0.05–0.44)</w:t>
            </w:r>
          </w:p>
        </w:tc>
        <w:tc>
          <w:tcPr>
            <w:tcW w:w="1474" w:type="dxa"/>
            <w:gridSpan w:val="2"/>
            <w:tcBorders>
              <w:top w:val="nil"/>
              <w:left w:val="nil"/>
              <w:bottom w:val="nil"/>
              <w:right w:val="nil"/>
            </w:tcBorders>
          </w:tcPr>
          <w:p w:rsidR="00E20F67" w:rsidRPr="00C02A73" w:rsidRDefault="00E20F67" w:rsidP="00E20F67">
            <w:pPr>
              <w:spacing w:line="480" w:lineRule="auto"/>
              <w:jc w:val="center"/>
              <w:rPr>
                <w:rFonts w:ascii="Arial" w:hAnsi="Arial" w:cs="Arial"/>
                <w:i/>
                <w:sz w:val="20"/>
                <w:szCs w:val="20"/>
              </w:rPr>
            </w:pPr>
          </w:p>
        </w:tc>
        <w:tc>
          <w:tcPr>
            <w:tcW w:w="1361" w:type="dxa"/>
            <w:gridSpan w:val="2"/>
            <w:tcBorders>
              <w:top w:val="nil"/>
              <w:left w:val="nil"/>
              <w:bottom w:val="nil"/>
              <w:right w:val="nil"/>
            </w:tcBorders>
          </w:tcPr>
          <w:p w:rsidR="00E20F67" w:rsidRPr="00C02A73" w:rsidRDefault="00E20F67" w:rsidP="00E20F67">
            <w:pPr>
              <w:spacing w:line="480" w:lineRule="auto"/>
              <w:jc w:val="center"/>
              <w:rPr>
                <w:rFonts w:ascii="Times New Roman" w:hAnsi="Times New Roman" w:cs="Times New Roman"/>
                <w:i/>
                <w:sz w:val="18"/>
                <w:szCs w:val="18"/>
              </w:rPr>
            </w:pPr>
          </w:p>
        </w:tc>
        <w:tc>
          <w:tcPr>
            <w:tcW w:w="1587" w:type="dxa"/>
            <w:gridSpan w:val="2"/>
            <w:tcBorders>
              <w:top w:val="nil"/>
              <w:left w:val="nil"/>
              <w:bottom w:val="nil"/>
              <w:right w:val="nil"/>
            </w:tcBorders>
          </w:tcPr>
          <w:p w:rsidR="00E20F67" w:rsidRPr="00C02A73" w:rsidRDefault="00E20F67" w:rsidP="00E20F67">
            <w:pPr>
              <w:spacing w:line="480" w:lineRule="auto"/>
              <w:jc w:val="center"/>
              <w:rPr>
                <w:rFonts w:ascii="Times New Roman" w:hAnsi="Times New Roman" w:cs="Times New Roman"/>
                <w:i/>
                <w:sz w:val="18"/>
                <w:szCs w:val="18"/>
              </w:rPr>
            </w:pPr>
          </w:p>
        </w:tc>
        <w:tc>
          <w:tcPr>
            <w:tcW w:w="1474" w:type="dxa"/>
            <w:tcBorders>
              <w:top w:val="nil"/>
              <w:left w:val="nil"/>
              <w:bottom w:val="nil"/>
              <w:right w:val="nil"/>
            </w:tcBorders>
          </w:tcPr>
          <w:p w:rsidR="00E20F67" w:rsidRPr="00C02A73" w:rsidRDefault="00E20F67" w:rsidP="00E20F67">
            <w:pPr>
              <w:spacing w:line="480" w:lineRule="auto"/>
              <w:jc w:val="center"/>
              <w:rPr>
                <w:rFonts w:ascii="Times New Roman" w:hAnsi="Times New Roman" w:cs="Times New Roman"/>
                <w:i/>
                <w:sz w:val="18"/>
                <w:szCs w:val="18"/>
              </w:rPr>
            </w:pPr>
          </w:p>
        </w:tc>
      </w:tr>
      <w:tr w:rsidR="00E20F67" w:rsidRPr="00C02A73" w:rsidTr="00E20F67">
        <w:trPr>
          <w:trHeight w:val="567"/>
        </w:trPr>
        <w:tc>
          <w:tcPr>
            <w:tcW w:w="924" w:type="dxa"/>
            <w:tcBorders>
              <w:top w:val="nil"/>
              <w:left w:val="nil"/>
              <w:bottom w:val="nil"/>
              <w:right w:val="nil"/>
            </w:tcBorders>
          </w:tcPr>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Men W-135</w:t>
            </w:r>
          </w:p>
        </w:tc>
        <w:tc>
          <w:tcPr>
            <w:tcW w:w="1474" w:type="dxa"/>
            <w:tcBorders>
              <w:top w:val="nil"/>
              <w:left w:val="nil"/>
              <w:bottom w:val="nil"/>
              <w:right w:val="nil"/>
            </w:tcBorders>
          </w:tcPr>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0.41***</w:t>
            </w:r>
          </w:p>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(0.12–7.79)</w:t>
            </w:r>
          </w:p>
        </w:tc>
        <w:tc>
          <w:tcPr>
            <w:tcW w:w="1474" w:type="dxa"/>
            <w:gridSpan w:val="3"/>
            <w:tcBorders>
              <w:top w:val="nil"/>
              <w:left w:val="nil"/>
              <w:bottom w:val="nil"/>
              <w:right w:val="nil"/>
            </w:tcBorders>
          </w:tcPr>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0.23</w:t>
            </w:r>
          </w:p>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(0.07–0.60)</w:t>
            </w:r>
          </w:p>
        </w:tc>
        <w:tc>
          <w:tcPr>
            <w:tcW w:w="1474" w:type="dxa"/>
            <w:gridSpan w:val="2"/>
            <w:tcBorders>
              <w:top w:val="nil"/>
              <w:left w:val="nil"/>
              <w:bottom w:val="nil"/>
              <w:right w:val="nil"/>
            </w:tcBorders>
          </w:tcPr>
          <w:p w:rsidR="00E20F67" w:rsidRPr="00C02A73" w:rsidRDefault="00E20F67" w:rsidP="00E20F67">
            <w:pPr>
              <w:spacing w:line="480" w:lineRule="auto"/>
              <w:jc w:val="center"/>
              <w:rPr>
                <w:rFonts w:ascii="Arial" w:hAnsi="Arial" w:cs="Arial"/>
                <w:i/>
                <w:sz w:val="20"/>
                <w:szCs w:val="20"/>
              </w:rPr>
            </w:pPr>
          </w:p>
        </w:tc>
        <w:tc>
          <w:tcPr>
            <w:tcW w:w="1361" w:type="dxa"/>
            <w:gridSpan w:val="2"/>
            <w:tcBorders>
              <w:top w:val="nil"/>
              <w:left w:val="nil"/>
              <w:bottom w:val="nil"/>
              <w:right w:val="nil"/>
            </w:tcBorders>
          </w:tcPr>
          <w:p w:rsidR="00E20F67" w:rsidRPr="00C02A73" w:rsidRDefault="00E20F67" w:rsidP="00E20F67">
            <w:pPr>
              <w:spacing w:line="480" w:lineRule="auto"/>
              <w:jc w:val="center"/>
              <w:rPr>
                <w:rFonts w:ascii="Times New Roman" w:hAnsi="Times New Roman" w:cs="Times New Roman"/>
                <w:i/>
                <w:sz w:val="18"/>
                <w:szCs w:val="18"/>
              </w:rPr>
            </w:pPr>
          </w:p>
        </w:tc>
        <w:tc>
          <w:tcPr>
            <w:tcW w:w="1587" w:type="dxa"/>
            <w:gridSpan w:val="2"/>
            <w:tcBorders>
              <w:top w:val="nil"/>
              <w:left w:val="nil"/>
              <w:bottom w:val="nil"/>
              <w:right w:val="nil"/>
            </w:tcBorders>
          </w:tcPr>
          <w:p w:rsidR="00E20F67" w:rsidRPr="00C02A73" w:rsidRDefault="00E20F67" w:rsidP="00E20F67">
            <w:pPr>
              <w:spacing w:line="480" w:lineRule="auto"/>
              <w:jc w:val="center"/>
              <w:rPr>
                <w:rFonts w:ascii="Times New Roman" w:hAnsi="Times New Roman" w:cs="Times New Roman"/>
                <w:i/>
                <w:sz w:val="18"/>
                <w:szCs w:val="18"/>
              </w:rPr>
            </w:pPr>
          </w:p>
        </w:tc>
        <w:tc>
          <w:tcPr>
            <w:tcW w:w="1474" w:type="dxa"/>
            <w:tcBorders>
              <w:top w:val="nil"/>
              <w:left w:val="nil"/>
              <w:bottom w:val="nil"/>
              <w:right w:val="nil"/>
            </w:tcBorders>
          </w:tcPr>
          <w:p w:rsidR="00E20F67" w:rsidRPr="00C02A73" w:rsidRDefault="00E20F67" w:rsidP="00E20F67">
            <w:pPr>
              <w:spacing w:line="480" w:lineRule="auto"/>
              <w:jc w:val="center"/>
              <w:rPr>
                <w:rFonts w:ascii="Times New Roman" w:hAnsi="Times New Roman" w:cs="Times New Roman"/>
                <w:i/>
                <w:sz w:val="18"/>
                <w:szCs w:val="18"/>
              </w:rPr>
            </w:pPr>
          </w:p>
        </w:tc>
      </w:tr>
      <w:tr w:rsidR="00E20F67" w:rsidRPr="00C02A73" w:rsidTr="00E20F67">
        <w:trPr>
          <w:trHeight w:val="567"/>
        </w:trPr>
        <w:tc>
          <w:tcPr>
            <w:tcW w:w="924" w:type="dxa"/>
            <w:tcBorders>
              <w:top w:val="nil"/>
              <w:left w:val="nil"/>
              <w:bottom w:val="nil"/>
              <w:right w:val="nil"/>
            </w:tcBorders>
          </w:tcPr>
          <w:p w:rsidR="00E20F67" w:rsidRPr="00C02A73" w:rsidRDefault="00E20F67" w:rsidP="00E20F67">
            <w:pPr>
              <w:spacing w:line="480" w:lineRule="auto"/>
              <w:rPr>
                <w:rFonts w:ascii="Arial" w:hAnsi="Arial" w:cs="Arial"/>
                <w:sz w:val="20"/>
                <w:szCs w:val="20"/>
              </w:rPr>
            </w:pPr>
            <w:proofErr w:type="spellStart"/>
            <w:r w:rsidRPr="00C02A73">
              <w:rPr>
                <w:rFonts w:ascii="Arial" w:hAnsi="Arial" w:cs="Arial"/>
                <w:sz w:val="20"/>
                <w:szCs w:val="20"/>
              </w:rPr>
              <w:t>MenY</w:t>
            </w:r>
            <w:proofErr w:type="spellEnd"/>
            <w:r w:rsidRPr="00C02A73">
              <w:rPr>
                <w:rFonts w:ascii="Arial" w:hAnsi="Arial" w:cs="Arial"/>
                <w:sz w:val="20"/>
                <w:szCs w:val="20"/>
              </w:rPr>
              <w:t xml:space="preserve"> </w:t>
            </w:r>
          </w:p>
        </w:tc>
        <w:tc>
          <w:tcPr>
            <w:tcW w:w="1474" w:type="dxa"/>
            <w:tcBorders>
              <w:top w:val="nil"/>
              <w:left w:val="nil"/>
              <w:bottom w:val="nil"/>
              <w:right w:val="nil"/>
            </w:tcBorders>
          </w:tcPr>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1.63***</w:t>
            </w:r>
          </w:p>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(0.23–13.83)</w:t>
            </w:r>
          </w:p>
        </w:tc>
        <w:tc>
          <w:tcPr>
            <w:tcW w:w="1474" w:type="dxa"/>
            <w:gridSpan w:val="3"/>
            <w:tcBorders>
              <w:top w:val="nil"/>
              <w:left w:val="nil"/>
              <w:bottom w:val="nil"/>
              <w:right w:val="nil"/>
            </w:tcBorders>
          </w:tcPr>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0.6</w:t>
            </w:r>
          </w:p>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(0.14–1.39)</w:t>
            </w:r>
          </w:p>
        </w:tc>
        <w:tc>
          <w:tcPr>
            <w:tcW w:w="1474" w:type="dxa"/>
            <w:gridSpan w:val="2"/>
            <w:tcBorders>
              <w:top w:val="nil"/>
              <w:left w:val="nil"/>
              <w:bottom w:val="nil"/>
              <w:right w:val="nil"/>
            </w:tcBorders>
          </w:tcPr>
          <w:p w:rsidR="00E20F67" w:rsidRPr="00C02A73" w:rsidRDefault="00E20F67" w:rsidP="00E20F67">
            <w:pPr>
              <w:spacing w:line="480" w:lineRule="auto"/>
              <w:jc w:val="center"/>
              <w:rPr>
                <w:rFonts w:ascii="Arial" w:hAnsi="Arial" w:cs="Arial"/>
                <w:i/>
                <w:sz w:val="20"/>
                <w:szCs w:val="20"/>
              </w:rPr>
            </w:pPr>
          </w:p>
        </w:tc>
        <w:tc>
          <w:tcPr>
            <w:tcW w:w="1361" w:type="dxa"/>
            <w:gridSpan w:val="2"/>
            <w:tcBorders>
              <w:top w:val="nil"/>
              <w:left w:val="nil"/>
              <w:bottom w:val="nil"/>
              <w:right w:val="nil"/>
            </w:tcBorders>
          </w:tcPr>
          <w:p w:rsidR="00E20F67" w:rsidRPr="00C02A73" w:rsidRDefault="00E20F67" w:rsidP="00E20F67">
            <w:pPr>
              <w:spacing w:line="480" w:lineRule="auto"/>
              <w:jc w:val="center"/>
              <w:rPr>
                <w:rFonts w:ascii="Times New Roman" w:hAnsi="Times New Roman" w:cs="Times New Roman"/>
                <w:i/>
                <w:sz w:val="18"/>
                <w:szCs w:val="18"/>
              </w:rPr>
            </w:pPr>
          </w:p>
        </w:tc>
        <w:tc>
          <w:tcPr>
            <w:tcW w:w="1587" w:type="dxa"/>
            <w:gridSpan w:val="2"/>
            <w:tcBorders>
              <w:top w:val="nil"/>
              <w:left w:val="nil"/>
              <w:bottom w:val="nil"/>
              <w:right w:val="nil"/>
            </w:tcBorders>
          </w:tcPr>
          <w:p w:rsidR="00E20F67" w:rsidRPr="00C02A73" w:rsidRDefault="00E20F67" w:rsidP="00E20F67">
            <w:pPr>
              <w:spacing w:line="480" w:lineRule="auto"/>
              <w:jc w:val="center"/>
              <w:rPr>
                <w:rFonts w:ascii="Times New Roman" w:hAnsi="Times New Roman" w:cs="Times New Roman"/>
                <w:i/>
                <w:sz w:val="18"/>
                <w:szCs w:val="18"/>
              </w:rPr>
            </w:pPr>
          </w:p>
        </w:tc>
        <w:tc>
          <w:tcPr>
            <w:tcW w:w="1474" w:type="dxa"/>
            <w:tcBorders>
              <w:top w:val="nil"/>
              <w:left w:val="nil"/>
              <w:bottom w:val="nil"/>
              <w:right w:val="nil"/>
            </w:tcBorders>
          </w:tcPr>
          <w:p w:rsidR="00E20F67" w:rsidRPr="00C02A73" w:rsidRDefault="00E20F67" w:rsidP="00E20F67">
            <w:pPr>
              <w:spacing w:line="480" w:lineRule="auto"/>
              <w:jc w:val="center"/>
              <w:rPr>
                <w:rFonts w:ascii="Times New Roman" w:hAnsi="Times New Roman" w:cs="Times New Roman"/>
                <w:i/>
                <w:sz w:val="18"/>
                <w:szCs w:val="18"/>
              </w:rPr>
            </w:pPr>
          </w:p>
        </w:tc>
      </w:tr>
      <w:tr w:rsidR="00E20F67" w:rsidRPr="00C02A73" w:rsidTr="00E20F67">
        <w:trPr>
          <w:trHeight w:val="567"/>
        </w:trPr>
        <w:tc>
          <w:tcPr>
            <w:tcW w:w="924" w:type="dxa"/>
            <w:tcBorders>
              <w:top w:val="nil"/>
              <w:left w:val="nil"/>
              <w:bottom w:val="nil"/>
              <w:right w:val="nil"/>
            </w:tcBorders>
          </w:tcPr>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Tet</w:t>
            </w:r>
          </w:p>
        </w:tc>
        <w:tc>
          <w:tcPr>
            <w:tcW w:w="1474" w:type="dxa"/>
            <w:tcBorders>
              <w:top w:val="nil"/>
              <w:left w:val="nil"/>
              <w:bottom w:val="nil"/>
              <w:right w:val="nil"/>
            </w:tcBorders>
          </w:tcPr>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0.64</w:t>
            </w:r>
          </w:p>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(0.07–111.26)</w:t>
            </w:r>
          </w:p>
        </w:tc>
        <w:tc>
          <w:tcPr>
            <w:tcW w:w="1474" w:type="dxa"/>
            <w:gridSpan w:val="3"/>
            <w:tcBorders>
              <w:top w:val="nil"/>
              <w:left w:val="nil"/>
              <w:bottom w:val="nil"/>
              <w:right w:val="nil"/>
            </w:tcBorders>
          </w:tcPr>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0.3</w:t>
            </w:r>
          </w:p>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(0.03–28.37)</w:t>
            </w:r>
          </w:p>
        </w:tc>
        <w:tc>
          <w:tcPr>
            <w:tcW w:w="1474" w:type="dxa"/>
            <w:gridSpan w:val="2"/>
            <w:tcBorders>
              <w:top w:val="nil"/>
              <w:left w:val="nil"/>
              <w:bottom w:val="nil"/>
              <w:right w:val="nil"/>
            </w:tcBorders>
          </w:tcPr>
          <w:p w:rsidR="00E20F67" w:rsidRPr="00C02A73" w:rsidRDefault="00E20F67" w:rsidP="00E20F67">
            <w:pPr>
              <w:spacing w:line="480" w:lineRule="auto"/>
              <w:jc w:val="center"/>
              <w:rPr>
                <w:rFonts w:ascii="Arial" w:hAnsi="Arial" w:cs="Arial"/>
                <w:i/>
                <w:sz w:val="20"/>
                <w:szCs w:val="20"/>
              </w:rPr>
            </w:pPr>
          </w:p>
        </w:tc>
        <w:tc>
          <w:tcPr>
            <w:tcW w:w="1361" w:type="dxa"/>
            <w:gridSpan w:val="2"/>
            <w:tcBorders>
              <w:top w:val="nil"/>
              <w:left w:val="nil"/>
              <w:bottom w:val="nil"/>
              <w:right w:val="nil"/>
            </w:tcBorders>
          </w:tcPr>
          <w:p w:rsidR="00E20F67" w:rsidRPr="00C02A73" w:rsidRDefault="00E20F67" w:rsidP="00E20F67">
            <w:pPr>
              <w:spacing w:line="480" w:lineRule="auto"/>
              <w:jc w:val="center"/>
              <w:rPr>
                <w:rFonts w:ascii="Times New Roman" w:hAnsi="Times New Roman" w:cs="Times New Roman"/>
                <w:i/>
                <w:sz w:val="18"/>
                <w:szCs w:val="18"/>
              </w:rPr>
            </w:pPr>
          </w:p>
        </w:tc>
        <w:tc>
          <w:tcPr>
            <w:tcW w:w="1587" w:type="dxa"/>
            <w:gridSpan w:val="2"/>
            <w:tcBorders>
              <w:top w:val="nil"/>
              <w:left w:val="nil"/>
              <w:bottom w:val="nil"/>
              <w:right w:val="nil"/>
            </w:tcBorders>
          </w:tcPr>
          <w:p w:rsidR="00E20F67" w:rsidRPr="00C02A73" w:rsidRDefault="00E20F67" w:rsidP="00E20F67">
            <w:pPr>
              <w:spacing w:line="480" w:lineRule="auto"/>
              <w:jc w:val="center"/>
              <w:rPr>
                <w:rFonts w:ascii="Times New Roman" w:hAnsi="Times New Roman" w:cs="Times New Roman"/>
                <w:i/>
                <w:sz w:val="18"/>
                <w:szCs w:val="18"/>
              </w:rPr>
            </w:pPr>
          </w:p>
        </w:tc>
        <w:tc>
          <w:tcPr>
            <w:tcW w:w="1474" w:type="dxa"/>
            <w:tcBorders>
              <w:top w:val="nil"/>
              <w:left w:val="nil"/>
              <w:bottom w:val="nil"/>
              <w:right w:val="nil"/>
            </w:tcBorders>
          </w:tcPr>
          <w:p w:rsidR="00E20F67" w:rsidRPr="00C02A73" w:rsidRDefault="00E20F67" w:rsidP="00E20F67">
            <w:pPr>
              <w:spacing w:line="480" w:lineRule="auto"/>
              <w:jc w:val="center"/>
              <w:rPr>
                <w:rFonts w:ascii="Times New Roman" w:hAnsi="Times New Roman" w:cs="Times New Roman"/>
                <w:i/>
                <w:sz w:val="18"/>
                <w:szCs w:val="18"/>
              </w:rPr>
            </w:pPr>
          </w:p>
        </w:tc>
      </w:tr>
      <w:tr w:rsidR="00E20F67" w:rsidRPr="00C02A73" w:rsidTr="00E20F67">
        <w:trPr>
          <w:trHeight w:val="567"/>
        </w:trPr>
        <w:tc>
          <w:tcPr>
            <w:tcW w:w="924" w:type="dxa"/>
            <w:tcBorders>
              <w:top w:val="nil"/>
              <w:left w:val="nil"/>
              <w:bottom w:val="nil"/>
              <w:right w:val="nil"/>
            </w:tcBorders>
          </w:tcPr>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Dip</w:t>
            </w:r>
          </w:p>
        </w:tc>
        <w:tc>
          <w:tcPr>
            <w:tcW w:w="1474" w:type="dxa"/>
            <w:tcBorders>
              <w:top w:val="nil"/>
              <w:left w:val="nil"/>
              <w:bottom w:val="nil"/>
              <w:right w:val="nil"/>
            </w:tcBorders>
          </w:tcPr>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0.46*</w:t>
            </w:r>
            <w:r w:rsidR="00CF76D4" w:rsidRPr="00C02A73">
              <w:rPr>
                <w:rFonts w:ascii="Arial" w:hAnsi="Arial" w:cs="Arial"/>
                <w:sz w:val="20"/>
                <w:szCs w:val="20"/>
              </w:rPr>
              <w:t>**</w:t>
            </w:r>
          </w:p>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(0.03–25.81)</w:t>
            </w:r>
          </w:p>
        </w:tc>
        <w:tc>
          <w:tcPr>
            <w:tcW w:w="1474" w:type="dxa"/>
            <w:gridSpan w:val="3"/>
            <w:tcBorders>
              <w:top w:val="nil"/>
              <w:left w:val="nil"/>
              <w:bottom w:val="nil"/>
              <w:right w:val="nil"/>
            </w:tcBorders>
          </w:tcPr>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0.06</w:t>
            </w:r>
          </w:p>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(0.01–0.92)</w:t>
            </w:r>
          </w:p>
        </w:tc>
        <w:tc>
          <w:tcPr>
            <w:tcW w:w="1474" w:type="dxa"/>
            <w:gridSpan w:val="2"/>
            <w:tcBorders>
              <w:top w:val="nil"/>
              <w:left w:val="nil"/>
              <w:bottom w:val="nil"/>
              <w:right w:val="nil"/>
            </w:tcBorders>
          </w:tcPr>
          <w:p w:rsidR="00E20F67" w:rsidRPr="00C02A73" w:rsidRDefault="00E20F67" w:rsidP="00E20F67">
            <w:pPr>
              <w:spacing w:line="480" w:lineRule="auto"/>
              <w:jc w:val="center"/>
              <w:rPr>
                <w:rFonts w:ascii="Arial" w:hAnsi="Arial" w:cs="Arial"/>
                <w:i/>
                <w:sz w:val="20"/>
                <w:szCs w:val="20"/>
              </w:rPr>
            </w:pPr>
          </w:p>
        </w:tc>
        <w:tc>
          <w:tcPr>
            <w:tcW w:w="1361" w:type="dxa"/>
            <w:gridSpan w:val="2"/>
            <w:tcBorders>
              <w:top w:val="nil"/>
              <w:left w:val="nil"/>
              <w:bottom w:val="nil"/>
              <w:right w:val="nil"/>
            </w:tcBorders>
          </w:tcPr>
          <w:p w:rsidR="00E20F67" w:rsidRPr="00C02A73" w:rsidRDefault="00E20F67" w:rsidP="00E20F67">
            <w:pPr>
              <w:spacing w:line="480" w:lineRule="auto"/>
              <w:jc w:val="center"/>
              <w:rPr>
                <w:rFonts w:ascii="Times New Roman" w:hAnsi="Times New Roman" w:cs="Times New Roman"/>
                <w:i/>
                <w:sz w:val="18"/>
                <w:szCs w:val="18"/>
              </w:rPr>
            </w:pPr>
          </w:p>
        </w:tc>
        <w:tc>
          <w:tcPr>
            <w:tcW w:w="1587" w:type="dxa"/>
            <w:gridSpan w:val="2"/>
            <w:tcBorders>
              <w:top w:val="nil"/>
              <w:left w:val="nil"/>
              <w:bottom w:val="nil"/>
              <w:right w:val="nil"/>
            </w:tcBorders>
          </w:tcPr>
          <w:p w:rsidR="00E20F67" w:rsidRPr="00C02A73" w:rsidRDefault="00E20F67" w:rsidP="00E20F67">
            <w:pPr>
              <w:spacing w:line="480" w:lineRule="auto"/>
              <w:jc w:val="center"/>
              <w:rPr>
                <w:rFonts w:ascii="Times New Roman" w:hAnsi="Times New Roman" w:cs="Times New Roman"/>
                <w:i/>
                <w:sz w:val="18"/>
                <w:szCs w:val="18"/>
              </w:rPr>
            </w:pPr>
          </w:p>
        </w:tc>
        <w:tc>
          <w:tcPr>
            <w:tcW w:w="1474" w:type="dxa"/>
            <w:tcBorders>
              <w:top w:val="nil"/>
              <w:left w:val="nil"/>
              <w:bottom w:val="nil"/>
              <w:right w:val="nil"/>
            </w:tcBorders>
          </w:tcPr>
          <w:p w:rsidR="00E20F67" w:rsidRPr="00C02A73" w:rsidRDefault="00E20F67" w:rsidP="00E20F67">
            <w:pPr>
              <w:spacing w:line="480" w:lineRule="auto"/>
              <w:jc w:val="center"/>
              <w:rPr>
                <w:rFonts w:ascii="Times New Roman" w:hAnsi="Times New Roman" w:cs="Times New Roman"/>
                <w:i/>
                <w:sz w:val="18"/>
                <w:szCs w:val="18"/>
              </w:rPr>
            </w:pPr>
          </w:p>
        </w:tc>
      </w:tr>
      <w:tr w:rsidR="00E20F67" w:rsidRPr="00C02A73" w:rsidTr="00E20F67">
        <w:trPr>
          <w:trHeight w:val="567"/>
        </w:trPr>
        <w:tc>
          <w:tcPr>
            <w:tcW w:w="924" w:type="dxa"/>
            <w:tcBorders>
              <w:top w:val="nil"/>
              <w:left w:val="nil"/>
              <w:bottom w:val="single" w:sz="4" w:space="0" w:color="auto"/>
              <w:right w:val="nil"/>
            </w:tcBorders>
          </w:tcPr>
          <w:p w:rsidR="00E20F67" w:rsidRPr="00C02A73" w:rsidRDefault="00E20F67" w:rsidP="00E20F67">
            <w:pPr>
              <w:spacing w:line="480" w:lineRule="auto"/>
              <w:rPr>
                <w:rFonts w:ascii="Arial" w:hAnsi="Arial" w:cs="Arial"/>
                <w:sz w:val="20"/>
                <w:szCs w:val="20"/>
              </w:rPr>
            </w:pPr>
            <w:proofErr w:type="spellStart"/>
            <w:r w:rsidRPr="00C02A73">
              <w:rPr>
                <w:rFonts w:ascii="Arial" w:hAnsi="Arial" w:cs="Arial"/>
                <w:sz w:val="20"/>
                <w:szCs w:val="20"/>
              </w:rPr>
              <w:t>Hib</w:t>
            </w:r>
            <w:proofErr w:type="spellEnd"/>
            <w:r w:rsidRPr="00C02A73">
              <w:rPr>
                <w:rFonts w:ascii="Arial" w:hAnsi="Arial" w:cs="Arial"/>
                <w:sz w:val="20"/>
                <w:szCs w:val="20"/>
              </w:rPr>
              <w:t xml:space="preserve"> </w:t>
            </w:r>
          </w:p>
        </w:tc>
        <w:tc>
          <w:tcPr>
            <w:tcW w:w="1474" w:type="dxa"/>
            <w:tcBorders>
              <w:top w:val="nil"/>
              <w:left w:val="nil"/>
              <w:bottom w:val="single" w:sz="4" w:space="0" w:color="auto"/>
              <w:right w:val="nil"/>
            </w:tcBorders>
          </w:tcPr>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0.56*</w:t>
            </w:r>
          </w:p>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(0.26–9.12)</w:t>
            </w:r>
          </w:p>
        </w:tc>
        <w:tc>
          <w:tcPr>
            <w:tcW w:w="1474" w:type="dxa"/>
            <w:gridSpan w:val="3"/>
            <w:tcBorders>
              <w:top w:val="nil"/>
              <w:left w:val="nil"/>
              <w:bottom w:val="single" w:sz="4" w:space="0" w:color="auto"/>
              <w:right w:val="nil"/>
            </w:tcBorders>
          </w:tcPr>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0.4</w:t>
            </w:r>
          </w:p>
          <w:p w:rsidR="00E20F67" w:rsidRPr="00C02A73" w:rsidRDefault="00E20F67" w:rsidP="00E20F67">
            <w:pPr>
              <w:spacing w:line="480" w:lineRule="auto"/>
              <w:jc w:val="center"/>
              <w:rPr>
                <w:rFonts w:ascii="Arial" w:hAnsi="Arial" w:cs="Arial"/>
                <w:sz w:val="20"/>
                <w:szCs w:val="20"/>
              </w:rPr>
            </w:pPr>
            <w:r w:rsidRPr="00C02A73">
              <w:rPr>
                <w:rFonts w:ascii="Arial" w:hAnsi="Arial" w:cs="Arial"/>
                <w:sz w:val="20"/>
                <w:szCs w:val="20"/>
              </w:rPr>
              <w:t>(0.21–8.11)</w:t>
            </w:r>
          </w:p>
        </w:tc>
        <w:tc>
          <w:tcPr>
            <w:tcW w:w="1474" w:type="dxa"/>
            <w:gridSpan w:val="2"/>
            <w:tcBorders>
              <w:top w:val="nil"/>
              <w:left w:val="nil"/>
              <w:bottom w:val="single" w:sz="4" w:space="0" w:color="auto"/>
              <w:right w:val="nil"/>
            </w:tcBorders>
          </w:tcPr>
          <w:p w:rsidR="00E20F67" w:rsidRPr="00C02A73" w:rsidRDefault="00E20F67" w:rsidP="00E20F67">
            <w:pPr>
              <w:spacing w:line="480" w:lineRule="auto"/>
              <w:jc w:val="center"/>
              <w:rPr>
                <w:rFonts w:ascii="Arial" w:hAnsi="Arial" w:cs="Arial"/>
                <w:i/>
                <w:sz w:val="20"/>
                <w:szCs w:val="20"/>
              </w:rPr>
            </w:pPr>
          </w:p>
        </w:tc>
        <w:tc>
          <w:tcPr>
            <w:tcW w:w="1361" w:type="dxa"/>
            <w:gridSpan w:val="2"/>
            <w:tcBorders>
              <w:top w:val="nil"/>
              <w:left w:val="nil"/>
              <w:bottom w:val="single" w:sz="4" w:space="0" w:color="auto"/>
              <w:right w:val="nil"/>
            </w:tcBorders>
          </w:tcPr>
          <w:p w:rsidR="00E20F67" w:rsidRPr="00C02A73" w:rsidRDefault="00E20F67" w:rsidP="00E20F67">
            <w:pPr>
              <w:spacing w:line="480" w:lineRule="auto"/>
              <w:jc w:val="center"/>
              <w:rPr>
                <w:rFonts w:ascii="Times New Roman" w:hAnsi="Times New Roman" w:cs="Times New Roman"/>
                <w:i/>
                <w:sz w:val="18"/>
                <w:szCs w:val="18"/>
              </w:rPr>
            </w:pPr>
          </w:p>
        </w:tc>
        <w:tc>
          <w:tcPr>
            <w:tcW w:w="1587" w:type="dxa"/>
            <w:gridSpan w:val="2"/>
            <w:tcBorders>
              <w:top w:val="nil"/>
              <w:left w:val="nil"/>
              <w:bottom w:val="single" w:sz="4" w:space="0" w:color="auto"/>
              <w:right w:val="nil"/>
            </w:tcBorders>
          </w:tcPr>
          <w:p w:rsidR="00E20F67" w:rsidRPr="00C02A73" w:rsidRDefault="00E20F67" w:rsidP="00E20F67">
            <w:pPr>
              <w:spacing w:line="480" w:lineRule="auto"/>
              <w:jc w:val="center"/>
              <w:rPr>
                <w:rFonts w:ascii="Times New Roman" w:hAnsi="Times New Roman" w:cs="Times New Roman"/>
                <w:i/>
                <w:sz w:val="18"/>
                <w:szCs w:val="18"/>
              </w:rPr>
            </w:pPr>
          </w:p>
        </w:tc>
        <w:tc>
          <w:tcPr>
            <w:tcW w:w="1474" w:type="dxa"/>
            <w:tcBorders>
              <w:top w:val="nil"/>
              <w:left w:val="nil"/>
              <w:bottom w:val="single" w:sz="4" w:space="0" w:color="auto"/>
              <w:right w:val="nil"/>
            </w:tcBorders>
          </w:tcPr>
          <w:p w:rsidR="00E20F67" w:rsidRPr="00C02A73" w:rsidRDefault="00E20F67" w:rsidP="00E20F67">
            <w:pPr>
              <w:spacing w:line="480" w:lineRule="auto"/>
              <w:jc w:val="center"/>
              <w:rPr>
                <w:rFonts w:ascii="Times New Roman" w:hAnsi="Times New Roman" w:cs="Times New Roman"/>
                <w:i/>
                <w:sz w:val="18"/>
                <w:szCs w:val="18"/>
              </w:rPr>
            </w:pPr>
          </w:p>
        </w:tc>
      </w:tr>
    </w:tbl>
    <w:p w:rsidR="00E20F67" w:rsidRPr="00C02A73" w:rsidRDefault="00E20F67" w:rsidP="00E20F67">
      <w:pPr>
        <w:spacing w:line="480" w:lineRule="auto"/>
        <w:rPr>
          <w:rFonts w:ascii="Arial" w:hAnsi="Arial" w:cs="Arial"/>
          <w:b/>
        </w:rPr>
      </w:pPr>
    </w:p>
    <w:p w:rsidR="00E20F67" w:rsidRPr="00C02A73" w:rsidRDefault="00E20F67" w:rsidP="00E20F67">
      <w:pPr>
        <w:spacing w:line="480" w:lineRule="auto"/>
        <w:rPr>
          <w:rFonts w:ascii="Arial" w:hAnsi="Arial" w:cs="Arial"/>
          <w:b/>
        </w:rPr>
      </w:pPr>
    </w:p>
    <w:p w:rsidR="00E20F67" w:rsidRPr="00C02A73" w:rsidRDefault="00E20F67" w:rsidP="00E20F67">
      <w:pPr>
        <w:spacing w:line="480" w:lineRule="auto"/>
        <w:rPr>
          <w:rFonts w:ascii="Arial" w:hAnsi="Arial" w:cs="Arial"/>
          <w:b/>
        </w:rPr>
      </w:pPr>
    </w:p>
    <w:p w:rsidR="00E20F67" w:rsidRPr="00C02A73" w:rsidRDefault="00E20F67" w:rsidP="00E20F67">
      <w:pPr>
        <w:spacing w:line="480" w:lineRule="auto"/>
        <w:rPr>
          <w:rFonts w:ascii="Arial" w:hAnsi="Arial" w:cs="Arial"/>
          <w:b/>
        </w:rPr>
      </w:pPr>
    </w:p>
    <w:p w:rsidR="00E20F67" w:rsidRPr="00C02A73" w:rsidRDefault="00E20F67" w:rsidP="00E20F67">
      <w:pPr>
        <w:spacing w:line="480" w:lineRule="auto"/>
        <w:rPr>
          <w:rFonts w:ascii="Arial" w:hAnsi="Arial" w:cs="Arial"/>
          <w:b/>
        </w:rPr>
      </w:pPr>
    </w:p>
    <w:p w:rsidR="00E20F67" w:rsidRPr="00C02A73" w:rsidRDefault="00E20F67" w:rsidP="00E20F67">
      <w:pPr>
        <w:spacing w:line="480" w:lineRule="auto"/>
        <w:rPr>
          <w:rFonts w:ascii="Arial" w:hAnsi="Arial" w:cs="Arial"/>
          <w:b/>
        </w:rPr>
      </w:pPr>
    </w:p>
    <w:p w:rsidR="00E20F67" w:rsidRPr="00C02A73" w:rsidRDefault="00E20F67" w:rsidP="00E20F67">
      <w:pPr>
        <w:spacing w:line="480" w:lineRule="auto"/>
        <w:rPr>
          <w:rFonts w:ascii="Arial" w:hAnsi="Arial" w:cs="Arial"/>
          <w:b/>
        </w:rPr>
      </w:pPr>
    </w:p>
    <w:p w:rsidR="00E20F67" w:rsidRPr="00C02A73" w:rsidRDefault="00E20F67" w:rsidP="00E20F67">
      <w:pPr>
        <w:spacing w:line="480" w:lineRule="auto"/>
        <w:rPr>
          <w:rFonts w:ascii="Arial" w:hAnsi="Arial" w:cs="Arial"/>
          <w:b/>
        </w:rPr>
      </w:pPr>
    </w:p>
    <w:p w:rsidR="00E20F67" w:rsidRPr="00C02A73" w:rsidRDefault="00E20F67" w:rsidP="00E20F67">
      <w:pPr>
        <w:spacing w:line="480" w:lineRule="auto"/>
        <w:rPr>
          <w:rFonts w:ascii="Arial" w:hAnsi="Arial" w:cs="Arial"/>
          <w:b/>
        </w:rPr>
      </w:pPr>
    </w:p>
    <w:p w:rsidR="00E20F67" w:rsidRPr="00C02A73" w:rsidRDefault="00E20F67" w:rsidP="00E20F67">
      <w:pPr>
        <w:spacing w:line="480" w:lineRule="auto"/>
        <w:rPr>
          <w:rFonts w:ascii="Arial" w:hAnsi="Arial" w:cs="Arial"/>
          <w:b/>
        </w:rPr>
      </w:pPr>
    </w:p>
    <w:p w:rsidR="00E20F67" w:rsidRPr="00C02A73" w:rsidRDefault="00E20F67" w:rsidP="00E20F67">
      <w:pPr>
        <w:spacing w:line="480" w:lineRule="auto"/>
        <w:rPr>
          <w:rFonts w:ascii="Arial" w:hAnsi="Arial" w:cs="Arial"/>
          <w:b/>
        </w:rPr>
      </w:pPr>
    </w:p>
    <w:p w:rsidR="00E20F67" w:rsidRPr="00C02A73" w:rsidRDefault="00E20F67" w:rsidP="00E20F67">
      <w:pPr>
        <w:spacing w:line="480" w:lineRule="auto"/>
        <w:rPr>
          <w:rFonts w:ascii="Arial" w:hAnsi="Arial" w:cs="Arial"/>
        </w:rPr>
      </w:pPr>
      <w:proofErr w:type="gramStart"/>
      <w:r w:rsidRPr="00C02A73">
        <w:rPr>
          <w:rFonts w:ascii="Arial" w:hAnsi="Arial" w:cs="Arial"/>
          <w:b/>
        </w:rPr>
        <w:lastRenderedPageBreak/>
        <w:t>Table 2.</w:t>
      </w:r>
      <w:proofErr w:type="gramEnd"/>
      <w:r w:rsidRPr="00C02A73">
        <w:rPr>
          <w:rFonts w:ascii="Arial" w:hAnsi="Arial" w:cs="Arial"/>
          <w:b/>
        </w:rPr>
        <w:t xml:space="preserve">  </w:t>
      </w:r>
      <w:proofErr w:type="gramStart"/>
      <w:r w:rsidRPr="00C02A73">
        <w:rPr>
          <w:rFonts w:ascii="Arial" w:hAnsi="Arial" w:cs="Arial"/>
        </w:rPr>
        <w:t>IgG,</w:t>
      </w:r>
      <w:proofErr w:type="gramEnd"/>
      <w:r w:rsidRPr="00C02A73">
        <w:rPr>
          <w:rFonts w:ascii="Arial" w:hAnsi="Arial" w:cs="Arial"/>
        </w:rPr>
        <w:t xml:space="preserve"> IgM and IgA functional antibody concentrations for young and older adults in serum. Data presented is median (5–95 percentile) in ng/ml.  Significant differences between young and old are indicated by *** </w:t>
      </w:r>
      <w:r w:rsidRPr="00C02A73">
        <w:rPr>
          <w:rFonts w:ascii="Arial" w:hAnsi="Arial" w:cs="Arial"/>
          <w:i/>
        </w:rPr>
        <w:t>p</w:t>
      </w:r>
      <w:r w:rsidRPr="00C02A73">
        <w:rPr>
          <w:rFonts w:ascii="Arial" w:hAnsi="Arial" w:cs="Arial"/>
        </w:rPr>
        <w:t xml:space="preserve"> &lt; .001, ** </w:t>
      </w:r>
      <w:r w:rsidRPr="00C02A73">
        <w:rPr>
          <w:rFonts w:ascii="Arial" w:hAnsi="Arial" w:cs="Arial"/>
          <w:i/>
        </w:rPr>
        <w:t>p</w:t>
      </w:r>
      <w:r w:rsidRPr="00C02A73">
        <w:rPr>
          <w:rFonts w:ascii="Arial" w:hAnsi="Arial" w:cs="Arial"/>
        </w:rPr>
        <w:t xml:space="preserve"> &lt; .01, * </w:t>
      </w:r>
      <w:r w:rsidRPr="00C02A73">
        <w:rPr>
          <w:rFonts w:ascii="Arial" w:hAnsi="Arial" w:cs="Arial"/>
          <w:i/>
        </w:rPr>
        <w:t>p</w:t>
      </w:r>
      <w:r w:rsidRPr="00C02A73">
        <w:rPr>
          <w:rFonts w:ascii="Arial" w:hAnsi="Arial" w:cs="Arial"/>
        </w:rPr>
        <w:t xml:space="preserve"> &lt; .05</w:t>
      </w:r>
    </w:p>
    <w:tbl>
      <w:tblPr>
        <w:tblStyle w:val="TableGrid"/>
        <w:tblpPr w:leftFromText="180" w:rightFromText="180" w:vertAnchor="text" w:horzAnchor="margin" w:tblpY="59"/>
        <w:tblW w:w="8755" w:type="dxa"/>
        <w:tblBorders>
          <w:left w:val="none" w:sz="0" w:space="0" w:color="auto"/>
          <w:right w:val="none" w:sz="0" w:space="0" w:color="auto"/>
          <w:insideV w:val="none" w:sz="0" w:space="0" w:color="auto"/>
        </w:tblBorders>
        <w:tblLook w:val="04A0" w:firstRow="1" w:lastRow="0" w:firstColumn="1" w:lastColumn="0" w:noHBand="0" w:noVBand="1"/>
      </w:tblPr>
      <w:tblGrid>
        <w:gridCol w:w="924"/>
        <w:gridCol w:w="1311"/>
        <w:gridCol w:w="1275"/>
        <w:gridCol w:w="1418"/>
        <w:gridCol w:w="1417"/>
        <w:gridCol w:w="1276"/>
        <w:gridCol w:w="1134"/>
      </w:tblGrid>
      <w:tr w:rsidR="00E20F67" w:rsidRPr="00C02A73" w:rsidTr="00E20F67">
        <w:trPr>
          <w:trHeight w:val="418"/>
        </w:trPr>
        <w:tc>
          <w:tcPr>
            <w:tcW w:w="924" w:type="dxa"/>
          </w:tcPr>
          <w:p w:rsidR="00E20F67" w:rsidRPr="00C02A73" w:rsidRDefault="00E20F67" w:rsidP="00E20F67">
            <w:pPr>
              <w:rPr>
                <w:rFonts w:ascii="Arial" w:hAnsi="Arial" w:cs="Arial"/>
                <w:b/>
                <w:sz w:val="20"/>
                <w:szCs w:val="20"/>
              </w:rPr>
            </w:pPr>
            <w:r w:rsidRPr="00C02A73">
              <w:rPr>
                <w:rFonts w:ascii="Arial" w:hAnsi="Arial" w:cs="Arial"/>
                <w:b/>
                <w:sz w:val="20"/>
                <w:szCs w:val="20"/>
              </w:rPr>
              <w:t>Serum</w:t>
            </w:r>
          </w:p>
        </w:tc>
        <w:tc>
          <w:tcPr>
            <w:tcW w:w="2586" w:type="dxa"/>
            <w:gridSpan w:val="2"/>
          </w:tcPr>
          <w:p w:rsidR="00E20F67" w:rsidRPr="00C02A73" w:rsidRDefault="00E20F67" w:rsidP="00E20F67">
            <w:pPr>
              <w:jc w:val="center"/>
              <w:rPr>
                <w:rFonts w:ascii="Arial" w:hAnsi="Arial" w:cs="Arial"/>
                <w:b/>
                <w:sz w:val="20"/>
                <w:szCs w:val="20"/>
              </w:rPr>
            </w:pPr>
            <w:r w:rsidRPr="00C02A73">
              <w:rPr>
                <w:rFonts w:ascii="Arial" w:hAnsi="Arial" w:cs="Arial"/>
                <w:b/>
                <w:color w:val="000000"/>
                <w:sz w:val="20"/>
                <w:szCs w:val="20"/>
              </w:rPr>
              <w:t>IgG</w:t>
            </w:r>
          </w:p>
        </w:tc>
        <w:tc>
          <w:tcPr>
            <w:tcW w:w="2835" w:type="dxa"/>
            <w:gridSpan w:val="2"/>
          </w:tcPr>
          <w:p w:rsidR="00E20F67" w:rsidRPr="00C02A73" w:rsidRDefault="00E20F67" w:rsidP="00E20F67">
            <w:pPr>
              <w:jc w:val="center"/>
              <w:rPr>
                <w:rFonts w:ascii="Arial" w:hAnsi="Arial" w:cs="Arial"/>
                <w:b/>
                <w:sz w:val="20"/>
                <w:szCs w:val="20"/>
              </w:rPr>
            </w:pPr>
            <w:r w:rsidRPr="00C02A73">
              <w:rPr>
                <w:rFonts w:ascii="Arial" w:hAnsi="Arial" w:cs="Arial"/>
                <w:b/>
                <w:sz w:val="20"/>
                <w:szCs w:val="20"/>
              </w:rPr>
              <w:t>IgM</w:t>
            </w:r>
          </w:p>
        </w:tc>
        <w:tc>
          <w:tcPr>
            <w:tcW w:w="2410" w:type="dxa"/>
            <w:gridSpan w:val="2"/>
          </w:tcPr>
          <w:p w:rsidR="00E20F67" w:rsidRPr="00C02A73" w:rsidRDefault="00E20F67" w:rsidP="00E20F67">
            <w:pPr>
              <w:jc w:val="center"/>
              <w:rPr>
                <w:rFonts w:ascii="Arial" w:hAnsi="Arial" w:cs="Arial"/>
                <w:b/>
                <w:sz w:val="20"/>
                <w:szCs w:val="20"/>
              </w:rPr>
            </w:pPr>
            <w:r w:rsidRPr="00C02A73">
              <w:rPr>
                <w:rFonts w:ascii="Arial" w:hAnsi="Arial" w:cs="Arial"/>
                <w:b/>
                <w:sz w:val="20"/>
                <w:szCs w:val="20"/>
              </w:rPr>
              <w:t>IgA</w:t>
            </w:r>
          </w:p>
        </w:tc>
      </w:tr>
      <w:tr w:rsidR="00E20F67" w:rsidRPr="00C02A73" w:rsidTr="00E20F67">
        <w:trPr>
          <w:trHeight w:val="418"/>
        </w:trPr>
        <w:tc>
          <w:tcPr>
            <w:tcW w:w="924" w:type="dxa"/>
            <w:tcBorders>
              <w:bottom w:val="single" w:sz="4" w:space="0" w:color="000000" w:themeColor="text1"/>
            </w:tcBorders>
          </w:tcPr>
          <w:p w:rsidR="00E20F67" w:rsidRPr="00C02A73" w:rsidRDefault="00E20F67" w:rsidP="00E20F67">
            <w:pPr>
              <w:rPr>
                <w:rFonts w:ascii="Arial" w:hAnsi="Arial" w:cs="Arial"/>
                <w:sz w:val="20"/>
                <w:szCs w:val="20"/>
              </w:rPr>
            </w:pPr>
          </w:p>
        </w:tc>
        <w:tc>
          <w:tcPr>
            <w:tcW w:w="1311" w:type="dxa"/>
            <w:tcBorders>
              <w:bottom w:val="single" w:sz="4" w:space="0" w:color="000000" w:themeColor="text1"/>
            </w:tcBorders>
          </w:tcPr>
          <w:p w:rsidR="00E20F67" w:rsidRPr="00C02A73" w:rsidRDefault="00E20F67" w:rsidP="00E20F67">
            <w:pPr>
              <w:rPr>
                <w:rFonts w:ascii="Arial" w:hAnsi="Arial" w:cs="Arial"/>
                <w:b/>
                <w:color w:val="000000"/>
                <w:sz w:val="20"/>
                <w:szCs w:val="20"/>
              </w:rPr>
            </w:pPr>
            <w:r w:rsidRPr="00C02A73">
              <w:rPr>
                <w:rFonts w:ascii="Arial" w:hAnsi="Arial" w:cs="Arial"/>
                <w:b/>
                <w:color w:val="000000"/>
                <w:sz w:val="20"/>
                <w:szCs w:val="20"/>
              </w:rPr>
              <w:t>Young</w:t>
            </w:r>
          </w:p>
        </w:tc>
        <w:tc>
          <w:tcPr>
            <w:tcW w:w="1275" w:type="dxa"/>
            <w:tcBorders>
              <w:bottom w:val="single" w:sz="4" w:space="0" w:color="000000" w:themeColor="text1"/>
            </w:tcBorders>
          </w:tcPr>
          <w:p w:rsidR="00E20F67" w:rsidRPr="00C02A73" w:rsidRDefault="00E20F67" w:rsidP="00E20F67">
            <w:pPr>
              <w:rPr>
                <w:rFonts w:ascii="Arial" w:hAnsi="Arial" w:cs="Arial"/>
                <w:b/>
                <w:sz w:val="20"/>
                <w:szCs w:val="20"/>
              </w:rPr>
            </w:pPr>
            <w:r w:rsidRPr="00C02A73">
              <w:rPr>
                <w:rFonts w:ascii="Arial" w:hAnsi="Arial" w:cs="Arial"/>
                <w:b/>
                <w:sz w:val="20"/>
                <w:szCs w:val="20"/>
              </w:rPr>
              <w:t>Old</w:t>
            </w:r>
          </w:p>
        </w:tc>
        <w:tc>
          <w:tcPr>
            <w:tcW w:w="1418" w:type="dxa"/>
            <w:tcBorders>
              <w:bottom w:val="single" w:sz="4" w:space="0" w:color="000000" w:themeColor="text1"/>
            </w:tcBorders>
          </w:tcPr>
          <w:p w:rsidR="00E20F67" w:rsidRPr="00C02A73" w:rsidRDefault="00E20F67" w:rsidP="00E20F67">
            <w:pPr>
              <w:rPr>
                <w:rFonts w:ascii="Arial" w:hAnsi="Arial" w:cs="Arial"/>
                <w:b/>
                <w:sz w:val="20"/>
                <w:szCs w:val="20"/>
              </w:rPr>
            </w:pPr>
            <w:r w:rsidRPr="00C02A73">
              <w:rPr>
                <w:rFonts w:ascii="Arial" w:hAnsi="Arial" w:cs="Arial"/>
                <w:b/>
                <w:sz w:val="20"/>
                <w:szCs w:val="20"/>
              </w:rPr>
              <w:t>Young</w:t>
            </w:r>
          </w:p>
        </w:tc>
        <w:tc>
          <w:tcPr>
            <w:tcW w:w="1417" w:type="dxa"/>
            <w:tcBorders>
              <w:bottom w:val="single" w:sz="4" w:space="0" w:color="000000" w:themeColor="text1"/>
            </w:tcBorders>
          </w:tcPr>
          <w:p w:rsidR="00E20F67" w:rsidRPr="00C02A73" w:rsidRDefault="00E20F67" w:rsidP="00E20F67">
            <w:pPr>
              <w:rPr>
                <w:rFonts w:ascii="Arial" w:hAnsi="Arial" w:cs="Arial"/>
                <w:b/>
                <w:sz w:val="20"/>
                <w:szCs w:val="20"/>
              </w:rPr>
            </w:pPr>
            <w:r w:rsidRPr="00C02A73">
              <w:rPr>
                <w:rFonts w:ascii="Arial" w:hAnsi="Arial" w:cs="Arial"/>
                <w:b/>
                <w:sz w:val="20"/>
                <w:szCs w:val="20"/>
              </w:rPr>
              <w:t>Old</w:t>
            </w:r>
          </w:p>
        </w:tc>
        <w:tc>
          <w:tcPr>
            <w:tcW w:w="1276" w:type="dxa"/>
            <w:tcBorders>
              <w:bottom w:val="single" w:sz="4" w:space="0" w:color="000000" w:themeColor="text1"/>
            </w:tcBorders>
          </w:tcPr>
          <w:p w:rsidR="00E20F67" w:rsidRPr="00C02A73" w:rsidRDefault="00E20F67" w:rsidP="00E20F67">
            <w:pPr>
              <w:rPr>
                <w:rFonts w:ascii="Arial" w:hAnsi="Arial" w:cs="Arial"/>
                <w:b/>
                <w:sz w:val="20"/>
                <w:szCs w:val="20"/>
              </w:rPr>
            </w:pPr>
            <w:r w:rsidRPr="00C02A73">
              <w:rPr>
                <w:rFonts w:ascii="Arial" w:hAnsi="Arial" w:cs="Arial"/>
                <w:b/>
                <w:sz w:val="20"/>
                <w:szCs w:val="20"/>
              </w:rPr>
              <w:t>Young</w:t>
            </w:r>
          </w:p>
        </w:tc>
        <w:tc>
          <w:tcPr>
            <w:tcW w:w="1134" w:type="dxa"/>
            <w:tcBorders>
              <w:bottom w:val="single" w:sz="4" w:space="0" w:color="000000" w:themeColor="text1"/>
            </w:tcBorders>
          </w:tcPr>
          <w:p w:rsidR="00E20F67" w:rsidRPr="00C02A73" w:rsidRDefault="00E20F67" w:rsidP="00E20F67">
            <w:pPr>
              <w:rPr>
                <w:rFonts w:ascii="Arial" w:hAnsi="Arial" w:cs="Arial"/>
                <w:b/>
                <w:sz w:val="20"/>
                <w:szCs w:val="20"/>
              </w:rPr>
            </w:pPr>
            <w:r w:rsidRPr="00C02A73">
              <w:rPr>
                <w:rFonts w:ascii="Arial" w:hAnsi="Arial" w:cs="Arial"/>
                <w:b/>
                <w:sz w:val="20"/>
                <w:szCs w:val="20"/>
              </w:rPr>
              <w:t>Old</w:t>
            </w:r>
          </w:p>
        </w:tc>
      </w:tr>
      <w:tr w:rsidR="00E20F67" w:rsidRPr="00C02A73" w:rsidTr="00E20F67">
        <w:trPr>
          <w:trHeight w:val="737"/>
        </w:trPr>
        <w:tc>
          <w:tcPr>
            <w:tcW w:w="924" w:type="dxa"/>
            <w:tcBorders>
              <w:bottom w:val="nil"/>
            </w:tcBorders>
          </w:tcPr>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Pn1</w:t>
            </w:r>
          </w:p>
          <w:p w:rsidR="00E20F67" w:rsidRPr="00C02A73" w:rsidRDefault="00E20F67" w:rsidP="00E20F67">
            <w:pPr>
              <w:spacing w:line="480" w:lineRule="auto"/>
              <w:rPr>
                <w:rFonts w:ascii="Arial" w:hAnsi="Arial" w:cs="Arial"/>
                <w:sz w:val="20"/>
                <w:szCs w:val="20"/>
              </w:rPr>
            </w:pPr>
          </w:p>
        </w:tc>
        <w:tc>
          <w:tcPr>
            <w:tcW w:w="1311" w:type="dxa"/>
            <w:tcBorders>
              <w:bottom w:val="nil"/>
            </w:tcBorders>
          </w:tcPr>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299.34</w:t>
            </w:r>
          </w:p>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(51.59–12953.36)</w:t>
            </w:r>
          </w:p>
        </w:tc>
        <w:tc>
          <w:tcPr>
            <w:tcW w:w="1275" w:type="dxa"/>
            <w:tcBorders>
              <w:bottom w:val="nil"/>
            </w:tcBorders>
          </w:tcPr>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304.38</w:t>
            </w:r>
          </w:p>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(44.16–6412.99)</w:t>
            </w:r>
          </w:p>
        </w:tc>
        <w:tc>
          <w:tcPr>
            <w:tcW w:w="1418" w:type="dxa"/>
            <w:tcBorders>
              <w:bottom w:val="nil"/>
            </w:tcBorders>
          </w:tcPr>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281.23</w:t>
            </w:r>
          </w:p>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(103.03–3415.12)</w:t>
            </w:r>
          </w:p>
        </w:tc>
        <w:tc>
          <w:tcPr>
            <w:tcW w:w="1417" w:type="dxa"/>
            <w:tcBorders>
              <w:bottom w:val="nil"/>
            </w:tcBorders>
          </w:tcPr>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312.33</w:t>
            </w:r>
          </w:p>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(90.01–1013.82)</w:t>
            </w:r>
          </w:p>
        </w:tc>
        <w:tc>
          <w:tcPr>
            <w:tcW w:w="1276" w:type="dxa"/>
            <w:tcBorders>
              <w:bottom w:val="nil"/>
            </w:tcBorders>
          </w:tcPr>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103.59</w:t>
            </w:r>
          </w:p>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(9.45–1237.62)</w:t>
            </w:r>
          </w:p>
        </w:tc>
        <w:tc>
          <w:tcPr>
            <w:tcW w:w="1134" w:type="dxa"/>
            <w:tcBorders>
              <w:bottom w:val="nil"/>
            </w:tcBorders>
          </w:tcPr>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190.42</w:t>
            </w:r>
          </w:p>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(27.29–639.19)</w:t>
            </w:r>
          </w:p>
        </w:tc>
      </w:tr>
      <w:tr w:rsidR="00E20F67" w:rsidRPr="00C02A73" w:rsidTr="00E20F67">
        <w:trPr>
          <w:trHeight w:val="737"/>
        </w:trPr>
        <w:tc>
          <w:tcPr>
            <w:tcW w:w="924" w:type="dxa"/>
            <w:tcBorders>
              <w:top w:val="nil"/>
              <w:bottom w:val="nil"/>
            </w:tcBorders>
          </w:tcPr>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Pn3</w:t>
            </w:r>
          </w:p>
        </w:tc>
        <w:tc>
          <w:tcPr>
            <w:tcW w:w="1311" w:type="dxa"/>
            <w:tcBorders>
              <w:top w:val="nil"/>
              <w:bottom w:val="nil"/>
            </w:tcBorders>
          </w:tcPr>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582.37*</w:t>
            </w:r>
          </w:p>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(19.21–12941.55)</w:t>
            </w:r>
          </w:p>
        </w:tc>
        <w:tc>
          <w:tcPr>
            <w:tcW w:w="1275" w:type="dxa"/>
            <w:tcBorders>
              <w:top w:val="nil"/>
              <w:bottom w:val="nil"/>
            </w:tcBorders>
          </w:tcPr>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152.27</w:t>
            </w:r>
          </w:p>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(32.11–11110.47)</w:t>
            </w:r>
          </w:p>
        </w:tc>
        <w:tc>
          <w:tcPr>
            <w:tcW w:w="1418" w:type="dxa"/>
            <w:tcBorders>
              <w:top w:val="nil"/>
              <w:bottom w:val="nil"/>
            </w:tcBorders>
          </w:tcPr>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632.70</w:t>
            </w:r>
          </w:p>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(68.13–19003.92)</w:t>
            </w:r>
          </w:p>
        </w:tc>
        <w:tc>
          <w:tcPr>
            <w:tcW w:w="1417" w:type="dxa"/>
            <w:tcBorders>
              <w:top w:val="nil"/>
              <w:bottom w:val="nil"/>
            </w:tcBorders>
          </w:tcPr>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389.69</w:t>
            </w:r>
          </w:p>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(55.32–6890.76)</w:t>
            </w:r>
          </w:p>
        </w:tc>
        <w:tc>
          <w:tcPr>
            <w:tcW w:w="1276" w:type="dxa"/>
            <w:tcBorders>
              <w:top w:val="nil"/>
              <w:bottom w:val="nil"/>
            </w:tcBorders>
          </w:tcPr>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845.25*</w:t>
            </w:r>
          </w:p>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(82.87–9692.91)</w:t>
            </w:r>
          </w:p>
        </w:tc>
        <w:tc>
          <w:tcPr>
            <w:tcW w:w="1134" w:type="dxa"/>
            <w:tcBorders>
              <w:top w:val="nil"/>
              <w:bottom w:val="nil"/>
            </w:tcBorders>
          </w:tcPr>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467.82</w:t>
            </w:r>
          </w:p>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(127.38–3803.65)</w:t>
            </w:r>
          </w:p>
        </w:tc>
      </w:tr>
      <w:tr w:rsidR="00E20F67" w:rsidRPr="00C02A73" w:rsidTr="00E20F67">
        <w:trPr>
          <w:trHeight w:val="737"/>
        </w:trPr>
        <w:tc>
          <w:tcPr>
            <w:tcW w:w="924" w:type="dxa"/>
            <w:tcBorders>
              <w:top w:val="nil"/>
              <w:bottom w:val="nil"/>
            </w:tcBorders>
          </w:tcPr>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Pn4</w:t>
            </w:r>
          </w:p>
        </w:tc>
        <w:tc>
          <w:tcPr>
            <w:tcW w:w="1311" w:type="dxa"/>
            <w:tcBorders>
              <w:top w:val="nil"/>
              <w:bottom w:val="nil"/>
            </w:tcBorders>
          </w:tcPr>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195.98</w:t>
            </w:r>
          </w:p>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(48.42–3755.09)</w:t>
            </w:r>
          </w:p>
        </w:tc>
        <w:tc>
          <w:tcPr>
            <w:tcW w:w="1275" w:type="dxa"/>
            <w:tcBorders>
              <w:top w:val="nil"/>
              <w:bottom w:val="nil"/>
            </w:tcBorders>
          </w:tcPr>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277.41</w:t>
            </w:r>
          </w:p>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(25.45–4746.92)</w:t>
            </w:r>
          </w:p>
        </w:tc>
        <w:tc>
          <w:tcPr>
            <w:tcW w:w="1418" w:type="dxa"/>
            <w:tcBorders>
              <w:top w:val="nil"/>
              <w:bottom w:val="nil"/>
            </w:tcBorders>
          </w:tcPr>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337.86</w:t>
            </w:r>
          </w:p>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(99.91–3561.74)</w:t>
            </w:r>
          </w:p>
        </w:tc>
        <w:tc>
          <w:tcPr>
            <w:tcW w:w="1417" w:type="dxa"/>
            <w:tcBorders>
              <w:top w:val="nil"/>
              <w:bottom w:val="nil"/>
            </w:tcBorders>
          </w:tcPr>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333.74</w:t>
            </w:r>
          </w:p>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(70.31–3026.05)</w:t>
            </w:r>
          </w:p>
        </w:tc>
        <w:tc>
          <w:tcPr>
            <w:tcW w:w="1276" w:type="dxa"/>
            <w:tcBorders>
              <w:top w:val="nil"/>
              <w:bottom w:val="nil"/>
            </w:tcBorders>
          </w:tcPr>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138</w:t>
            </w:r>
          </w:p>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(18.66–3052.98)</w:t>
            </w:r>
          </w:p>
        </w:tc>
        <w:tc>
          <w:tcPr>
            <w:tcW w:w="1134" w:type="dxa"/>
            <w:tcBorders>
              <w:top w:val="nil"/>
              <w:bottom w:val="nil"/>
            </w:tcBorders>
          </w:tcPr>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151.64</w:t>
            </w:r>
          </w:p>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(12.68–4338.53)</w:t>
            </w:r>
          </w:p>
        </w:tc>
      </w:tr>
      <w:tr w:rsidR="00E20F67" w:rsidRPr="00C02A73" w:rsidTr="00E20F67">
        <w:trPr>
          <w:trHeight w:val="737"/>
        </w:trPr>
        <w:tc>
          <w:tcPr>
            <w:tcW w:w="924" w:type="dxa"/>
            <w:tcBorders>
              <w:top w:val="nil"/>
              <w:bottom w:val="nil"/>
            </w:tcBorders>
          </w:tcPr>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Pn5</w:t>
            </w:r>
          </w:p>
        </w:tc>
        <w:tc>
          <w:tcPr>
            <w:tcW w:w="1311" w:type="dxa"/>
            <w:tcBorders>
              <w:top w:val="nil"/>
              <w:bottom w:val="nil"/>
            </w:tcBorders>
          </w:tcPr>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951.68</w:t>
            </w:r>
          </w:p>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(159.19–12014.62)</w:t>
            </w:r>
          </w:p>
        </w:tc>
        <w:tc>
          <w:tcPr>
            <w:tcW w:w="1275" w:type="dxa"/>
            <w:tcBorders>
              <w:top w:val="nil"/>
              <w:bottom w:val="nil"/>
            </w:tcBorders>
          </w:tcPr>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1114.98</w:t>
            </w:r>
          </w:p>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(241.43–23670.73)</w:t>
            </w:r>
          </w:p>
        </w:tc>
        <w:tc>
          <w:tcPr>
            <w:tcW w:w="1418" w:type="dxa"/>
            <w:tcBorders>
              <w:top w:val="nil"/>
              <w:bottom w:val="nil"/>
            </w:tcBorders>
          </w:tcPr>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1514.88</w:t>
            </w:r>
          </w:p>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(386.87–5208.61)</w:t>
            </w:r>
          </w:p>
        </w:tc>
        <w:tc>
          <w:tcPr>
            <w:tcW w:w="1417" w:type="dxa"/>
            <w:tcBorders>
              <w:top w:val="nil"/>
              <w:bottom w:val="nil"/>
            </w:tcBorders>
          </w:tcPr>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1102.92</w:t>
            </w:r>
          </w:p>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(263.26–2496.30)</w:t>
            </w:r>
          </w:p>
        </w:tc>
        <w:tc>
          <w:tcPr>
            <w:tcW w:w="1276" w:type="dxa"/>
            <w:tcBorders>
              <w:top w:val="nil"/>
              <w:bottom w:val="nil"/>
            </w:tcBorders>
          </w:tcPr>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80.41</w:t>
            </w:r>
          </w:p>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(10.16–958.48)</w:t>
            </w:r>
          </w:p>
        </w:tc>
        <w:tc>
          <w:tcPr>
            <w:tcW w:w="1134" w:type="dxa"/>
            <w:tcBorders>
              <w:top w:val="nil"/>
              <w:bottom w:val="nil"/>
            </w:tcBorders>
          </w:tcPr>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78.65</w:t>
            </w:r>
          </w:p>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(15.86–871.71)</w:t>
            </w:r>
          </w:p>
        </w:tc>
      </w:tr>
      <w:tr w:rsidR="00E20F67" w:rsidRPr="00C02A73" w:rsidTr="00E20F67">
        <w:trPr>
          <w:trHeight w:val="737"/>
        </w:trPr>
        <w:tc>
          <w:tcPr>
            <w:tcW w:w="924" w:type="dxa"/>
            <w:tcBorders>
              <w:top w:val="nil"/>
              <w:bottom w:val="nil"/>
            </w:tcBorders>
          </w:tcPr>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Pn6B</w:t>
            </w:r>
          </w:p>
        </w:tc>
        <w:tc>
          <w:tcPr>
            <w:tcW w:w="1311" w:type="dxa"/>
            <w:tcBorders>
              <w:top w:val="nil"/>
              <w:bottom w:val="nil"/>
            </w:tcBorders>
          </w:tcPr>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427.51</w:t>
            </w:r>
          </w:p>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(22.76–44249.30)</w:t>
            </w:r>
          </w:p>
        </w:tc>
        <w:tc>
          <w:tcPr>
            <w:tcW w:w="1275" w:type="dxa"/>
            <w:tcBorders>
              <w:top w:val="nil"/>
              <w:bottom w:val="nil"/>
            </w:tcBorders>
          </w:tcPr>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359.68</w:t>
            </w:r>
          </w:p>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(56.06–7109.07)</w:t>
            </w:r>
          </w:p>
        </w:tc>
        <w:tc>
          <w:tcPr>
            <w:tcW w:w="1418" w:type="dxa"/>
            <w:tcBorders>
              <w:top w:val="nil"/>
              <w:bottom w:val="nil"/>
            </w:tcBorders>
          </w:tcPr>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1064.67</w:t>
            </w:r>
          </w:p>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(147.36–7960.65)</w:t>
            </w:r>
          </w:p>
        </w:tc>
        <w:tc>
          <w:tcPr>
            <w:tcW w:w="1417" w:type="dxa"/>
            <w:tcBorders>
              <w:top w:val="nil"/>
              <w:bottom w:val="nil"/>
            </w:tcBorders>
          </w:tcPr>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1142.21</w:t>
            </w:r>
          </w:p>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(171.25–4984.58)</w:t>
            </w:r>
          </w:p>
        </w:tc>
        <w:tc>
          <w:tcPr>
            <w:tcW w:w="1276" w:type="dxa"/>
            <w:tcBorders>
              <w:top w:val="nil"/>
              <w:bottom w:val="nil"/>
            </w:tcBorders>
          </w:tcPr>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77.54</w:t>
            </w:r>
          </w:p>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(12.73–956.44)</w:t>
            </w:r>
          </w:p>
        </w:tc>
        <w:tc>
          <w:tcPr>
            <w:tcW w:w="1134" w:type="dxa"/>
            <w:tcBorders>
              <w:top w:val="nil"/>
              <w:bottom w:val="nil"/>
            </w:tcBorders>
          </w:tcPr>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142.74</w:t>
            </w:r>
          </w:p>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(11.28–781.02)</w:t>
            </w:r>
          </w:p>
        </w:tc>
      </w:tr>
      <w:tr w:rsidR="00E20F67" w:rsidRPr="00C02A73" w:rsidTr="00E20F67">
        <w:trPr>
          <w:trHeight w:val="737"/>
        </w:trPr>
        <w:tc>
          <w:tcPr>
            <w:tcW w:w="924" w:type="dxa"/>
            <w:tcBorders>
              <w:top w:val="nil"/>
              <w:bottom w:val="nil"/>
            </w:tcBorders>
          </w:tcPr>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Pn7F</w:t>
            </w:r>
          </w:p>
        </w:tc>
        <w:tc>
          <w:tcPr>
            <w:tcW w:w="1311" w:type="dxa"/>
            <w:tcBorders>
              <w:top w:val="nil"/>
              <w:bottom w:val="nil"/>
            </w:tcBorders>
          </w:tcPr>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1977.86</w:t>
            </w:r>
          </w:p>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(245.10–13805.05)</w:t>
            </w:r>
          </w:p>
        </w:tc>
        <w:tc>
          <w:tcPr>
            <w:tcW w:w="1275" w:type="dxa"/>
            <w:tcBorders>
              <w:top w:val="nil"/>
              <w:bottom w:val="nil"/>
            </w:tcBorders>
          </w:tcPr>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1419.26</w:t>
            </w:r>
          </w:p>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(166.84–17948.93)</w:t>
            </w:r>
          </w:p>
        </w:tc>
        <w:tc>
          <w:tcPr>
            <w:tcW w:w="1418" w:type="dxa"/>
            <w:tcBorders>
              <w:top w:val="nil"/>
              <w:bottom w:val="nil"/>
            </w:tcBorders>
          </w:tcPr>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771.69</w:t>
            </w:r>
          </w:p>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(186.16–3851.59)</w:t>
            </w:r>
          </w:p>
        </w:tc>
        <w:tc>
          <w:tcPr>
            <w:tcW w:w="1417" w:type="dxa"/>
            <w:tcBorders>
              <w:top w:val="nil"/>
              <w:bottom w:val="nil"/>
            </w:tcBorders>
          </w:tcPr>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481.87</w:t>
            </w:r>
          </w:p>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(133.51–1594.05)</w:t>
            </w:r>
          </w:p>
        </w:tc>
        <w:tc>
          <w:tcPr>
            <w:tcW w:w="1276" w:type="dxa"/>
            <w:tcBorders>
              <w:top w:val="nil"/>
              <w:bottom w:val="nil"/>
            </w:tcBorders>
          </w:tcPr>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123.80</w:t>
            </w:r>
          </w:p>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(21.49–4730.28)</w:t>
            </w:r>
          </w:p>
        </w:tc>
        <w:tc>
          <w:tcPr>
            <w:tcW w:w="1134" w:type="dxa"/>
            <w:tcBorders>
              <w:top w:val="nil"/>
              <w:bottom w:val="nil"/>
            </w:tcBorders>
          </w:tcPr>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146.86</w:t>
            </w:r>
          </w:p>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(17.83–2774.45)</w:t>
            </w:r>
          </w:p>
        </w:tc>
      </w:tr>
      <w:tr w:rsidR="00E20F67" w:rsidRPr="00C02A73" w:rsidTr="00E20F67">
        <w:trPr>
          <w:trHeight w:val="737"/>
        </w:trPr>
        <w:tc>
          <w:tcPr>
            <w:tcW w:w="924" w:type="dxa"/>
            <w:tcBorders>
              <w:top w:val="nil"/>
              <w:bottom w:val="nil"/>
            </w:tcBorders>
          </w:tcPr>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Pn9V</w:t>
            </w:r>
          </w:p>
        </w:tc>
        <w:tc>
          <w:tcPr>
            <w:tcW w:w="1311" w:type="dxa"/>
            <w:tcBorders>
              <w:top w:val="nil"/>
              <w:bottom w:val="nil"/>
            </w:tcBorders>
          </w:tcPr>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853.12</w:t>
            </w:r>
          </w:p>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(58.82–15344.72)</w:t>
            </w:r>
          </w:p>
        </w:tc>
        <w:tc>
          <w:tcPr>
            <w:tcW w:w="1275" w:type="dxa"/>
            <w:tcBorders>
              <w:top w:val="nil"/>
              <w:bottom w:val="nil"/>
            </w:tcBorders>
          </w:tcPr>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733.19</w:t>
            </w:r>
          </w:p>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(80.95–7960.02)</w:t>
            </w:r>
          </w:p>
        </w:tc>
        <w:tc>
          <w:tcPr>
            <w:tcW w:w="1418" w:type="dxa"/>
            <w:tcBorders>
              <w:top w:val="nil"/>
              <w:bottom w:val="nil"/>
            </w:tcBorders>
          </w:tcPr>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948.64</w:t>
            </w:r>
          </w:p>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(295.08–3827.59)</w:t>
            </w:r>
          </w:p>
        </w:tc>
        <w:tc>
          <w:tcPr>
            <w:tcW w:w="1417" w:type="dxa"/>
            <w:tcBorders>
              <w:top w:val="nil"/>
              <w:bottom w:val="nil"/>
            </w:tcBorders>
          </w:tcPr>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894.71</w:t>
            </w:r>
          </w:p>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(144.18–2478.06)</w:t>
            </w:r>
          </w:p>
        </w:tc>
        <w:tc>
          <w:tcPr>
            <w:tcW w:w="1276" w:type="dxa"/>
            <w:tcBorders>
              <w:top w:val="nil"/>
              <w:bottom w:val="nil"/>
            </w:tcBorders>
          </w:tcPr>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176.84</w:t>
            </w:r>
          </w:p>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(15.20–2590.03)</w:t>
            </w:r>
          </w:p>
        </w:tc>
        <w:tc>
          <w:tcPr>
            <w:tcW w:w="1134" w:type="dxa"/>
            <w:tcBorders>
              <w:top w:val="nil"/>
              <w:bottom w:val="nil"/>
            </w:tcBorders>
          </w:tcPr>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116.74</w:t>
            </w:r>
          </w:p>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(21.61–1660.22)</w:t>
            </w:r>
          </w:p>
        </w:tc>
      </w:tr>
      <w:tr w:rsidR="00E20F67" w:rsidRPr="00C02A73" w:rsidTr="00E20F67">
        <w:trPr>
          <w:trHeight w:val="737"/>
        </w:trPr>
        <w:tc>
          <w:tcPr>
            <w:tcW w:w="924" w:type="dxa"/>
            <w:tcBorders>
              <w:top w:val="nil"/>
              <w:bottom w:val="nil"/>
            </w:tcBorders>
          </w:tcPr>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Pn14</w:t>
            </w:r>
          </w:p>
        </w:tc>
        <w:tc>
          <w:tcPr>
            <w:tcW w:w="1311" w:type="dxa"/>
            <w:tcBorders>
              <w:top w:val="nil"/>
              <w:bottom w:val="nil"/>
            </w:tcBorders>
          </w:tcPr>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1068.38</w:t>
            </w:r>
          </w:p>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(31.39–25671.59)</w:t>
            </w:r>
          </w:p>
        </w:tc>
        <w:tc>
          <w:tcPr>
            <w:tcW w:w="1275" w:type="dxa"/>
            <w:tcBorders>
              <w:top w:val="nil"/>
              <w:bottom w:val="nil"/>
            </w:tcBorders>
          </w:tcPr>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1112.29</w:t>
            </w:r>
          </w:p>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(102.98–16161.97)</w:t>
            </w:r>
          </w:p>
        </w:tc>
        <w:tc>
          <w:tcPr>
            <w:tcW w:w="1418" w:type="dxa"/>
            <w:tcBorders>
              <w:top w:val="nil"/>
              <w:bottom w:val="nil"/>
            </w:tcBorders>
          </w:tcPr>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490.06*</w:t>
            </w:r>
          </w:p>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(86.09–4013.94)</w:t>
            </w:r>
          </w:p>
        </w:tc>
        <w:tc>
          <w:tcPr>
            <w:tcW w:w="1417" w:type="dxa"/>
            <w:tcBorders>
              <w:top w:val="nil"/>
              <w:bottom w:val="nil"/>
            </w:tcBorders>
          </w:tcPr>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230.83</w:t>
            </w:r>
          </w:p>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(36.80–3278.58)</w:t>
            </w:r>
          </w:p>
        </w:tc>
        <w:tc>
          <w:tcPr>
            <w:tcW w:w="1276" w:type="dxa"/>
            <w:tcBorders>
              <w:top w:val="nil"/>
              <w:bottom w:val="nil"/>
            </w:tcBorders>
          </w:tcPr>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112.92</w:t>
            </w:r>
          </w:p>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(22.71–3742.41)</w:t>
            </w:r>
          </w:p>
        </w:tc>
        <w:tc>
          <w:tcPr>
            <w:tcW w:w="1134" w:type="dxa"/>
            <w:tcBorders>
              <w:top w:val="nil"/>
              <w:bottom w:val="nil"/>
            </w:tcBorders>
          </w:tcPr>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140.20</w:t>
            </w:r>
          </w:p>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(40.44–2340.90)</w:t>
            </w:r>
          </w:p>
        </w:tc>
      </w:tr>
      <w:tr w:rsidR="00E20F67" w:rsidRPr="00C02A73" w:rsidTr="00E20F67">
        <w:trPr>
          <w:trHeight w:val="737"/>
        </w:trPr>
        <w:tc>
          <w:tcPr>
            <w:tcW w:w="924" w:type="dxa"/>
            <w:tcBorders>
              <w:top w:val="nil"/>
              <w:bottom w:val="nil"/>
            </w:tcBorders>
          </w:tcPr>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lastRenderedPageBreak/>
              <w:t>Pn18C</w:t>
            </w:r>
          </w:p>
        </w:tc>
        <w:tc>
          <w:tcPr>
            <w:tcW w:w="1311" w:type="dxa"/>
            <w:tcBorders>
              <w:top w:val="nil"/>
              <w:bottom w:val="nil"/>
            </w:tcBorders>
          </w:tcPr>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755.57</w:t>
            </w:r>
          </w:p>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(97.04–13749.16)</w:t>
            </w:r>
          </w:p>
        </w:tc>
        <w:tc>
          <w:tcPr>
            <w:tcW w:w="1275" w:type="dxa"/>
            <w:tcBorders>
              <w:top w:val="nil"/>
              <w:bottom w:val="nil"/>
            </w:tcBorders>
          </w:tcPr>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1907.03</w:t>
            </w:r>
          </w:p>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(37.95–13928.89)</w:t>
            </w:r>
          </w:p>
        </w:tc>
        <w:tc>
          <w:tcPr>
            <w:tcW w:w="1418" w:type="dxa"/>
            <w:tcBorders>
              <w:top w:val="nil"/>
              <w:bottom w:val="nil"/>
            </w:tcBorders>
          </w:tcPr>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367.58</w:t>
            </w:r>
          </w:p>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(95.95–2818.18)</w:t>
            </w:r>
          </w:p>
        </w:tc>
        <w:tc>
          <w:tcPr>
            <w:tcW w:w="1417" w:type="dxa"/>
            <w:tcBorders>
              <w:top w:val="nil"/>
              <w:bottom w:val="nil"/>
            </w:tcBorders>
          </w:tcPr>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374.23</w:t>
            </w:r>
          </w:p>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(69.83–2125.18)</w:t>
            </w:r>
          </w:p>
        </w:tc>
        <w:tc>
          <w:tcPr>
            <w:tcW w:w="1276" w:type="dxa"/>
            <w:tcBorders>
              <w:top w:val="nil"/>
              <w:bottom w:val="nil"/>
            </w:tcBorders>
          </w:tcPr>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75.71</w:t>
            </w:r>
          </w:p>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(11.79–791.46)</w:t>
            </w:r>
          </w:p>
        </w:tc>
        <w:tc>
          <w:tcPr>
            <w:tcW w:w="1134" w:type="dxa"/>
            <w:tcBorders>
              <w:top w:val="nil"/>
              <w:bottom w:val="nil"/>
            </w:tcBorders>
          </w:tcPr>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68.38</w:t>
            </w:r>
          </w:p>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(14.57–431.15)</w:t>
            </w:r>
          </w:p>
        </w:tc>
      </w:tr>
      <w:tr w:rsidR="00E20F67" w:rsidRPr="00C02A73" w:rsidTr="00E20F67">
        <w:trPr>
          <w:trHeight w:val="737"/>
        </w:trPr>
        <w:tc>
          <w:tcPr>
            <w:tcW w:w="924" w:type="dxa"/>
            <w:tcBorders>
              <w:top w:val="nil"/>
              <w:bottom w:val="nil"/>
            </w:tcBorders>
          </w:tcPr>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Pn19A</w:t>
            </w:r>
          </w:p>
        </w:tc>
        <w:tc>
          <w:tcPr>
            <w:tcW w:w="1311" w:type="dxa"/>
            <w:tcBorders>
              <w:top w:val="nil"/>
              <w:bottom w:val="nil"/>
            </w:tcBorders>
          </w:tcPr>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2253.72</w:t>
            </w:r>
          </w:p>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(551.33–13255.62)</w:t>
            </w:r>
          </w:p>
        </w:tc>
        <w:tc>
          <w:tcPr>
            <w:tcW w:w="1275" w:type="dxa"/>
            <w:tcBorders>
              <w:top w:val="nil"/>
              <w:bottom w:val="nil"/>
            </w:tcBorders>
          </w:tcPr>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1622.64</w:t>
            </w:r>
          </w:p>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(420.69–16304.13)</w:t>
            </w:r>
          </w:p>
        </w:tc>
        <w:tc>
          <w:tcPr>
            <w:tcW w:w="1418" w:type="dxa"/>
            <w:tcBorders>
              <w:top w:val="nil"/>
              <w:bottom w:val="nil"/>
            </w:tcBorders>
          </w:tcPr>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890.01</w:t>
            </w:r>
          </w:p>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(337.35–6160.14)</w:t>
            </w:r>
          </w:p>
        </w:tc>
        <w:tc>
          <w:tcPr>
            <w:tcW w:w="1417" w:type="dxa"/>
            <w:tcBorders>
              <w:top w:val="nil"/>
              <w:bottom w:val="nil"/>
            </w:tcBorders>
          </w:tcPr>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944.32</w:t>
            </w:r>
          </w:p>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(218.02–3224.72)</w:t>
            </w:r>
          </w:p>
        </w:tc>
        <w:tc>
          <w:tcPr>
            <w:tcW w:w="1276" w:type="dxa"/>
            <w:tcBorders>
              <w:top w:val="nil"/>
              <w:bottom w:val="nil"/>
            </w:tcBorders>
          </w:tcPr>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446.13</w:t>
            </w:r>
          </w:p>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(189.63–3014.70)</w:t>
            </w:r>
          </w:p>
        </w:tc>
        <w:tc>
          <w:tcPr>
            <w:tcW w:w="1134" w:type="dxa"/>
            <w:tcBorders>
              <w:top w:val="nil"/>
              <w:bottom w:val="nil"/>
            </w:tcBorders>
          </w:tcPr>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382.79</w:t>
            </w:r>
          </w:p>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(155.38–8635.27)</w:t>
            </w:r>
          </w:p>
        </w:tc>
      </w:tr>
      <w:tr w:rsidR="00E20F67" w:rsidRPr="00C02A73" w:rsidTr="00E20F67">
        <w:trPr>
          <w:trHeight w:val="737"/>
        </w:trPr>
        <w:tc>
          <w:tcPr>
            <w:tcW w:w="924" w:type="dxa"/>
            <w:tcBorders>
              <w:top w:val="nil"/>
              <w:bottom w:val="nil"/>
            </w:tcBorders>
          </w:tcPr>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Pn19F</w:t>
            </w:r>
          </w:p>
        </w:tc>
        <w:tc>
          <w:tcPr>
            <w:tcW w:w="1311" w:type="dxa"/>
            <w:tcBorders>
              <w:top w:val="nil"/>
              <w:bottom w:val="nil"/>
            </w:tcBorders>
          </w:tcPr>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2363.60*</w:t>
            </w:r>
          </w:p>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(595.28–25555.95)</w:t>
            </w:r>
          </w:p>
        </w:tc>
        <w:tc>
          <w:tcPr>
            <w:tcW w:w="1275" w:type="dxa"/>
            <w:tcBorders>
              <w:top w:val="nil"/>
              <w:bottom w:val="nil"/>
            </w:tcBorders>
          </w:tcPr>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1303.83</w:t>
            </w:r>
          </w:p>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(247.98–8035.79)</w:t>
            </w:r>
          </w:p>
        </w:tc>
        <w:tc>
          <w:tcPr>
            <w:tcW w:w="1418" w:type="dxa"/>
            <w:tcBorders>
              <w:top w:val="nil"/>
              <w:bottom w:val="nil"/>
            </w:tcBorders>
          </w:tcPr>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2724.66</w:t>
            </w:r>
          </w:p>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(669.59–13556.70)</w:t>
            </w:r>
          </w:p>
        </w:tc>
        <w:tc>
          <w:tcPr>
            <w:tcW w:w="1417" w:type="dxa"/>
            <w:tcBorders>
              <w:top w:val="nil"/>
              <w:bottom w:val="nil"/>
            </w:tcBorders>
          </w:tcPr>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2461.9</w:t>
            </w:r>
          </w:p>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(619.23–9363.67)</w:t>
            </w:r>
          </w:p>
        </w:tc>
        <w:tc>
          <w:tcPr>
            <w:tcW w:w="1276" w:type="dxa"/>
            <w:tcBorders>
              <w:top w:val="nil"/>
              <w:bottom w:val="nil"/>
            </w:tcBorders>
          </w:tcPr>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402.05*</w:t>
            </w:r>
          </w:p>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(100.87–2165.90)</w:t>
            </w:r>
          </w:p>
        </w:tc>
        <w:tc>
          <w:tcPr>
            <w:tcW w:w="1134" w:type="dxa"/>
            <w:tcBorders>
              <w:top w:val="nil"/>
              <w:bottom w:val="nil"/>
            </w:tcBorders>
          </w:tcPr>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208.73</w:t>
            </w:r>
          </w:p>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(85.47–617.80)</w:t>
            </w:r>
          </w:p>
        </w:tc>
      </w:tr>
      <w:tr w:rsidR="00E20F67" w:rsidRPr="00C02A73" w:rsidTr="00E20F67">
        <w:trPr>
          <w:trHeight w:val="737"/>
        </w:trPr>
        <w:tc>
          <w:tcPr>
            <w:tcW w:w="924" w:type="dxa"/>
            <w:tcBorders>
              <w:top w:val="nil"/>
              <w:bottom w:val="nil"/>
            </w:tcBorders>
          </w:tcPr>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Pn23F</w:t>
            </w:r>
          </w:p>
        </w:tc>
        <w:tc>
          <w:tcPr>
            <w:tcW w:w="1311" w:type="dxa"/>
            <w:tcBorders>
              <w:top w:val="nil"/>
              <w:bottom w:val="nil"/>
            </w:tcBorders>
          </w:tcPr>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412.85</w:t>
            </w:r>
          </w:p>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(27.48–8927.10)</w:t>
            </w:r>
          </w:p>
        </w:tc>
        <w:tc>
          <w:tcPr>
            <w:tcW w:w="1275" w:type="dxa"/>
            <w:tcBorders>
              <w:top w:val="nil"/>
              <w:bottom w:val="nil"/>
            </w:tcBorders>
          </w:tcPr>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549.87</w:t>
            </w:r>
          </w:p>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(56.30–10487.94)</w:t>
            </w:r>
          </w:p>
        </w:tc>
        <w:tc>
          <w:tcPr>
            <w:tcW w:w="1418" w:type="dxa"/>
            <w:tcBorders>
              <w:top w:val="nil"/>
              <w:bottom w:val="nil"/>
            </w:tcBorders>
          </w:tcPr>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931.82</w:t>
            </w:r>
          </w:p>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(274.73–6977.14)</w:t>
            </w:r>
          </w:p>
        </w:tc>
        <w:tc>
          <w:tcPr>
            <w:tcW w:w="1417" w:type="dxa"/>
            <w:tcBorders>
              <w:top w:val="nil"/>
              <w:bottom w:val="nil"/>
            </w:tcBorders>
          </w:tcPr>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913.75</w:t>
            </w:r>
          </w:p>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(183.05–3617.96)</w:t>
            </w:r>
          </w:p>
        </w:tc>
        <w:tc>
          <w:tcPr>
            <w:tcW w:w="1276" w:type="dxa"/>
            <w:tcBorders>
              <w:top w:val="nil"/>
              <w:bottom w:val="nil"/>
            </w:tcBorders>
          </w:tcPr>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78.39</w:t>
            </w:r>
          </w:p>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(19.50–1125.66)</w:t>
            </w:r>
          </w:p>
        </w:tc>
        <w:tc>
          <w:tcPr>
            <w:tcW w:w="1134" w:type="dxa"/>
            <w:tcBorders>
              <w:top w:val="nil"/>
              <w:bottom w:val="nil"/>
            </w:tcBorders>
          </w:tcPr>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78.15</w:t>
            </w:r>
          </w:p>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(15.37–460.81)</w:t>
            </w:r>
          </w:p>
        </w:tc>
      </w:tr>
      <w:tr w:rsidR="00E20F67" w:rsidRPr="00C02A73" w:rsidTr="00E20F67">
        <w:trPr>
          <w:trHeight w:val="737"/>
        </w:trPr>
        <w:tc>
          <w:tcPr>
            <w:tcW w:w="924" w:type="dxa"/>
            <w:tcBorders>
              <w:top w:val="nil"/>
              <w:bottom w:val="nil"/>
            </w:tcBorders>
          </w:tcPr>
          <w:p w:rsidR="00E20F67" w:rsidRPr="00C02A73" w:rsidRDefault="00E20F67" w:rsidP="00E20F67">
            <w:pPr>
              <w:spacing w:line="480" w:lineRule="auto"/>
              <w:rPr>
                <w:rFonts w:ascii="Arial" w:hAnsi="Arial" w:cs="Arial"/>
                <w:sz w:val="20"/>
                <w:szCs w:val="20"/>
              </w:rPr>
            </w:pPr>
            <w:proofErr w:type="spellStart"/>
            <w:r w:rsidRPr="00C02A73">
              <w:rPr>
                <w:rFonts w:ascii="Arial" w:hAnsi="Arial" w:cs="Arial"/>
                <w:sz w:val="20"/>
                <w:szCs w:val="20"/>
              </w:rPr>
              <w:t>MenA</w:t>
            </w:r>
            <w:proofErr w:type="spellEnd"/>
          </w:p>
        </w:tc>
        <w:tc>
          <w:tcPr>
            <w:tcW w:w="1311" w:type="dxa"/>
            <w:tcBorders>
              <w:top w:val="nil"/>
              <w:bottom w:val="nil"/>
            </w:tcBorders>
          </w:tcPr>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2380.68</w:t>
            </w:r>
          </w:p>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(356.64–90154.76)</w:t>
            </w:r>
          </w:p>
        </w:tc>
        <w:tc>
          <w:tcPr>
            <w:tcW w:w="1275" w:type="dxa"/>
            <w:tcBorders>
              <w:top w:val="nil"/>
              <w:bottom w:val="nil"/>
            </w:tcBorders>
          </w:tcPr>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2260.4</w:t>
            </w:r>
          </w:p>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(402.00–16423.32)</w:t>
            </w:r>
          </w:p>
        </w:tc>
        <w:tc>
          <w:tcPr>
            <w:tcW w:w="1418" w:type="dxa"/>
            <w:tcBorders>
              <w:top w:val="nil"/>
              <w:bottom w:val="nil"/>
            </w:tcBorders>
          </w:tcPr>
          <w:p w:rsidR="00E20F67" w:rsidRPr="00C02A73" w:rsidRDefault="00E20F67" w:rsidP="00E20F67">
            <w:pPr>
              <w:spacing w:line="480" w:lineRule="auto"/>
              <w:rPr>
                <w:rFonts w:ascii="Times New Roman" w:hAnsi="Times New Roman" w:cs="Times New Roman"/>
                <w:i/>
                <w:sz w:val="20"/>
                <w:szCs w:val="20"/>
              </w:rPr>
            </w:pPr>
          </w:p>
        </w:tc>
        <w:tc>
          <w:tcPr>
            <w:tcW w:w="1417" w:type="dxa"/>
            <w:tcBorders>
              <w:top w:val="nil"/>
              <w:bottom w:val="nil"/>
            </w:tcBorders>
          </w:tcPr>
          <w:p w:rsidR="00E20F67" w:rsidRPr="00C02A73" w:rsidRDefault="00E20F67" w:rsidP="00E20F67">
            <w:pPr>
              <w:spacing w:line="480" w:lineRule="auto"/>
              <w:rPr>
                <w:rFonts w:ascii="Times New Roman" w:hAnsi="Times New Roman" w:cs="Times New Roman"/>
                <w:i/>
                <w:sz w:val="20"/>
                <w:szCs w:val="20"/>
              </w:rPr>
            </w:pPr>
          </w:p>
        </w:tc>
        <w:tc>
          <w:tcPr>
            <w:tcW w:w="1276" w:type="dxa"/>
            <w:tcBorders>
              <w:top w:val="nil"/>
              <w:bottom w:val="nil"/>
            </w:tcBorders>
          </w:tcPr>
          <w:p w:rsidR="00E20F67" w:rsidRPr="00C02A73" w:rsidRDefault="00E20F67" w:rsidP="00E20F67">
            <w:pPr>
              <w:spacing w:line="480" w:lineRule="auto"/>
              <w:rPr>
                <w:rFonts w:ascii="Times New Roman" w:hAnsi="Times New Roman" w:cs="Times New Roman"/>
                <w:i/>
                <w:sz w:val="20"/>
                <w:szCs w:val="20"/>
              </w:rPr>
            </w:pPr>
          </w:p>
        </w:tc>
        <w:tc>
          <w:tcPr>
            <w:tcW w:w="1134" w:type="dxa"/>
            <w:tcBorders>
              <w:top w:val="nil"/>
              <w:bottom w:val="nil"/>
            </w:tcBorders>
          </w:tcPr>
          <w:p w:rsidR="00E20F67" w:rsidRPr="00C02A73" w:rsidRDefault="00E20F67" w:rsidP="00E20F67">
            <w:pPr>
              <w:spacing w:line="480" w:lineRule="auto"/>
              <w:rPr>
                <w:rFonts w:ascii="Times New Roman" w:hAnsi="Times New Roman" w:cs="Times New Roman"/>
                <w:i/>
                <w:sz w:val="20"/>
                <w:szCs w:val="20"/>
              </w:rPr>
            </w:pPr>
          </w:p>
        </w:tc>
      </w:tr>
      <w:tr w:rsidR="00E20F67" w:rsidRPr="00C02A73" w:rsidTr="00E20F67">
        <w:trPr>
          <w:trHeight w:val="737"/>
        </w:trPr>
        <w:tc>
          <w:tcPr>
            <w:tcW w:w="924" w:type="dxa"/>
            <w:tcBorders>
              <w:top w:val="nil"/>
              <w:bottom w:val="nil"/>
            </w:tcBorders>
          </w:tcPr>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Men C</w:t>
            </w:r>
          </w:p>
        </w:tc>
        <w:tc>
          <w:tcPr>
            <w:tcW w:w="1311" w:type="dxa"/>
            <w:tcBorders>
              <w:top w:val="nil"/>
              <w:bottom w:val="nil"/>
            </w:tcBorders>
          </w:tcPr>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395.56**</w:t>
            </w:r>
          </w:p>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(5.73–9457.28)</w:t>
            </w:r>
          </w:p>
        </w:tc>
        <w:tc>
          <w:tcPr>
            <w:tcW w:w="1275" w:type="dxa"/>
            <w:tcBorders>
              <w:top w:val="nil"/>
              <w:bottom w:val="nil"/>
            </w:tcBorders>
          </w:tcPr>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16.75</w:t>
            </w:r>
          </w:p>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(4.54–479.56)</w:t>
            </w:r>
          </w:p>
        </w:tc>
        <w:tc>
          <w:tcPr>
            <w:tcW w:w="1418" w:type="dxa"/>
            <w:tcBorders>
              <w:top w:val="nil"/>
              <w:bottom w:val="nil"/>
            </w:tcBorders>
          </w:tcPr>
          <w:p w:rsidR="00E20F67" w:rsidRPr="00C02A73" w:rsidRDefault="00E20F67" w:rsidP="00E20F67">
            <w:pPr>
              <w:spacing w:line="480" w:lineRule="auto"/>
              <w:rPr>
                <w:rFonts w:ascii="Times New Roman" w:hAnsi="Times New Roman" w:cs="Times New Roman"/>
                <w:i/>
                <w:sz w:val="20"/>
                <w:szCs w:val="20"/>
              </w:rPr>
            </w:pPr>
          </w:p>
        </w:tc>
        <w:tc>
          <w:tcPr>
            <w:tcW w:w="1417" w:type="dxa"/>
            <w:tcBorders>
              <w:top w:val="nil"/>
              <w:bottom w:val="nil"/>
            </w:tcBorders>
          </w:tcPr>
          <w:p w:rsidR="00E20F67" w:rsidRPr="00C02A73" w:rsidRDefault="00E20F67" w:rsidP="00E20F67">
            <w:pPr>
              <w:spacing w:line="480" w:lineRule="auto"/>
              <w:rPr>
                <w:rFonts w:ascii="Times New Roman" w:hAnsi="Times New Roman" w:cs="Times New Roman"/>
                <w:i/>
                <w:sz w:val="20"/>
                <w:szCs w:val="20"/>
              </w:rPr>
            </w:pPr>
          </w:p>
        </w:tc>
        <w:tc>
          <w:tcPr>
            <w:tcW w:w="1276" w:type="dxa"/>
            <w:tcBorders>
              <w:top w:val="nil"/>
              <w:bottom w:val="nil"/>
            </w:tcBorders>
          </w:tcPr>
          <w:p w:rsidR="00E20F67" w:rsidRPr="00C02A73" w:rsidRDefault="00E20F67" w:rsidP="00E20F67">
            <w:pPr>
              <w:spacing w:line="480" w:lineRule="auto"/>
              <w:rPr>
                <w:rFonts w:ascii="Times New Roman" w:hAnsi="Times New Roman" w:cs="Times New Roman"/>
                <w:i/>
                <w:sz w:val="20"/>
                <w:szCs w:val="20"/>
              </w:rPr>
            </w:pPr>
          </w:p>
        </w:tc>
        <w:tc>
          <w:tcPr>
            <w:tcW w:w="1134" w:type="dxa"/>
            <w:tcBorders>
              <w:top w:val="nil"/>
              <w:bottom w:val="nil"/>
            </w:tcBorders>
          </w:tcPr>
          <w:p w:rsidR="00E20F67" w:rsidRPr="00C02A73" w:rsidRDefault="00E20F67" w:rsidP="00E20F67">
            <w:pPr>
              <w:spacing w:line="480" w:lineRule="auto"/>
              <w:rPr>
                <w:rFonts w:ascii="Times New Roman" w:hAnsi="Times New Roman" w:cs="Times New Roman"/>
                <w:i/>
                <w:sz w:val="20"/>
                <w:szCs w:val="20"/>
              </w:rPr>
            </w:pPr>
          </w:p>
        </w:tc>
      </w:tr>
      <w:tr w:rsidR="00E20F67" w:rsidRPr="00C02A73" w:rsidTr="00E20F67">
        <w:trPr>
          <w:trHeight w:val="737"/>
        </w:trPr>
        <w:tc>
          <w:tcPr>
            <w:tcW w:w="924" w:type="dxa"/>
            <w:tcBorders>
              <w:top w:val="nil"/>
              <w:bottom w:val="nil"/>
            </w:tcBorders>
          </w:tcPr>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Men W-135</w:t>
            </w:r>
          </w:p>
        </w:tc>
        <w:tc>
          <w:tcPr>
            <w:tcW w:w="1311" w:type="dxa"/>
            <w:tcBorders>
              <w:top w:val="nil"/>
              <w:bottom w:val="nil"/>
            </w:tcBorders>
          </w:tcPr>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234.88**</w:t>
            </w:r>
          </w:p>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(41.71–16646.29)</w:t>
            </w:r>
          </w:p>
        </w:tc>
        <w:tc>
          <w:tcPr>
            <w:tcW w:w="1275" w:type="dxa"/>
            <w:tcBorders>
              <w:top w:val="nil"/>
              <w:bottom w:val="nil"/>
            </w:tcBorders>
          </w:tcPr>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99.07</w:t>
            </w:r>
          </w:p>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(22.90–268.29)</w:t>
            </w:r>
          </w:p>
        </w:tc>
        <w:tc>
          <w:tcPr>
            <w:tcW w:w="1418" w:type="dxa"/>
            <w:tcBorders>
              <w:top w:val="nil"/>
              <w:bottom w:val="nil"/>
            </w:tcBorders>
          </w:tcPr>
          <w:p w:rsidR="00E20F67" w:rsidRPr="00C02A73" w:rsidRDefault="00E20F67" w:rsidP="00E20F67">
            <w:pPr>
              <w:spacing w:line="480" w:lineRule="auto"/>
              <w:rPr>
                <w:rFonts w:ascii="Times New Roman" w:hAnsi="Times New Roman" w:cs="Times New Roman"/>
                <w:i/>
                <w:sz w:val="20"/>
                <w:szCs w:val="20"/>
              </w:rPr>
            </w:pPr>
          </w:p>
        </w:tc>
        <w:tc>
          <w:tcPr>
            <w:tcW w:w="1417" w:type="dxa"/>
            <w:tcBorders>
              <w:top w:val="nil"/>
              <w:bottom w:val="nil"/>
            </w:tcBorders>
          </w:tcPr>
          <w:p w:rsidR="00E20F67" w:rsidRPr="00C02A73" w:rsidRDefault="00E20F67" w:rsidP="00E20F67">
            <w:pPr>
              <w:spacing w:line="480" w:lineRule="auto"/>
              <w:rPr>
                <w:rFonts w:ascii="Times New Roman" w:hAnsi="Times New Roman" w:cs="Times New Roman"/>
                <w:i/>
                <w:sz w:val="20"/>
                <w:szCs w:val="20"/>
              </w:rPr>
            </w:pPr>
          </w:p>
        </w:tc>
        <w:tc>
          <w:tcPr>
            <w:tcW w:w="1276" w:type="dxa"/>
            <w:tcBorders>
              <w:top w:val="nil"/>
              <w:bottom w:val="nil"/>
            </w:tcBorders>
          </w:tcPr>
          <w:p w:rsidR="00E20F67" w:rsidRPr="00C02A73" w:rsidRDefault="00E20F67" w:rsidP="00E20F67">
            <w:pPr>
              <w:spacing w:line="480" w:lineRule="auto"/>
              <w:rPr>
                <w:rFonts w:ascii="Times New Roman" w:hAnsi="Times New Roman" w:cs="Times New Roman"/>
                <w:i/>
                <w:sz w:val="20"/>
                <w:szCs w:val="20"/>
              </w:rPr>
            </w:pPr>
          </w:p>
        </w:tc>
        <w:tc>
          <w:tcPr>
            <w:tcW w:w="1134" w:type="dxa"/>
            <w:tcBorders>
              <w:top w:val="nil"/>
              <w:bottom w:val="nil"/>
            </w:tcBorders>
          </w:tcPr>
          <w:p w:rsidR="00E20F67" w:rsidRPr="00C02A73" w:rsidRDefault="00E20F67" w:rsidP="00E20F67">
            <w:pPr>
              <w:spacing w:line="480" w:lineRule="auto"/>
              <w:rPr>
                <w:rFonts w:ascii="Times New Roman" w:hAnsi="Times New Roman" w:cs="Times New Roman"/>
                <w:i/>
                <w:sz w:val="20"/>
                <w:szCs w:val="20"/>
              </w:rPr>
            </w:pPr>
          </w:p>
        </w:tc>
      </w:tr>
      <w:tr w:rsidR="00E20F67" w:rsidRPr="00C02A73" w:rsidTr="00E20F67">
        <w:trPr>
          <w:trHeight w:val="737"/>
        </w:trPr>
        <w:tc>
          <w:tcPr>
            <w:tcW w:w="924" w:type="dxa"/>
            <w:tcBorders>
              <w:top w:val="nil"/>
              <w:bottom w:val="nil"/>
            </w:tcBorders>
          </w:tcPr>
          <w:p w:rsidR="00E20F67" w:rsidRPr="00C02A73" w:rsidRDefault="00E20F67" w:rsidP="00E20F67">
            <w:pPr>
              <w:spacing w:line="480" w:lineRule="auto"/>
              <w:rPr>
                <w:rFonts w:ascii="Arial" w:hAnsi="Arial" w:cs="Arial"/>
                <w:sz w:val="20"/>
                <w:szCs w:val="20"/>
              </w:rPr>
            </w:pPr>
            <w:proofErr w:type="spellStart"/>
            <w:r w:rsidRPr="00C02A73">
              <w:rPr>
                <w:rFonts w:ascii="Arial" w:hAnsi="Arial" w:cs="Arial"/>
                <w:sz w:val="20"/>
                <w:szCs w:val="20"/>
              </w:rPr>
              <w:t>MenY</w:t>
            </w:r>
            <w:proofErr w:type="spellEnd"/>
            <w:r w:rsidRPr="00C02A73">
              <w:rPr>
                <w:rFonts w:ascii="Arial" w:hAnsi="Arial" w:cs="Arial"/>
                <w:sz w:val="20"/>
                <w:szCs w:val="20"/>
              </w:rPr>
              <w:t xml:space="preserve"> </w:t>
            </w:r>
          </w:p>
        </w:tc>
        <w:tc>
          <w:tcPr>
            <w:tcW w:w="1311" w:type="dxa"/>
            <w:tcBorders>
              <w:top w:val="nil"/>
              <w:bottom w:val="nil"/>
            </w:tcBorders>
          </w:tcPr>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814.21**</w:t>
            </w:r>
          </w:p>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(117.85–23934.41)</w:t>
            </w:r>
          </w:p>
        </w:tc>
        <w:tc>
          <w:tcPr>
            <w:tcW w:w="1275" w:type="dxa"/>
            <w:tcBorders>
              <w:top w:val="nil"/>
              <w:bottom w:val="nil"/>
            </w:tcBorders>
          </w:tcPr>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354.03</w:t>
            </w:r>
          </w:p>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(95.19–4942.57)</w:t>
            </w:r>
          </w:p>
        </w:tc>
        <w:tc>
          <w:tcPr>
            <w:tcW w:w="1418" w:type="dxa"/>
            <w:tcBorders>
              <w:top w:val="nil"/>
              <w:bottom w:val="nil"/>
            </w:tcBorders>
          </w:tcPr>
          <w:p w:rsidR="00E20F67" w:rsidRPr="00C02A73" w:rsidRDefault="00E20F67" w:rsidP="00E20F67">
            <w:pPr>
              <w:spacing w:line="480" w:lineRule="auto"/>
              <w:rPr>
                <w:rFonts w:ascii="Times New Roman" w:hAnsi="Times New Roman" w:cs="Times New Roman"/>
                <w:i/>
                <w:sz w:val="20"/>
                <w:szCs w:val="20"/>
              </w:rPr>
            </w:pPr>
          </w:p>
        </w:tc>
        <w:tc>
          <w:tcPr>
            <w:tcW w:w="1417" w:type="dxa"/>
            <w:tcBorders>
              <w:top w:val="nil"/>
              <w:bottom w:val="nil"/>
            </w:tcBorders>
          </w:tcPr>
          <w:p w:rsidR="00E20F67" w:rsidRPr="00C02A73" w:rsidRDefault="00E20F67" w:rsidP="00E20F67">
            <w:pPr>
              <w:spacing w:line="480" w:lineRule="auto"/>
              <w:rPr>
                <w:rFonts w:ascii="Times New Roman" w:hAnsi="Times New Roman" w:cs="Times New Roman"/>
                <w:i/>
                <w:sz w:val="20"/>
                <w:szCs w:val="20"/>
              </w:rPr>
            </w:pPr>
          </w:p>
        </w:tc>
        <w:tc>
          <w:tcPr>
            <w:tcW w:w="1276" w:type="dxa"/>
            <w:tcBorders>
              <w:top w:val="nil"/>
              <w:bottom w:val="nil"/>
            </w:tcBorders>
          </w:tcPr>
          <w:p w:rsidR="00E20F67" w:rsidRPr="00C02A73" w:rsidRDefault="00E20F67" w:rsidP="00E20F67">
            <w:pPr>
              <w:spacing w:line="480" w:lineRule="auto"/>
              <w:rPr>
                <w:rFonts w:ascii="Times New Roman" w:hAnsi="Times New Roman" w:cs="Times New Roman"/>
                <w:i/>
                <w:sz w:val="20"/>
                <w:szCs w:val="20"/>
              </w:rPr>
            </w:pPr>
          </w:p>
        </w:tc>
        <w:tc>
          <w:tcPr>
            <w:tcW w:w="1134" w:type="dxa"/>
            <w:tcBorders>
              <w:top w:val="nil"/>
              <w:bottom w:val="nil"/>
            </w:tcBorders>
          </w:tcPr>
          <w:p w:rsidR="00E20F67" w:rsidRPr="00C02A73" w:rsidRDefault="00E20F67" w:rsidP="00E20F67">
            <w:pPr>
              <w:spacing w:line="480" w:lineRule="auto"/>
              <w:rPr>
                <w:rFonts w:ascii="Times New Roman" w:hAnsi="Times New Roman" w:cs="Times New Roman"/>
                <w:i/>
                <w:sz w:val="20"/>
                <w:szCs w:val="20"/>
              </w:rPr>
            </w:pPr>
          </w:p>
        </w:tc>
      </w:tr>
      <w:tr w:rsidR="00E20F67" w:rsidRPr="00C02A73" w:rsidTr="00E20F67">
        <w:trPr>
          <w:trHeight w:val="737"/>
        </w:trPr>
        <w:tc>
          <w:tcPr>
            <w:tcW w:w="924" w:type="dxa"/>
            <w:tcBorders>
              <w:top w:val="nil"/>
              <w:bottom w:val="nil"/>
            </w:tcBorders>
          </w:tcPr>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Tet</w:t>
            </w:r>
          </w:p>
        </w:tc>
        <w:tc>
          <w:tcPr>
            <w:tcW w:w="1311" w:type="dxa"/>
            <w:tcBorders>
              <w:top w:val="nil"/>
              <w:bottom w:val="nil"/>
            </w:tcBorders>
          </w:tcPr>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2004.43</w:t>
            </w:r>
          </w:p>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(272.67–19458.13)</w:t>
            </w:r>
          </w:p>
        </w:tc>
        <w:tc>
          <w:tcPr>
            <w:tcW w:w="1275" w:type="dxa"/>
            <w:tcBorders>
              <w:top w:val="nil"/>
              <w:bottom w:val="nil"/>
            </w:tcBorders>
          </w:tcPr>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1561.42</w:t>
            </w:r>
          </w:p>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(6.05–17722.37)</w:t>
            </w:r>
          </w:p>
        </w:tc>
        <w:tc>
          <w:tcPr>
            <w:tcW w:w="1418" w:type="dxa"/>
            <w:tcBorders>
              <w:top w:val="nil"/>
              <w:bottom w:val="nil"/>
            </w:tcBorders>
          </w:tcPr>
          <w:p w:rsidR="00E20F67" w:rsidRPr="00C02A73" w:rsidRDefault="00E20F67" w:rsidP="00E20F67">
            <w:pPr>
              <w:spacing w:line="480" w:lineRule="auto"/>
              <w:rPr>
                <w:rFonts w:ascii="Times New Roman" w:hAnsi="Times New Roman" w:cs="Times New Roman"/>
                <w:i/>
                <w:sz w:val="20"/>
                <w:szCs w:val="20"/>
              </w:rPr>
            </w:pPr>
          </w:p>
        </w:tc>
        <w:tc>
          <w:tcPr>
            <w:tcW w:w="1417" w:type="dxa"/>
            <w:tcBorders>
              <w:top w:val="nil"/>
              <w:bottom w:val="nil"/>
            </w:tcBorders>
          </w:tcPr>
          <w:p w:rsidR="00E20F67" w:rsidRPr="00C02A73" w:rsidRDefault="00E20F67" w:rsidP="00E20F67">
            <w:pPr>
              <w:spacing w:line="480" w:lineRule="auto"/>
              <w:rPr>
                <w:rFonts w:ascii="Times New Roman" w:hAnsi="Times New Roman" w:cs="Times New Roman"/>
                <w:i/>
                <w:sz w:val="20"/>
                <w:szCs w:val="20"/>
              </w:rPr>
            </w:pPr>
          </w:p>
        </w:tc>
        <w:tc>
          <w:tcPr>
            <w:tcW w:w="1276" w:type="dxa"/>
            <w:tcBorders>
              <w:top w:val="nil"/>
              <w:bottom w:val="nil"/>
            </w:tcBorders>
          </w:tcPr>
          <w:p w:rsidR="00E20F67" w:rsidRPr="00C02A73" w:rsidRDefault="00E20F67" w:rsidP="00E20F67">
            <w:pPr>
              <w:spacing w:line="480" w:lineRule="auto"/>
              <w:rPr>
                <w:rFonts w:ascii="Times New Roman" w:hAnsi="Times New Roman" w:cs="Times New Roman"/>
                <w:i/>
                <w:sz w:val="20"/>
                <w:szCs w:val="20"/>
              </w:rPr>
            </w:pPr>
          </w:p>
        </w:tc>
        <w:tc>
          <w:tcPr>
            <w:tcW w:w="1134" w:type="dxa"/>
            <w:tcBorders>
              <w:top w:val="nil"/>
              <w:bottom w:val="nil"/>
            </w:tcBorders>
          </w:tcPr>
          <w:p w:rsidR="00E20F67" w:rsidRPr="00C02A73" w:rsidRDefault="00E20F67" w:rsidP="00E20F67">
            <w:pPr>
              <w:spacing w:line="480" w:lineRule="auto"/>
              <w:rPr>
                <w:rFonts w:ascii="Times New Roman" w:hAnsi="Times New Roman" w:cs="Times New Roman"/>
                <w:i/>
                <w:sz w:val="20"/>
                <w:szCs w:val="20"/>
              </w:rPr>
            </w:pPr>
          </w:p>
        </w:tc>
      </w:tr>
      <w:tr w:rsidR="00E20F67" w:rsidRPr="00C02A73" w:rsidTr="00E20F67">
        <w:trPr>
          <w:trHeight w:val="737"/>
        </w:trPr>
        <w:tc>
          <w:tcPr>
            <w:tcW w:w="924" w:type="dxa"/>
            <w:tcBorders>
              <w:top w:val="nil"/>
              <w:bottom w:val="nil"/>
            </w:tcBorders>
          </w:tcPr>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Dip</w:t>
            </w:r>
          </w:p>
        </w:tc>
        <w:tc>
          <w:tcPr>
            <w:tcW w:w="1311" w:type="dxa"/>
            <w:tcBorders>
              <w:top w:val="nil"/>
              <w:bottom w:val="nil"/>
            </w:tcBorders>
          </w:tcPr>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158.33*</w:t>
            </w:r>
          </w:p>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(13.41–14067.30)</w:t>
            </w:r>
          </w:p>
        </w:tc>
        <w:tc>
          <w:tcPr>
            <w:tcW w:w="1275" w:type="dxa"/>
            <w:tcBorders>
              <w:top w:val="nil"/>
              <w:bottom w:val="nil"/>
            </w:tcBorders>
          </w:tcPr>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17.19</w:t>
            </w:r>
          </w:p>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(1.11–135.57)</w:t>
            </w:r>
          </w:p>
        </w:tc>
        <w:tc>
          <w:tcPr>
            <w:tcW w:w="1418" w:type="dxa"/>
            <w:tcBorders>
              <w:top w:val="nil"/>
              <w:bottom w:val="nil"/>
            </w:tcBorders>
          </w:tcPr>
          <w:p w:rsidR="00E20F67" w:rsidRPr="00C02A73" w:rsidRDefault="00E20F67" w:rsidP="00E20F67">
            <w:pPr>
              <w:spacing w:line="480" w:lineRule="auto"/>
              <w:rPr>
                <w:rFonts w:ascii="Times New Roman" w:hAnsi="Times New Roman" w:cs="Times New Roman"/>
                <w:i/>
                <w:sz w:val="20"/>
                <w:szCs w:val="20"/>
              </w:rPr>
            </w:pPr>
          </w:p>
        </w:tc>
        <w:tc>
          <w:tcPr>
            <w:tcW w:w="1417" w:type="dxa"/>
            <w:tcBorders>
              <w:top w:val="nil"/>
              <w:bottom w:val="nil"/>
            </w:tcBorders>
          </w:tcPr>
          <w:p w:rsidR="00E20F67" w:rsidRPr="00C02A73" w:rsidRDefault="00E20F67" w:rsidP="00E20F67">
            <w:pPr>
              <w:spacing w:line="480" w:lineRule="auto"/>
              <w:rPr>
                <w:rFonts w:ascii="Times New Roman" w:hAnsi="Times New Roman" w:cs="Times New Roman"/>
                <w:i/>
                <w:sz w:val="20"/>
                <w:szCs w:val="20"/>
              </w:rPr>
            </w:pPr>
          </w:p>
        </w:tc>
        <w:tc>
          <w:tcPr>
            <w:tcW w:w="1276" w:type="dxa"/>
            <w:tcBorders>
              <w:top w:val="nil"/>
              <w:bottom w:val="nil"/>
            </w:tcBorders>
          </w:tcPr>
          <w:p w:rsidR="00E20F67" w:rsidRPr="00C02A73" w:rsidRDefault="00E20F67" w:rsidP="00E20F67">
            <w:pPr>
              <w:spacing w:line="480" w:lineRule="auto"/>
              <w:rPr>
                <w:rFonts w:ascii="Times New Roman" w:hAnsi="Times New Roman" w:cs="Times New Roman"/>
                <w:i/>
                <w:sz w:val="20"/>
                <w:szCs w:val="20"/>
              </w:rPr>
            </w:pPr>
          </w:p>
        </w:tc>
        <w:tc>
          <w:tcPr>
            <w:tcW w:w="1134" w:type="dxa"/>
            <w:tcBorders>
              <w:top w:val="nil"/>
              <w:bottom w:val="nil"/>
            </w:tcBorders>
          </w:tcPr>
          <w:p w:rsidR="00E20F67" w:rsidRPr="00C02A73" w:rsidRDefault="00E20F67" w:rsidP="00E20F67">
            <w:pPr>
              <w:spacing w:line="480" w:lineRule="auto"/>
              <w:rPr>
                <w:rFonts w:ascii="Times New Roman" w:hAnsi="Times New Roman" w:cs="Times New Roman"/>
                <w:i/>
                <w:sz w:val="20"/>
                <w:szCs w:val="20"/>
              </w:rPr>
            </w:pPr>
          </w:p>
        </w:tc>
      </w:tr>
      <w:tr w:rsidR="00E20F67" w:rsidRPr="00C02A73" w:rsidTr="00E20F67">
        <w:trPr>
          <w:trHeight w:val="737"/>
        </w:trPr>
        <w:tc>
          <w:tcPr>
            <w:tcW w:w="924" w:type="dxa"/>
            <w:tcBorders>
              <w:top w:val="nil"/>
            </w:tcBorders>
          </w:tcPr>
          <w:p w:rsidR="00E20F67" w:rsidRPr="00C02A73" w:rsidRDefault="00E20F67" w:rsidP="00E20F67">
            <w:pPr>
              <w:spacing w:line="480" w:lineRule="auto"/>
              <w:rPr>
                <w:rFonts w:ascii="Arial" w:hAnsi="Arial" w:cs="Arial"/>
                <w:sz w:val="20"/>
                <w:szCs w:val="20"/>
              </w:rPr>
            </w:pPr>
            <w:proofErr w:type="spellStart"/>
            <w:r w:rsidRPr="00C02A73">
              <w:rPr>
                <w:rFonts w:ascii="Arial" w:hAnsi="Arial" w:cs="Arial"/>
                <w:sz w:val="20"/>
                <w:szCs w:val="20"/>
              </w:rPr>
              <w:lastRenderedPageBreak/>
              <w:t>Hib</w:t>
            </w:r>
            <w:proofErr w:type="spellEnd"/>
            <w:r w:rsidRPr="00C02A73">
              <w:rPr>
                <w:rFonts w:ascii="Arial" w:hAnsi="Arial" w:cs="Arial"/>
                <w:sz w:val="20"/>
                <w:szCs w:val="20"/>
              </w:rPr>
              <w:t xml:space="preserve"> </w:t>
            </w:r>
          </w:p>
        </w:tc>
        <w:tc>
          <w:tcPr>
            <w:tcW w:w="1311" w:type="dxa"/>
            <w:tcBorders>
              <w:top w:val="nil"/>
            </w:tcBorders>
          </w:tcPr>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569.91*</w:t>
            </w:r>
          </w:p>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(111.64</w:t>
            </w:r>
            <w:r w:rsidRPr="00C02A73">
              <w:rPr>
                <w:sz w:val="20"/>
                <w:szCs w:val="20"/>
              </w:rPr>
              <w:t>–</w:t>
            </w:r>
            <w:r w:rsidRPr="00C02A73">
              <w:rPr>
                <w:rFonts w:ascii="Arial" w:hAnsi="Arial" w:cs="Arial"/>
                <w:sz w:val="20"/>
                <w:szCs w:val="20"/>
              </w:rPr>
              <w:t>3718.87)</w:t>
            </w:r>
          </w:p>
        </w:tc>
        <w:tc>
          <w:tcPr>
            <w:tcW w:w="1275" w:type="dxa"/>
            <w:tcBorders>
              <w:top w:val="nil"/>
            </w:tcBorders>
          </w:tcPr>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171.46</w:t>
            </w:r>
          </w:p>
          <w:p w:rsidR="00E20F67" w:rsidRPr="00C02A73" w:rsidRDefault="00E20F67" w:rsidP="00E20F67">
            <w:pPr>
              <w:spacing w:line="480" w:lineRule="auto"/>
              <w:rPr>
                <w:rFonts w:ascii="Arial" w:hAnsi="Arial" w:cs="Arial"/>
                <w:sz w:val="20"/>
                <w:szCs w:val="20"/>
              </w:rPr>
            </w:pPr>
            <w:r w:rsidRPr="00C02A73">
              <w:rPr>
                <w:rFonts w:ascii="Arial" w:hAnsi="Arial" w:cs="Arial"/>
                <w:sz w:val="20"/>
                <w:szCs w:val="20"/>
              </w:rPr>
              <w:t>(41.89–8759.32)</w:t>
            </w:r>
          </w:p>
        </w:tc>
        <w:tc>
          <w:tcPr>
            <w:tcW w:w="1418" w:type="dxa"/>
            <w:tcBorders>
              <w:top w:val="nil"/>
            </w:tcBorders>
          </w:tcPr>
          <w:p w:rsidR="00E20F67" w:rsidRPr="00C02A73" w:rsidRDefault="00E20F67" w:rsidP="00E20F67">
            <w:pPr>
              <w:spacing w:line="480" w:lineRule="auto"/>
              <w:rPr>
                <w:rFonts w:ascii="Times New Roman" w:hAnsi="Times New Roman" w:cs="Times New Roman"/>
                <w:i/>
                <w:sz w:val="20"/>
                <w:szCs w:val="20"/>
              </w:rPr>
            </w:pPr>
          </w:p>
        </w:tc>
        <w:tc>
          <w:tcPr>
            <w:tcW w:w="1417" w:type="dxa"/>
            <w:tcBorders>
              <w:top w:val="nil"/>
            </w:tcBorders>
          </w:tcPr>
          <w:p w:rsidR="00E20F67" w:rsidRPr="00C02A73" w:rsidRDefault="00E20F67" w:rsidP="00E20F67">
            <w:pPr>
              <w:spacing w:line="480" w:lineRule="auto"/>
              <w:rPr>
                <w:rFonts w:ascii="Times New Roman" w:hAnsi="Times New Roman" w:cs="Times New Roman"/>
                <w:i/>
                <w:sz w:val="20"/>
                <w:szCs w:val="20"/>
              </w:rPr>
            </w:pPr>
          </w:p>
        </w:tc>
        <w:tc>
          <w:tcPr>
            <w:tcW w:w="1276" w:type="dxa"/>
            <w:tcBorders>
              <w:top w:val="nil"/>
            </w:tcBorders>
          </w:tcPr>
          <w:p w:rsidR="00E20F67" w:rsidRPr="00C02A73" w:rsidRDefault="00E20F67" w:rsidP="00E20F67">
            <w:pPr>
              <w:spacing w:line="480" w:lineRule="auto"/>
              <w:rPr>
                <w:rFonts w:ascii="Times New Roman" w:hAnsi="Times New Roman" w:cs="Times New Roman"/>
                <w:i/>
                <w:sz w:val="20"/>
                <w:szCs w:val="20"/>
              </w:rPr>
            </w:pPr>
          </w:p>
        </w:tc>
        <w:tc>
          <w:tcPr>
            <w:tcW w:w="1134" w:type="dxa"/>
            <w:tcBorders>
              <w:top w:val="nil"/>
            </w:tcBorders>
          </w:tcPr>
          <w:p w:rsidR="00E20F67" w:rsidRPr="00C02A73" w:rsidRDefault="00E20F67" w:rsidP="00E20F67">
            <w:pPr>
              <w:spacing w:line="480" w:lineRule="auto"/>
              <w:rPr>
                <w:rFonts w:ascii="Times New Roman" w:hAnsi="Times New Roman" w:cs="Times New Roman"/>
                <w:i/>
                <w:sz w:val="20"/>
                <w:szCs w:val="20"/>
              </w:rPr>
            </w:pPr>
          </w:p>
        </w:tc>
      </w:tr>
    </w:tbl>
    <w:p w:rsidR="00E20F67" w:rsidRPr="00C02A73" w:rsidRDefault="00E20F67" w:rsidP="00E20F67">
      <w:pPr>
        <w:spacing w:line="480" w:lineRule="auto"/>
        <w:rPr>
          <w:rFonts w:ascii="Arial" w:hAnsi="Arial" w:cs="Arial"/>
          <w:sz w:val="20"/>
          <w:szCs w:val="20"/>
        </w:rPr>
      </w:pPr>
    </w:p>
    <w:p w:rsidR="00E20F67" w:rsidRPr="00C02A73" w:rsidRDefault="00E20F67" w:rsidP="00E20F67">
      <w:pPr>
        <w:spacing w:line="480" w:lineRule="auto"/>
        <w:rPr>
          <w:sz w:val="20"/>
          <w:szCs w:val="20"/>
        </w:rPr>
      </w:pPr>
    </w:p>
    <w:p w:rsidR="00E20F67" w:rsidRPr="00C02A73" w:rsidRDefault="00E20F67" w:rsidP="00E20F67"/>
    <w:p w:rsidR="00E20F67" w:rsidRPr="00C02A73" w:rsidRDefault="00E20F67" w:rsidP="00E20F67">
      <w:pPr>
        <w:autoSpaceDE w:val="0"/>
        <w:autoSpaceDN w:val="0"/>
        <w:adjustRightInd w:val="0"/>
        <w:spacing w:after="0" w:line="240" w:lineRule="auto"/>
        <w:rPr>
          <w:rFonts w:ascii="Times New Roman" w:hAnsi="Times New Roman" w:cs="Times New Roman"/>
          <w:sz w:val="24"/>
          <w:szCs w:val="24"/>
        </w:rPr>
      </w:pPr>
    </w:p>
    <w:p w:rsidR="00E20F67" w:rsidRPr="00C02A73" w:rsidRDefault="00E20F67" w:rsidP="00E20F67">
      <w:pPr>
        <w:autoSpaceDE w:val="0"/>
        <w:autoSpaceDN w:val="0"/>
        <w:adjustRightInd w:val="0"/>
        <w:spacing w:after="0" w:line="400" w:lineRule="atLeast"/>
        <w:rPr>
          <w:rFonts w:ascii="Times New Roman" w:hAnsi="Times New Roman" w:cs="Times New Roman"/>
          <w:sz w:val="24"/>
          <w:szCs w:val="24"/>
        </w:rPr>
      </w:pPr>
    </w:p>
    <w:p w:rsidR="00E20F67" w:rsidRPr="00C02A73" w:rsidRDefault="00E20F67" w:rsidP="00E20F67"/>
    <w:p w:rsidR="0063493A" w:rsidRPr="00C02A73" w:rsidRDefault="0063493A" w:rsidP="0063493A">
      <w:pPr>
        <w:spacing w:line="360" w:lineRule="auto"/>
        <w:rPr>
          <w:rFonts w:ascii="Arial" w:hAnsi="Arial" w:cs="Arial"/>
          <w:b/>
        </w:rPr>
      </w:pPr>
    </w:p>
    <w:p w:rsidR="00B079CE" w:rsidRPr="00C02A73" w:rsidRDefault="00B079CE" w:rsidP="0063493A">
      <w:pPr>
        <w:spacing w:line="360" w:lineRule="auto"/>
        <w:rPr>
          <w:rFonts w:ascii="Arial" w:hAnsi="Arial" w:cs="Arial"/>
          <w:b/>
        </w:rPr>
      </w:pPr>
    </w:p>
    <w:p w:rsidR="00B079CE" w:rsidRPr="00C02A73" w:rsidRDefault="00B079CE" w:rsidP="0063493A">
      <w:pPr>
        <w:spacing w:line="360" w:lineRule="auto"/>
        <w:rPr>
          <w:rFonts w:ascii="Arial" w:hAnsi="Arial" w:cs="Arial"/>
          <w:b/>
        </w:rPr>
      </w:pPr>
    </w:p>
    <w:p w:rsidR="00B079CE" w:rsidRPr="00C02A73" w:rsidRDefault="00B079CE" w:rsidP="0063493A">
      <w:pPr>
        <w:spacing w:line="360" w:lineRule="auto"/>
        <w:rPr>
          <w:rFonts w:ascii="Arial" w:hAnsi="Arial" w:cs="Arial"/>
          <w:b/>
        </w:rPr>
      </w:pPr>
    </w:p>
    <w:p w:rsidR="00B079CE" w:rsidRPr="00C02A73" w:rsidRDefault="00B079CE" w:rsidP="0063493A">
      <w:pPr>
        <w:spacing w:line="360" w:lineRule="auto"/>
        <w:rPr>
          <w:rFonts w:ascii="Arial" w:hAnsi="Arial" w:cs="Arial"/>
          <w:b/>
        </w:rPr>
      </w:pPr>
    </w:p>
    <w:p w:rsidR="00B079CE" w:rsidRPr="00C02A73" w:rsidRDefault="00B079CE" w:rsidP="0063493A">
      <w:pPr>
        <w:spacing w:line="360" w:lineRule="auto"/>
        <w:rPr>
          <w:rFonts w:ascii="Arial" w:hAnsi="Arial" w:cs="Arial"/>
          <w:b/>
        </w:rPr>
      </w:pPr>
    </w:p>
    <w:p w:rsidR="00B079CE" w:rsidRPr="00C02A73" w:rsidRDefault="00B079CE" w:rsidP="0063493A">
      <w:pPr>
        <w:spacing w:line="360" w:lineRule="auto"/>
        <w:rPr>
          <w:rFonts w:ascii="Arial" w:hAnsi="Arial" w:cs="Arial"/>
          <w:b/>
        </w:rPr>
      </w:pPr>
    </w:p>
    <w:p w:rsidR="00B079CE" w:rsidRPr="00C02A73" w:rsidRDefault="00B079CE" w:rsidP="0063493A">
      <w:pPr>
        <w:spacing w:line="360" w:lineRule="auto"/>
        <w:rPr>
          <w:rFonts w:ascii="Arial" w:hAnsi="Arial" w:cs="Arial"/>
          <w:b/>
        </w:rPr>
      </w:pPr>
    </w:p>
    <w:p w:rsidR="00B079CE" w:rsidRPr="00C02A73" w:rsidRDefault="00B079CE" w:rsidP="0063493A">
      <w:pPr>
        <w:spacing w:line="360" w:lineRule="auto"/>
        <w:rPr>
          <w:rFonts w:ascii="Arial" w:hAnsi="Arial" w:cs="Arial"/>
          <w:b/>
        </w:rPr>
      </w:pPr>
    </w:p>
    <w:p w:rsidR="00B079CE" w:rsidRPr="00C02A73" w:rsidRDefault="00B079CE" w:rsidP="0063493A">
      <w:pPr>
        <w:spacing w:line="360" w:lineRule="auto"/>
        <w:rPr>
          <w:rFonts w:ascii="Arial" w:hAnsi="Arial" w:cs="Arial"/>
          <w:b/>
        </w:rPr>
      </w:pPr>
    </w:p>
    <w:p w:rsidR="00B079CE" w:rsidRPr="00C02A73" w:rsidRDefault="00B079CE" w:rsidP="0063493A">
      <w:pPr>
        <w:spacing w:line="360" w:lineRule="auto"/>
        <w:rPr>
          <w:rFonts w:ascii="Arial" w:hAnsi="Arial" w:cs="Arial"/>
          <w:b/>
        </w:rPr>
      </w:pPr>
    </w:p>
    <w:p w:rsidR="00B079CE" w:rsidRPr="00C02A73" w:rsidRDefault="00B079CE" w:rsidP="0063493A">
      <w:pPr>
        <w:spacing w:line="360" w:lineRule="auto"/>
        <w:rPr>
          <w:rFonts w:ascii="Arial" w:hAnsi="Arial" w:cs="Arial"/>
          <w:b/>
        </w:rPr>
      </w:pPr>
    </w:p>
    <w:p w:rsidR="00B079CE" w:rsidRPr="00C02A73" w:rsidRDefault="00B079CE" w:rsidP="0063493A">
      <w:pPr>
        <w:spacing w:line="360" w:lineRule="auto"/>
        <w:rPr>
          <w:rFonts w:ascii="Arial" w:hAnsi="Arial" w:cs="Arial"/>
          <w:b/>
        </w:rPr>
      </w:pPr>
    </w:p>
    <w:p w:rsidR="00B079CE" w:rsidRPr="00C02A73" w:rsidRDefault="00B079CE" w:rsidP="0063493A">
      <w:pPr>
        <w:spacing w:line="360" w:lineRule="auto"/>
        <w:rPr>
          <w:rFonts w:ascii="Arial" w:hAnsi="Arial" w:cs="Arial"/>
          <w:b/>
        </w:rPr>
      </w:pPr>
    </w:p>
    <w:p w:rsidR="00B079CE" w:rsidRPr="00C02A73" w:rsidRDefault="00B079CE" w:rsidP="0063493A">
      <w:pPr>
        <w:spacing w:line="360" w:lineRule="auto"/>
        <w:rPr>
          <w:rFonts w:ascii="Arial" w:hAnsi="Arial" w:cs="Arial"/>
          <w:b/>
        </w:rPr>
      </w:pPr>
    </w:p>
    <w:p w:rsidR="00B079CE" w:rsidRPr="00C02A73" w:rsidRDefault="00B079CE" w:rsidP="0063493A">
      <w:pPr>
        <w:spacing w:line="360" w:lineRule="auto"/>
        <w:rPr>
          <w:rFonts w:ascii="Arial" w:hAnsi="Arial" w:cs="Arial"/>
          <w:b/>
        </w:rPr>
      </w:pPr>
    </w:p>
    <w:p w:rsidR="0063493A" w:rsidRPr="00C02A73" w:rsidRDefault="0063493A" w:rsidP="0063493A">
      <w:pPr>
        <w:spacing w:line="360" w:lineRule="auto"/>
        <w:rPr>
          <w:rFonts w:ascii="Arial" w:hAnsi="Arial" w:cs="Arial"/>
          <w:b/>
        </w:rPr>
      </w:pPr>
      <w:r w:rsidRPr="00C02A73">
        <w:rPr>
          <w:rFonts w:ascii="Arial" w:hAnsi="Arial" w:cs="Arial"/>
          <w:b/>
        </w:rPr>
        <w:lastRenderedPageBreak/>
        <w:t xml:space="preserve">Figure legends </w:t>
      </w:r>
    </w:p>
    <w:p w:rsidR="00B079CE" w:rsidRPr="00C02A73" w:rsidRDefault="00B079CE" w:rsidP="0063493A">
      <w:pPr>
        <w:spacing w:line="360" w:lineRule="auto"/>
        <w:rPr>
          <w:rFonts w:ascii="Arial" w:hAnsi="Arial" w:cs="Arial"/>
          <w:b/>
        </w:rPr>
      </w:pPr>
    </w:p>
    <w:p w:rsidR="0063493A" w:rsidRPr="00C02A73" w:rsidRDefault="0063493A" w:rsidP="0063493A">
      <w:pPr>
        <w:spacing w:line="480" w:lineRule="auto"/>
        <w:jc w:val="both"/>
        <w:rPr>
          <w:rFonts w:ascii="Arial" w:hAnsi="Arial" w:cs="Arial"/>
        </w:rPr>
      </w:pPr>
      <w:proofErr w:type="gramStart"/>
      <w:r w:rsidRPr="00C02A73">
        <w:rPr>
          <w:rFonts w:ascii="Arial" w:hAnsi="Arial" w:cs="Arial"/>
          <w:b/>
        </w:rPr>
        <w:t>Figure 1.</w:t>
      </w:r>
      <w:proofErr w:type="gramEnd"/>
      <w:r w:rsidRPr="00C02A73">
        <w:rPr>
          <w:rFonts w:ascii="Arial" w:hAnsi="Arial" w:cs="Arial"/>
        </w:rPr>
        <w:t xml:space="preserve"> Specific IgA (A) IgM (B) and IgG (C) antibody saliva secretion rates for 12 pneumococcal (</w:t>
      </w:r>
      <w:proofErr w:type="spellStart"/>
      <w:r w:rsidRPr="00C02A73">
        <w:rPr>
          <w:rFonts w:ascii="Arial" w:hAnsi="Arial" w:cs="Arial"/>
        </w:rPr>
        <w:t>Pn</w:t>
      </w:r>
      <w:proofErr w:type="spellEnd"/>
      <w:r w:rsidRPr="00C02A73">
        <w:rPr>
          <w:rFonts w:ascii="Arial" w:hAnsi="Arial" w:cs="Arial"/>
        </w:rPr>
        <w:t xml:space="preserve">) antigens in younger and older adults. Boxes represent the 25–75th percentile, with the line indicating the median, and whiskers show the 5–95 percentile.  For the majority of </w:t>
      </w:r>
      <w:proofErr w:type="spellStart"/>
      <w:r w:rsidRPr="00C02A73">
        <w:rPr>
          <w:rFonts w:ascii="Arial" w:hAnsi="Arial" w:cs="Arial"/>
        </w:rPr>
        <w:t>Pn</w:t>
      </w:r>
      <w:proofErr w:type="spellEnd"/>
      <w:r w:rsidRPr="00C02A73">
        <w:rPr>
          <w:rFonts w:ascii="Arial" w:hAnsi="Arial" w:cs="Arial"/>
        </w:rPr>
        <w:t xml:space="preserve"> serotypes, younger adults had higher antibody secretion rates. Significance is indicated by *</w:t>
      </w:r>
      <w:r w:rsidRPr="00C02A73">
        <w:rPr>
          <w:rFonts w:ascii="Arial" w:hAnsi="Arial" w:cs="Arial"/>
          <w:i/>
        </w:rPr>
        <w:t>p</w:t>
      </w:r>
      <w:r w:rsidRPr="00C02A73">
        <w:rPr>
          <w:rFonts w:ascii="Arial" w:hAnsi="Arial" w:cs="Arial"/>
        </w:rPr>
        <w:t xml:space="preserve"> &lt; 0.05; **</w:t>
      </w:r>
      <w:r w:rsidRPr="00C02A73">
        <w:rPr>
          <w:rFonts w:ascii="Arial" w:hAnsi="Arial" w:cs="Arial"/>
          <w:i/>
        </w:rPr>
        <w:t>p</w:t>
      </w:r>
      <w:r w:rsidRPr="00C02A73">
        <w:rPr>
          <w:rFonts w:ascii="Arial" w:hAnsi="Arial" w:cs="Arial"/>
        </w:rPr>
        <w:t xml:space="preserve"> &lt; 0.01, ***</w:t>
      </w:r>
      <w:r w:rsidRPr="00C02A73">
        <w:rPr>
          <w:rFonts w:ascii="Arial" w:hAnsi="Arial" w:cs="Arial"/>
          <w:i/>
        </w:rPr>
        <w:t>p</w:t>
      </w:r>
      <w:r w:rsidRPr="00C02A73">
        <w:rPr>
          <w:rFonts w:ascii="Arial" w:hAnsi="Arial" w:cs="Arial"/>
        </w:rPr>
        <w:t xml:space="preserve"> &lt; 0.001</w:t>
      </w:r>
    </w:p>
    <w:p w:rsidR="00B079CE" w:rsidRPr="00C02A73" w:rsidRDefault="00B079CE" w:rsidP="0063493A">
      <w:pPr>
        <w:spacing w:line="480" w:lineRule="auto"/>
        <w:jc w:val="both"/>
        <w:rPr>
          <w:rFonts w:ascii="Arial" w:hAnsi="Arial" w:cs="Arial"/>
        </w:rPr>
      </w:pPr>
    </w:p>
    <w:p w:rsidR="0063493A" w:rsidRPr="00C02A73" w:rsidRDefault="0063493A" w:rsidP="0063493A">
      <w:pPr>
        <w:spacing w:line="480" w:lineRule="auto"/>
        <w:jc w:val="both"/>
        <w:rPr>
          <w:rFonts w:ascii="Arial" w:hAnsi="Arial" w:cs="Arial"/>
        </w:rPr>
      </w:pPr>
      <w:proofErr w:type="gramStart"/>
      <w:r w:rsidRPr="00C02A73">
        <w:rPr>
          <w:rFonts w:ascii="Arial" w:hAnsi="Arial" w:cs="Arial"/>
          <w:b/>
        </w:rPr>
        <w:t>Figure 2.</w:t>
      </w:r>
      <w:proofErr w:type="gramEnd"/>
      <w:r w:rsidRPr="00C02A73">
        <w:rPr>
          <w:rFonts w:ascii="Arial" w:hAnsi="Arial" w:cs="Arial"/>
        </w:rPr>
        <w:t xml:space="preserve"> Specific IgG antibody saliva secretion rates for meningococcal (A), haemophilus (B) tetanus and diphtheria (C) antigens in younger and older adults. Boxes represent the 25–75th percentile, with the line indicating the median, and whiskers show the 5–95 percentile. Younger adults had significantly higher antibody secretion rates, *</w:t>
      </w:r>
      <w:r w:rsidRPr="00C02A73">
        <w:rPr>
          <w:rFonts w:ascii="Arial" w:hAnsi="Arial" w:cs="Arial"/>
          <w:i/>
        </w:rPr>
        <w:t>p</w:t>
      </w:r>
      <w:r w:rsidRPr="00C02A73">
        <w:rPr>
          <w:rFonts w:ascii="Arial" w:hAnsi="Arial" w:cs="Arial"/>
        </w:rPr>
        <w:t xml:space="preserve"> &lt; 0.05; **</w:t>
      </w:r>
      <w:r w:rsidRPr="00C02A73">
        <w:rPr>
          <w:rFonts w:ascii="Arial" w:hAnsi="Arial" w:cs="Arial"/>
          <w:i/>
        </w:rPr>
        <w:t>p</w:t>
      </w:r>
      <w:r w:rsidRPr="00C02A73">
        <w:rPr>
          <w:rFonts w:ascii="Arial" w:hAnsi="Arial" w:cs="Arial"/>
        </w:rPr>
        <w:t xml:space="preserve"> &lt; 0.01, ***</w:t>
      </w:r>
      <w:r w:rsidRPr="00C02A73">
        <w:rPr>
          <w:rFonts w:ascii="Arial" w:hAnsi="Arial" w:cs="Arial"/>
          <w:i/>
        </w:rPr>
        <w:t>p</w:t>
      </w:r>
      <w:r w:rsidRPr="00C02A73">
        <w:rPr>
          <w:rFonts w:ascii="Arial" w:hAnsi="Arial" w:cs="Arial"/>
        </w:rPr>
        <w:t xml:space="preserve"> &lt; 0.001</w:t>
      </w:r>
    </w:p>
    <w:p w:rsidR="007813D1" w:rsidRPr="00C02A73" w:rsidRDefault="007813D1" w:rsidP="00E20F67">
      <w:pPr>
        <w:spacing w:line="360" w:lineRule="auto"/>
        <w:rPr>
          <w:rFonts w:ascii="Arial" w:hAnsi="Arial" w:cs="Arial"/>
          <w:b/>
        </w:rPr>
      </w:pPr>
    </w:p>
    <w:p w:rsidR="0063493A" w:rsidRPr="00C02A73" w:rsidRDefault="003605B3" w:rsidP="003605B3">
      <w:pPr>
        <w:spacing w:line="480" w:lineRule="auto"/>
        <w:rPr>
          <w:rFonts w:ascii="Arial" w:hAnsi="Arial" w:cs="Arial"/>
        </w:rPr>
      </w:pPr>
      <w:proofErr w:type="gramStart"/>
      <w:r w:rsidRPr="00C02A73">
        <w:rPr>
          <w:rFonts w:ascii="Arial" w:hAnsi="Arial" w:cs="Arial"/>
          <w:b/>
        </w:rPr>
        <w:t>Supplementary Figure 1.</w:t>
      </w:r>
      <w:proofErr w:type="gramEnd"/>
      <w:r w:rsidRPr="00C02A73">
        <w:rPr>
          <w:rFonts w:ascii="Arial" w:hAnsi="Arial" w:cs="Arial"/>
          <w:b/>
        </w:rPr>
        <w:t xml:space="preserve"> </w:t>
      </w:r>
      <w:r w:rsidR="00584FE7" w:rsidRPr="00C02A73">
        <w:rPr>
          <w:rFonts w:ascii="Arial" w:hAnsi="Arial" w:cs="Arial"/>
        </w:rPr>
        <w:t>Assay specificity results for pneumococcal</w:t>
      </w:r>
      <w:r w:rsidR="00E448D6" w:rsidRPr="00C02A73">
        <w:rPr>
          <w:rFonts w:ascii="Arial" w:hAnsi="Arial" w:cs="Arial"/>
        </w:rPr>
        <w:t xml:space="preserve"> antibodies in saliva for IgA, IgM and IgG. A total of 5 saliva samples were tested within the same plate, without manipulation </w:t>
      </w:r>
      <w:r w:rsidR="00A65385" w:rsidRPr="00C02A73">
        <w:rPr>
          <w:rFonts w:ascii="Arial" w:hAnsi="Arial" w:cs="Arial"/>
        </w:rPr>
        <w:t xml:space="preserve">(normal saliva) </w:t>
      </w:r>
      <w:r w:rsidR="002640A9" w:rsidRPr="00C02A73">
        <w:rPr>
          <w:rFonts w:ascii="Arial" w:hAnsi="Arial" w:cs="Arial"/>
        </w:rPr>
        <w:t xml:space="preserve">and following pre-incubation with </w:t>
      </w:r>
      <w:r w:rsidR="00E448D6" w:rsidRPr="00C02A73">
        <w:rPr>
          <w:rFonts w:ascii="Arial" w:hAnsi="Arial" w:cs="Arial"/>
        </w:rPr>
        <w:t>PPV23</w:t>
      </w:r>
      <w:r w:rsidR="00E448D6" w:rsidRPr="00C02A73">
        <w:t xml:space="preserve">, </w:t>
      </w:r>
      <w:r w:rsidR="00E448D6" w:rsidRPr="00C02A73">
        <w:rPr>
          <w:rFonts w:ascii="Arial" w:hAnsi="Arial" w:cs="Arial"/>
        </w:rPr>
        <w:t>which contains all serotypes quantitated i</w:t>
      </w:r>
      <w:r w:rsidR="008F4B22" w:rsidRPr="00C02A73">
        <w:rPr>
          <w:rFonts w:ascii="Arial" w:hAnsi="Arial" w:cs="Arial"/>
        </w:rPr>
        <w:t>n the multi-</w:t>
      </w:r>
      <w:proofErr w:type="spellStart"/>
      <w:r w:rsidR="008F4B22" w:rsidRPr="00C02A73">
        <w:rPr>
          <w:rFonts w:ascii="Arial" w:hAnsi="Arial" w:cs="Arial"/>
        </w:rPr>
        <w:t>plex</w:t>
      </w:r>
      <w:proofErr w:type="spellEnd"/>
      <w:r w:rsidR="008F4B22" w:rsidRPr="00C02A73">
        <w:rPr>
          <w:rFonts w:ascii="Arial" w:hAnsi="Arial" w:cs="Arial"/>
        </w:rPr>
        <w:t xml:space="preserve"> </w:t>
      </w:r>
      <w:proofErr w:type="spellStart"/>
      <w:r w:rsidR="008F4B22" w:rsidRPr="00C02A73">
        <w:rPr>
          <w:rFonts w:ascii="Arial" w:hAnsi="Arial" w:cs="Arial"/>
        </w:rPr>
        <w:t>Luminex</w:t>
      </w:r>
      <w:proofErr w:type="spellEnd"/>
      <w:r w:rsidR="008F4B22" w:rsidRPr="00C02A73">
        <w:rPr>
          <w:rFonts w:ascii="Arial" w:hAnsi="Arial" w:cs="Arial"/>
        </w:rPr>
        <w:t xml:space="preserve"> assay. </w:t>
      </w:r>
      <w:r w:rsidR="00E448D6" w:rsidRPr="00C02A73">
        <w:rPr>
          <w:rFonts w:ascii="Arial" w:hAnsi="Arial" w:cs="Arial"/>
        </w:rPr>
        <w:t>Figures illustrate the</w:t>
      </w:r>
      <w:r w:rsidR="00A65385" w:rsidRPr="00C02A73">
        <w:rPr>
          <w:rFonts w:ascii="Arial" w:hAnsi="Arial" w:cs="Arial"/>
        </w:rPr>
        <w:t xml:space="preserve"> effects of </w:t>
      </w:r>
      <w:r w:rsidR="002640A9" w:rsidRPr="00C02A73">
        <w:rPr>
          <w:rFonts w:ascii="Arial" w:hAnsi="Arial" w:cs="Arial"/>
        </w:rPr>
        <w:t xml:space="preserve">pre-incubation </w:t>
      </w:r>
      <w:r w:rsidR="00A65385" w:rsidRPr="00C02A73">
        <w:rPr>
          <w:rFonts w:ascii="Arial" w:hAnsi="Arial" w:cs="Arial"/>
        </w:rPr>
        <w:t xml:space="preserve">with PPV23 on </w:t>
      </w:r>
      <w:r w:rsidR="00E448D6" w:rsidRPr="00C02A73">
        <w:rPr>
          <w:rFonts w:ascii="Arial" w:hAnsi="Arial" w:cs="Arial"/>
        </w:rPr>
        <w:t xml:space="preserve">median florescent intensity </w:t>
      </w:r>
      <w:r w:rsidR="00C5616D" w:rsidRPr="00C02A73">
        <w:rPr>
          <w:rFonts w:ascii="Arial" w:hAnsi="Arial" w:cs="Arial"/>
        </w:rPr>
        <w:t xml:space="preserve">(MFI), averaged across </w:t>
      </w:r>
      <w:r w:rsidR="00E448D6" w:rsidRPr="00C02A73">
        <w:rPr>
          <w:rFonts w:ascii="Arial" w:hAnsi="Arial" w:cs="Arial"/>
        </w:rPr>
        <w:t xml:space="preserve">samples, </w:t>
      </w:r>
      <w:r w:rsidR="008F4B22" w:rsidRPr="00C02A73">
        <w:rPr>
          <w:rFonts w:ascii="Arial" w:hAnsi="Arial" w:cs="Arial"/>
        </w:rPr>
        <w:t xml:space="preserve">for each specific antibody. </w:t>
      </w:r>
      <w:r w:rsidR="00C753CB" w:rsidRPr="00C02A73">
        <w:rPr>
          <w:rFonts w:ascii="Arial" w:hAnsi="Arial" w:cs="Arial"/>
        </w:rPr>
        <w:t xml:space="preserve">Following absorption with antigen, IgA serotypes MFI’s were reduced to a mean level of 16% (range, 6–43%) of the unabsorbed level. All serotypes were reduced to &lt; 20% of the unabsorbed level, with the exception of Pn7F, Pn14 and Pn19A. IgM serotypes MFI’s were reduced to a mean level of 13% (range, 5–28%) of the unabsorbed level following incubation.  All serotypes were reduced to &lt; 20% of the unabsorbed </w:t>
      </w:r>
      <w:proofErr w:type="gramStart"/>
      <w:r w:rsidR="00C753CB" w:rsidRPr="00C02A73">
        <w:rPr>
          <w:rFonts w:ascii="Arial" w:hAnsi="Arial" w:cs="Arial"/>
        </w:rPr>
        <w:t>level,</w:t>
      </w:r>
      <w:proofErr w:type="gramEnd"/>
      <w:r w:rsidR="00C753CB" w:rsidRPr="00C02A73">
        <w:rPr>
          <w:rFonts w:ascii="Arial" w:hAnsi="Arial" w:cs="Arial"/>
        </w:rPr>
        <w:t xml:space="preserve"> with the exception of Pn7F and Pn14. IgG serotypes MFI’s were reduced to a mean level of 40% (range, 2</w:t>
      </w:r>
      <w:r w:rsidR="00A11F95" w:rsidRPr="00C02A73">
        <w:rPr>
          <w:rFonts w:ascii="Arial" w:hAnsi="Arial" w:cs="Arial"/>
        </w:rPr>
        <w:t xml:space="preserve">0–72%) of the unabsorbed level. </w:t>
      </w:r>
    </w:p>
    <w:p w:rsidR="00DB11DF" w:rsidRPr="003605B3" w:rsidRDefault="00FD6422" w:rsidP="003605B3">
      <w:pPr>
        <w:spacing w:line="480" w:lineRule="auto"/>
        <w:rPr>
          <w:rFonts w:ascii="Arial" w:hAnsi="Arial" w:cs="Arial"/>
        </w:rPr>
      </w:pPr>
      <w:proofErr w:type="gramStart"/>
      <w:r w:rsidRPr="00C02A73">
        <w:rPr>
          <w:rFonts w:ascii="Arial" w:hAnsi="Arial" w:cs="Arial"/>
          <w:b/>
        </w:rPr>
        <w:lastRenderedPageBreak/>
        <w:t>Supplementary Figure 2.</w:t>
      </w:r>
      <w:proofErr w:type="gramEnd"/>
      <w:r w:rsidRPr="00C02A73">
        <w:rPr>
          <w:rFonts w:ascii="Arial" w:hAnsi="Arial" w:cs="Arial"/>
          <w:b/>
        </w:rPr>
        <w:t xml:space="preserve"> </w:t>
      </w:r>
      <w:r w:rsidRPr="00C02A73">
        <w:rPr>
          <w:rFonts w:ascii="Arial" w:hAnsi="Arial" w:cs="Arial"/>
        </w:rPr>
        <w:t>Assay linearity results for pneumococcal antibodies</w:t>
      </w:r>
      <w:r w:rsidR="00E448D6" w:rsidRPr="00C02A73">
        <w:rPr>
          <w:rFonts w:ascii="Arial" w:hAnsi="Arial" w:cs="Arial"/>
        </w:rPr>
        <w:t xml:space="preserve"> in saliva</w:t>
      </w:r>
      <w:r w:rsidRPr="00C02A73">
        <w:rPr>
          <w:rFonts w:ascii="Arial" w:hAnsi="Arial" w:cs="Arial"/>
        </w:rPr>
        <w:t xml:space="preserve"> for IgA, IgM and Ig</w:t>
      </w:r>
      <w:r w:rsidR="00FF3A01" w:rsidRPr="00C02A73">
        <w:rPr>
          <w:rFonts w:ascii="Arial" w:hAnsi="Arial" w:cs="Arial"/>
        </w:rPr>
        <w:t>G</w:t>
      </w:r>
      <w:r w:rsidRPr="00C02A73">
        <w:rPr>
          <w:rFonts w:ascii="Arial" w:hAnsi="Arial" w:cs="Arial"/>
        </w:rPr>
        <w:t xml:space="preserve">.  Figures illustrate the expected (dashed line) versus </w:t>
      </w:r>
      <w:r w:rsidR="00C15FC0" w:rsidRPr="00C02A73">
        <w:rPr>
          <w:rFonts w:ascii="Arial" w:hAnsi="Arial" w:cs="Arial"/>
        </w:rPr>
        <w:t>the observed (continuous b</w:t>
      </w:r>
      <w:r w:rsidRPr="00C02A73">
        <w:rPr>
          <w:rFonts w:ascii="Arial" w:hAnsi="Arial" w:cs="Arial"/>
        </w:rPr>
        <w:t xml:space="preserve">lack line) total pneumococcal antibody concentration </w:t>
      </w:r>
      <w:r w:rsidR="00DB11DF" w:rsidRPr="00C02A73">
        <w:rPr>
          <w:rFonts w:ascii="Arial" w:hAnsi="Arial" w:cs="Arial"/>
        </w:rPr>
        <w:t>(all serotypes combined)</w:t>
      </w:r>
      <w:r w:rsidR="00E448D6" w:rsidRPr="00C02A73">
        <w:rPr>
          <w:rFonts w:ascii="Arial" w:hAnsi="Arial" w:cs="Arial"/>
        </w:rPr>
        <w:t xml:space="preserve"> averaged for 5 different saliva samples. </w:t>
      </w:r>
      <w:r w:rsidR="00DB11DF" w:rsidRPr="00C02A73">
        <w:rPr>
          <w:rFonts w:ascii="Arial" w:hAnsi="Arial" w:cs="Arial"/>
        </w:rPr>
        <w:t>For IgA, at expected concentrations of 50%, 25%, 12.5% and 6.25%, mean observed concentrations (and ranges across serotypes) were 46% (36–55%), 22% (9–29%), 15% (5–31%) and 11% (3–25%), indicating deviations of expected versus observed between -16% to 18% across serotypes and dilutions.</w:t>
      </w:r>
      <w:r w:rsidR="005E0F45" w:rsidRPr="00C02A73">
        <w:rPr>
          <w:rFonts w:ascii="Arial" w:hAnsi="Arial" w:cs="Arial"/>
        </w:rPr>
        <w:t xml:space="preserve">  The majority of serotypes acquired concentrations maintained within -10 to 10% of the expected concentration across serotypes, except Pn9V, 14</w:t>
      </w:r>
      <w:r w:rsidR="001D68A6" w:rsidRPr="00C02A73">
        <w:rPr>
          <w:rFonts w:ascii="Arial" w:hAnsi="Arial" w:cs="Arial"/>
        </w:rPr>
        <w:t xml:space="preserve"> and 18C that were within -20 to 20%. </w:t>
      </w:r>
      <w:r w:rsidR="003605B3" w:rsidRPr="00C02A73">
        <w:rPr>
          <w:rFonts w:ascii="Arial" w:hAnsi="Arial" w:cs="Arial"/>
        </w:rPr>
        <w:t xml:space="preserve"> </w:t>
      </w:r>
      <w:r w:rsidR="002A22E7" w:rsidRPr="00C02A73">
        <w:rPr>
          <w:rFonts w:ascii="Arial" w:hAnsi="Arial" w:cs="Arial"/>
        </w:rPr>
        <w:t>For IgM, at expected concentrations of 50%, 25%, 12.5% and 6.25%, mean observed concentrations (ranges across serotypes) were 54% (34–73%), 24% (5–43%), 16% (1–35%) and 2% (1–3%), equivalent to discrepancies of expected versus observed between -16% to 23% across serot</w:t>
      </w:r>
      <w:r w:rsidR="003605B3" w:rsidRPr="00C02A73">
        <w:rPr>
          <w:rFonts w:ascii="Arial" w:hAnsi="Arial" w:cs="Arial"/>
        </w:rPr>
        <w:t>ypes and dilutions. For IgG, at expected concentrations of 50%, 25%, 12.5% and 6.25%, mean observed concentrations (range across serotypes) were 35% (26–64%), 10% (7–18%), 7% (3–12%) and 6% (2–12%), indicating deviations of expected versus observed between -24% to 15% across serotypes and dilutions.</w:t>
      </w:r>
    </w:p>
    <w:sectPr w:rsidR="00DB11DF" w:rsidRPr="003605B3" w:rsidSect="00A24A38">
      <w:headerReference w:type="default" r:id="rId13"/>
      <w:footerReference w:type="default" r:id="rId1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D2E" w:rsidRDefault="00F32D2E" w:rsidP="00114441">
      <w:pPr>
        <w:spacing w:after="0" w:line="240" w:lineRule="auto"/>
      </w:pPr>
      <w:r>
        <w:separator/>
      </w:r>
    </w:p>
  </w:endnote>
  <w:endnote w:type="continuationSeparator" w:id="0">
    <w:p w:rsidR="00F32D2E" w:rsidRDefault="00F32D2E" w:rsidP="0011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calaLancetPro">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7798839"/>
      <w:docPartObj>
        <w:docPartGallery w:val="Page Numbers (Bottom of Page)"/>
        <w:docPartUnique/>
      </w:docPartObj>
    </w:sdtPr>
    <w:sdtEndPr>
      <w:rPr>
        <w:noProof/>
      </w:rPr>
    </w:sdtEndPr>
    <w:sdtContent>
      <w:p w:rsidR="002473FB" w:rsidRDefault="002473FB">
        <w:pPr>
          <w:pStyle w:val="Footer"/>
          <w:jc w:val="right"/>
        </w:pPr>
        <w:r>
          <w:fldChar w:fldCharType="begin"/>
        </w:r>
        <w:r>
          <w:instrText xml:space="preserve"> PAGE   \* MERGEFORMAT </w:instrText>
        </w:r>
        <w:r>
          <w:fldChar w:fldCharType="separate"/>
        </w:r>
        <w:r w:rsidR="00B41075">
          <w:rPr>
            <w:noProof/>
          </w:rPr>
          <w:t>1</w:t>
        </w:r>
        <w:r>
          <w:rPr>
            <w:noProof/>
          </w:rPr>
          <w:fldChar w:fldCharType="end"/>
        </w:r>
      </w:p>
    </w:sdtContent>
  </w:sdt>
  <w:p w:rsidR="002473FB" w:rsidRDefault="002473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D2E" w:rsidRDefault="00F32D2E" w:rsidP="00114441">
      <w:pPr>
        <w:spacing w:after="0" w:line="240" w:lineRule="auto"/>
      </w:pPr>
      <w:r>
        <w:separator/>
      </w:r>
    </w:p>
  </w:footnote>
  <w:footnote w:type="continuationSeparator" w:id="0">
    <w:p w:rsidR="00F32D2E" w:rsidRDefault="00F32D2E" w:rsidP="001144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075" w:rsidRPr="00B41075" w:rsidRDefault="00B41075" w:rsidP="00B41075">
    <w:pPr>
      <w:spacing w:after="0" w:line="240" w:lineRule="auto"/>
      <w:outlineLvl w:val="0"/>
      <w:rPr>
        <w:sz w:val="16"/>
        <w:szCs w:val="16"/>
      </w:rPr>
    </w:pPr>
    <w:r w:rsidRPr="00B41075">
      <w:rPr>
        <w:sz w:val="16"/>
        <w:szCs w:val="16"/>
      </w:rPr>
      <w:t xml:space="preserve">Pre-print. Cite as </w:t>
    </w:r>
    <w:r w:rsidRPr="00B41075">
      <w:rPr>
        <w:sz w:val="16"/>
        <w:szCs w:val="16"/>
      </w:rPr>
      <w:t xml:space="preserve">Heaney, J.L.J., Phillips, A.C., Carroll, D. &amp; </w:t>
    </w:r>
    <w:proofErr w:type="spellStart"/>
    <w:r w:rsidRPr="00B41075">
      <w:rPr>
        <w:sz w:val="16"/>
        <w:szCs w:val="16"/>
      </w:rPr>
      <w:t>Drayson</w:t>
    </w:r>
    <w:proofErr w:type="spellEnd"/>
    <w:r w:rsidRPr="00B41075">
      <w:rPr>
        <w:sz w:val="16"/>
        <w:szCs w:val="16"/>
      </w:rPr>
      <w:t>, M.T. (2015). Salivary functional antibody secretion is reduced in older adults: a potential mechanism of increased susceptibility to bacterial infection in the elderly</w:t>
    </w:r>
    <w:r w:rsidRPr="00B41075">
      <w:rPr>
        <w:i/>
        <w:sz w:val="16"/>
        <w:szCs w:val="16"/>
      </w:rPr>
      <w:t xml:space="preserve">. Journal of Gerontology A: Biological Sciences &amp; Medical Sciences, </w:t>
    </w:r>
    <w:r w:rsidRPr="00B41075">
      <w:rPr>
        <w:sz w:val="16"/>
        <w:szCs w:val="16"/>
      </w:rPr>
      <w:t xml:space="preserve">IF 5.41. </w:t>
    </w:r>
    <w:hyperlink r:id="rId1" w:history="1">
      <w:r w:rsidRPr="00B41075">
        <w:rPr>
          <w:rStyle w:val="Hyperlink"/>
          <w:rFonts w:eastAsia="Times New Roman"/>
          <w:sz w:val="16"/>
          <w:szCs w:val="16"/>
        </w:rPr>
        <w:t>http://dx.doi.org/10.1093/gerona</w:t>
      </w:r>
      <w:r w:rsidRPr="00B41075">
        <w:rPr>
          <w:rStyle w:val="Hyperlink"/>
          <w:rFonts w:eastAsia="Times New Roman"/>
          <w:sz w:val="16"/>
          <w:szCs w:val="16"/>
        </w:rPr>
        <w:t>/</w:t>
      </w:r>
      <w:r w:rsidRPr="00B41075">
        <w:rPr>
          <w:rStyle w:val="Hyperlink"/>
          <w:rFonts w:eastAsia="Times New Roman"/>
          <w:sz w:val="16"/>
          <w:szCs w:val="16"/>
        </w:rPr>
        <w:t>glv085</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360B31"/>
    <w:multiLevelType w:val="hybridMultilevel"/>
    <w:tmpl w:val="FB8829EA"/>
    <w:lvl w:ilvl="0" w:tplc="218C551E">
      <w:start w:val="1"/>
      <w:numFmt w:val="decimal"/>
      <w:lvlText w:val="%1."/>
      <w:lvlJc w:val="left"/>
      <w:pPr>
        <w:ind w:left="1004" w:hanging="360"/>
      </w:pPr>
      <w:rPr>
        <w:rFonts w:ascii="Times New Roman" w:hAnsi="Times New Roman" w:hint="default"/>
        <w:b w:val="0"/>
        <w:i/>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Gerontology A (2)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tt5azpahefvd1ex0aqxft54dvw5w5dzate2&quot;&gt;Age and saliva&lt;record-ids&gt;&lt;item&gt;3&lt;/item&gt;&lt;item&gt;6&lt;/item&gt;&lt;item&gt;7&lt;/item&gt;&lt;item&gt;8&lt;/item&gt;&lt;item&gt;10&lt;/item&gt;&lt;item&gt;11&lt;/item&gt;&lt;item&gt;12&lt;/item&gt;&lt;item&gt;14&lt;/item&gt;&lt;item&gt;15&lt;/item&gt;&lt;item&gt;16&lt;/item&gt;&lt;item&gt;18&lt;/item&gt;&lt;item&gt;19&lt;/item&gt;&lt;item&gt;20&lt;/item&gt;&lt;item&gt;22&lt;/item&gt;&lt;item&gt;24&lt;/item&gt;&lt;item&gt;25&lt;/item&gt;&lt;item&gt;26&lt;/item&gt;&lt;item&gt;27&lt;/item&gt;&lt;item&gt;31&lt;/item&gt;&lt;item&gt;32&lt;/item&gt;&lt;item&gt;33&lt;/item&gt;&lt;item&gt;34&lt;/item&gt;&lt;item&gt;37&lt;/item&gt;&lt;item&gt;40&lt;/item&gt;&lt;item&gt;41&lt;/item&gt;&lt;item&gt;43&lt;/item&gt;&lt;item&gt;44&lt;/item&gt;&lt;item&gt;45&lt;/item&gt;&lt;item&gt;46&lt;/item&gt;&lt;item&gt;48&lt;/item&gt;&lt;item&gt;49&lt;/item&gt;&lt;item&gt;51&lt;/item&gt;&lt;item&gt;52&lt;/item&gt;&lt;item&gt;54&lt;/item&gt;&lt;item&gt;55&lt;/item&gt;&lt;/record-ids&gt;&lt;/item&gt;&lt;/Libraries&gt;"/>
  </w:docVars>
  <w:rsids>
    <w:rsidRoot w:val="00E1311D"/>
    <w:rsid w:val="000004A3"/>
    <w:rsid w:val="000014EB"/>
    <w:rsid w:val="00001F02"/>
    <w:rsid w:val="000027C2"/>
    <w:rsid w:val="0000297B"/>
    <w:rsid w:val="000074D6"/>
    <w:rsid w:val="00007A80"/>
    <w:rsid w:val="00012FDA"/>
    <w:rsid w:val="00016853"/>
    <w:rsid w:val="00016B2C"/>
    <w:rsid w:val="00021761"/>
    <w:rsid w:val="00022A8E"/>
    <w:rsid w:val="00023DF5"/>
    <w:rsid w:val="00025B0B"/>
    <w:rsid w:val="00026F46"/>
    <w:rsid w:val="00030B76"/>
    <w:rsid w:val="000337BD"/>
    <w:rsid w:val="000352A0"/>
    <w:rsid w:val="00036542"/>
    <w:rsid w:val="000402DB"/>
    <w:rsid w:val="00041D9E"/>
    <w:rsid w:val="000439F4"/>
    <w:rsid w:val="00044AE6"/>
    <w:rsid w:val="00050618"/>
    <w:rsid w:val="0005237F"/>
    <w:rsid w:val="000531BF"/>
    <w:rsid w:val="00054001"/>
    <w:rsid w:val="0005548B"/>
    <w:rsid w:val="00057EE1"/>
    <w:rsid w:val="000636BB"/>
    <w:rsid w:val="0006481B"/>
    <w:rsid w:val="00065381"/>
    <w:rsid w:val="00067A24"/>
    <w:rsid w:val="000711CC"/>
    <w:rsid w:val="00071BEE"/>
    <w:rsid w:val="000731DB"/>
    <w:rsid w:val="00074D3E"/>
    <w:rsid w:val="000801AB"/>
    <w:rsid w:val="00080BD3"/>
    <w:rsid w:val="000812CE"/>
    <w:rsid w:val="00086B6B"/>
    <w:rsid w:val="00093465"/>
    <w:rsid w:val="000969D7"/>
    <w:rsid w:val="00096F77"/>
    <w:rsid w:val="00097A24"/>
    <w:rsid w:val="00097C9C"/>
    <w:rsid w:val="000A0C55"/>
    <w:rsid w:val="000A66CA"/>
    <w:rsid w:val="000A6D1D"/>
    <w:rsid w:val="000A7EB8"/>
    <w:rsid w:val="000B23F3"/>
    <w:rsid w:val="000B396C"/>
    <w:rsid w:val="000B654A"/>
    <w:rsid w:val="000B759E"/>
    <w:rsid w:val="000C25BD"/>
    <w:rsid w:val="000C315C"/>
    <w:rsid w:val="000C394A"/>
    <w:rsid w:val="000D15F2"/>
    <w:rsid w:val="000D4979"/>
    <w:rsid w:val="000D76E8"/>
    <w:rsid w:val="000E46C3"/>
    <w:rsid w:val="000E7BC7"/>
    <w:rsid w:val="000E7DF6"/>
    <w:rsid w:val="000F640D"/>
    <w:rsid w:val="000F6BFE"/>
    <w:rsid w:val="00104977"/>
    <w:rsid w:val="001052CE"/>
    <w:rsid w:val="00114441"/>
    <w:rsid w:val="001146BA"/>
    <w:rsid w:val="00120682"/>
    <w:rsid w:val="00120D68"/>
    <w:rsid w:val="00121F75"/>
    <w:rsid w:val="00122D5F"/>
    <w:rsid w:val="0012352F"/>
    <w:rsid w:val="001265BF"/>
    <w:rsid w:val="00127249"/>
    <w:rsid w:val="00130536"/>
    <w:rsid w:val="00135807"/>
    <w:rsid w:val="001403AE"/>
    <w:rsid w:val="00141384"/>
    <w:rsid w:val="00141A96"/>
    <w:rsid w:val="00142022"/>
    <w:rsid w:val="00147558"/>
    <w:rsid w:val="00152336"/>
    <w:rsid w:val="0015349F"/>
    <w:rsid w:val="00155A77"/>
    <w:rsid w:val="00157D4D"/>
    <w:rsid w:val="00171FCC"/>
    <w:rsid w:val="0017693E"/>
    <w:rsid w:val="0017701F"/>
    <w:rsid w:val="0017790A"/>
    <w:rsid w:val="001821A1"/>
    <w:rsid w:val="00182C0F"/>
    <w:rsid w:val="001846AE"/>
    <w:rsid w:val="00185207"/>
    <w:rsid w:val="00190AB4"/>
    <w:rsid w:val="00196747"/>
    <w:rsid w:val="001A1DC3"/>
    <w:rsid w:val="001A24DF"/>
    <w:rsid w:val="001A50A3"/>
    <w:rsid w:val="001A6BDD"/>
    <w:rsid w:val="001A7656"/>
    <w:rsid w:val="001B724D"/>
    <w:rsid w:val="001C04FE"/>
    <w:rsid w:val="001C1610"/>
    <w:rsid w:val="001C166E"/>
    <w:rsid w:val="001C2BCC"/>
    <w:rsid w:val="001C5066"/>
    <w:rsid w:val="001D19F8"/>
    <w:rsid w:val="001D2F50"/>
    <w:rsid w:val="001D4107"/>
    <w:rsid w:val="001D68A6"/>
    <w:rsid w:val="001D7072"/>
    <w:rsid w:val="001D7927"/>
    <w:rsid w:val="001D7DCA"/>
    <w:rsid w:val="001E2119"/>
    <w:rsid w:val="001E2788"/>
    <w:rsid w:val="001E3817"/>
    <w:rsid w:val="001F115D"/>
    <w:rsid w:val="001F24DC"/>
    <w:rsid w:val="001F3D1C"/>
    <w:rsid w:val="001F401C"/>
    <w:rsid w:val="001F5C1E"/>
    <w:rsid w:val="001F694F"/>
    <w:rsid w:val="00203067"/>
    <w:rsid w:val="00203A64"/>
    <w:rsid w:val="002167C1"/>
    <w:rsid w:val="002200DB"/>
    <w:rsid w:val="00220522"/>
    <w:rsid w:val="00223628"/>
    <w:rsid w:val="0022577B"/>
    <w:rsid w:val="00231064"/>
    <w:rsid w:val="00237DF5"/>
    <w:rsid w:val="00240989"/>
    <w:rsid w:val="002409AA"/>
    <w:rsid w:val="00242347"/>
    <w:rsid w:val="00243EB7"/>
    <w:rsid w:val="00244550"/>
    <w:rsid w:val="00246E34"/>
    <w:rsid w:val="002473FB"/>
    <w:rsid w:val="00247B11"/>
    <w:rsid w:val="00247CF6"/>
    <w:rsid w:val="002518C2"/>
    <w:rsid w:val="00251A0F"/>
    <w:rsid w:val="00255410"/>
    <w:rsid w:val="00255A27"/>
    <w:rsid w:val="00261127"/>
    <w:rsid w:val="00263ECB"/>
    <w:rsid w:val="002640A9"/>
    <w:rsid w:val="00264BD9"/>
    <w:rsid w:val="00265A2E"/>
    <w:rsid w:val="00266393"/>
    <w:rsid w:val="00276386"/>
    <w:rsid w:val="002768A5"/>
    <w:rsid w:val="00276914"/>
    <w:rsid w:val="00276E60"/>
    <w:rsid w:val="00277832"/>
    <w:rsid w:val="00283142"/>
    <w:rsid w:val="00283909"/>
    <w:rsid w:val="0028471B"/>
    <w:rsid w:val="00284D61"/>
    <w:rsid w:val="002850CB"/>
    <w:rsid w:val="002853E7"/>
    <w:rsid w:val="00286E39"/>
    <w:rsid w:val="002949A9"/>
    <w:rsid w:val="0029747A"/>
    <w:rsid w:val="002A0C4C"/>
    <w:rsid w:val="002A1370"/>
    <w:rsid w:val="002A22E7"/>
    <w:rsid w:val="002A2DD2"/>
    <w:rsid w:val="002A4ABD"/>
    <w:rsid w:val="002A745D"/>
    <w:rsid w:val="002A7FA3"/>
    <w:rsid w:val="002B1390"/>
    <w:rsid w:val="002B405B"/>
    <w:rsid w:val="002C09B1"/>
    <w:rsid w:val="002C0EFF"/>
    <w:rsid w:val="002C1ED3"/>
    <w:rsid w:val="002C5DC7"/>
    <w:rsid w:val="002C6284"/>
    <w:rsid w:val="002D347A"/>
    <w:rsid w:val="002D36F5"/>
    <w:rsid w:val="002D42E3"/>
    <w:rsid w:val="002D639A"/>
    <w:rsid w:val="002D7A34"/>
    <w:rsid w:val="002E15FB"/>
    <w:rsid w:val="002E2211"/>
    <w:rsid w:val="002E30A9"/>
    <w:rsid w:val="002E36D9"/>
    <w:rsid w:val="002F0A88"/>
    <w:rsid w:val="002F1567"/>
    <w:rsid w:val="002F366D"/>
    <w:rsid w:val="002F464E"/>
    <w:rsid w:val="002F51C5"/>
    <w:rsid w:val="002F5BFF"/>
    <w:rsid w:val="00300D64"/>
    <w:rsid w:val="003014A3"/>
    <w:rsid w:val="00302181"/>
    <w:rsid w:val="00305766"/>
    <w:rsid w:val="00307423"/>
    <w:rsid w:val="003108A5"/>
    <w:rsid w:val="00314426"/>
    <w:rsid w:val="003147FA"/>
    <w:rsid w:val="00320FF6"/>
    <w:rsid w:val="0032169D"/>
    <w:rsid w:val="00323944"/>
    <w:rsid w:val="003245CB"/>
    <w:rsid w:val="00324EC3"/>
    <w:rsid w:val="00326A24"/>
    <w:rsid w:val="003329C6"/>
    <w:rsid w:val="00334AB7"/>
    <w:rsid w:val="00336F3C"/>
    <w:rsid w:val="003377CE"/>
    <w:rsid w:val="00341523"/>
    <w:rsid w:val="00341B2C"/>
    <w:rsid w:val="003467B2"/>
    <w:rsid w:val="00347E2C"/>
    <w:rsid w:val="00350293"/>
    <w:rsid w:val="00350FD3"/>
    <w:rsid w:val="00352024"/>
    <w:rsid w:val="003524ED"/>
    <w:rsid w:val="003527F2"/>
    <w:rsid w:val="0035369F"/>
    <w:rsid w:val="003568D3"/>
    <w:rsid w:val="00356C66"/>
    <w:rsid w:val="00357554"/>
    <w:rsid w:val="00360305"/>
    <w:rsid w:val="003605B3"/>
    <w:rsid w:val="00362380"/>
    <w:rsid w:val="0036461C"/>
    <w:rsid w:val="0036579C"/>
    <w:rsid w:val="00367257"/>
    <w:rsid w:val="003679E5"/>
    <w:rsid w:val="00367FC4"/>
    <w:rsid w:val="00371727"/>
    <w:rsid w:val="003722B5"/>
    <w:rsid w:val="003727D8"/>
    <w:rsid w:val="00374FE4"/>
    <w:rsid w:val="00381745"/>
    <w:rsid w:val="00381E8A"/>
    <w:rsid w:val="0038487C"/>
    <w:rsid w:val="00385807"/>
    <w:rsid w:val="00386515"/>
    <w:rsid w:val="00386C4E"/>
    <w:rsid w:val="00387D4B"/>
    <w:rsid w:val="00395333"/>
    <w:rsid w:val="003964D0"/>
    <w:rsid w:val="00397C88"/>
    <w:rsid w:val="003A3C7D"/>
    <w:rsid w:val="003A3EB2"/>
    <w:rsid w:val="003A4E2C"/>
    <w:rsid w:val="003A68C6"/>
    <w:rsid w:val="003A6DF3"/>
    <w:rsid w:val="003B257B"/>
    <w:rsid w:val="003B45EE"/>
    <w:rsid w:val="003C048C"/>
    <w:rsid w:val="003C1D09"/>
    <w:rsid w:val="003C4F07"/>
    <w:rsid w:val="003C6DA1"/>
    <w:rsid w:val="003C7835"/>
    <w:rsid w:val="003D3043"/>
    <w:rsid w:val="003D4234"/>
    <w:rsid w:val="003D5684"/>
    <w:rsid w:val="003E1F21"/>
    <w:rsid w:val="003E3775"/>
    <w:rsid w:val="003E3848"/>
    <w:rsid w:val="003E4338"/>
    <w:rsid w:val="003E5026"/>
    <w:rsid w:val="003E5F75"/>
    <w:rsid w:val="003F1DB0"/>
    <w:rsid w:val="003F4388"/>
    <w:rsid w:val="003F65F8"/>
    <w:rsid w:val="003F7EC0"/>
    <w:rsid w:val="003F7F15"/>
    <w:rsid w:val="004063F9"/>
    <w:rsid w:val="0040799B"/>
    <w:rsid w:val="00413A42"/>
    <w:rsid w:val="00415BFE"/>
    <w:rsid w:val="00416D53"/>
    <w:rsid w:val="00424546"/>
    <w:rsid w:val="004252CE"/>
    <w:rsid w:val="00425FA2"/>
    <w:rsid w:val="0043048A"/>
    <w:rsid w:val="00431822"/>
    <w:rsid w:val="00431851"/>
    <w:rsid w:val="00433DF0"/>
    <w:rsid w:val="004363FA"/>
    <w:rsid w:val="004368B0"/>
    <w:rsid w:val="00436F62"/>
    <w:rsid w:val="00442253"/>
    <w:rsid w:val="0044383E"/>
    <w:rsid w:val="004439D5"/>
    <w:rsid w:val="00450F1B"/>
    <w:rsid w:val="0045123C"/>
    <w:rsid w:val="004522A1"/>
    <w:rsid w:val="0045651F"/>
    <w:rsid w:val="004575AD"/>
    <w:rsid w:val="004632ED"/>
    <w:rsid w:val="0046538E"/>
    <w:rsid w:val="004659CB"/>
    <w:rsid w:val="004675FF"/>
    <w:rsid w:val="00471B3D"/>
    <w:rsid w:val="00472C59"/>
    <w:rsid w:val="00472E28"/>
    <w:rsid w:val="00472E2C"/>
    <w:rsid w:val="00473374"/>
    <w:rsid w:val="00473612"/>
    <w:rsid w:val="00473D68"/>
    <w:rsid w:val="00475B44"/>
    <w:rsid w:val="00482F80"/>
    <w:rsid w:val="00483A41"/>
    <w:rsid w:val="00490705"/>
    <w:rsid w:val="0049088B"/>
    <w:rsid w:val="004924D5"/>
    <w:rsid w:val="004949A4"/>
    <w:rsid w:val="004A31E7"/>
    <w:rsid w:val="004A4D02"/>
    <w:rsid w:val="004A667B"/>
    <w:rsid w:val="004B0609"/>
    <w:rsid w:val="004B1132"/>
    <w:rsid w:val="004B2AF7"/>
    <w:rsid w:val="004B4177"/>
    <w:rsid w:val="004B47F7"/>
    <w:rsid w:val="004B49AA"/>
    <w:rsid w:val="004B5488"/>
    <w:rsid w:val="004B766E"/>
    <w:rsid w:val="004C2EEB"/>
    <w:rsid w:val="004C6162"/>
    <w:rsid w:val="004D1367"/>
    <w:rsid w:val="004D15C7"/>
    <w:rsid w:val="004D28EB"/>
    <w:rsid w:val="004D75E3"/>
    <w:rsid w:val="004E5418"/>
    <w:rsid w:val="004E6FB2"/>
    <w:rsid w:val="004E798F"/>
    <w:rsid w:val="004E7EE1"/>
    <w:rsid w:val="004F10A2"/>
    <w:rsid w:val="004F1520"/>
    <w:rsid w:val="004F33B4"/>
    <w:rsid w:val="004F3684"/>
    <w:rsid w:val="004F47C7"/>
    <w:rsid w:val="004F6B7E"/>
    <w:rsid w:val="004F6D69"/>
    <w:rsid w:val="004F729C"/>
    <w:rsid w:val="004F72AE"/>
    <w:rsid w:val="00500610"/>
    <w:rsid w:val="00504523"/>
    <w:rsid w:val="00505635"/>
    <w:rsid w:val="005065F1"/>
    <w:rsid w:val="005217B3"/>
    <w:rsid w:val="00523B53"/>
    <w:rsid w:val="00524621"/>
    <w:rsid w:val="0052519D"/>
    <w:rsid w:val="0052592A"/>
    <w:rsid w:val="005277E9"/>
    <w:rsid w:val="005335C0"/>
    <w:rsid w:val="0053594C"/>
    <w:rsid w:val="00536026"/>
    <w:rsid w:val="00540450"/>
    <w:rsid w:val="0054279D"/>
    <w:rsid w:val="00546C1F"/>
    <w:rsid w:val="005474FE"/>
    <w:rsid w:val="00547E65"/>
    <w:rsid w:val="00553753"/>
    <w:rsid w:val="00554FEA"/>
    <w:rsid w:val="005551DF"/>
    <w:rsid w:val="00555459"/>
    <w:rsid w:val="00561957"/>
    <w:rsid w:val="00561E22"/>
    <w:rsid w:val="00567259"/>
    <w:rsid w:val="00567E6D"/>
    <w:rsid w:val="005717A5"/>
    <w:rsid w:val="005746FF"/>
    <w:rsid w:val="00574788"/>
    <w:rsid w:val="0058085D"/>
    <w:rsid w:val="005817D8"/>
    <w:rsid w:val="00582E6E"/>
    <w:rsid w:val="00584FE7"/>
    <w:rsid w:val="00587809"/>
    <w:rsid w:val="005920B3"/>
    <w:rsid w:val="005923A7"/>
    <w:rsid w:val="005953DC"/>
    <w:rsid w:val="005A0B10"/>
    <w:rsid w:val="005A2845"/>
    <w:rsid w:val="005A7358"/>
    <w:rsid w:val="005B1988"/>
    <w:rsid w:val="005B2F1C"/>
    <w:rsid w:val="005B328C"/>
    <w:rsid w:val="005B372B"/>
    <w:rsid w:val="005B559E"/>
    <w:rsid w:val="005B5C87"/>
    <w:rsid w:val="005C2232"/>
    <w:rsid w:val="005C4CBC"/>
    <w:rsid w:val="005C792C"/>
    <w:rsid w:val="005D0732"/>
    <w:rsid w:val="005D14F1"/>
    <w:rsid w:val="005D68DD"/>
    <w:rsid w:val="005E0F45"/>
    <w:rsid w:val="005E476A"/>
    <w:rsid w:val="005E5817"/>
    <w:rsid w:val="005E62CA"/>
    <w:rsid w:val="005F0BA6"/>
    <w:rsid w:val="005F4069"/>
    <w:rsid w:val="005F42C4"/>
    <w:rsid w:val="005F471D"/>
    <w:rsid w:val="005F78D1"/>
    <w:rsid w:val="0060129D"/>
    <w:rsid w:val="00604929"/>
    <w:rsid w:val="00605311"/>
    <w:rsid w:val="00607DA5"/>
    <w:rsid w:val="00610E5D"/>
    <w:rsid w:val="00611C94"/>
    <w:rsid w:val="00612C87"/>
    <w:rsid w:val="00616D97"/>
    <w:rsid w:val="0062224C"/>
    <w:rsid w:val="0062305C"/>
    <w:rsid w:val="006243D9"/>
    <w:rsid w:val="006300AE"/>
    <w:rsid w:val="0063126D"/>
    <w:rsid w:val="0063136E"/>
    <w:rsid w:val="00631DC3"/>
    <w:rsid w:val="00633CBE"/>
    <w:rsid w:val="0063493A"/>
    <w:rsid w:val="006349AD"/>
    <w:rsid w:val="006436E2"/>
    <w:rsid w:val="006441AC"/>
    <w:rsid w:val="006455B9"/>
    <w:rsid w:val="00647C3D"/>
    <w:rsid w:val="00647E39"/>
    <w:rsid w:val="006526AD"/>
    <w:rsid w:val="00652DBE"/>
    <w:rsid w:val="00652E33"/>
    <w:rsid w:val="00653F47"/>
    <w:rsid w:val="0065593E"/>
    <w:rsid w:val="0065610D"/>
    <w:rsid w:val="00656145"/>
    <w:rsid w:val="00660167"/>
    <w:rsid w:val="00661FA7"/>
    <w:rsid w:val="0066470C"/>
    <w:rsid w:val="00665879"/>
    <w:rsid w:val="00665CC4"/>
    <w:rsid w:val="00667590"/>
    <w:rsid w:val="0066760E"/>
    <w:rsid w:val="0066790F"/>
    <w:rsid w:val="00670C7C"/>
    <w:rsid w:val="00670DFF"/>
    <w:rsid w:val="00672848"/>
    <w:rsid w:val="0067459C"/>
    <w:rsid w:val="00675E0A"/>
    <w:rsid w:val="0068382C"/>
    <w:rsid w:val="006867F1"/>
    <w:rsid w:val="006877ED"/>
    <w:rsid w:val="0069005C"/>
    <w:rsid w:val="006937C2"/>
    <w:rsid w:val="00696D2D"/>
    <w:rsid w:val="00697FF2"/>
    <w:rsid w:val="006A4CF1"/>
    <w:rsid w:val="006B0F8D"/>
    <w:rsid w:val="006B6191"/>
    <w:rsid w:val="006B6296"/>
    <w:rsid w:val="006C0CE0"/>
    <w:rsid w:val="006C3760"/>
    <w:rsid w:val="006C3C12"/>
    <w:rsid w:val="006C4405"/>
    <w:rsid w:val="006D28FE"/>
    <w:rsid w:val="006D2CCC"/>
    <w:rsid w:val="006D3569"/>
    <w:rsid w:val="006D413A"/>
    <w:rsid w:val="006D7490"/>
    <w:rsid w:val="006E1B88"/>
    <w:rsid w:val="006E2750"/>
    <w:rsid w:val="006F0D4F"/>
    <w:rsid w:val="006F2966"/>
    <w:rsid w:val="006F3F23"/>
    <w:rsid w:val="006F424E"/>
    <w:rsid w:val="006F4B20"/>
    <w:rsid w:val="006F7E81"/>
    <w:rsid w:val="006F7F30"/>
    <w:rsid w:val="00702830"/>
    <w:rsid w:val="007048FB"/>
    <w:rsid w:val="0070556E"/>
    <w:rsid w:val="0071304D"/>
    <w:rsid w:val="00715799"/>
    <w:rsid w:val="007158C6"/>
    <w:rsid w:val="007274D1"/>
    <w:rsid w:val="00727E47"/>
    <w:rsid w:val="007342E4"/>
    <w:rsid w:val="00736E11"/>
    <w:rsid w:val="0074193E"/>
    <w:rsid w:val="00750A0A"/>
    <w:rsid w:val="00752CED"/>
    <w:rsid w:val="00753D79"/>
    <w:rsid w:val="00761837"/>
    <w:rsid w:val="00764BE8"/>
    <w:rsid w:val="007662CA"/>
    <w:rsid w:val="00767D06"/>
    <w:rsid w:val="007711BB"/>
    <w:rsid w:val="0077338A"/>
    <w:rsid w:val="007748C3"/>
    <w:rsid w:val="00774D19"/>
    <w:rsid w:val="007751C6"/>
    <w:rsid w:val="007765F3"/>
    <w:rsid w:val="007813D1"/>
    <w:rsid w:val="00781898"/>
    <w:rsid w:val="007827B8"/>
    <w:rsid w:val="00783055"/>
    <w:rsid w:val="00796A3B"/>
    <w:rsid w:val="00796EA0"/>
    <w:rsid w:val="00797E77"/>
    <w:rsid w:val="007A3036"/>
    <w:rsid w:val="007A3D2B"/>
    <w:rsid w:val="007A710D"/>
    <w:rsid w:val="007A7EEF"/>
    <w:rsid w:val="007B2057"/>
    <w:rsid w:val="007B35E5"/>
    <w:rsid w:val="007B4ADA"/>
    <w:rsid w:val="007B56D1"/>
    <w:rsid w:val="007B5820"/>
    <w:rsid w:val="007B6E30"/>
    <w:rsid w:val="007C35BF"/>
    <w:rsid w:val="007C35F9"/>
    <w:rsid w:val="007C5DFC"/>
    <w:rsid w:val="007C6CA2"/>
    <w:rsid w:val="007D01B5"/>
    <w:rsid w:val="007D0BC0"/>
    <w:rsid w:val="007D5164"/>
    <w:rsid w:val="007E0668"/>
    <w:rsid w:val="007E220B"/>
    <w:rsid w:val="007E25D1"/>
    <w:rsid w:val="007E332D"/>
    <w:rsid w:val="007E40A0"/>
    <w:rsid w:val="007E62CB"/>
    <w:rsid w:val="007E6965"/>
    <w:rsid w:val="007E724B"/>
    <w:rsid w:val="007F1CE5"/>
    <w:rsid w:val="007F1EA3"/>
    <w:rsid w:val="007F5394"/>
    <w:rsid w:val="0080231C"/>
    <w:rsid w:val="00804389"/>
    <w:rsid w:val="00805DFD"/>
    <w:rsid w:val="00806504"/>
    <w:rsid w:val="008066A6"/>
    <w:rsid w:val="008108AB"/>
    <w:rsid w:val="008118E6"/>
    <w:rsid w:val="00811941"/>
    <w:rsid w:val="00813F71"/>
    <w:rsid w:val="00815966"/>
    <w:rsid w:val="00815A8E"/>
    <w:rsid w:val="0081670C"/>
    <w:rsid w:val="00816978"/>
    <w:rsid w:val="008219CB"/>
    <w:rsid w:val="008232A2"/>
    <w:rsid w:val="008232A3"/>
    <w:rsid w:val="00831735"/>
    <w:rsid w:val="0083339D"/>
    <w:rsid w:val="008430D5"/>
    <w:rsid w:val="00843354"/>
    <w:rsid w:val="00845290"/>
    <w:rsid w:val="0084594E"/>
    <w:rsid w:val="00845FE0"/>
    <w:rsid w:val="008462CE"/>
    <w:rsid w:val="0084780C"/>
    <w:rsid w:val="0086036F"/>
    <w:rsid w:val="00861AE4"/>
    <w:rsid w:val="00862BB4"/>
    <w:rsid w:val="00864D34"/>
    <w:rsid w:val="00864FEA"/>
    <w:rsid w:val="00865600"/>
    <w:rsid w:val="008708BB"/>
    <w:rsid w:val="00871650"/>
    <w:rsid w:val="00873BB1"/>
    <w:rsid w:val="008749CC"/>
    <w:rsid w:val="00876457"/>
    <w:rsid w:val="00880429"/>
    <w:rsid w:val="00880EF5"/>
    <w:rsid w:val="00883D16"/>
    <w:rsid w:val="00885E89"/>
    <w:rsid w:val="008A2877"/>
    <w:rsid w:val="008A343D"/>
    <w:rsid w:val="008A44E5"/>
    <w:rsid w:val="008A4D39"/>
    <w:rsid w:val="008A62F8"/>
    <w:rsid w:val="008B093B"/>
    <w:rsid w:val="008B6F34"/>
    <w:rsid w:val="008C2753"/>
    <w:rsid w:val="008C5DC5"/>
    <w:rsid w:val="008C6500"/>
    <w:rsid w:val="008D1613"/>
    <w:rsid w:val="008D35EC"/>
    <w:rsid w:val="008D3B75"/>
    <w:rsid w:val="008D4C9E"/>
    <w:rsid w:val="008D7733"/>
    <w:rsid w:val="008E0D18"/>
    <w:rsid w:val="008E1300"/>
    <w:rsid w:val="008E182B"/>
    <w:rsid w:val="008E4460"/>
    <w:rsid w:val="008F0852"/>
    <w:rsid w:val="008F45C6"/>
    <w:rsid w:val="008F4B22"/>
    <w:rsid w:val="0090094B"/>
    <w:rsid w:val="00901106"/>
    <w:rsid w:val="009026BF"/>
    <w:rsid w:val="00916EAD"/>
    <w:rsid w:val="00917B50"/>
    <w:rsid w:val="009255BC"/>
    <w:rsid w:val="009258CF"/>
    <w:rsid w:val="00926C67"/>
    <w:rsid w:val="00926E93"/>
    <w:rsid w:val="009320D2"/>
    <w:rsid w:val="00933A41"/>
    <w:rsid w:val="009342C2"/>
    <w:rsid w:val="00937860"/>
    <w:rsid w:val="00940844"/>
    <w:rsid w:val="0094166E"/>
    <w:rsid w:val="00942B81"/>
    <w:rsid w:val="00943A9F"/>
    <w:rsid w:val="00945314"/>
    <w:rsid w:val="00945914"/>
    <w:rsid w:val="00947F9E"/>
    <w:rsid w:val="00950DAB"/>
    <w:rsid w:val="00953F98"/>
    <w:rsid w:val="00956668"/>
    <w:rsid w:val="009604CC"/>
    <w:rsid w:val="00961BD2"/>
    <w:rsid w:val="00961F33"/>
    <w:rsid w:val="00961F89"/>
    <w:rsid w:val="00971526"/>
    <w:rsid w:val="009754B5"/>
    <w:rsid w:val="00977DAB"/>
    <w:rsid w:val="00983020"/>
    <w:rsid w:val="00983A61"/>
    <w:rsid w:val="009845C6"/>
    <w:rsid w:val="0098477F"/>
    <w:rsid w:val="0098533B"/>
    <w:rsid w:val="00987DBB"/>
    <w:rsid w:val="00991456"/>
    <w:rsid w:val="009921A0"/>
    <w:rsid w:val="0099503F"/>
    <w:rsid w:val="0099767D"/>
    <w:rsid w:val="009A3513"/>
    <w:rsid w:val="009A48AB"/>
    <w:rsid w:val="009A4FC1"/>
    <w:rsid w:val="009A58A2"/>
    <w:rsid w:val="009A6700"/>
    <w:rsid w:val="009B05E3"/>
    <w:rsid w:val="009B457F"/>
    <w:rsid w:val="009B4CBF"/>
    <w:rsid w:val="009B65AC"/>
    <w:rsid w:val="009B72B5"/>
    <w:rsid w:val="009C13B8"/>
    <w:rsid w:val="009C3052"/>
    <w:rsid w:val="009C42F2"/>
    <w:rsid w:val="009C4AAC"/>
    <w:rsid w:val="009C5109"/>
    <w:rsid w:val="009C5202"/>
    <w:rsid w:val="009C61A0"/>
    <w:rsid w:val="009C7BE7"/>
    <w:rsid w:val="009D4FDF"/>
    <w:rsid w:val="009D51B8"/>
    <w:rsid w:val="009D546D"/>
    <w:rsid w:val="009D6337"/>
    <w:rsid w:val="009D6BD8"/>
    <w:rsid w:val="009E09A4"/>
    <w:rsid w:val="009E2909"/>
    <w:rsid w:val="009E31E7"/>
    <w:rsid w:val="009E4E0B"/>
    <w:rsid w:val="009E72FC"/>
    <w:rsid w:val="009E7CD7"/>
    <w:rsid w:val="009F0CC5"/>
    <w:rsid w:val="009F0F91"/>
    <w:rsid w:val="009F3836"/>
    <w:rsid w:val="009F53D8"/>
    <w:rsid w:val="009F6430"/>
    <w:rsid w:val="009F78FB"/>
    <w:rsid w:val="009F7BC1"/>
    <w:rsid w:val="00A047D5"/>
    <w:rsid w:val="00A10EBD"/>
    <w:rsid w:val="00A11F95"/>
    <w:rsid w:val="00A2084E"/>
    <w:rsid w:val="00A235F1"/>
    <w:rsid w:val="00A23B1B"/>
    <w:rsid w:val="00A24A38"/>
    <w:rsid w:val="00A26230"/>
    <w:rsid w:val="00A27CF0"/>
    <w:rsid w:val="00A31EF6"/>
    <w:rsid w:val="00A322DF"/>
    <w:rsid w:val="00A3294D"/>
    <w:rsid w:val="00A32AC7"/>
    <w:rsid w:val="00A339CD"/>
    <w:rsid w:val="00A36024"/>
    <w:rsid w:val="00A40000"/>
    <w:rsid w:val="00A532C3"/>
    <w:rsid w:val="00A61E0A"/>
    <w:rsid w:val="00A627C0"/>
    <w:rsid w:val="00A6532D"/>
    <w:rsid w:val="00A65385"/>
    <w:rsid w:val="00A65438"/>
    <w:rsid w:val="00A669D1"/>
    <w:rsid w:val="00A705C0"/>
    <w:rsid w:val="00A70B80"/>
    <w:rsid w:val="00A73CD5"/>
    <w:rsid w:val="00A76D78"/>
    <w:rsid w:val="00A7766A"/>
    <w:rsid w:val="00A803D4"/>
    <w:rsid w:val="00A813B6"/>
    <w:rsid w:val="00A852EE"/>
    <w:rsid w:val="00A853EC"/>
    <w:rsid w:val="00A85B73"/>
    <w:rsid w:val="00A90288"/>
    <w:rsid w:val="00A95035"/>
    <w:rsid w:val="00A96067"/>
    <w:rsid w:val="00A9704D"/>
    <w:rsid w:val="00AA0AA9"/>
    <w:rsid w:val="00AA2FFE"/>
    <w:rsid w:val="00AB07D6"/>
    <w:rsid w:val="00AB4D38"/>
    <w:rsid w:val="00AB5259"/>
    <w:rsid w:val="00AB52DA"/>
    <w:rsid w:val="00AC0095"/>
    <w:rsid w:val="00AC0834"/>
    <w:rsid w:val="00AC0CBB"/>
    <w:rsid w:val="00AC4B4C"/>
    <w:rsid w:val="00AC57B0"/>
    <w:rsid w:val="00AD092D"/>
    <w:rsid w:val="00AD2475"/>
    <w:rsid w:val="00AD3CE8"/>
    <w:rsid w:val="00AD559B"/>
    <w:rsid w:val="00AD6C9A"/>
    <w:rsid w:val="00AD7AD3"/>
    <w:rsid w:val="00AE03EE"/>
    <w:rsid w:val="00AE11CF"/>
    <w:rsid w:val="00AE2020"/>
    <w:rsid w:val="00AE3298"/>
    <w:rsid w:val="00AF1140"/>
    <w:rsid w:val="00B001A6"/>
    <w:rsid w:val="00B0185D"/>
    <w:rsid w:val="00B060E7"/>
    <w:rsid w:val="00B0644B"/>
    <w:rsid w:val="00B079CE"/>
    <w:rsid w:val="00B11A12"/>
    <w:rsid w:val="00B17767"/>
    <w:rsid w:val="00B26F94"/>
    <w:rsid w:val="00B326FB"/>
    <w:rsid w:val="00B340C3"/>
    <w:rsid w:val="00B37D4D"/>
    <w:rsid w:val="00B406A3"/>
    <w:rsid w:val="00B41075"/>
    <w:rsid w:val="00B47A4C"/>
    <w:rsid w:val="00B5098D"/>
    <w:rsid w:val="00B527EE"/>
    <w:rsid w:val="00B53BAF"/>
    <w:rsid w:val="00B54B9B"/>
    <w:rsid w:val="00B55915"/>
    <w:rsid w:val="00B55CEE"/>
    <w:rsid w:val="00B56F24"/>
    <w:rsid w:val="00B612BB"/>
    <w:rsid w:val="00B612FA"/>
    <w:rsid w:val="00B61E3C"/>
    <w:rsid w:val="00B64FAE"/>
    <w:rsid w:val="00B71815"/>
    <w:rsid w:val="00B82F95"/>
    <w:rsid w:val="00B902F5"/>
    <w:rsid w:val="00B90E90"/>
    <w:rsid w:val="00B92603"/>
    <w:rsid w:val="00B965E1"/>
    <w:rsid w:val="00B9771B"/>
    <w:rsid w:val="00BA7BD7"/>
    <w:rsid w:val="00BB157A"/>
    <w:rsid w:val="00BB523D"/>
    <w:rsid w:val="00BB5786"/>
    <w:rsid w:val="00BB6933"/>
    <w:rsid w:val="00BB6D92"/>
    <w:rsid w:val="00BC0084"/>
    <w:rsid w:val="00BC2ED4"/>
    <w:rsid w:val="00BC65F4"/>
    <w:rsid w:val="00BD006A"/>
    <w:rsid w:val="00BD7C19"/>
    <w:rsid w:val="00BE1173"/>
    <w:rsid w:val="00BE4853"/>
    <w:rsid w:val="00BE5C6B"/>
    <w:rsid w:val="00BF054F"/>
    <w:rsid w:val="00BF21E4"/>
    <w:rsid w:val="00BF2727"/>
    <w:rsid w:val="00BF393D"/>
    <w:rsid w:val="00BF3C9A"/>
    <w:rsid w:val="00BF63EC"/>
    <w:rsid w:val="00C001C1"/>
    <w:rsid w:val="00C02A73"/>
    <w:rsid w:val="00C04C13"/>
    <w:rsid w:val="00C12183"/>
    <w:rsid w:val="00C150D2"/>
    <w:rsid w:val="00C15FC0"/>
    <w:rsid w:val="00C208B8"/>
    <w:rsid w:val="00C22499"/>
    <w:rsid w:val="00C25915"/>
    <w:rsid w:val="00C25E08"/>
    <w:rsid w:val="00C27A5C"/>
    <w:rsid w:val="00C3218B"/>
    <w:rsid w:val="00C33635"/>
    <w:rsid w:val="00C35DCB"/>
    <w:rsid w:val="00C37851"/>
    <w:rsid w:val="00C409E2"/>
    <w:rsid w:val="00C44E06"/>
    <w:rsid w:val="00C502BB"/>
    <w:rsid w:val="00C503D3"/>
    <w:rsid w:val="00C5616D"/>
    <w:rsid w:val="00C60C54"/>
    <w:rsid w:val="00C63139"/>
    <w:rsid w:val="00C65B70"/>
    <w:rsid w:val="00C71D55"/>
    <w:rsid w:val="00C753CB"/>
    <w:rsid w:val="00C75553"/>
    <w:rsid w:val="00C85C4F"/>
    <w:rsid w:val="00C86776"/>
    <w:rsid w:val="00C96A34"/>
    <w:rsid w:val="00CA3CEC"/>
    <w:rsid w:val="00CA5EDF"/>
    <w:rsid w:val="00CB172C"/>
    <w:rsid w:val="00CB1995"/>
    <w:rsid w:val="00CB54B0"/>
    <w:rsid w:val="00CB5ED0"/>
    <w:rsid w:val="00CB66FD"/>
    <w:rsid w:val="00CB6805"/>
    <w:rsid w:val="00CB72FC"/>
    <w:rsid w:val="00CC2632"/>
    <w:rsid w:val="00CC2F71"/>
    <w:rsid w:val="00CC3152"/>
    <w:rsid w:val="00CC4027"/>
    <w:rsid w:val="00CC6D59"/>
    <w:rsid w:val="00CC70F1"/>
    <w:rsid w:val="00CD02E8"/>
    <w:rsid w:val="00CD0DF7"/>
    <w:rsid w:val="00CD4440"/>
    <w:rsid w:val="00CD4870"/>
    <w:rsid w:val="00CD4AA3"/>
    <w:rsid w:val="00CD6090"/>
    <w:rsid w:val="00CD6E5E"/>
    <w:rsid w:val="00CE035F"/>
    <w:rsid w:val="00CE1540"/>
    <w:rsid w:val="00CE40ED"/>
    <w:rsid w:val="00CF26EB"/>
    <w:rsid w:val="00CF64E4"/>
    <w:rsid w:val="00CF7480"/>
    <w:rsid w:val="00CF76D4"/>
    <w:rsid w:val="00D01DF3"/>
    <w:rsid w:val="00D034D3"/>
    <w:rsid w:val="00D046B5"/>
    <w:rsid w:val="00D056FF"/>
    <w:rsid w:val="00D11893"/>
    <w:rsid w:val="00D1550C"/>
    <w:rsid w:val="00D160B2"/>
    <w:rsid w:val="00D16FF6"/>
    <w:rsid w:val="00D1734C"/>
    <w:rsid w:val="00D17A25"/>
    <w:rsid w:val="00D20071"/>
    <w:rsid w:val="00D215CD"/>
    <w:rsid w:val="00D21859"/>
    <w:rsid w:val="00D27345"/>
    <w:rsid w:val="00D3367C"/>
    <w:rsid w:val="00D33D13"/>
    <w:rsid w:val="00D34291"/>
    <w:rsid w:val="00D351F4"/>
    <w:rsid w:val="00D3578E"/>
    <w:rsid w:val="00D35E2A"/>
    <w:rsid w:val="00D40F5D"/>
    <w:rsid w:val="00D4191B"/>
    <w:rsid w:val="00D45C21"/>
    <w:rsid w:val="00D45CFB"/>
    <w:rsid w:val="00D464A7"/>
    <w:rsid w:val="00D51D21"/>
    <w:rsid w:val="00D55887"/>
    <w:rsid w:val="00D61525"/>
    <w:rsid w:val="00D651B9"/>
    <w:rsid w:val="00D670F6"/>
    <w:rsid w:val="00D71595"/>
    <w:rsid w:val="00D71E12"/>
    <w:rsid w:val="00D7489F"/>
    <w:rsid w:val="00D7554B"/>
    <w:rsid w:val="00D7644D"/>
    <w:rsid w:val="00D80282"/>
    <w:rsid w:val="00D82387"/>
    <w:rsid w:val="00D83590"/>
    <w:rsid w:val="00D85FBD"/>
    <w:rsid w:val="00D864BE"/>
    <w:rsid w:val="00D87A5B"/>
    <w:rsid w:val="00D92787"/>
    <w:rsid w:val="00D94347"/>
    <w:rsid w:val="00D964AF"/>
    <w:rsid w:val="00D9715A"/>
    <w:rsid w:val="00D97BAC"/>
    <w:rsid w:val="00DA2722"/>
    <w:rsid w:val="00DA362E"/>
    <w:rsid w:val="00DA4239"/>
    <w:rsid w:val="00DA5A8A"/>
    <w:rsid w:val="00DA5E82"/>
    <w:rsid w:val="00DB11DF"/>
    <w:rsid w:val="00DB3850"/>
    <w:rsid w:val="00DB7B2C"/>
    <w:rsid w:val="00DC23E8"/>
    <w:rsid w:val="00DC7704"/>
    <w:rsid w:val="00DD1975"/>
    <w:rsid w:val="00DD2BEF"/>
    <w:rsid w:val="00DE0688"/>
    <w:rsid w:val="00DE4E96"/>
    <w:rsid w:val="00DE6B80"/>
    <w:rsid w:val="00DE70B1"/>
    <w:rsid w:val="00DF0B7D"/>
    <w:rsid w:val="00DF186A"/>
    <w:rsid w:val="00DF2731"/>
    <w:rsid w:val="00DF2756"/>
    <w:rsid w:val="00DF4C1E"/>
    <w:rsid w:val="00DF5BFC"/>
    <w:rsid w:val="00E055A2"/>
    <w:rsid w:val="00E061BB"/>
    <w:rsid w:val="00E061E5"/>
    <w:rsid w:val="00E070C5"/>
    <w:rsid w:val="00E076A0"/>
    <w:rsid w:val="00E12236"/>
    <w:rsid w:val="00E12912"/>
    <w:rsid w:val="00E12A48"/>
    <w:rsid w:val="00E1311D"/>
    <w:rsid w:val="00E20F67"/>
    <w:rsid w:val="00E20FBA"/>
    <w:rsid w:val="00E210AD"/>
    <w:rsid w:val="00E236EF"/>
    <w:rsid w:val="00E3087A"/>
    <w:rsid w:val="00E34009"/>
    <w:rsid w:val="00E411C6"/>
    <w:rsid w:val="00E448D6"/>
    <w:rsid w:val="00E5119C"/>
    <w:rsid w:val="00E51E27"/>
    <w:rsid w:val="00E53058"/>
    <w:rsid w:val="00E54359"/>
    <w:rsid w:val="00E5457B"/>
    <w:rsid w:val="00E54729"/>
    <w:rsid w:val="00E54762"/>
    <w:rsid w:val="00E57767"/>
    <w:rsid w:val="00E64EB3"/>
    <w:rsid w:val="00E67F27"/>
    <w:rsid w:val="00E71577"/>
    <w:rsid w:val="00E72096"/>
    <w:rsid w:val="00E73A31"/>
    <w:rsid w:val="00E74B08"/>
    <w:rsid w:val="00E74C65"/>
    <w:rsid w:val="00E76501"/>
    <w:rsid w:val="00E83F97"/>
    <w:rsid w:val="00E8629D"/>
    <w:rsid w:val="00E86594"/>
    <w:rsid w:val="00E902B9"/>
    <w:rsid w:val="00E90BF1"/>
    <w:rsid w:val="00E91B5D"/>
    <w:rsid w:val="00E92434"/>
    <w:rsid w:val="00E97C0A"/>
    <w:rsid w:val="00EA05AB"/>
    <w:rsid w:val="00EA107E"/>
    <w:rsid w:val="00EA1B5E"/>
    <w:rsid w:val="00EA397E"/>
    <w:rsid w:val="00EA4AD9"/>
    <w:rsid w:val="00EA5517"/>
    <w:rsid w:val="00EA75DA"/>
    <w:rsid w:val="00EA7FB6"/>
    <w:rsid w:val="00EB0777"/>
    <w:rsid w:val="00EB530A"/>
    <w:rsid w:val="00EC3A87"/>
    <w:rsid w:val="00EC4BAD"/>
    <w:rsid w:val="00ED05F6"/>
    <w:rsid w:val="00ED231C"/>
    <w:rsid w:val="00ED5017"/>
    <w:rsid w:val="00ED55FE"/>
    <w:rsid w:val="00EE2BE6"/>
    <w:rsid w:val="00EF1DC8"/>
    <w:rsid w:val="00EF21C7"/>
    <w:rsid w:val="00EF29FF"/>
    <w:rsid w:val="00EF5AFC"/>
    <w:rsid w:val="00EF7DF3"/>
    <w:rsid w:val="00F023AC"/>
    <w:rsid w:val="00F06AC7"/>
    <w:rsid w:val="00F10584"/>
    <w:rsid w:val="00F14B7C"/>
    <w:rsid w:val="00F20D37"/>
    <w:rsid w:val="00F21B67"/>
    <w:rsid w:val="00F24551"/>
    <w:rsid w:val="00F30ADC"/>
    <w:rsid w:val="00F321DE"/>
    <w:rsid w:val="00F32D2E"/>
    <w:rsid w:val="00F35C57"/>
    <w:rsid w:val="00F36724"/>
    <w:rsid w:val="00F37E10"/>
    <w:rsid w:val="00F44314"/>
    <w:rsid w:val="00F47835"/>
    <w:rsid w:val="00F47E10"/>
    <w:rsid w:val="00F5126C"/>
    <w:rsid w:val="00F53E91"/>
    <w:rsid w:val="00F56DD2"/>
    <w:rsid w:val="00F6236A"/>
    <w:rsid w:val="00F63D21"/>
    <w:rsid w:val="00F64053"/>
    <w:rsid w:val="00F64E4F"/>
    <w:rsid w:val="00F663D0"/>
    <w:rsid w:val="00F72F9E"/>
    <w:rsid w:val="00F75DEC"/>
    <w:rsid w:val="00F80495"/>
    <w:rsid w:val="00F80C1B"/>
    <w:rsid w:val="00F83480"/>
    <w:rsid w:val="00F835A1"/>
    <w:rsid w:val="00F83BAD"/>
    <w:rsid w:val="00F84ECC"/>
    <w:rsid w:val="00F8706F"/>
    <w:rsid w:val="00F9042E"/>
    <w:rsid w:val="00F91238"/>
    <w:rsid w:val="00F9367E"/>
    <w:rsid w:val="00F9728B"/>
    <w:rsid w:val="00F97601"/>
    <w:rsid w:val="00FA00E1"/>
    <w:rsid w:val="00FA234F"/>
    <w:rsid w:val="00FA3245"/>
    <w:rsid w:val="00FA3B87"/>
    <w:rsid w:val="00FB0D2D"/>
    <w:rsid w:val="00FB3460"/>
    <w:rsid w:val="00FB4A42"/>
    <w:rsid w:val="00FB4FB3"/>
    <w:rsid w:val="00FB6E6B"/>
    <w:rsid w:val="00FC07FE"/>
    <w:rsid w:val="00FC2C89"/>
    <w:rsid w:val="00FC50D9"/>
    <w:rsid w:val="00FD6422"/>
    <w:rsid w:val="00FD6C2C"/>
    <w:rsid w:val="00FE0FDB"/>
    <w:rsid w:val="00FE1F38"/>
    <w:rsid w:val="00FE5AE2"/>
    <w:rsid w:val="00FE5DBB"/>
    <w:rsid w:val="00FE70F9"/>
    <w:rsid w:val="00FF20BD"/>
    <w:rsid w:val="00FF25E5"/>
    <w:rsid w:val="00FF39C6"/>
    <w:rsid w:val="00FF3A01"/>
    <w:rsid w:val="00FF429E"/>
    <w:rsid w:val="00FF491E"/>
    <w:rsid w:val="00FF5642"/>
    <w:rsid w:val="00FF77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5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7A25"/>
    <w:rPr>
      <w:color w:val="0000FF" w:themeColor="hyperlink"/>
      <w:u w:val="single"/>
    </w:rPr>
  </w:style>
  <w:style w:type="paragraph" w:styleId="NormalWeb">
    <w:name w:val="Normal (Web)"/>
    <w:basedOn w:val="Normal"/>
    <w:uiPriority w:val="99"/>
    <w:semiHidden/>
    <w:unhideWhenUsed/>
    <w:rsid w:val="005D0732"/>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1144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4441"/>
  </w:style>
  <w:style w:type="paragraph" w:styleId="Footer">
    <w:name w:val="footer"/>
    <w:basedOn w:val="Normal"/>
    <w:link w:val="FooterChar"/>
    <w:uiPriority w:val="99"/>
    <w:unhideWhenUsed/>
    <w:rsid w:val="001144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4441"/>
  </w:style>
  <w:style w:type="character" w:styleId="FollowedHyperlink">
    <w:name w:val="FollowedHyperlink"/>
    <w:basedOn w:val="DefaultParagraphFont"/>
    <w:uiPriority w:val="99"/>
    <w:semiHidden/>
    <w:unhideWhenUsed/>
    <w:rsid w:val="00D92787"/>
    <w:rPr>
      <w:color w:val="800080" w:themeColor="followedHyperlink"/>
      <w:u w:val="single"/>
    </w:rPr>
  </w:style>
  <w:style w:type="character" w:styleId="CommentReference">
    <w:name w:val="annotation reference"/>
    <w:basedOn w:val="DefaultParagraphFont"/>
    <w:uiPriority w:val="99"/>
    <w:semiHidden/>
    <w:unhideWhenUsed/>
    <w:rsid w:val="00C04C13"/>
    <w:rPr>
      <w:sz w:val="16"/>
      <w:szCs w:val="16"/>
    </w:rPr>
  </w:style>
  <w:style w:type="paragraph" w:styleId="CommentText">
    <w:name w:val="annotation text"/>
    <w:basedOn w:val="Normal"/>
    <w:link w:val="CommentTextChar"/>
    <w:uiPriority w:val="99"/>
    <w:semiHidden/>
    <w:unhideWhenUsed/>
    <w:rsid w:val="00C04C13"/>
    <w:pPr>
      <w:spacing w:line="240" w:lineRule="auto"/>
    </w:pPr>
    <w:rPr>
      <w:sz w:val="20"/>
      <w:szCs w:val="20"/>
    </w:rPr>
  </w:style>
  <w:style w:type="character" w:customStyle="1" w:styleId="CommentTextChar">
    <w:name w:val="Comment Text Char"/>
    <w:basedOn w:val="DefaultParagraphFont"/>
    <w:link w:val="CommentText"/>
    <w:uiPriority w:val="99"/>
    <w:semiHidden/>
    <w:rsid w:val="00C04C13"/>
    <w:rPr>
      <w:sz w:val="20"/>
      <w:szCs w:val="20"/>
    </w:rPr>
  </w:style>
  <w:style w:type="paragraph" w:styleId="CommentSubject">
    <w:name w:val="annotation subject"/>
    <w:basedOn w:val="CommentText"/>
    <w:next w:val="CommentText"/>
    <w:link w:val="CommentSubjectChar"/>
    <w:uiPriority w:val="99"/>
    <w:semiHidden/>
    <w:unhideWhenUsed/>
    <w:rsid w:val="00C04C13"/>
    <w:rPr>
      <w:b/>
      <w:bCs/>
    </w:rPr>
  </w:style>
  <w:style w:type="character" w:customStyle="1" w:styleId="CommentSubjectChar">
    <w:name w:val="Comment Subject Char"/>
    <w:basedOn w:val="CommentTextChar"/>
    <w:link w:val="CommentSubject"/>
    <w:uiPriority w:val="99"/>
    <w:semiHidden/>
    <w:rsid w:val="00C04C13"/>
    <w:rPr>
      <w:b/>
      <w:bCs/>
      <w:sz w:val="20"/>
      <w:szCs w:val="20"/>
    </w:rPr>
  </w:style>
  <w:style w:type="paragraph" w:styleId="BalloonText">
    <w:name w:val="Balloon Text"/>
    <w:basedOn w:val="Normal"/>
    <w:link w:val="BalloonTextChar"/>
    <w:uiPriority w:val="99"/>
    <w:semiHidden/>
    <w:unhideWhenUsed/>
    <w:rsid w:val="00C04C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C13"/>
    <w:rPr>
      <w:rFonts w:ascii="Tahoma" w:hAnsi="Tahoma" w:cs="Tahoma"/>
      <w:sz w:val="16"/>
      <w:szCs w:val="16"/>
    </w:rPr>
  </w:style>
  <w:style w:type="table" w:styleId="TableGrid">
    <w:name w:val="Table Grid"/>
    <w:basedOn w:val="TableNormal"/>
    <w:uiPriority w:val="59"/>
    <w:rsid w:val="00E20F67"/>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BookTitle">
    <w:name w:val="Book Title"/>
    <w:basedOn w:val="DefaultParagraphFont"/>
    <w:uiPriority w:val="33"/>
    <w:qFormat/>
    <w:rsid w:val="00A669D1"/>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5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7A25"/>
    <w:rPr>
      <w:color w:val="0000FF" w:themeColor="hyperlink"/>
      <w:u w:val="single"/>
    </w:rPr>
  </w:style>
  <w:style w:type="paragraph" w:styleId="NormalWeb">
    <w:name w:val="Normal (Web)"/>
    <w:basedOn w:val="Normal"/>
    <w:uiPriority w:val="99"/>
    <w:semiHidden/>
    <w:unhideWhenUsed/>
    <w:rsid w:val="005D0732"/>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1144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4441"/>
  </w:style>
  <w:style w:type="paragraph" w:styleId="Footer">
    <w:name w:val="footer"/>
    <w:basedOn w:val="Normal"/>
    <w:link w:val="FooterChar"/>
    <w:uiPriority w:val="99"/>
    <w:unhideWhenUsed/>
    <w:rsid w:val="001144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4441"/>
  </w:style>
  <w:style w:type="character" w:styleId="FollowedHyperlink">
    <w:name w:val="FollowedHyperlink"/>
    <w:basedOn w:val="DefaultParagraphFont"/>
    <w:uiPriority w:val="99"/>
    <w:semiHidden/>
    <w:unhideWhenUsed/>
    <w:rsid w:val="00D92787"/>
    <w:rPr>
      <w:color w:val="800080" w:themeColor="followedHyperlink"/>
      <w:u w:val="single"/>
    </w:rPr>
  </w:style>
  <w:style w:type="character" w:styleId="CommentReference">
    <w:name w:val="annotation reference"/>
    <w:basedOn w:val="DefaultParagraphFont"/>
    <w:uiPriority w:val="99"/>
    <w:semiHidden/>
    <w:unhideWhenUsed/>
    <w:rsid w:val="00C04C13"/>
    <w:rPr>
      <w:sz w:val="16"/>
      <w:szCs w:val="16"/>
    </w:rPr>
  </w:style>
  <w:style w:type="paragraph" w:styleId="CommentText">
    <w:name w:val="annotation text"/>
    <w:basedOn w:val="Normal"/>
    <w:link w:val="CommentTextChar"/>
    <w:uiPriority w:val="99"/>
    <w:semiHidden/>
    <w:unhideWhenUsed/>
    <w:rsid w:val="00C04C13"/>
    <w:pPr>
      <w:spacing w:line="240" w:lineRule="auto"/>
    </w:pPr>
    <w:rPr>
      <w:sz w:val="20"/>
      <w:szCs w:val="20"/>
    </w:rPr>
  </w:style>
  <w:style w:type="character" w:customStyle="1" w:styleId="CommentTextChar">
    <w:name w:val="Comment Text Char"/>
    <w:basedOn w:val="DefaultParagraphFont"/>
    <w:link w:val="CommentText"/>
    <w:uiPriority w:val="99"/>
    <w:semiHidden/>
    <w:rsid w:val="00C04C13"/>
    <w:rPr>
      <w:sz w:val="20"/>
      <w:szCs w:val="20"/>
    </w:rPr>
  </w:style>
  <w:style w:type="paragraph" w:styleId="CommentSubject">
    <w:name w:val="annotation subject"/>
    <w:basedOn w:val="CommentText"/>
    <w:next w:val="CommentText"/>
    <w:link w:val="CommentSubjectChar"/>
    <w:uiPriority w:val="99"/>
    <w:semiHidden/>
    <w:unhideWhenUsed/>
    <w:rsid w:val="00C04C13"/>
    <w:rPr>
      <w:b/>
      <w:bCs/>
    </w:rPr>
  </w:style>
  <w:style w:type="character" w:customStyle="1" w:styleId="CommentSubjectChar">
    <w:name w:val="Comment Subject Char"/>
    <w:basedOn w:val="CommentTextChar"/>
    <w:link w:val="CommentSubject"/>
    <w:uiPriority w:val="99"/>
    <w:semiHidden/>
    <w:rsid w:val="00C04C13"/>
    <w:rPr>
      <w:b/>
      <w:bCs/>
      <w:sz w:val="20"/>
      <w:szCs w:val="20"/>
    </w:rPr>
  </w:style>
  <w:style w:type="paragraph" w:styleId="BalloonText">
    <w:name w:val="Balloon Text"/>
    <w:basedOn w:val="Normal"/>
    <w:link w:val="BalloonTextChar"/>
    <w:uiPriority w:val="99"/>
    <w:semiHidden/>
    <w:unhideWhenUsed/>
    <w:rsid w:val="00C04C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C13"/>
    <w:rPr>
      <w:rFonts w:ascii="Tahoma" w:hAnsi="Tahoma" w:cs="Tahoma"/>
      <w:sz w:val="16"/>
      <w:szCs w:val="16"/>
    </w:rPr>
  </w:style>
  <w:style w:type="table" w:styleId="TableGrid">
    <w:name w:val="Table Grid"/>
    <w:basedOn w:val="TableNormal"/>
    <w:uiPriority w:val="59"/>
    <w:rsid w:val="00E20F67"/>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BookTitle">
    <w:name w:val="Book Title"/>
    <w:basedOn w:val="DefaultParagraphFont"/>
    <w:uiPriority w:val="33"/>
    <w:qFormat/>
    <w:rsid w:val="00A669D1"/>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197000">
      <w:bodyDiv w:val="1"/>
      <w:marLeft w:val="0"/>
      <w:marRight w:val="0"/>
      <w:marTop w:val="0"/>
      <w:marBottom w:val="0"/>
      <w:divBdr>
        <w:top w:val="none" w:sz="0" w:space="0" w:color="auto"/>
        <w:left w:val="none" w:sz="0" w:space="0" w:color="auto"/>
        <w:bottom w:val="none" w:sz="0" w:space="0" w:color="auto"/>
        <w:right w:val="none" w:sz="0" w:space="0" w:color="auto"/>
      </w:divBdr>
    </w:div>
    <w:div w:id="1155562542">
      <w:bodyDiv w:val="1"/>
      <w:marLeft w:val="0"/>
      <w:marRight w:val="0"/>
      <w:marTop w:val="0"/>
      <w:marBottom w:val="0"/>
      <w:divBdr>
        <w:top w:val="none" w:sz="0" w:space="0" w:color="auto"/>
        <w:left w:val="none" w:sz="0" w:space="0" w:color="auto"/>
        <w:bottom w:val="none" w:sz="0" w:space="0" w:color="auto"/>
        <w:right w:val="none" w:sz="0" w:space="0" w:color="auto"/>
      </w:divBdr>
    </w:div>
    <w:div w:id="147078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fizer.com/news/press-release/press-release-detail/pfizer_presents_detailed_results_from_landmark_community_acquired_pneumonia_immunization_trial_in_adults_capita_evaluating_efficacy_of_prevenar_1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v.uk/government/uploads/system/uploads/attachment_data/file/224765/JCVI_statement_on_pneumococcal_vaccination_for_clinical_risk_groups_Final.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ebarchive.nationalarchives.gov.uk/20130107105354/http://www.dh.gov.uk/prod_consum_dh/groups/dh_digitalassets/@dh/@ab/documents/digitalasset/dh_128704.pdf" TargetMode="External"/><Relationship Id="rId4" Type="http://schemas.microsoft.com/office/2007/relationships/stylesWithEffects" Target="stylesWithEffects.xml"/><Relationship Id="rId9" Type="http://schemas.openxmlformats.org/officeDocument/2006/relationships/hyperlink" Target="mailto:j.l.j.heaney@bham.ac.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dx.doi.org/10.1093/gerona/glv085"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calaLancetPro">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0DE"/>
    <w:rsid w:val="003330DE"/>
    <w:rsid w:val="00F740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1EAB679085404BB8A528B526F80439">
    <w:name w:val="2E1EAB679085404BB8A528B526F80439"/>
    <w:rsid w:val="003330D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1EAB679085404BB8A528B526F80439">
    <w:name w:val="2E1EAB679085404BB8A528B526F80439"/>
    <w:rsid w:val="003330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4A92B-FD46-4A06-85FB-79A1A1AF3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22</Pages>
  <Words>12485</Words>
  <Characters>71166</Characters>
  <Application>Microsoft Office Word</Application>
  <DocSecurity>0</DocSecurity>
  <Lines>593</Lines>
  <Paragraphs>166</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83485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Heaney</dc:creator>
  <cp:lastModifiedBy>Anna Phillips</cp:lastModifiedBy>
  <cp:revision>23</cp:revision>
  <dcterms:created xsi:type="dcterms:W3CDTF">2015-05-02T18:36:00Z</dcterms:created>
  <dcterms:modified xsi:type="dcterms:W3CDTF">2015-10-09T09:34:00Z</dcterms:modified>
</cp:coreProperties>
</file>