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C652" w14:textId="59AAD100" w:rsidR="008B2F57" w:rsidRPr="008F3998" w:rsidRDefault="008B2F57">
      <w:pPr>
        <w:rPr>
          <w:rFonts w:ascii="Times New Roman" w:hAnsi="Times New Roman" w:cs="Times New Roman"/>
          <w:b/>
          <w:i/>
          <w:iCs/>
          <w:sz w:val="24"/>
          <w:szCs w:val="28"/>
          <w:shd w:val="clear" w:color="auto" w:fill="FFFFFF"/>
        </w:rPr>
      </w:pPr>
    </w:p>
    <w:p w14:paraId="0D8091E2" w14:textId="77777777" w:rsidR="008B2F57" w:rsidRPr="008F3998" w:rsidRDefault="008B2F57">
      <w:pPr>
        <w:rPr>
          <w:rFonts w:ascii="Times New Roman" w:hAnsi="Times New Roman" w:cs="Times New Roman"/>
          <w:b/>
          <w:i/>
          <w:iCs/>
          <w:sz w:val="24"/>
          <w:szCs w:val="28"/>
          <w:shd w:val="clear" w:color="auto" w:fill="FFFFFF"/>
        </w:rPr>
      </w:pPr>
    </w:p>
    <w:p w14:paraId="056F7DDE" w14:textId="32D71B29" w:rsidR="009968FF" w:rsidRPr="008F3998" w:rsidRDefault="009968FF" w:rsidP="004B1872">
      <w:pPr>
        <w:contextualSpacing/>
        <w:jc w:val="center"/>
        <w:rPr>
          <w:rFonts w:ascii="Times New Roman" w:hAnsi="Times New Roman" w:cs="Times New Roman"/>
          <w:b/>
          <w:i/>
          <w:iCs/>
          <w:sz w:val="24"/>
          <w:szCs w:val="28"/>
          <w:shd w:val="clear" w:color="auto" w:fill="FFFFFF"/>
        </w:rPr>
      </w:pPr>
      <w:r w:rsidRPr="008F3998">
        <w:rPr>
          <w:rFonts w:ascii="Times New Roman" w:hAnsi="Times New Roman" w:cs="Times New Roman"/>
          <w:b/>
          <w:i/>
          <w:iCs/>
          <w:sz w:val="24"/>
          <w:szCs w:val="28"/>
          <w:shd w:val="clear" w:color="auto" w:fill="FFFFFF"/>
        </w:rPr>
        <w:t>Abstract</w:t>
      </w:r>
    </w:p>
    <w:p w14:paraId="213C6852" w14:textId="053A7863" w:rsidR="009968FF" w:rsidRPr="008F3998" w:rsidRDefault="009968FF" w:rsidP="003C0A6E">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This paper empirically investigate</w:t>
      </w:r>
      <w:r w:rsidR="000C2448" w:rsidRPr="008F3998">
        <w:rPr>
          <w:rFonts w:ascii="Times New Roman" w:hAnsi="Times New Roman" w:cs="Times New Roman"/>
          <w:sz w:val="24"/>
          <w:szCs w:val="24"/>
        </w:rPr>
        <w:t>s</w:t>
      </w:r>
      <w:r w:rsidRPr="008F3998">
        <w:rPr>
          <w:rFonts w:ascii="Times New Roman" w:hAnsi="Times New Roman" w:cs="Times New Roman"/>
          <w:sz w:val="24"/>
          <w:szCs w:val="24"/>
        </w:rPr>
        <w:t xml:space="preserve"> </w:t>
      </w:r>
      <w:r w:rsidR="00501803" w:rsidRPr="008F3998">
        <w:rPr>
          <w:rFonts w:ascii="Times New Roman" w:hAnsi="Times New Roman" w:cs="Times New Roman"/>
          <w:sz w:val="24"/>
          <w:szCs w:val="24"/>
        </w:rPr>
        <w:t>a</w:t>
      </w:r>
      <w:r w:rsidR="239B2C35" w:rsidRPr="008F3998">
        <w:rPr>
          <w:rFonts w:ascii="Times New Roman" w:hAnsi="Times New Roman" w:cs="Times New Roman"/>
          <w:sz w:val="24"/>
          <w:szCs w:val="24"/>
        </w:rPr>
        <w:t xml:space="preserve"> </w:t>
      </w:r>
      <w:r w:rsidR="00501803" w:rsidRPr="008F3998">
        <w:rPr>
          <w:rFonts w:ascii="Times New Roman" w:hAnsi="Times New Roman" w:cs="Times New Roman"/>
          <w:sz w:val="24"/>
          <w:szCs w:val="24"/>
        </w:rPr>
        <w:t>question</w:t>
      </w:r>
      <w:r w:rsidR="4D922C16" w:rsidRPr="008F3998">
        <w:rPr>
          <w:rFonts w:ascii="Times New Roman" w:hAnsi="Times New Roman" w:cs="Times New Roman"/>
          <w:sz w:val="24"/>
          <w:szCs w:val="24"/>
        </w:rPr>
        <w:t xml:space="preserve"> based on Paris global climate deal (COP21)</w:t>
      </w:r>
      <w:r w:rsidR="00712CCF" w:rsidRPr="008F3998">
        <w:rPr>
          <w:rFonts w:ascii="Times New Roman" w:hAnsi="Times New Roman" w:cs="Times New Roman"/>
          <w:sz w:val="24"/>
          <w:szCs w:val="24"/>
        </w:rPr>
        <w:t>:</w:t>
      </w:r>
      <w:r w:rsidR="00501803" w:rsidRPr="008F3998">
        <w:rPr>
          <w:rFonts w:ascii="Times New Roman" w:hAnsi="Times New Roman" w:cs="Times New Roman"/>
          <w:sz w:val="24"/>
          <w:szCs w:val="24"/>
        </w:rPr>
        <w:t xml:space="preserve"> </w:t>
      </w:r>
      <w:r w:rsidR="00712CCF" w:rsidRPr="008F3998">
        <w:rPr>
          <w:rFonts w:ascii="Times New Roman" w:hAnsi="Times New Roman" w:cs="Times New Roman"/>
          <w:sz w:val="24"/>
          <w:szCs w:val="24"/>
        </w:rPr>
        <w:t>what is</w:t>
      </w:r>
      <w:r w:rsidR="00501803" w:rsidRPr="008F3998">
        <w:rPr>
          <w:rFonts w:ascii="Times New Roman" w:hAnsi="Times New Roman" w:cs="Times New Roman"/>
          <w:sz w:val="24"/>
          <w:szCs w:val="24"/>
        </w:rPr>
        <w:t xml:space="preserve"> </w:t>
      </w:r>
      <w:r w:rsidRPr="008F3998">
        <w:rPr>
          <w:rFonts w:ascii="Times New Roman" w:hAnsi="Times New Roman" w:cs="Times New Roman"/>
          <w:sz w:val="24"/>
          <w:szCs w:val="24"/>
        </w:rPr>
        <w:t xml:space="preserve">the effect of </w:t>
      </w:r>
      <w:r w:rsidR="00B24B51" w:rsidRPr="008F3998">
        <w:rPr>
          <w:rFonts w:ascii="Times New Roman" w:hAnsi="Times New Roman" w:cs="Times New Roman"/>
          <w:sz w:val="24"/>
          <w:szCs w:val="24"/>
        </w:rPr>
        <w:t>carbon emissions</w:t>
      </w:r>
      <w:r w:rsidRPr="008F3998">
        <w:rPr>
          <w:rFonts w:ascii="Times New Roman" w:hAnsi="Times New Roman" w:cs="Times New Roman"/>
          <w:sz w:val="24"/>
          <w:szCs w:val="24"/>
        </w:rPr>
        <w:t xml:space="preserve"> </w:t>
      </w:r>
      <w:r w:rsidR="00B24B51" w:rsidRPr="008F3998">
        <w:rPr>
          <w:rFonts w:ascii="Times New Roman" w:hAnsi="Times New Roman" w:cs="Times New Roman"/>
          <w:sz w:val="24"/>
          <w:szCs w:val="24"/>
        </w:rPr>
        <w:t>on sovereign risk</w:t>
      </w:r>
      <w:r w:rsidR="00712CCF" w:rsidRPr="008F3998">
        <w:rPr>
          <w:rFonts w:ascii="Times New Roman" w:hAnsi="Times New Roman" w:cs="Times New Roman"/>
          <w:sz w:val="24"/>
          <w:szCs w:val="24"/>
        </w:rPr>
        <w:t>?</w:t>
      </w:r>
      <w:r w:rsidR="00424518" w:rsidRPr="008F3998">
        <w:rPr>
          <w:rFonts w:ascii="Times New Roman" w:hAnsi="Times New Roman" w:cs="Times New Roman"/>
          <w:sz w:val="24"/>
          <w:szCs w:val="24"/>
        </w:rPr>
        <w:t xml:space="preserve"> </w:t>
      </w:r>
      <w:r w:rsidR="239B2C35" w:rsidRPr="008F3998">
        <w:rPr>
          <w:rFonts w:ascii="Times New Roman" w:eastAsia="Times New Roman" w:hAnsi="Times New Roman" w:cs="Times New Roman"/>
          <w:sz w:val="24"/>
          <w:szCs w:val="24"/>
        </w:rPr>
        <w:t xml:space="preserve">To answer this question, we use fixed effects model by using </w:t>
      </w:r>
      <w:r w:rsidR="7BD43A6C" w:rsidRPr="008F3998">
        <w:rPr>
          <w:rFonts w:ascii="Times New Roman" w:eastAsia="Times New Roman" w:hAnsi="Times New Roman" w:cs="Times New Roman"/>
          <w:sz w:val="24"/>
          <w:szCs w:val="24"/>
        </w:rPr>
        <w:t xml:space="preserve">annual </w:t>
      </w:r>
      <w:r w:rsidR="239B2C35" w:rsidRPr="008F3998">
        <w:rPr>
          <w:rFonts w:ascii="Times New Roman" w:eastAsia="Times New Roman" w:hAnsi="Times New Roman" w:cs="Times New Roman"/>
          <w:sz w:val="24"/>
          <w:szCs w:val="24"/>
        </w:rPr>
        <w:t>data from G7 advanced economies, which includes Canada, France, Germany, Italy, Japan, UK and USA, for the period from 1996 to 2014.</w:t>
      </w:r>
      <w:r w:rsidR="00501803" w:rsidRPr="008F3998">
        <w:rPr>
          <w:rFonts w:ascii="Times New Roman" w:hAnsi="Times New Roman" w:cs="Times New Roman"/>
          <w:sz w:val="24"/>
          <w:szCs w:val="24"/>
        </w:rPr>
        <w:t xml:space="preserve"> We </w:t>
      </w:r>
      <w:r w:rsidR="00712EA1" w:rsidRPr="008F3998">
        <w:rPr>
          <w:rFonts w:ascii="Times New Roman" w:hAnsi="Times New Roman" w:cs="Times New Roman"/>
          <w:sz w:val="24"/>
          <w:szCs w:val="24"/>
        </w:rPr>
        <w:t xml:space="preserve">employ </w:t>
      </w:r>
      <w:r w:rsidR="00501803" w:rsidRPr="008F3998">
        <w:rPr>
          <w:rFonts w:ascii="Times New Roman" w:hAnsi="Times New Roman" w:cs="Times New Roman"/>
          <w:sz w:val="24"/>
          <w:szCs w:val="24"/>
        </w:rPr>
        <w:t>a novel extreme value theory to measure sovereign risk.</w:t>
      </w:r>
      <w:r w:rsidR="00B24B51" w:rsidRPr="008F3998">
        <w:rPr>
          <w:rFonts w:ascii="Times New Roman" w:hAnsi="Times New Roman" w:cs="Times New Roman"/>
          <w:sz w:val="24"/>
          <w:szCs w:val="24"/>
        </w:rPr>
        <w:t xml:space="preserve"> </w:t>
      </w:r>
      <w:r w:rsidR="00423ACE" w:rsidRPr="008F3998">
        <w:rPr>
          <w:rFonts w:ascii="Times New Roman" w:hAnsi="Times New Roman" w:cs="Times New Roman"/>
          <w:sz w:val="24"/>
          <w:szCs w:val="24"/>
        </w:rPr>
        <w:t>The results indicate that c</w:t>
      </w:r>
      <w:r w:rsidR="00951B99" w:rsidRPr="008F3998">
        <w:rPr>
          <w:rFonts w:ascii="Times New Roman" w:hAnsi="Times New Roman" w:cs="Times New Roman"/>
          <w:sz w:val="24"/>
          <w:szCs w:val="24"/>
        </w:rPr>
        <w:t>limate change</w:t>
      </w:r>
      <w:r w:rsidR="009D4938" w:rsidRPr="008F3998">
        <w:rPr>
          <w:rFonts w:ascii="Times New Roman" w:hAnsi="Times New Roman" w:cs="Times New Roman"/>
          <w:sz w:val="24"/>
          <w:szCs w:val="24"/>
        </w:rPr>
        <w:t xml:space="preserve"> </w:t>
      </w:r>
      <w:r w:rsidRPr="008F3998">
        <w:rPr>
          <w:rFonts w:ascii="Times New Roman" w:hAnsi="Times New Roman" w:cs="Times New Roman"/>
          <w:sz w:val="24"/>
          <w:szCs w:val="24"/>
        </w:rPr>
        <w:t xml:space="preserve">(carbon emissions) are likely to increase sovereign risk </w:t>
      </w:r>
      <w:r w:rsidR="00886647" w:rsidRPr="008F3998">
        <w:rPr>
          <w:rFonts w:ascii="Times New Roman" w:hAnsi="Times New Roman" w:cs="Times New Roman"/>
          <w:sz w:val="24"/>
          <w:szCs w:val="24"/>
        </w:rPr>
        <w:t xml:space="preserve">significantly. We also expand our analysis to some specific </w:t>
      </w:r>
      <w:r w:rsidR="002411C0" w:rsidRPr="008F3998">
        <w:rPr>
          <w:rFonts w:ascii="Times New Roman" w:hAnsi="Times New Roman" w:cs="Times New Roman"/>
          <w:sz w:val="24"/>
          <w:szCs w:val="24"/>
        </w:rPr>
        <w:t xml:space="preserve">sectors, </w:t>
      </w:r>
      <w:r w:rsidR="00886647" w:rsidRPr="008F3998">
        <w:rPr>
          <w:rFonts w:ascii="Times New Roman" w:hAnsi="Times New Roman" w:cs="Times New Roman"/>
          <w:sz w:val="24"/>
          <w:szCs w:val="24"/>
        </w:rPr>
        <w:t xml:space="preserve">as some of the </w:t>
      </w:r>
      <w:r w:rsidR="002411C0" w:rsidRPr="008F3998">
        <w:rPr>
          <w:rFonts w:ascii="Times New Roman" w:hAnsi="Times New Roman" w:cs="Times New Roman"/>
          <w:sz w:val="24"/>
          <w:szCs w:val="24"/>
        </w:rPr>
        <w:t xml:space="preserve">sectors </w:t>
      </w:r>
      <w:r w:rsidR="00312D5C" w:rsidRPr="008F3998">
        <w:rPr>
          <w:rFonts w:ascii="Times New Roman" w:hAnsi="Times New Roman" w:cs="Times New Roman"/>
          <w:sz w:val="24"/>
          <w:szCs w:val="24"/>
        </w:rPr>
        <w:t>emit more carbon than others.</w:t>
      </w:r>
      <w:r w:rsidR="00886647" w:rsidRPr="008F3998">
        <w:rPr>
          <w:rFonts w:ascii="Times New Roman" w:hAnsi="Times New Roman" w:cs="Times New Roman"/>
          <w:sz w:val="24"/>
          <w:szCs w:val="24"/>
        </w:rPr>
        <w:t xml:space="preserve"> </w:t>
      </w:r>
      <w:r w:rsidR="00312D5C" w:rsidRPr="008F3998">
        <w:rPr>
          <w:rFonts w:ascii="Times New Roman" w:hAnsi="Times New Roman" w:cs="Times New Roman"/>
          <w:sz w:val="24"/>
          <w:szCs w:val="24"/>
        </w:rPr>
        <w:t xml:space="preserve">Specifically, </w:t>
      </w:r>
      <w:r w:rsidR="00382F7E" w:rsidRPr="008F3998">
        <w:rPr>
          <w:rFonts w:ascii="Times New Roman" w:hAnsi="Times New Roman" w:cs="Times New Roman"/>
          <w:sz w:val="24"/>
          <w:szCs w:val="24"/>
        </w:rPr>
        <w:t xml:space="preserve">we take top </w:t>
      </w:r>
      <w:r w:rsidR="00E23131" w:rsidRPr="008F3998">
        <w:rPr>
          <w:rFonts w:ascii="Times New Roman" w:hAnsi="Times New Roman" w:cs="Times New Roman"/>
          <w:sz w:val="24"/>
          <w:szCs w:val="24"/>
        </w:rPr>
        <w:t>three</w:t>
      </w:r>
      <w:r w:rsidR="00382F7E" w:rsidRPr="008F3998">
        <w:rPr>
          <w:rFonts w:ascii="Times New Roman" w:hAnsi="Times New Roman" w:cs="Times New Roman"/>
          <w:sz w:val="24"/>
          <w:szCs w:val="24"/>
        </w:rPr>
        <w:t xml:space="preserve"> polluting sectors</w:t>
      </w:r>
      <w:r w:rsidR="00312D5C" w:rsidRPr="008F3998">
        <w:rPr>
          <w:rFonts w:ascii="Times New Roman" w:hAnsi="Times New Roman" w:cs="Times New Roman"/>
          <w:sz w:val="24"/>
          <w:szCs w:val="24"/>
        </w:rPr>
        <w:t xml:space="preserve"> namely: transportation, electricity and industry and show that they are more likely to increase the sovereign risk. Our results are robust to change in risk measures, estimation in differences and dynamic version of econometric models. </w:t>
      </w:r>
      <w:r w:rsidR="00886647" w:rsidRPr="008F3998">
        <w:rPr>
          <w:rFonts w:ascii="Times New Roman" w:hAnsi="Times New Roman" w:cs="Times New Roman"/>
          <w:sz w:val="24"/>
          <w:szCs w:val="24"/>
        </w:rPr>
        <w:t>Therefore, we have robust consideration that the results significantly explain the</w:t>
      </w:r>
      <w:r w:rsidR="002411C0" w:rsidRPr="008F3998">
        <w:rPr>
          <w:rFonts w:ascii="Times New Roman" w:hAnsi="Times New Roman" w:cs="Times New Roman"/>
          <w:sz w:val="24"/>
          <w:szCs w:val="24"/>
        </w:rPr>
        <w:t xml:space="preserve"> sovereign</w:t>
      </w:r>
      <w:r w:rsidR="00886647" w:rsidRPr="008F3998">
        <w:rPr>
          <w:rFonts w:ascii="Times New Roman" w:hAnsi="Times New Roman" w:cs="Times New Roman"/>
          <w:sz w:val="24"/>
          <w:szCs w:val="24"/>
        </w:rPr>
        <w:t xml:space="preserve"> risk.</w:t>
      </w:r>
    </w:p>
    <w:p w14:paraId="257ACDE2" w14:textId="77777777" w:rsidR="000A2F26" w:rsidRPr="008F3998" w:rsidRDefault="000A2F26" w:rsidP="004B1872">
      <w:pPr>
        <w:rPr>
          <w:rFonts w:ascii="Times New Roman" w:hAnsi="Times New Roman" w:cs="Times New Roman"/>
        </w:rPr>
      </w:pPr>
    </w:p>
    <w:p w14:paraId="73392480" w14:textId="77777777" w:rsidR="000A2F26" w:rsidRPr="008F3998" w:rsidRDefault="000A2F26" w:rsidP="004B1872">
      <w:pPr>
        <w:contextualSpacing/>
        <w:jc w:val="both"/>
        <w:rPr>
          <w:rFonts w:ascii="Times New Roman" w:hAnsi="Times New Roman" w:cs="Times New Roman"/>
          <w:lang w:val="de-DE"/>
        </w:rPr>
      </w:pPr>
      <w:r w:rsidRPr="008F3998">
        <w:rPr>
          <w:rFonts w:ascii="Times New Roman" w:hAnsi="Times New Roman" w:cs="Times New Roman"/>
          <w:b/>
          <w:bCs/>
          <w:lang w:val="de-DE"/>
        </w:rPr>
        <w:t>JEL codes:</w:t>
      </w:r>
      <w:r w:rsidRPr="008F3998">
        <w:rPr>
          <w:rFonts w:ascii="Times New Roman" w:hAnsi="Times New Roman" w:cs="Times New Roman"/>
          <w:lang w:val="de-DE"/>
        </w:rPr>
        <w:t xml:space="preserve"> </w:t>
      </w:r>
      <w:r w:rsidR="006A5146" w:rsidRPr="008F3998">
        <w:rPr>
          <w:rFonts w:ascii="Times New Roman" w:hAnsi="Times New Roman" w:cs="Times New Roman"/>
          <w:lang w:val="de-DE"/>
        </w:rPr>
        <w:t xml:space="preserve">G15, </w:t>
      </w:r>
      <w:r w:rsidRPr="008F3998">
        <w:rPr>
          <w:rFonts w:ascii="Times New Roman" w:hAnsi="Times New Roman" w:cs="Times New Roman"/>
          <w:lang w:val="de-DE"/>
        </w:rPr>
        <w:t>C49</w:t>
      </w:r>
      <w:r w:rsidR="00C339A5" w:rsidRPr="008F3998">
        <w:rPr>
          <w:rFonts w:ascii="Times New Roman" w:hAnsi="Times New Roman" w:cs="Times New Roman"/>
          <w:lang w:val="de-DE"/>
        </w:rPr>
        <w:t>, O50, Q54</w:t>
      </w:r>
    </w:p>
    <w:p w14:paraId="723A34B0" w14:textId="2F2932C0" w:rsidR="002D0EFA" w:rsidRPr="008F3998" w:rsidRDefault="000C2448" w:rsidP="004B1872">
      <w:pPr>
        <w:contextualSpacing/>
        <w:jc w:val="both"/>
        <w:rPr>
          <w:rFonts w:ascii="Times New Roman" w:hAnsi="Times New Roman" w:cs="Times New Roman"/>
        </w:rPr>
      </w:pPr>
      <w:r w:rsidRPr="008F3998">
        <w:rPr>
          <w:rFonts w:ascii="Times New Roman" w:hAnsi="Times New Roman" w:cs="Times New Roman"/>
          <w:b/>
          <w:bCs/>
        </w:rPr>
        <w:t>Keyw</w:t>
      </w:r>
      <w:r w:rsidR="002D0EFA" w:rsidRPr="008F3998">
        <w:rPr>
          <w:rFonts w:ascii="Times New Roman" w:hAnsi="Times New Roman" w:cs="Times New Roman"/>
          <w:b/>
          <w:bCs/>
        </w:rPr>
        <w:t>ords:</w:t>
      </w:r>
      <w:r w:rsidR="002D0EFA" w:rsidRPr="008F3998">
        <w:rPr>
          <w:rFonts w:ascii="Times New Roman" w:hAnsi="Times New Roman" w:cs="Times New Roman"/>
        </w:rPr>
        <w:t xml:space="preserve"> </w:t>
      </w:r>
      <w:r w:rsidR="00817CE1" w:rsidRPr="008F3998">
        <w:rPr>
          <w:rFonts w:ascii="Times New Roman" w:hAnsi="Times New Roman" w:cs="Times New Roman"/>
        </w:rPr>
        <w:t>s</w:t>
      </w:r>
      <w:r w:rsidR="001F2D8D" w:rsidRPr="008F3998">
        <w:rPr>
          <w:rFonts w:ascii="Times New Roman" w:hAnsi="Times New Roman" w:cs="Times New Roman"/>
        </w:rPr>
        <w:t>overeign risk</w:t>
      </w:r>
      <w:r w:rsidR="004B1872" w:rsidRPr="008F3998">
        <w:rPr>
          <w:rFonts w:ascii="Times New Roman" w:hAnsi="Times New Roman" w:cs="Times New Roman"/>
        </w:rPr>
        <w:t>;</w:t>
      </w:r>
      <w:r w:rsidR="002D0EFA" w:rsidRPr="008F3998">
        <w:rPr>
          <w:rFonts w:ascii="Times New Roman" w:hAnsi="Times New Roman" w:cs="Times New Roman"/>
        </w:rPr>
        <w:t xml:space="preserve"> </w:t>
      </w:r>
      <w:r w:rsidR="00817CE1" w:rsidRPr="008F3998">
        <w:rPr>
          <w:rFonts w:ascii="Times New Roman" w:hAnsi="Times New Roman" w:cs="Times New Roman"/>
        </w:rPr>
        <w:t xml:space="preserve">multivariate </w:t>
      </w:r>
      <w:r w:rsidR="00AA5C2E" w:rsidRPr="008F3998">
        <w:rPr>
          <w:rFonts w:ascii="Times New Roman" w:hAnsi="Times New Roman" w:cs="Times New Roman"/>
        </w:rPr>
        <w:t>extreme value theory</w:t>
      </w:r>
      <w:r w:rsidR="004B1872" w:rsidRPr="008F3998">
        <w:rPr>
          <w:rFonts w:ascii="Times New Roman" w:hAnsi="Times New Roman" w:cs="Times New Roman"/>
        </w:rPr>
        <w:t>;</w:t>
      </w:r>
      <w:r w:rsidR="00AA5C2E" w:rsidRPr="008F3998">
        <w:rPr>
          <w:rFonts w:ascii="Times New Roman" w:hAnsi="Times New Roman" w:cs="Times New Roman"/>
        </w:rPr>
        <w:t xml:space="preserve"> </w:t>
      </w:r>
      <w:r w:rsidR="00E616F8" w:rsidRPr="008F3998">
        <w:rPr>
          <w:rFonts w:ascii="Times New Roman" w:hAnsi="Times New Roman" w:cs="Times New Roman"/>
        </w:rPr>
        <w:t>climate change</w:t>
      </w:r>
      <w:r w:rsidR="004B1872" w:rsidRPr="008F3998">
        <w:rPr>
          <w:rFonts w:ascii="Times New Roman" w:hAnsi="Times New Roman" w:cs="Times New Roman"/>
        </w:rPr>
        <w:t>;</w:t>
      </w:r>
      <w:r w:rsidR="00E616F8" w:rsidRPr="008F3998">
        <w:rPr>
          <w:rFonts w:ascii="Times New Roman" w:hAnsi="Times New Roman" w:cs="Times New Roman"/>
        </w:rPr>
        <w:t xml:space="preserve"> </w:t>
      </w:r>
      <w:r w:rsidR="002D0EFA" w:rsidRPr="008F3998">
        <w:rPr>
          <w:rFonts w:ascii="Times New Roman" w:hAnsi="Times New Roman" w:cs="Times New Roman"/>
        </w:rPr>
        <w:t>carbon emission</w:t>
      </w:r>
      <w:r w:rsidR="002B7A62" w:rsidRPr="008F3998">
        <w:rPr>
          <w:rFonts w:ascii="Times New Roman" w:hAnsi="Times New Roman" w:cs="Times New Roman"/>
        </w:rPr>
        <w:t>s</w:t>
      </w:r>
      <w:r w:rsidR="00232917" w:rsidRPr="008F3998">
        <w:rPr>
          <w:rFonts w:ascii="Times New Roman" w:hAnsi="Times New Roman" w:cs="Times New Roman"/>
        </w:rPr>
        <w:t>; G7</w:t>
      </w:r>
    </w:p>
    <w:p w14:paraId="3E043D3F" w14:textId="77777777" w:rsidR="00D7265A" w:rsidRPr="008F3998" w:rsidRDefault="00D7265A">
      <w:pPr>
        <w:rPr>
          <w:rFonts w:ascii="Times New Roman" w:hAnsi="Times New Roman" w:cs="Times New Roman"/>
          <w:b/>
          <w:sz w:val="24"/>
          <w:szCs w:val="24"/>
        </w:rPr>
      </w:pPr>
      <w:r w:rsidRPr="008F3998">
        <w:rPr>
          <w:rFonts w:ascii="Times New Roman" w:hAnsi="Times New Roman" w:cs="Times New Roman"/>
          <w:b/>
          <w:sz w:val="24"/>
          <w:szCs w:val="24"/>
        </w:rPr>
        <w:br w:type="page"/>
      </w:r>
    </w:p>
    <w:p w14:paraId="4817EDA8" w14:textId="4FE964A3" w:rsidR="006D7216" w:rsidRPr="008F3998" w:rsidRDefault="00D7265A" w:rsidP="006D7216">
      <w:pPr>
        <w:pStyle w:val="ListParagraph"/>
        <w:numPr>
          <w:ilvl w:val="0"/>
          <w:numId w:val="1"/>
        </w:numPr>
        <w:spacing w:after="100" w:afterAutospacing="1" w:line="480" w:lineRule="auto"/>
        <w:ind w:left="0" w:firstLine="0"/>
        <w:rPr>
          <w:rFonts w:cs="Times New Roman"/>
          <w:b/>
          <w:szCs w:val="24"/>
        </w:rPr>
      </w:pPr>
      <w:r w:rsidRPr="008F3998">
        <w:rPr>
          <w:rFonts w:cs="Times New Roman"/>
          <w:b/>
          <w:szCs w:val="24"/>
        </w:rPr>
        <w:lastRenderedPageBreak/>
        <w:t>Introduction</w:t>
      </w:r>
    </w:p>
    <w:p w14:paraId="0C92E34F" w14:textId="02833C5B" w:rsidR="1087AD41" w:rsidRPr="008F3998" w:rsidRDefault="55F346EE" w:rsidP="003C0A6E">
      <w:pPr>
        <w:spacing w:before="240" w:afterAutospacing="1"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With the participation of 196 sovereign nations in the Paris global climate deal (COP21) in 2015, the global plan of actions was seriously taken into account to impede the potential threats of an increase of Greenhouse gas (GHG) in the new era. The COP21 negotiations </w:t>
      </w:r>
      <w:r w:rsidR="00DD6757" w:rsidRPr="008F3998">
        <w:rPr>
          <w:rFonts w:ascii="Times New Roman" w:hAnsi="Times New Roman" w:cs="Times New Roman"/>
          <w:sz w:val="24"/>
          <w:szCs w:val="24"/>
        </w:rPr>
        <w:t xml:space="preserve">ended with a promise to </w:t>
      </w:r>
      <w:r w:rsidRPr="008F3998">
        <w:rPr>
          <w:rFonts w:ascii="Times New Roman" w:hAnsi="Times New Roman" w:cs="Times New Roman"/>
          <w:sz w:val="24"/>
          <w:szCs w:val="24"/>
        </w:rPr>
        <w:t>reduc</w:t>
      </w:r>
      <w:r w:rsidR="00DD6757" w:rsidRPr="008F3998">
        <w:rPr>
          <w:rFonts w:ascii="Times New Roman" w:hAnsi="Times New Roman" w:cs="Times New Roman"/>
          <w:sz w:val="24"/>
          <w:szCs w:val="24"/>
        </w:rPr>
        <w:t>e</w:t>
      </w:r>
      <w:r w:rsidRPr="008F3998">
        <w:rPr>
          <w:rFonts w:ascii="Times New Roman" w:hAnsi="Times New Roman" w:cs="Times New Roman"/>
          <w:sz w:val="24"/>
          <w:szCs w:val="24"/>
        </w:rPr>
        <w:t xml:space="preserve"> global climate change measures from 2020. Until COP25 in 2019, not much </w:t>
      </w:r>
      <w:r w:rsidR="00DD6757" w:rsidRPr="008F3998">
        <w:rPr>
          <w:rFonts w:ascii="Times New Roman" w:hAnsi="Times New Roman" w:cs="Times New Roman"/>
          <w:sz w:val="24"/>
          <w:szCs w:val="24"/>
        </w:rPr>
        <w:t>progress</w:t>
      </w:r>
      <w:r w:rsidRPr="008F3998">
        <w:rPr>
          <w:rFonts w:ascii="Times New Roman" w:hAnsi="Times New Roman" w:cs="Times New Roman"/>
          <w:sz w:val="24"/>
          <w:szCs w:val="24"/>
        </w:rPr>
        <w:t xml:space="preserve"> has been made to restrict two degree Celsius temperatures in comparison with the pre-industrial levels (Haber, 2016). COP25 was also defined as an ‘Ambitious COP’ as countries have to make concrete efforts from 2020. In COP25, progress was checked against outstanding rules, assessment of loss and damage was made as per Warsaw International Mechanism (WIM) and commitments were made toward financial support and capacity building. Despite the global efforts for a change, President Trump’s America decided to withdraw from the Paris accord (Rhodes, 2017). Many Democrat senators criticized this political decision because it might hurt America’s credibility (Blair, 2017). Following the commitments among parties in COP21, Nationally Determined Contributions (NDCs) also declared that there is a green bond market issued by sovereign issuers (Climate Bonds Initiative, 2018). Therefore, the Paris Agreement (COP21) action plan to tackle the climate challenges not only for economic growth but also for the financial system. The governor of the Bank of England, Mark Carney, also highlighted that climate change is a real risk and it can be an issue for financial stability (Carney, 2015).  The possible damaging concerns of climate change and its implications for our economy and living standards are undesirable. Moreover, these concerns lead to irreversible environmental events, such as loss of land, species and major interruption of global oceanic circulation, which damages the global economy and causing sovereign risk (IPCC, 2001). As carbon emissions have a substantial impact on climate change and climate change is a great threat for financial stability, a natural question arises whether the carbon emissions have any impact on sovereign risk. This innovation of studying the impact of carbon emissions on sovereign risk will inform policy makers the devastating impact of </w:t>
      </w:r>
      <w:r w:rsidRPr="008F3998">
        <w:rPr>
          <w:rFonts w:ascii="Times New Roman" w:hAnsi="Times New Roman" w:cs="Times New Roman"/>
          <w:sz w:val="24"/>
          <w:szCs w:val="24"/>
        </w:rPr>
        <w:lastRenderedPageBreak/>
        <w:t xml:space="preserve">carbon emissions and will help achieve the Nationally Determined Contributions (NDCs), as described in the COP21 and have </w:t>
      </w:r>
      <w:r w:rsidR="00C004F7" w:rsidRPr="008F3998">
        <w:rPr>
          <w:rFonts w:ascii="Times New Roman" w:hAnsi="Times New Roman" w:cs="Times New Roman"/>
          <w:sz w:val="24"/>
          <w:szCs w:val="24"/>
        </w:rPr>
        <w:t>continuously been</w:t>
      </w:r>
      <w:r w:rsidRPr="008F3998">
        <w:rPr>
          <w:rFonts w:ascii="Times New Roman" w:hAnsi="Times New Roman" w:cs="Times New Roman"/>
          <w:sz w:val="24"/>
          <w:szCs w:val="24"/>
        </w:rPr>
        <w:t xml:space="preserve"> reviewed until COP25. </w:t>
      </w:r>
    </w:p>
    <w:p w14:paraId="74B1D614" w14:textId="470DFCE9" w:rsidR="00194B75" w:rsidRPr="008F3998" w:rsidRDefault="55F346EE" w:rsidP="003C0A6E">
      <w:pPr>
        <w:spacing w:after="100" w:afterAutospacing="1"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There are different definitions and types of risk. However, there is no consensus in the literature about definition of risk and quite often the concepts of ‘risk and uncertainty’ are used interchangeably.</w:t>
      </w:r>
      <w:r w:rsidR="00F026EB" w:rsidRPr="008F3998">
        <w:rPr>
          <w:rStyle w:val="FootnoteReference"/>
          <w:rFonts w:ascii="Times New Roman" w:hAnsi="Times New Roman" w:cs="Times New Roman"/>
          <w:sz w:val="24"/>
          <w:szCs w:val="24"/>
        </w:rPr>
        <w:footnoteReference w:id="1"/>
      </w:r>
      <w:r w:rsidRPr="008F3998">
        <w:rPr>
          <w:rFonts w:ascii="Times New Roman" w:hAnsi="Times New Roman" w:cs="Times New Roman"/>
          <w:sz w:val="24"/>
          <w:szCs w:val="24"/>
        </w:rPr>
        <w:t xml:space="preserve"> In this paper, we use country equity index returns to measure sovereign risk, which is represented </w:t>
      </w:r>
      <w:r w:rsidR="00D7265A" w:rsidRPr="008F3998">
        <w:rPr>
          <w:rFonts w:ascii="Times New Roman" w:hAnsi="Times New Roman" w:cs="Times New Roman"/>
          <w:sz w:val="24"/>
          <w:szCs w:val="24"/>
        </w:rPr>
        <w:t>by repayment capacity of government through their bonds and considered as one of the key asset class for investors</w:t>
      </w:r>
      <w:r w:rsidR="00A96543" w:rsidRPr="008F3998">
        <w:rPr>
          <w:rFonts w:ascii="Times New Roman" w:hAnsi="Times New Roman" w:cs="Times New Roman"/>
          <w:sz w:val="24"/>
          <w:szCs w:val="24"/>
        </w:rPr>
        <w:t xml:space="preserve">. </w:t>
      </w:r>
      <w:r w:rsidR="00D7265A" w:rsidRPr="008F3998">
        <w:rPr>
          <w:rFonts w:ascii="Times New Roman" w:hAnsi="Times New Roman" w:cs="Times New Roman"/>
          <w:sz w:val="24"/>
          <w:szCs w:val="24"/>
        </w:rPr>
        <w:t xml:space="preserve"> </w:t>
      </w:r>
      <w:r w:rsidR="00A96543" w:rsidRPr="008F3998">
        <w:rPr>
          <w:rFonts w:ascii="Times New Roman" w:hAnsi="Times New Roman" w:cs="Times New Roman"/>
          <w:sz w:val="24"/>
          <w:szCs w:val="24"/>
        </w:rPr>
        <w:t>H</w:t>
      </w:r>
      <w:r w:rsidR="00D7265A" w:rsidRPr="008F3998">
        <w:rPr>
          <w:rFonts w:ascii="Times New Roman" w:hAnsi="Times New Roman" w:cs="Times New Roman"/>
          <w:sz w:val="24"/>
          <w:szCs w:val="24"/>
        </w:rPr>
        <w:t xml:space="preserve">owever, environmental risks </w:t>
      </w:r>
      <w:r w:rsidR="00A96543" w:rsidRPr="008F3998">
        <w:rPr>
          <w:rFonts w:ascii="Times New Roman" w:hAnsi="Times New Roman" w:cs="Times New Roman"/>
          <w:sz w:val="24"/>
          <w:szCs w:val="24"/>
        </w:rPr>
        <w:t xml:space="preserve">are generally not incorporated into </w:t>
      </w:r>
      <w:r w:rsidR="00D7265A" w:rsidRPr="008F3998">
        <w:rPr>
          <w:rFonts w:ascii="Times New Roman" w:hAnsi="Times New Roman" w:cs="Times New Roman"/>
          <w:sz w:val="24"/>
          <w:szCs w:val="24"/>
        </w:rPr>
        <w:t>estimating the sovereign risk. Currently, environmental risk and more specifically carbon emission risks are hardly considered by financial institutions when examin</w:t>
      </w:r>
      <w:r w:rsidR="00A96543" w:rsidRPr="008F3998">
        <w:rPr>
          <w:rFonts w:ascii="Times New Roman" w:hAnsi="Times New Roman" w:cs="Times New Roman"/>
          <w:sz w:val="24"/>
          <w:szCs w:val="24"/>
        </w:rPr>
        <w:t>ing</w:t>
      </w:r>
      <w:r w:rsidR="00D7265A" w:rsidRPr="008F3998">
        <w:rPr>
          <w:rFonts w:ascii="Times New Roman" w:hAnsi="Times New Roman" w:cs="Times New Roman"/>
          <w:sz w:val="24"/>
          <w:szCs w:val="24"/>
        </w:rPr>
        <w:t xml:space="preserve"> overall risks at the country level (</w:t>
      </w:r>
      <w:r w:rsidR="008D5177" w:rsidRPr="008F3998">
        <w:rPr>
          <w:rFonts w:ascii="Times New Roman" w:hAnsi="Times New Roman" w:cs="Times New Roman"/>
          <w:sz w:val="24"/>
          <w:szCs w:val="24"/>
        </w:rPr>
        <w:t>UNPRI</w:t>
      </w:r>
      <w:r w:rsidR="00D7265A" w:rsidRPr="008F3998">
        <w:rPr>
          <w:rFonts w:ascii="Times New Roman" w:hAnsi="Times New Roman" w:cs="Times New Roman"/>
          <w:sz w:val="24"/>
          <w:szCs w:val="24"/>
        </w:rPr>
        <w:t xml:space="preserve"> and UNEP-FI, </w:t>
      </w:r>
      <w:hyperlink r:id="rId8" w:history="1">
        <w:r w:rsidR="00D7265A" w:rsidRPr="008F3998">
          <w:rPr>
            <w:rFonts w:ascii="Times New Roman" w:hAnsi="Times New Roman" w:cs="Times New Roman"/>
            <w:sz w:val="24"/>
            <w:szCs w:val="24"/>
          </w:rPr>
          <w:t>2011</w:t>
        </w:r>
      </w:hyperlink>
      <w:r w:rsidR="00D7265A" w:rsidRPr="008F3998">
        <w:rPr>
          <w:rFonts w:ascii="Times New Roman" w:hAnsi="Times New Roman" w:cs="Times New Roman"/>
          <w:sz w:val="24"/>
          <w:szCs w:val="24"/>
        </w:rPr>
        <w:t xml:space="preserve">). </w:t>
      </w:r>
      <w:r w:rsidRPr="008F3998">
        <w:rPr>
          <w:rFonts w:ascii="Times New Roman" w:hAnsi="Times New Roman" w:cs="Times New Roman"/>
          <w:sz w:val="24"/>
          <w:szCs w:val="24"/>
        </w:rPr>
        <w:t xml:space="preserve">More precisely, </w:t>
      </w:r>
      <w:r w:rsidR="00D7265A" w:rsidRPr="008F3998">
        <w:rPr>
          <w:rFonts w:ascii="Times New Roman" w:hAnsi="Times New Roman" w:cs="Times New Roman"/>
          <w:sz w:val="24"/>
          <w:szCs w:val="24"/>
        </w:rPr>
        <w:t>environmental risks are not material into the country’s economic and financial performance in the short run (S&amp;P, </w:t>
      </w:r>
      <w:hyperlink r:id="rId9" w:history="1">
        <w:r w:rsidR="00D7265A" w:rsidRPr="008F3998">
          <w:rPr>
            <w:rFonts w:ascii="Times New Roman" w:hAnsi="Times New Roman" w:cs="Times New Roman"/>
            <w:sz w:val="24"/>
            <w:szCs w:val="24"/>
          </w:rPr>
          <w:t>2012</w:t>
        </w:r>
      </w:hyperlink>
      <w:r w:rsidR="00D7265A" w:rsidRPr="008F3998">
        <w:rPr>
          <w:rFonts w:ascii="Times New Roman" w:hAnsi="Times New Roman" w:cs="Times New Roman"/>
          <w:sz w:val="24"/>
          <w:szCs w:val="24"/>
        </w:rPr>
        <w:t xml:space="preserve">). Environmental factors recognised as ‘extra financial’ and </w:t>
      </w:r>
      <w:r w:rsidR="00A96543" w:rsidRPr="008F3998">
        <w:rPr>
          <w:rFonts w:ascii="Times New Roman" w:hAnsi="Times New Roman" w:cs="Times New Roman"/>
          <w:sz w:val="24"/>
          <w:szCs w:val="24"/>
        </w:rPr>
        <w:t xml:space="preserve">are </w:t>
      </w:r>
      <w:r w:rsidR="00D7265A" w:rsidRPr="008F3998">
        <w:rPr>
          <w:rFonts w:ascii="Times New Roman" w:hAnsi="Times New Roman" w:cs="Times New Roman"/>
          <w:sz w:val="24"/>
          <w:szCs w:val="24"/>
        </w:rPr>
        <w:t xml:space="preserve">generally counted with social and governance factors. Therefore, environmental factors are </w:t>
      </w:r>
      <w:r w:rsidR="00A96543" w:rsidRPr="008F3998">
        <w:rPr>
          <w:rFonts w:ascii="Times New Roman" w:hAnsi="Times New Roman" w:cs="Times New Roman"/>
          <w:sz w:val="24"/>
          <w:szCs w:val="24"/>
        </w:rPr>
        <w:t xml:space="preserve">usually </w:t>
      </w:r>
      <w:r w:rsidR="00D7265A" w:rsidRPr="008F3998">
        <w:rPr>
          <w:rFonts w:ascii="Times New Roman" w:hAnsi="Times New Roman" w:cs="Times New Roman"/>
          <w:sz w:val="24"/>
          <w:szCs w:val="24"/>
        </w:rPr>
        <w:t xml:space="preserve">not </w:t>
      </w:r>
      <w:r w:rsidR="00A96543" w:rsidRPr="008F3998">
        <w:rPr>
          <w:rFonts w:ascii="Times New Roman" w:hAnsi="Times New Roman" w:cs="Times New Roman"/>
          <w:sz w:val="24"/>
          <w:szCs w:val="24"/>
        </w:rPr>
        <w:t xml:space="preserve">considered </w:t>
      </w:r>
      <w:r w:rsidR="00D7265A" w:rsidRPr="008F3998">
        <w:rPr>
          <w:rFonts w:ascii="Times New Roman" w:hAnsi="Times New Roman" w:cs="Times New Roman"/>
          <w:sz w:val="24"/>
          <w:szCs w:val="24"/>
        </w:rPr>
        <w:t>because of an established and recognised impact on financial performance but rather considered for ethical reasons (</w:t>
      </w:r>
      <w:proofErr w:type="spellStart"/>
      <w:r w:rsidR="006E40A9" w:rsidRPr="008F3998">
        <w:rPr>
          <w:rFonts w:ascii="Times New Roman" w:hAnsi="Times New Roman" w:cs="Times New Roman"/>
          <w:sz w:val="24"/>
          <w:szCs w:val="24"/>
        </w:rPr>
        <w:t>Clarvis</w:t>
      </w:r>
      <w:proofErr w:type="spellEnd"/>
      <w:r w:rsidR="00D7265A" w:rsidRPr="008F3998">
        <w:rPr>
          <w:rFonts w:ascii="Times New Roman" w:hAnsi="Times New Roman" w:cs="Times New Roman"/>
          <w:sz w:val="24"/>
          <w:szCs w:val="24"/>
        </w:rPr>
        <w:t xml:space="preserve"> et al.</w:t>
      </w:r>
      <w:r w:rsidRPr="008F3998">
        <w:rPr>
          <w:rFonts w:ascii="Times New Roman" w:hAnsi="Times New Roman" w:cs="Times New Roman"/>
          <w:sz w:val="24"/>
          <w:szCs w:val="24"/>
        </w:rPr>
        <w:t>,</w:t>
      </w:r>
      <w:r w:rsidR="00D7265A" w:rsidRPr="008F3998">
        <w:rPr>
          <w:rFonts w:ascii="Times New Roman" w:hAnsi="Times New Roman" w:cs="Times New Roman"/>
          <w:sz w:val="24"/>
          <w:szCs w:val="24"/>
        </w:rPr>
        <w:t xml:space="preserve"> 201</w:t>
      </w:r>
      <w:r w:rsidR="00D60AEE" w:rsidRPr="008F3998">
        <w:rPr>
          <w:rFonts w:ascii="Times New Roman" w:hAnsi="Times New Roman" w:cs="Times New Roman"/>
          <w:sz w:val="24"/>
          <w:szCs w:val="24"/>
        </w:rPr>
        <w:t>4</w:t>
      </w:r>
      <w:r w:rsidR="00D7265A" w:rsidRPr="008F3998">
        <w:rPr>
          <w:rFonts w:ascii="Times New Roman" w:hAnsi="Times New Roman" w:cs="Times New Roman"/>
          <w:sz w:val="24"/>
          <w:szCs w:val="24"/>
        </w:rPr>
        <w:t>).</w:t>
      </w:r>
    </w:p>
    <w:p w14:paraId="165D448E" w14:textId="3006C8D5" w:rsidR="00D7265A" w:rsidRPr="008F3998" w:rsidRDefault="29D2763D" w:rsidP="003C0A6E">
      <w:pPr>
        <w:spacing w:after="100" w:afterAutospacing="1"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For a country there are different types of risks including exchange risk, investment risk, political risk, legal risk and reputation risk. We focus on sovereign risk encapsulating all these types of risks that a country can potentially face. </w:t>
      </w:r>
      <w:r w:rsidR="003E06D0" w:rsidRPr="008F3998">
        <w:rPr>
          <w:rFonts w:ascii="Times New Roman" w:hAnsi="Times New Roman" w:cs="Times New Roman"/>
          <w:sz w:val="24"/>
          <w:szCs w:val="24"/>
        </w:rPr>
        <w:t>To measure sovereign risk, we employ extreme value theory (EVT)</w:t>
      </w:r>
      <w:r w:rsidR="009B15B7" w:rsidRPr="008F3998">
        <w:rPr>
          <w:rFonts w:ascii="Times New Roman" w:hAnsi="Times New Roman" w:cs="Times New Roman"/>
          <w:sz w:val="24"/>
          <w:szCs w:val="24"/>
        </w:rPr>
        <w:t xml:space="preserve"> following Hartmann et al. (2004</w:t>
      </w:r>
      <w:r w:rsidR="00E10F92" w:rsidRPr="008F3998">
        <w:rPr>
          <w:rFonts w:ascii="Times New Roman" w:hAnsi="Times New Roman" w:cs="Times New Roman"/>
          <w:sz w:val="24"/>
          <w:szCs w:val="24"/>
        </w:rPr>
        <w:t xml:space="preserve">) and </w:t>
      </w:r>
      <w:proofErr w:type="spellStart"/>
      <w:r w:rsidR="00E10F92" w:rsidRPr="008F3998">
        <w:rPr>
          <w:rFonts w:ascii="Times New Roman" w:hAnsi="Times New Roman" w:cs="Times New Roman"/>
          <w:sz w:val="24"/>
          <w:szCs w:val="24"/>
        </w:rPr>
        <w:t>Straetmans</w:t>
      </w:r>
      <w:proofErr w:type="spellEnd"/>
      <w:r w:rsidR="00E10F92" w:rsidRPr="008F3998">
        <w:rPr>
          <w:rFonts w:ascii="Times New Roman" w:hAnsi="Times New Roman" w:cs="Times New Roman"/>
          <w:sz w:val="24"/>
          <w:szCs w:val="24"/>
        </w:rPr>
        <w:t xml:space="preserve"> et al. </w:t>
      </w:r>
      <w:r w:rsidR="00382F7E" w:rsidRPr="008F3998">
        <w:rPr>
          <w:rFonts w:ascii="Times New Roman" w:hAnsi="Times New Roman" w:cs="Times New Roman"/>
          <w:sz w:val="24"/>
          <w:szCs w:val="24"/>
        </w:rPr>
        <w:t>(200</w:t>
      </w:r>
      <w:r w:rsidR="00E10F92" w:rsidRPr="008F3998">
        <w:rPr>
          <w:rFonts w:ascii="Times New Roman" w:hAnsi="Times New Roman" w:cs="Times New Roman"/>
          <w:sz w:val="24"/>
          <w:szCs w:val="24"/>
        </w:rPr>
        <w:t>8) who measure the sovereign risk of G5 countries and USA respectively</w:t>
      </w:r>
      <w:r w:rsidR="003E06D0" w:rsidRPr="008F3998">
        <w:rPr>
          <w:rFonts w:ascii="Times New Roman" w:hAnsi="Times New Roman" w:cs="Times New Roman"/>
          <w:sz w:val="24"/>
          <w:szCs w:val="24"/>
        </w:rPr>
        <w:t xml:space="preserve">. EVT employs semi parametric estimation procedure and estimates marginal and joint probabilities of tail events without resorting to a parametric estimation procedure. It also </w:t>
      </w:r>
      <w:r w:rsidR="0002289B" w:rsidRPr="008F3998">
        <w:rPr>
          <w:rFonts w:ascii="Times New Roman" w:hAnsi="Times New Roman" w:cs="Times New Roman"/>
          <w:sz w:val="24"/>
          <w:szCs w:val="24"/>
        </w:rPr>
        <w:t xml:space="preserve">carries the advantage of focusing on extreme events that occur with very low frequency and are long term in nature. This is important for our study as carbon emissions are not likely to have impact on the sovereign risk in the short term. </w:t>
      </w:r>
      <w:r w:rsidR="003E06D0" w:rsidRPr="008F3998">
        <w:rPr>
          <w:rFonts w:ascii="Times New Roman" w:hAnsi="Times New Roman" w:cs="Times New Roman"/>
          <w:sz w:val="24"/>
          <w:szCs w:val="24"/>
        </w:rPr>
        <w:t>Finally, the</w:t>
      </w:r>
      <w:r w:rsidR="0002289B" w:rsidRPr="008F3998">
        <w:rPr>
          <w:rFonts w:ascii="Times New Roman" w:hAnsi="Times New Roman" w:cs="Times New Roman"/>
          <w:sz w:val="24"/>
          <w:szCs w:val="24"/>
        </w:rPr>
        <w:t xml:space="preserve"> </w:t>
      </w:r>
      <w:r w:rsidR="003E06D0" w:rsidRPr="008F3998">
        <w:rPr>
          <w:rFonts w:ascii="Times New Roman" w:hAnsi="Times New Roman" w:cs="Times New Roman"/>
          <w:sz w:val="24"/>
          <w:szCs w:val="24"/>
        </w:rPr>
        <w:t xml:space="preserve">EVT focuses on the unconditional distribution of returns in </w:t>
      </w:r>
      <w:r w:rsidR="0002289B" w:rsidRPr="008F3998">
        <w:rPr>
          <w:rFonts w:ascii="Times New Roman" w:hAnsi="Times New Roman" w:cs="Times New Roman"/>
          <w:sz w:val="24"/>
          <w:szCs w:val="24"/>
        </w:rPr>
        <w:t xml:space="preserve">compared to for example </w:t>
      </w:r>
      <w:r w:rsidR="003E06D0" w:rsidRPr="008F3998">
        <w:rPr>
          <w:rFonts w:ascii="Times New Roman" w:hAnsi="Times New Roman" w:cs="Times New Roman"/>
          <w:sz w:val="24"/>
          <w:szCs w:val="24"/>
        </w:rPr>
        <w:t>stochastic volatility</w:t>
      </w:r>
      <w:r w:rsidR="0002289B" w:rsidRPr="008F3998">
        <w:rPr>
          <w:rFonts w:ascii="Times New Roman" w:hAnsi="Times New Roman" w:cs="Times New Roman"/>
          <w:sz w:val="24"/>
          <w:szCs w:val="24"/>
        </w:rPr>
        <w:t xml:space="preserve"> </w:t>
      </w:r>
      <w:r w:rsidR="003E06D0" w:rsidRPr="008F3998">
        <w:rPr>
          <w:rFonts w:ascii="Times New Roman" w:hAnsi="Times New Roman" w:cs="Times New Roman"/>
          <w:sz w:val="24"/>
          <w:szCs w:val="24"/>
        </w:rPr>
        <w:t>models that produce time-varying measures of volatility and dependence</w:t>
      </w:r>
      <w:r w:rsidR="0002289B" w:rsidRPr="008F3998">
        <w:rPr>
          <w:rFonts w:ascii="Times New Roman" w:hAnsi="Times New Roman" w:cs="Times New Roman"/>
          <w:sz w:val="24"/>
          <w:szCs w:val="24"/>
        </w:rPr>
        <w:t xml:space="preserve"> and hence of </w:t>
      </w:r>
      <w:r w:rsidR="00AF4467" w:rsidRPr="008F3998">
        <w:rPr>
          <w:rFonts w:ascii="Times New Roman" w:hAnsi="Times New Roman" w:cs="Times New Roman"/>
          <w:sz w:val="24"/>
          <w:szCs w:val="24"/>
        </w:rPr>
        <w:t>long-term</w:t>
      </w:r>
      <w:r w:rsidR="0002289B" w:rsidRPr="008F3998">
        <w:rPr>
          <w:rFonts w:ascii="Times New Roman" w:hAnsi="Times New Roman" w:cs="Times New Roman"/>
          <w:sz w:val="24"/>
          <w:szCs w:val="24"/>
        </w:rPr>
        <w:t xml:space="preserve"> horizon. </w:t>
      </w:r>
      <w:r w:rsidR="00D7265A" w:rsidRPr="008F3998">
        <w:rPr>
          <w:rFonts w:ascii="Times New Roman" w:hAnsi="Times New Roman" w:cs="Times New Roman"/>
          <w:sz w:val="24"/>
          <w:szCs w:val="24"/>
        </w:rPr>
        <w:t xml:space="preserve">It is also important to note that economic growth has increased living standards recently in the most </w:t>
      </w:r>
      <w:r w:rsidR="00B04A7D" w:rsidRPr="008F3998">
        <w:rPr>
          <w:rFonts w:ascii="Times New Roman" w:hAnsi="Times New Roman" w:cs="Times New Roman"/>
          <w:sz w:val="24"/>
          <w:szCs w:val="24"/>
        </w:rPr>
        <w:t>countries;</w:t>
      </w:r>
      <w:r w:rsidR="00D7265A" w:rsidRPr="008F3998">
        <w:rPr>
          <w:rFonts w:ascii="Times New Roman" w:hAnsi="Times New Roman" w:cs="Times New Roman"/>
          <w:sz w:val="24"/>
          <w:szCs w:val="24"/>
        </w:rPr>
        <w:t xml:space="preserve"> however, it is also </w:t>
      </w:r>
      <w:r w:rsidR="009D4938" w:rsidRPr="008F3998">
        <w:rPr>
          <w:rFonts w:ascii="Times New Roman" w:hAnsi="Times New Roman" w:cs="Times New Roman"/>
          <w:sz w:val="24"/>
          <w:szCs w:val="24"/>
        </w:rPr>
        <w:t>escalating</w:t>
      </w:r>
      <w:r w:rsidR="00D7265A" w:rsidRPr="008F3998">
        <w:rPr>
          <w:rFonts w:ascii="Times New Roman" w:hAnsi="Times New Roman" w:cs="Times New Roman"/>
          <w:sz w:val="24"/>
          <w:szCs w:val="24"/>
        </w:rPr>
        <w:t xml:space="preserve"> CO</w:t>
      </w:r>
      <w:r w:rsidR="00D7265A" w:rsidRPr="008F3998">
        <w:rPr>
          <w:rFonts w:ascii="Times New Roman" w:hAnsi="Times New Roman" w:cs="Times New Roman"/>
          <w:sz w:val="24"/>
          <w:szCs w:val="24"/>
          <w:vertAlign w:val="subscript"/>
        </w:rPr>
        <w:t>2</w:t>
      </w:r>
      <w:r w:rsidR="00712CCF" w:rsidRPr="008F3998">
        <w:rPr>
          <w:rFonts w:ascii="Times New Roman" w:hAnsi="Times New Roman" w:cs="Times New Roman"/>
          <w:sz w:val="24"/>
          <w:szCs w:val="24"/>
        </w:rPr>
        <w:t xml:space="preserve"> </w:t>
      </w:r>
      <w:r w:rsidR="00D7265A" w:rsidRPr="008F3998">
        <w:rPr>
          <w:rFonts w:ascii="Times New Roman" w:hAnsi="Times New Roman" w:cs="Times New Roman"/>
          <w:sz w:val="24"/>
          <w:szCs w:val="24"/>
        </w:rPr>
        <w:t>emissions and deteriorating the natural resources. The CO</w:t>
      </w:r>
      <w:r w:rsidR="00D7265A" w:rsidRPr="008F3998">
        <w:rPr>
          <w:rFonts w:ascii="Times New Roman" w:hAnsi="Times New Roman" w:cs="Times New Roman"/>
          <w:sz w:val="24"/>
          <w:szCs w:val="24"/>
          <w:vertAlign w:val="subscript"/>
        </w:rPr>
        <w:t>2</w:t>
      </w:r>
      <w:r w:rsidR="00D7265A" w:rsidRPr="008F3998">
        <w:rPr>
          <w:rFonts w:ascii="Times New Roman" w:hAnsi="Times New Roman" w:cs="Times New Roman"/>
          <w:sz w:val="24"/>
          <w:szCs w:val="24"/>
        </w:rPr>
        <w:t xml:space="preserve"> emission is linked with social, economic and industrial factors (</w:t>
      </w:r>
      <w:proofErr w:type="spellStart"/>
      <w:r w:rsidR="00CF5902" w:rsidRPr="008F3998">
        <w:fldChar w:fldCharType="begin"/>
      </w:r>
      <w:r w:rsidR="00CF5902" w:rsidRPr="008F3998">
        <w:instrText xml:space="preserve"> HYPERLINK "https://www.sciencedirect.com/science/article/pii/S0048969718331930?via%3Dihub#bb0010#bb0010#bb0010#bb0010#bb0010#bb0010#bb0010#bb0010#bb0010#bb0010#bb0010#bb0010#bb0010#bb0010" \l "bb0010" </w:instrText>
      </w:r>
      <w:r w:rsidR="00CF5902" w:rsidRPr="008F3998">
        <w:fldChar w:fldCharType="separate"/>
      </w:r>
      <w:r w:rsidR="00D7265A" w:rsidRPr="008F3998">
        <w:rPr>
          <w:rFonts w:ascii="Times New Roman" w:hAnsi="Times New Roman" w:cs="Times New Roman"/>
          <w:sz w:val="24"/>
          <w:szCs w:val="24"/>
        </w:rPr>
        <w:t>Adom</w:t>
      </w:r>
      <w:proofErr w:type="spellEnd"/>
      <w:r w:rsidR="00D7265A" w:rsidRPr="008F3998">
        <w:rPr>
          <w:rFonts w:ascii="Times New Roman" w:hAnsi="Times New Roman" w:cs="Times New Roman"/>
          <w:sz w:val="24"/>
          <w:szCs w:val="24"/>
        </w:rPr>
        <w:t xml:space="preserve"> et al., 2012</w:t>
      </w:r>
      <w:r w:rsidR="00CF5902" w:rsidRPr="008F3998">
        <w:rPr>
          <w:rFonts w:ascii="Times New Roman" w:hAnsi="Times New Roman" w:cs="Times New Roman"/>
          <w:sz w:val="24"/>
          <w:szCs w:val="24"/>
        </w:rPr>
        <w:fldChar w:fldCharType="end"/>
      </w:r>
      <w:r w:rsidR="00D7265A" w:rsidRPr="008F3998">
        <w:rPr>
          <w:rFonts w:ascii="Times New Roman" w:hAnsi="Times New Roman" w:cs="Times New Roman"/>
          <w:sz w:val="24"/>
          <w:szCs w:val="24"/>
        </w:rPr>
        <w:t>). The main reason behind the emission of CO</w:t>
      </w:r>
      <w:r w:rsidR="00D7265A" w:rsidRPr="008F3998">
        <w:rPr>
          <w:rFonts w:ascii="Times New Roman" w:hAnsi="Times New Roman" w:cs="Times New Roman"/>
          <w:sz w:val="24"/>
          <w:szCs w:val="24"/>
          <w:vertAlign w:val="subscript"/>
        </w:rPr>
        <w:t>2</w:t>
      </w:r>
      <w:r w:rsidR="00D7265A" w:rsidRPr="008F3998">
        <w:rPr>
          <w:rFonts w:ascii="Times New Roman" w:hAnsi="Times New Roman" w:cs="Times New Roman"/>
          <w:sz w:val="24"/>
          <w:szCs w:val="24"/>
        </w:rPr>
        <w:t xml:space="preserve"> are burning of oil, coal, gas, petrol and deforestation (</w:t>
      </w:r>
      <w:proofErr w:type="spellStart"/>
      <w:r w:rsidR="00CF5902" w:rsidRPr="008F3998">
        <w:fldChar w:fldCharType="begin"/>
      </w:r>
      <w:r w:rsidR="00CF5902" w:rsidRPr="008F3998">
        <w:instrText xml:space="preserve"> HYPERLINK "https://www.sciencedirect.com/science/article/pii/S0048969718331930?via%3Dihub#bb0645#bb0645#bb0645#bb0645#bb0645#bb0645#bb0645#bb0645#bb0645#bb0645#bb0645#bb0645#bb0645#bb0645" \l "bb0645" </w:instrText>
      </w:r>
      <w:r w:rsidR="00CF5902" w:rsidRPr="008F3998">
        <w:fldChar w:fldCharType="separate"/>
      </w:r>
      <w:r w:rsidR="00D7265A" w:rsidRPr="008F3998">
        <w:rPr>
          <w:rFonts w:ascii="Times New Roman" w:hAnsi="Times New Roman" w:cs="Times New Roman"/>
          <w:sz w:val="24"/>
          <w:szCs w:val="24"/>
        </w:rPr>
        <w:t>Sanglimsuwan</w:t>
      </w:r>
      <w:proofErr w:type="spellEnd"/>
      <w:r w:rsidR="00D7265A" w:rsidRPr="008F3998">
        <w:rPr>
          <w:rFonts w:ascii="Times New Roman" w:hAnsi="Times New Roman" w:cs="Times New Roman"/>
          <w:sz w:val="24"/>
          <w:szCs w:val="24"/>
        </w:rPr>
        <w:t>, 2011</w:t>
      </w:r>
      <w:r w:rsidR="00CF5902" w:rsidRPr="008F3998">
        <w:rPr>
          <w:rFonts w:ascii="Times New Roman" w:hAnsi="Times New Roman" w:cs="Times New Roman"/>
          <w:sz w:val="24"/>
          <w:szCs w:val="24"/>
        </w:rPr>
        <w:fldChar w:fldCharType="end"/>
      </w:r>
      <w:r w:rsidR="00D7265A" w:rsidRPr="008F3998">
        <w:rPr>
          <w:rFonts w:ascii="Times New Roman" w:hAnsi="Times New Roman" w:cs="Times New Roman"/>
          <w:sz w:val="24"/>
          <w:szCs w:val="24"/>
        </w:rPr>
        <w:t>). Mainly the earlier literature from the last two decades has been extensively concentrate</w:t>
      </w:r>
      <w:r w:rsidR="0050658B" w:rsidRPr="008F3998">
        <w:rPr>
          <w:rFonts w:ascii="Times New Roman" w:hAnsi="Times New Roman" w:cs="Times New Roman"/>
          <w:sz w:val="24"/>
          <w:szCs w:val="24"/>
        </w:rPr>
        <w:t>d</w:t>
      </w:r>
      <w:r w:rsidR="00D7265A" w:rsidRPr="008F3998">
        <w:rPr>
          <w:rFonts w:ascii="Times New Roman" w:hAnsi="Times New Roman" w:cs="Times New Roman"/>
          <w:sz w:val="24"/>
          <w:szCs w:val="24"/>
        </w:rPr>
        <w:t xml:space="preserve"> on relationship among economic growth and energy use with substantial effect on the CO</w:t>
      </w:r>
      <w:r w:rsidR="00D7265A" w:rsidRPr="008F3998">
        <w:rPr>
          <w:rFonts w:ascii="Times New Roman" w:hAnsi="Times New Roman" w:cs="Times New Roman"/>
          <w:sz w:val="24"/>
          <w:szCs w:val="24"/>
          <w:vertAlign w:val="subscript"/>
        </w:rPr>
        <w:t>2</w:t>
      </w:r>
      <w:r w:rsidR="00D7265A" w:rsidRPr="008F3998">
        <w:rPr>
          <w:rFonts w:ascii="Times New Roman" w:hAnsi="Times New Roman" w:cs="Times New Roman"/>
          <w:sz w:val="24"/>
          <w:szCs w:val="24"/>
        </w:rPr>
        <w:t xml:space="preserve"> emissions </w:t>
      </w:r>
      <w:r w:rsidRPr="008F3998">
        <w:rPr>
          <w:rFonts w:ascii="Times New Roman" w:eastAsia="Times New Roman" w:hAnsi="Times New Roman" w:cs="Times New Roman"/>
          <w:sz w:val="24"/>
          <w:szCs w:val="24"/>
        </w:rPr>
        <w:t xml:space="preserve">(See </w:t>
      </w:r>
      <w:proofErr w:type="spellStart"/>
      <w:r w:rsidRPr="008F3998">
        <w:rPr>
          <w:rFonts w:ascii="Times New Roman" w:eastAsia="Times New Roman" w:hAnsi="Times New Roman" w:cs="Times New Roman"/>
          <w:sz w:val="24"/>
          <w:szCs w:val="24"/>
        </w:rPr>
        <w:t>Riti</w:t>
      </w:r>
      <w:proofErr w:type="spellEnd"/>
      <w:r w:rsidRPr="008F3998">
        <w:rPr>
          <w:rFonts w:ascii="Times New Roman" w:eastAsia="Times New Roman" w:hAnsi="Times New Roman" w:cs="Times New Roman"/>
          <w:sz w:val="24"/>
          <w:szCs w:val="24"/>
        </w:rPr>
        <w:t xml:space="preserve"> et al., 2017; </w:t>
      </w:r>
      <w:proofErr w:type="spellStart"/>
      <w:r w:rsidRPr="008F3998">
        <w:rPr>
          <w:rFonts w:ascii="Times New Roman" w:eastAsia="Times New Roman" w:hAnsi="Times New Roman" w:cs="Times New Roman"/>
          <w:sz w:val="24"/>
          <w:szCs w:val="24"/>
        </w:rPr>
        <w:t>Bildirici</w:t>
      </w:r>
      <w:proofErr w:type="spellEnd"/>
      <w:r w:rsidRPr="008F3998">
        <w:rPr>
          <w:rFonts w:ascii="Times New Roman" w:eastAsia="Times New Roman" w:hAnsi="Times New Roman" w:cs="Times New Roman"/>
          <w:sz w:val="24"/>
          <w:szCs w:val="24"/>
        </w:rPr>
        <w:t xml:space="preserve">, 2017; </w:t>
      </w:r>
      <w:r w:rsidRPr="008F3998">
        <w:rPr>
          <w:rFonts w:ascii="Times New Roman" w:eastAsia="Times New Roman" w:hAnsi="Times New Roman" w:cs="Times New Roman"/>
          <w:sz w:val="24"/>
          <w:szCs w:val="24"/>
          <w:lang w:val="de"/>
        </w:rPr>
        <w:t xml:space="preserve">Han et al., 2018; Song et al., 2018; </w:t>
      </w:r>
      <w:r w:rsidRPr="008F3998">
        <w:rPr>
          <w:rFonts w:ascii="Calibri" w:eastAsia="Calibri" w:hAnsi="Calibri" w:cs="Calibri"/>
          <w:lang w:val="de"/>
        </w:rPr>
        <w:t xml:space="preserve"> </w:t>
      </w:r>
      <w:proofErr w:type="spellStart"/>
      <w:r w:rsidRPr="008F3998">
        <w:rPr>
          <w:rFonts w:ascii="Times New Roman" w:eastAsia="Times New Roman" w:hAnsi="Times New Roman" w:cs="Times New Roman"/>
          <w:sz w:val="24"/>
          <w:szCs w:val="24"/>
        </w:rPr>
        <w:t>Alam</w:t>
      </w:r>
      <w:proofErr w:type="spellEnd"/>
      <w:r w:rsidRPr="008F3998">
        <w:rPr>
          <w:rFonts w:ascii="Times New Roman" w:eastAsia="Times New Roman" w:hAnsi="Times New Roman" w:cs="Times New Roman"/>
          <w:sz w:val="24"/>
          <w:szCs w:val="24"/>
        </w:rPr>
        <w:t xml:space="preserve"> et al., 2016; He et al., 2017 and Chiu, 2017 among others).</w:t>
      </w:r>
      <w:r w:rsidR="00681DFD" w:rsidRPr="008F3998">
        <w:rPr>
          <w:rFonts w:ascii="Times New Roman" w:hAnsi="Times New Roman" w:cs="Times New Roman"/>
          <w:sz w:val="24"/>
          <w:szCs w:val="24"/>
        </w:rPr>
        <w:t xml:space="preserve"> To explicitly examine the relationship between sovereign risk and climate change, this paper emphasize</w:t>
      </w:r>
      <w:r w:rsidR="009C024E" w:rsidRPr="008F3998">
        <w:rPr>
          <w:rFonts w:ascii="Times New Roman" w:hAnsi="Times New Roman" w:cs="Times New Roman"/>
          <w:sz w:val="24"/>
          <w:szCs w:val="24"/>
        </w:rPr>
        <w:t xml:space="preserve"> </w:t>
      </w:r>
      <w:r w:rsidR="00681DFD" w:rsidRPr="008F3998">
        <w:rPr>
          <w:rFonts w:ascii="Times New Roman" w:hAnsi="Times New Roman" w:cs="Times New Roman"/>
          <w:sz w:val="24"/>
          <w:szCs w:val="24"/>
        </w:rPr>
        <w:t>emphasizes the extreme events with high frequency and severe destruction</w:t>
      </w:r>
      <w:r w:rsidR="00C9131E" w:rsidRPr="008F3998">
        <w:rPr>
          <w:rFonts w:ascii="Times New Roman" w:hAnsi="Times New Roman" w:cs="Times New Roman"/>
          <w:sz w:val="24"/>
          <w:szCs w:val="24"/>
        </w:rPr>
        <w:t xml:space="preserve"> (</w:t>
      </w:r>
      <w:r w:rsidR="00C9131E" w:rsidRPr="008F3998">
        <w:rPr>
          <w:rFonts w:ascii="Times New Roman" w:hAnsi="Times New Roman" w:cs="Times New Roman"/>
          <w:sz w:val="24"/>
          <w:szCs w:val="24"/>
          <w:shd w:val="clear" w:color="auto" w:fill="FFFFFF"/>
        </w:rPr>
        <w:t xml:space="preserve">Kraemer and </w:t>
      </w:r>
      <w:proofErr w:type="spellStart"/>
      <w:r w:rsidR="00C9131E" w:rsidRPr="008F3998">
        <w:rPr>
          <w:rFonts w:ascii="Times New Roman" w:hAnsi="Times New Roman" w:cs="Times New Roman"/>
          <w:sz w:val="24"/>
          <w:szCs w:val="24"/>
          <w:shd w:val="clear" w:color="auto" w:fill="FFFFFF"/>
        </w:rPr>
        <w:t>Negrila</w:t>
      </w:r>
      <w:proofErr w:type="spellEnd"/>
      <w:r w:rsidR="00C9131E" w:rsidRPr="008F3998">
        <w:rPr>
          <w:rFonts w:ascii="Times New Roman" w:hAnsi="Times New Roman" w:cs="Times New Roman"/>
          <w:sz w:val="24"/>
          <w:szCs w:val="24"/>
          <w:shd w:val="clear" w:color="auto" w:fill="FFFFFF"/>
        </w:rPr>
        <w:t>, 2014)</w:t>
      </w:r>
      <w:r w:rsidR="00681DFD" w:rsidRPr="008F3998">
        <w:rPr>
          <w:rFonts w:ascii="Times New Roman" w:hAnsi="Times New Roman" w:cs="Times New Roman"/>
          <w:sz w:val="24"/>
          <w:szCs w:val="24"/>
        </w:rPr>
        <w:t xml:space="preserve">. First, the intuitive </w:t>
      </w:r>
      <w:r w:rsidR="009001F8" w:rsidRPr="008F3998">
        <w:rPr>
          <w:rFonts w:ascii="Times New Roman" w:hAnsi="Times New Roman" w:cs="Times New Roman"/>
          <w:sz w:val="24"/>
          <w:szCs w:val="24"/>
        </w:rPr>
        <w:t>thinking for this channel is economic performance. For example, China lost</w:t>
      </w:r>
      <w:r w:rsidR="003B6875" w:rsidRPr="008F3998">
        <w:rPr>
          <w:rFonts w:ascii="Times New Roman" w:hAnsi="Times New Roman" w:cs="Times New Roman"/>
          <w:sz w:val="24"/>
          <w:szCs w:val="24"/>
        </w:rPr>
        <w:t xml:space="preserve"> a</w:t>
      </w:r>
      <w:r w:rsidR="009001F8" w:rsidRPr="008F3998">
        <w:rPr>
          <w:rFonts w:ascii="Times New Roman" w:hAnsi="Times New Roman" w:cs="Times New Roman"/>
          <w:sz w:val="24"/>
          <w:szCs w:val="24"/>
        </w:rPr>
        <w:t xml:space="preserve"> total</w:t>
      </w:r>
      <w:r w:rsidR="003B6875" w:rsidRPr="008F3998">
        <w:rPr>
          <w:rFonts w:ascii="Times New Roman" w:hAnsi="Times New Roman" w:cs="Times New Roman"/>
          <w:sz w:val="24"/>
          <w:szCs w:val="24"/>
        </w:rPr>
        <w:t xml:space="preserve"> of</w:t>
      </w:r>
      <w:r w:rsidR="009001F8" w:rsidRPr="008F3998">
        <w:rPr>
          <w:rFonts w:ascii="Times New Roman" w:hAnsi="Times New Roman" w:cs="Times New Roman"/>
          <w:sz w:val="24"/>
          <w:szCs w:val="24"/>
        </w:rPr>
        <w:t xml:space="preserve"> US$874,613 million by natural disasters (from 1985-2014) (around 8.3% GDP) (Han et al, 2016). Thus, the welfare inequality and economic growth under the climate change could lead to lower sovereign ratings in some countries. </w:t>
      </w:r>
      <w:r w:rsidR="0064563F" w:rsidRPr="008F3998">
        <w:rPr>
          <w:rFonts w:ascii="Times New Roman" w:hAnsi="Times New Roman" w:cs="Times New Roman"/>
          <w:sz w:val="24"/>
          <w:szCs w:val="24"/>
        </w:rPr>
        <w:t>The relationship between economic growth and carbon emission has been researched</w:t>
      </w:r>
      <w:r w:rsidR="003B6875" w:rsidRPr="008F3998">
        <w:rPr>
          <w:rFonts w:ascii="Times New Roman" w:hAnsi="Times New Roman" w:cs="Times New Roman"/>
          <w:sz w:val="24"/>
          <w:szCs w:val="24"/>
        </w:rPr>
        <w:t xml:space="preserve"> extensively</w:t>
      </w:r>
      <w:r w:rsidR="0064563F" w:rsidRPr="008F3998">
        <w:rPr>
          <w:rFonts w:ascii="Times New Roman" w:hAnsi="Times New Roman" w:cs="Times New Roman"/>
          <w:sz w:val="24"/>
          <w:szCs w:val="24"/>
        </w:rPr>
        <w:t xml:space="preserve"> so far</w:t>
      </w:r>
      <w:r w:rsidR="003B6875" w:rsidRPr="008F3998">
        <w:rPr>
          <w:rFonts w:ascii="Times New Roman" w:hAnsi="Times New Roman" w:cs="Times New Roman"/>
          <w:sz w:val="24"/>
          <w:szCs w:val="24"/>
        </w:rPr>
        <w:t>,</w:t>
      </w:r>
      <w:r w:rsidR="0064563F" w:rsidRPr="008F3998">
        <w:rPr>
          <w:rFonts w:ascii="Times New Roman" w:hAnsi="Times New Roman" w:cs="Times New Roman"/>
          <w:sz w:val="24"/>
          <w:szCs w:val="24"/>
        </w:rPr>
        <w:t xml:space="preserve"> with</w:t>
      </w:r>
      <w:r w:rsidR="003B6875" w:rsidRPr="008F3998">
        <w:rPr>
          <w:rFonts w:ascii="Times New Roman" w:hAnsi="Times New Roman" w:cs="Times New Roman"/>
          <w:sz w:val="24"/>
          <w:szCs w:val="24"/>
        </w:rPr>
        <w:t xml:space="preserve"> a</w:t>
      </w:r>
      <w:r w:rsidR="0064563F" w:rsidRPr="008F3998">
        <w:rPr>
          <w:rFonts w:ascii="Times New Roman" w:hAnsi="Times New Roman" w:cs="Times New Roman"/>
          <w:sz w:val="24"/>
          <w:szCs w:val="24"/>
        </w:rPr>
        <w:t xml:space="preserve"> database up</w:t>
      </w:r>
      <w:r w:rsidR="003B6875" w:rsidRPr="008F3998">
        <w:rPr>
          <w:rFonts w:ascii="Times New Roman" w:hAnsi="Times New Roman" w:cs="Times New Roman"/>
          <w:sz w:val="24"/>
          <w:szCs w:val="24"/>
        </w:rPr>
        <w:t>wards of</w:t>
      </w:r>
      <w:r w:rsidR="0064563F" w:rsidRPr="008F3998">
        <w:rPr>
          <w:rFonts w:ascii="Times New Roman" w:hAnsi="Times New Roman" w:cs="Times New Roman"/>
          <w:sz w:val="24"/>
          <w:szCs w:val="24"/>
        </w:rPr>
        <w:t xml:space="preserve"> 4194 papers (</w:t>
      </w:r>
      <w:proofErr w:type="spellStart"/>
      <w:r w:rsidR="0064563F" w:rsidRPr="008F3998">
        <w:rPr>
          <w:rFonts w:ascii="Times New Roman" w:hAnsi="Times New Roman" w:cs="Times New Roman"/>
          <w:sz w:val="24"/>
          <w:szCs w:val="24"/>
        </w:rPr>
        <w:t>Mardani</w:t>
      </w:r>
      <w:proofErr w:type="spellEnd"/>
      <w:r w:rsidR="0064563F" w:rsidRPr="008F3998">
        <w:rPr>
          <w:rFonts w:ascii="Times New Roman" w:hAnsi="Times New Roman" w:cs="Times New Roman"/>
          <w:sz w:val="24"/>
          <w:szCs w:val="24"/>
        </w:rPr>
        <w:t xml:space="preserve"> et al., 2019). </w:t>
      </w:r>
      <w:r w:rsidR="00C9131E" w:rsidRPr="008F3998">
        <w:rPr>
          <w:rFonts w:ascii="Times New Roman" w:hAnsi="Times New Roman" w:cs="Times New Roman"/>
          <w:sz w:val="24"/>
          <w:szCs w:val="24"/>
        </w:rPr>
        <w:t xml:space="preserve">Second, the study of </w:t>
      </w:r>
      <w:r w:rsidR="00C9131E" w:rsidRPr="008F3998">
        <w:rPr>
          <w:rFonts w:ascii="Times New Roman" w:hAnsi="Times New Roman" w:cs="Times New Roman"/>
          <w:sz w:val="24"/>
          <w:szCs w:val="24"/>
          <w:shd w:val="clear" w:color="auto" w:fill="FFFFFF"/>
        </w:rPr>
        <w:t xml:space="preserve">Kraemer and </w:t>
      </w:r>
      <w:proofErr w:type="spellStart"/>
      <w:r w:rsidR="00C9131E" w:rsidRPr="008F3998">
        <w:rPr>
          <w:rFonts w:ascii="Times New Roman" w:hAnsi="Times New Roman" w:cs="Times New Roman"/>
          <w:sz w:val="24"/>
          <w:szCs w:val="24"/>
          <w:shd w:val="clear" w:color="auto" w:fill="FFFFFF"/>
        </w:rPr>
        <w:t>Negrila</w:t>
      </w:r>
      <w:proofErr w:type="spellEnd"/>
      <w:r w:rsidR="00C9131E" w:rsidRPr="008F3998">
        <w:rPr>
          <w:rFonts w:ascii="Times New Roman" w:hAnsi="Times New Roman" w:cs="Times New Roman"/>
          <w:sz w:val="24"/>
          <w:szCs w:val="24"/>
          <w:shd w:val="clear" w:color="auto" w:fill="FFFFFF"/>
        </w:rPr>
        <w:t xml:space="preserve"> (2014) also indicates that government budgets would generate the future burden of national spending.</w:t>
      </w:r>
      <w:r w:rsidR="00D60AEE" w:rsidRPr="008F3998">
        <w:rPr>
          <w:rFonts w:ascii="Times New Roman" w:hAnsi="Times New Roman" w:cs="Times New Roman"/>
          <w:sz w:val="24"/>
          <w:szCs w:val="24"/>
          <w:shd w:val="clear" w:color="auto" w:fill="FFFFFF"/>
        </w:rPr>
        <w:t xml:space="preserve"> </w:t>
      </w:r>
      <w:r w:rsidR="0050658B" w:rsidRPr="008F3998">
        <w:rPr>
          <w:rFonts w:ascii="Times New Roman" w:hAnsi="Times New Roman" w:cs="Times New Roman"/>
          <w:sz w:val="24"/>
          <w:szCs w:val="24"/>
          <w:shd w:val="clear" w:color="auto" w:fill="FFFFFF"/>
        </w:rPr>
        <w:t>N</w:t>
      </w:r>
      <w:r w:rsidR="00C9131E" w:rsidRPr="008F3998">
        <w:rPr>
          <w:rFonts w:ascii="Times New Roman" w:hAnsi="Times New Roman" w:cs="Times New Roman"/>
          <w:sz w:val="24"/>
          <w:szCs w:val="24"/>
          <w:shd w:val="clear" w:color="auto" w:fill="FFFFFF"/>
        </w:rPr>
        <w:t xml:space="preserve">ational budgets </w:t>
      </w:r>
      <w:r w:rsidR="00EF4AF6" w:rsidRPr="008F3998">
        <w:rPr>
          <w:rFonts w:ascii="Times New Roman" w:hAnsi="Times New Roman" w:cs="Times New Roman"/>
          <w:sz w:val="24"/>
          <w:szCs w:val="24"/>
          <w:shd w:val="clear" w:color="auto" w:fill="FFFFFF"/>
        </w:rPr>
        <w:t>might suffer bad fiscal performance when natural disaster happens</w:t>
      </w:r>
      <w:r w:rsidR="0050658B" w:rsidRPr="008F3998">
        <w:rPr>
          <w:rFonts w:ascii="Times New Roman" w:hAnsi="Times New Roman" w:cs="Times New Roman"/>
          <w:sz w:val="24"/>
          <w:szCs w:val="24"/>
          <w:shd w:val="clear" w:color="auto" w:fill="FFFFFF"/>
        </w:rPr>
        <w:t xml:space="preserve"> and </w:t>
      </w:r>
      <w:r w:rsidR="00EF4AF6" w:rsidRPr="008F3998">
        <w:rPr>
          <w:rFonts w:ascii="Times New Roman" w:hAnsi="Times New Roman" w:cs="Times New Roman"/>
          <w:sz w:val="24"/>
          <w:szCs w:val="24"/>
          <w:shd w:val="clear" w:color="auto" w:fill="FFFFFF"/>
        </w:rPr>
        <w:t>the government debt burden is one of criteria for assessing country's sovereign risk (</w:t>
      </w:r>
      <w:proofErr w:type="spellStart"/>
      <w:r w:rsidR="00EF4AF6" w:rsidRPr="008F3998">
        <w:rPr>
          <w:rFonts w:ascii="Times New Roman" w:hAnsi="Times New Roman" w:cs="Times New Roman"/>
          <w:sz w:val="24"/>
          <w:szCs w:val="24"/>
          <w:shd w:val="clear" w:color="auto" w:fill="FFFFFF"/>
        </w:rPr>
        <w:t>Clarvis</w:t>
      </w:r>
      <w:proofErr w:type="spellEnd"/>
      <w:r w:rsidR="00EF4AF6" w:rsidRPr="008F3998">
        <w:rPr>
          <w:rFonts w:ascii="Times New Roman" w:hAnsi="Times New Roman" w:cs="Times New Roman"/>
          <w:sz w:val="24"/>
          <w:szCs w:val="24"/>
          <w:shd w:val="clear" w:color="auto" w:fill="FFFFFF"/>
        </w:rPr>
        <w:t xml:space="preserve"> et al., 2014). For example, in the past, the Britain also suffered the event called </w:t>
      </w:r>
      <w:r w:rsidR="00A0478B" w:rsidRPr="008F3998">
        <w:rPr>
          <w:rFonts w:ascii="Times New Roman" w:hAnsi="Times New Roman" w:cs="Times New Roman"/>
          <w:sz w:val="24"/>
          <w:szCs w:val="24"/>
          <w:shd w:val="clear" w:color="auto" w:fill="FFFFFF"/>
        </w:rPr>
        <w:t>Caribbean island of Montserrat</w:t>
      </w:r>
      <w:r w:rsidR="001F21EE" w:rsidRPr="008F3998">
        <w:rPr>
          <w:rFonts w:ascii="Times New Roman" w:hAnsi="Times New Roman" w:cs="Times New Roman"/>
          <w:sz w:val="24"/>
          <w:szCs w:val="24"/>
          <w:shd w:val="clear" w:color="auto" w:fill="FFFFFF"/>
        </w:rPr>
        <w:t>.</w:t>
      </w:r>
      <w:r w:rsidR="00EF4AF6" w:rsidRPr="008F3998">
        <w:rPr>
          <w:rStyle w:val="FootnoteReference"/>
          <w:rFonts w:ascii="Times New Roman" w:hAnsi="Times New Roman" w:cs="Times New Roman"/>
          <w:sz w:val="24"/>
          <w:szCs w:val="24"/>
          <w:shd w:val="clear" w:color="auto" w:fill="FFFFFF"/>
        </w:rPr>
        <w:footnoteReference w:id="2"/>
      </w:r>
      <w:r w:rsidR="00A0478B" w:rsidRPr="008F3998">
        <w:rPr>
          <w:rFonts w:ascii="Times New Roman" w:hAnsi="Times New Roman" w:cs="Times New Roman"/>
          <w:sz w:val="24"/>
          <w:szCs w:val="24"/>
          <w:shd w:val="clear" w:color="auto" w:fill="FFFFFF"/>
        </w:rPr>
        <w:t xml:space="preserve"> This island suffered violent volcanic eruption in July 1995 </w:t>
      </w:r>
      <w:r w:rsidR="0014471C" w:rsidRPr="008F3998">
        <w:rPr>
          <w:rFonts w:ascii="Times New Roman" w:hAnsi="Times New Roman" w:cs="Times New Roman"/>
          <w:sz w:val="24"/>
          <w:szCs w:val="24"/>
          <w:shd w:val="clear" w:color="auto" w:fill="FFFFFF"/>
        </w:rPr>
        <w:t xml:space="preserve">that </w:t>
      </w:r>
      <w:r w:rsidR="00A0478B" w:rsidRPr="008F3998">
        <w:rPr>
          <w:rFonts w:ascii="Times New Roman" w:hAnsi="Times New Roman" w:cs="Times New Roman"/>
          <w:sz w:val="24"/>
          <w:szCs w:val="24"/>
          <w:shd w:val="clear" w:color="auto" w:fill="FFFFFF"/>
        </w:rPr>
        <w:t>influence</w:t>
      </w:r>
      <w:r w:rsidR="0014471C" w:rsidRPr="008F3998">
        <w:rPr>
          <w:rFonts w:ascii="Times New Roman" w:hAnsi="Times New Roman" w:cs="Times New Roman"/>
          <w:sz w:val="24"/>
          <w:szCs w:val="24"/>
          <w:shd w:val="clear" w:color="auto" w:fill="FFFFFF"/>
        </w:rPr>
        <w:t>d</w:t>
      </w:r>
      <w:r w:rsidR="00A0478B" w:rsidRPr="008F3998">
        <w:rPr>
          <w:rFonts w:ascii="Times New Roman" w:hAnsi="Times New Roman" w:cs="Times New Roman"/>
          <w:sz w:val="24"/>
          <w:szCs w:val="24"/>
          <w:shd w:val="clear" w:color="auto" w:fill="FFFFFF"/>
        </w:rPr>
        <w:t xml:space="preserve"> the fiscal performance in </w:t>
      </w:r>
      <w:r w:rsidR="0014471C" w:rsidRPr="008F3998">
        <w:rPr>
          <w:rFonts w:ascii="Times New Roman" w:hAnsi="Times New Roman" w:cs="Times New Roman"/>
          <w:sz w:val="24"/>
          <w:szCs w:val="24"/>
          <w:shd w:val="clear" w:color="auto" w:fill="FFFFFF"/>
        </w:rPr>
        <w:t xml:space="preserve">the </w:t>
      </w:r>
      <w:r w:rsidR="00A0478B" w:rsidRPr="008F3998">
        <w:rPr>
          <w:rFonts w:ascii="Times New Roman" w:hAnsi="Times New Roman" w:cs="Times New Roman"/>
          <w:sz w:val="24"/>
          <w:szCs w:val="24"/>
          <w:shd w:val="clear" w:color="auto" w:fill="FFFFFF"/>
        </w:rPr>
        <w:t>country. Th</w:t>
      </w:r>
      <w:r w:rsidR="0014471C" w:rsidRPr="008F3998">
        <w:rPr>
          <w:rFonts w:ascii="Times New Roman" w:hAnsi="Times New Roman" w:cs="Times New Roman"/>
          <w:sz w:val="24"/>
          <w:szCs w:val="24"/>
          <w:shd w:val="clear" w:color="auto" w:fill="FFFFFF"/>
        </w:rPr>
        <w:t>e</w:t>
      </w:r>
      <w:r w:rsidR="00A0478B" w:rsidRPr="008F3998">
        <w:rPr>
          <w:rFonts w:ascii="Times New Roman" w:hAnsi="Times New Roman" w:cs="Times New Roman"/>
          <w:sz w:val="24"/>
          <w:szCs w:val="24"/>
          <w:shd w:val="clear" w:color="auto" w:fill="FFFFFF"/>
        </w:rPr>
        <w:t>s</w:t>
      </w:r>
      <w:r w:rsidR="0014471C" w:rsidRPr="008F3998">
        <w:rPr>
          <w:rFonts w:ascii="Times New Roman" w:hAnsi="Times New Roman" w:cs="Times New Roman"/>
          <w:sz w:val="24"/>
          <w:szCs w:val="24"/>
          <w:shd w:val="clear" w:color="auto" w:fill="FFFFFF"/>
        </w:rPr>
        <w:t>e</w:t>
      </w:r>
      <w:r w:rsidR="00A0478B" w:rsidRPr="008F3998">
        <w:rPr>
          <w:rFonts w:ascii="Times New Roman" w:hAnsi="Times New Roman" w:cs="Times New Roman"/>
          <w:sz w:val="24"/>
          <w:szCs w:val="24"/>
          <w:shd w:val="clear" w:color="auto" w:fill="FFFFFF"/>
        </w:rPr>
        <w:t xml:space="preserve"> </w:t>
      </w:r>
      <w:r w:rsidR="0014471C" w:rsidRPr="008F3998">
        <w:rPr>
          <w:rFonts w:ascii="Times New Roman" w:hAnsi="Times New Roman" w:cs="Times New Roman"/>
          <w:sz w:val="24"/>
          <w:szCs w:val="24"/>
          <w:shd w:val="clear" w:color="auto" w:fill="FFFFFF"/>
        </w:rPr>
        <w:t xml:space="preserve">are </w:t>
      </w:r>
      <w:r w:rsidR="00A0478B" w:rsidRPr="008F3998">
        <w:rPr>
          <w:rFonts w:ascii="Times New Roman" w:hAnsi="Times New Roman" w:cs="Times New Roman"/>
          <w:sz w:val="24"/>
          <w:szCs w:val="24"/>
          <w:shd w:val="clear" w:color="auto" w:fill="FFFFFF"/>
        </w:rPr>
        <w:t xml:space="preserve">only two example that climate change could cause the sovereign risk in one country. </w:t>
      </w:r>
      <w:proofErr w:type="spellStart"/>
      <w:r w:rsidR="00C110A6" w:rsidRPr="008F3998">
        <w:rPr>
          <w:rFonts w:ascii="Times New Roman" w:hAnsi="Times New Roman" w:cs="Times New Roman"/>
          <w:sz w:val="24"/>
          <w:szCs w:val="24"/>
          <w:shd w:val="clear" w:color="auto" w:fill="FFFFFF"/>
        </w:rPr>
        <w:t>Balint</w:t>
      </w:r>
      <w:proofErr w:type="spellEnd"/>
      <w:r w:rsidR="00C110A6" w:rsidRPr="008F3998">
        <w:rPr>
          <w:rFonts w:ascii="Times New Roman" w:hAnsi="Times New Roman" w:cs="Times New Roman"/>
          <w:sz w:val="24"/>
          <w:szCs w:val="24"/>
          <w:shd w:val="clear" w:color="auto" w:fill="FFFFFF"/>
        </w:rPr>
        <w:t xml:space="preserve"> et al. (2017) also introduced the climate risk and </w:t>
      </w:r>
      <w:proofErr w:type="spellStart"/>
      <w:r w:rsidR="0014471C" w:rsidRPr="008F3998">
        <w:rPr>
          <w:rFonts w:ascii="Times New Roman" w:hAnsi="Times New Roman" w:cs="Times New Roman"/>
          <w:sz w:val="24"/>
          <w:szCs w:val="24"/>
          <w:shd w:val="clear" w:color="auto" w:fill="FFFFFF"/>
        </w:rPr>
        <w:t>Clarvis</w:t>
      </w:r>
      <w:proofErr w:type="spellEnd"/>
      <w:r w:rsidR="0014471C" w:rsidRPr="008F3998">
        <w:rPr>
          <w:rFonts w:ascii="Times New Roman" w:hAnsi="Times New Roman" w:cs="Times New Roman"/>
          <w:sz w:val="24"/>
          <w:szCs w:val="24"/>
          <w:shd w:val="clear" w:color="auto" w:fill="FFFFFF"/>
        </w:rPr>
        <w:t xml:space="preserve"> </w:t>
      </w:r>
      <w:r w:rsidR="00A0478B" w:rsidRPr="008F3998">
        <w:rPr>
          <w:rFonts w:ascii="Times New Roman" w:hAnsi="Times New Roman" w:cs="Times New Roman"/>
          <w:sz w:val="24"/>
          <w:szCs w:val="24"/>
          <w:shd w:val="clear" w:color="auto" w:fill="FFFFFF"/>
        </w:rPr>
        <w:t xml:space="preserve">et al. (2014) built the new framework to explain the environmental risk to </w:t>
      </w:r>
      <w:r w:rsidR="004F4A23" w:rsidRPr="008F3998">
        <w:rPr>
          <w:rFonts w:ascii="Times New Roman" w:hAnsi="Times New Roman" w:cs="Times New Roman"/>
          <w:sz w:val="24"/>
          <w:szCs w:val="24"/>
          <w:shd w:val="clear" w:color="auto" w:fill="FFFFFF"/>
        </w:rPr>
        <w:t>s</w:t>
      </w:r>
      <w:r w:rsidR="00A0478B" w:rsidRPr="008F3998">
        <w:rPr>
          <w:rFonts w:ascii="Times New Roman" w:hAnsi="Times New Roman" w:cs="Times New Roman"/>
          <w:sz w:val="24"/>
          <w:szCs w:val="24"/>
          <w:shd w:val="clear" w:color="auto" w:fill="FFFFFF"/>
        </w:rPr>
        <w:t xml:space="preserve">overeign credit risk. </w:t>
      </w:r>
      <w:r w:rsidR="008F4D2A" w:rsidRPr="008F3998">
        <w:rPr>
          <w:rFonts w:ascii="Times New Roman" w:hAnsi="Times New Roman" w:cs="Times New Roman"/>
          <w:sz w:val="24"/>
          <w:szCs w:val="24"/>
          <w:shd w:val="clear" w:color="auto" w:fill="FFFFFF"/>
        </w:rPr>
        <w:t xml:space="preserve">In addition, Kraemer and </w:t>
      </w:r>
      <w:proofErr w:type="spellStart"/>
      <w:r w:rsidR="008F4D2A" w:rsidRPr="008F3998">
        <w:rPr>
          <w:rFonts w:ascii="Times New Roman" w:hAnsi="Times New Roman" w:cs="Times New Roman"/>
          <w:sz w:val="24"/>
          <w:szCs w:val="24"/>
          <w:shd w:val="clear" w:color="auto" w:fill="FFFFFF"/>
        </w:rPr>
        <w:t>Negrila</w:t>
      </w:r>
      <w:proofErr w:type="spellEnd"/>
      <w:r w:rsidR="008F4D2A" w:rsidRPr="008F3998">
        <w:rPr>
          <w:rFonts w:ascii="Times New Roman" w:hAnsi="Times New Roman" w:cs="Times New Roman"/>
          <w:sz w:val="24"/>
          <w:szCs w:val="24"/>
          <w:shd w:val="clear" w:color="auto" w:fill="FFFFFF"/>
        </w:rPr>
        <w:t xml:space="preserve"> (2014) also find the positive correlation between the high score of environmentally vulnerable countries and low sovereign credit ratings. It confirms the link between the </w:t>
      </w:r>
      <w:r w:rsidR="00C110A6" w:rsidRPr="008F3998">
        <w:rPr>
          <w:rFonts w:ascii="Times New Roman" w:hAnsi="Times New Roman" w:cs="Times New Roman"/>
          <w:sz w:val="24"/>
          <w:szCs w:val="24"/>
          <w:shd w:val="clear" w:color="auto" w:fill="FFFFFF"/>
        </w:rPr>
        <w:t>impacts</w:t>
      </w:r>
      <w:r w:rsidR="008F4D2A" w:rsidRPr="008F3998">
        <w:rPr>
          <w:rFonts w:ascii="Times New Roman" w:hAnsi="Times New Roman" w:cs="Times New Roman"/>
          <w:sz w:val="24"/>
          <w:szCs w:val="24"/>
          <w:shd w:val="clear" w:color="auto" w:fill="FFFFFF"/>
        </w:rPr>
        <w:t xml:space="preserve"> of climate change on country risk; therefore, this</w:t>
      </w:r>
      <w:r w:rsidR="004F4A23" w:rsidRPr="008F3998">
        <w:rPr>
          <w:rFonts w:ascii="Times New Roman" w:hAnsi="Times New Roman" w:cs="Times New Roman"/>
          <w:sz w:val="24"/>
          <w:szCs w:val="24"/>
          <w:shd w:val="clear" w:color="auto" w:fill="FFFFFF"/>
        </w:rPr>
        <w:t xml:space="preserve"> paper attempts to explain the indirect channel from environmental issues to sovereign risk through economic growth and fiscal performance.</w:t>
      </w:r>
    </w:p>
    <w:p w14:paraId="72972CB6" w14:textId="36DF0676" w:rsidR="00D7265A" w:rsidRPr="008F3998" w:rsidRDefault="001B0D58" w:rsidP="003C0A6E">
      <w:pPr>
        <w:spacing w:after="0" w:line="240" w:lineRule="auto"/>
        <w:jc w:val="center"/>
      </w:pPr>
      <w:r w:rsidRPr="008F3998">
        <w:rPr>
          <w:noProof/>
          <w:lang w:eastAsia="en-GB"/>
        </w:rPr>
        <w:drawing>
          <wp:inline distT="0" distB="0" distL="0" distR="0" wp14:anchorId="31D9B143" wp14:editId="303F44BF">
            <wp:extent cx="4572000" cy="2743200"/>
            <wp:effectExtent l="0" t="0" r="0" b="0"/>
            <wp:docPr id="1" name="Chart 1">
              <a:extLst xmlns:a="http://schemas.openxmlformats.org/drawingml/2006/main">
                <a:ext uri="{FF2B5EF4-FFF2-40B4-BE49-F238E27FC236}">
                  <a16:creationId xmlns:a16="http://schemas.microsoft.com/office/drawing/2014/main" id="{BB0754D9-830D-41D6-B0AC-474AEF852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8D95CD" w14:textId="77777777" w:rsidR="00C03DD9" w:rsidRPr="008F3998" w:rsidRDefault="00C03DD9" w:rsidP="00C03DD9">
      <w:pPr>
        <w:spacing w:after="0" w:line="240" w:lineRule="auto"/>
        <w:jc w:val="center"/>
        <w:rPr>
          <w:rFonts w:ascii="Times New Roman" w:eastAsia="Times New Roman" w:hAnsi="Times New Roman" w:cs="Times New Roman"/>
          <w:sz w:val="20"/>
          <w:szCs w:val="20"/>
        </w:rPr>
      </w:pPr>
      <w:r w:rsidRPr="008F3998">
        <w:rPr>
          <w:rFonts w:ascii="Times New Roman" w:eastAsia="Times New Roman" w:hAnsi="Times New Roman" w:cs="Times New Roman"/>
          <w:sz w:val="20"/>
          <w:szCs w:val="20"/>
        </w:rPr>
        <w:t>Source: Climate Transparency (2019).</w:t>
      </w:r>
      <w:r w:rsidRPr="008F3998">
        <w:rPr>
          <w:rStyle w:val="FootnoteReference"/>
          <w:rFonts w:ascii="Times New Roman" w:eastAsia="Times New Roman" w:hAnsi="Times New Roman" w:cs="Times New Roman"/>
          <w:sz w:val="20"/>
          <w:szCs w:val="20"/>
        </w:rPr>
        <w:footnoteReference w:id="3"/>
      </w:r>
    </w:p>
    <w:p w14:paraId="7284967A" w14:textId="18467C50" w:rsidR="00D7265A" w:rsidRPr="008F3998" w:rsidRDefault="1087AD41" w:rsidP="003C0A6E">
      <w:pPr>
        <w:spacing w:after="0" w:line="240" w:lineRule="auto"/>
        <w:jc w:val="center"/>
        <w:rPr>
          <w:rFonts w:ascii="Times New Roman" w:eastAsia="Times New Roman" w:hAnsi="Times New Roman" w:cs="Times New Roman"/>
          <w:b/>
          <w:bCs/>
          <w:sz w:val="24"/>
          <w:szCs w:val="24"/>
        </w:rPr>
      </w:pPr>
      <w:r w:rsidRPr="008F3998">
        <w:rPr>
          <w:rFonts w:ascii="Times New Roman" w:eastAsia="Times New Roman" w:hAnsi="Times New Roman" w:cs="Times New Roman"/>
          <w:b/>
          <w:bCs/>
          <w:sz w:val="24"/>
          <w:szCs w:val="24"/>
        </w:rPr>
        <w:t xml:space="preserve">Figure 1: G7 GHG </w:t>
      </w:r>
      <w:r w:rsidR="00E86712" w:rsidRPr="008F3998">
        <w:rPr>
          <w:rFonts w:ascii="Times New Roman" w:eastAsia="Times New Roman" w:hAnsi="Times New Roman" w:cs="Times New Roman"/>
          <w:b/>
          <w:bCs/>
          <w:sz w:val="24"/>
          <w:szCs w:val="24"/>
        </w:rPr>
        <w:t>e</w:t>
      </w:r>
      <w:r w:rsidRPr="008F3998">
        <w:rPr>
          <w:rFonts w:ascii="Times New Roman" w:eastAsia="Times New Roman" w:hAnsi="Times New Roman" w:cs="Times New Roman"/>
          <w:b/>
          <w:bCs/>
          <w:sz w:val="24"/>
          <w:szCs w:val="24"/>
        </w:rPr>
        <w:t xml:space="preserve">missions </w:t>
      </w:r>
      <w:r w:rsidR="00E86712" w:rsidRPr="008F3998">
        <w:rPr>
          <w:rFonts w:ascii="Times New Roman" w:eastAsia="Times New Roman" w:hAnsi="Times New Roman" w:cs="Times New Roman"/>
          <w:b/>
          <w:bCs/>
          <w:sz w:val="24"/>
          <w:szCs w:val="24"/>
        </w:rPr>
        <w:t>p</w:t>
      </w:r>
      <w:r w:rsidRPr="008F3998">
        <w:rPr>
          <w:rFonts w:ascii="Times New Roman" w:eastAsia="Times New Roman" w:hAnsi="Times New Roman" w:cs="Times New Roman"/>
          <w:b/>
          <w:bCs/>
          <w:sz w:val="24"/>
          <w:szCs w:val="24"/>
        </w:rPr>
        <w:t xml:space="preserve">er </w:t>
      </w:r>
      <w:r w:rsidR="00E86712" w:rsidRPr="008F3998">
        <w:rPr>
          <w:rFonts w:ascii="Times New Roman" w:eastAsia="Times New Roman" w:hAnsi="Times New Roman" w:cs="Times New Roman"/>
          <w:b/>
          <w:bCs/>
          <w:sz w:val="24"/>
          <w:szCs w:val="24"/>
        </w:rPr>
        <w:t>c</w:t>
      </w:r>
      <w:r w:rsidRPr="008F3998">
        <w:rPr>
          <w:rFonts w:ascii="Times New Roman" w:eastAsia="Times New Roman" w:hAnsi="Times New Roman" w:cs="Times New Roman"/>
          <w:b/>
          <w:bCs/>
          <w:sz w:val="24"/>
          <w:szCs w:val="24"/>
        </w:rPr>
        <w:t xml:space="preserve">apita and </w:t>
      </w:r>
      <w:r w:rsidR="00E86712" w:rsidRPr="008F3998">
        <w:rPr>
          <w:rFonts w:ascii="Times New Roman" w:eastAsia="Times New Roman" w:hAnsi="Times New Roman" w:cs="Times New Roman"/>
          <w:b/>
          <w:bCs/>
          <w:sz w:val="24"/>
          <w:szCs w:val="24"/>
        </w:rPr>
        <w:t>s</w:t>
      </w:r>
      <w:r w:rsidRPr="008F3998">
        <w:rPr>
          <w:rFonts w:ascii="Times New Roman" w:eastAsia="Times New Roman" w:hAnsi="Times New Roman" w:cs="Times New Roman"/>
          <w:b/>
          <w:bCs/>
          <w:sz w:val="24"/>
          <w:szCs w:val="24"/>
        </w:rPr>
        <w:t xml:space="preserve">hare of </w:t>
      </w:r>
      <w:r w:rsidR="00E86712" w:rsidRPr="008F3998">
        <w:rPr>
          <w:rFonts w:ascii="Times New Roman" w:eastAsia="Times New Roman" w:hAnsi="Times New Roman" w:cs="Times New Roman"/>
          <w:b/>
          <w:bCs/>
          <w:sz w:val="24"/>
          <w:szCs w:val="24"/>
        </w:rPr>
        <w:t>g</w:t>
      </w:r>
      <w:r w:rsidRPr="008F3998">
        <w:rPr>
          <w:rFonts w:ascii="Times New Roman" w:eastAsia="Times New Roman" w:hAnsi="Times New Roman" w:cs="Times New Roman"/>
          <w:b/>
          <w:bCs/>
          <w:sz w:val="24"/>
          <w:szCs w:val="24"/>
        </w:rPr>
        <w:t>lobal GHG emissions</w:t>
      </w:r>
    </w:p>
    <w:p w14:paraId="3D091A58" w14:textId="77777777" w:rsidR="002F248D" w:rsidRPr="008F3998" w:rsidRDefault="002F248D" w:rsidP="1087AD41">
      <w:pPr>
        <w:spacing w:after="100" w:afterAutospacing="1" w:line="480" w:lineRule="auto"/>
        <w:ind w:firstLine="709"/>
        <w:jc w:val="both"/>
        <w:rPr>
          <w:rFonts w:ascii="Times New Roman" w:hAnsi="Times New Roman" w:cs="Times New Roman"/>
          <w:sz w:val="24"/>
          <w:szCs w:val="24"/>
        </w:rPr>
      </w:pPr>
    </w:p>
    <w:p w14:paraId="3018A7C4" w14:textId="67AD4D98" w:rsidR="00D7265A" w:rsidRPr="008F3998" w:rsidRDefault="004C6A2C" w:rsidP="1087AD41">
      <w:pPr>
        <w:spacing w:after="100" w:afterAutospacing="1" w:line="480" w:lineRule="auto"/>
        <w:ind w:firstLine="709"/>
        <w:jc w:val="both"/>
        <w:rPr>
          <w:rFonts w:ascii="Times New Roman" w:hAnsi="Times New Roman" w:cs="Times New Roman"/>
          <w:sz w:val="24"/>
          <w:szCs w:val="24"/>
        </w:rPr>
      </w:pPr>
      <w:r w:rsidRPr="008F3998">
        <w:rPr>
          <w:rFonts w:ascii="Times New Roman" w:hAnsi="Times New Roman" w:cs="Times New Roman"/>
          <w:sz w:val="24"/>
          <w:szCs w:val="24"/>
        </w:rPr>
        <w:t>In</w:t>
      </w:r>
      <w:r w:rsidR="1536B67E" w:rsidRPr="008F3998">
        <w:rPr>
          <w:rFonts w:ascii="Times New Roman" w:hAnsi="Times New Roman" w:cs="Times New Roman"/>
          <w:sz w:val="24"/>
          <w:szCs w:val="24"/>
        </w:rPr>
        <w:t xml:space="preserve"> Figure 1, we can observe that the environment</w:t>
      </w:r>
      <w:r w:rsidRPr="008F3998">
        <w:rPr>
          <w:rFonts w:ascii="Times New Roman" w:hAnsi="Times New Roman" w:cs="Times New Roman"/>
          <w:sz w:val="24"/>
          <w:szCs w:val="24"/>
        </w:rPr>
        <w:t>al footprint</w:t>
      </w:r>
      <w:r w:rsidR="00A97472" w:rsidRPr="008F3998">
        <w:rPr>
          <w:rFonts w:ascii="Times New Roman" w:hAnsi="Times New Roman" w:cs="Times New Roman"/>
          <w:sz w:val="24"/>
          <w:szCs w:val="24"/>
        </w:rPr>
        <w:t>s</w:t>
      </w:r>
      <w:r w:rsidR="1536B67E" w:rsidRPr="008F3998">
        <w:rPr>
          <w:rFonts w:ascii="Times New Roman" w:hAnsi="Times New Roman" w:cs="Times New Roman"/>
          <w:sz w:val="24"/>
          <w:szCs w:val="24"/>
        </w:rPr>
        <w:t xml:space="preserve"> </w:t>
      </w:r>
      <w:r w:rsidRPr="008F3998">
        <w:rPr>
          <w:rFonts w:ascii="Times New Roman" w:hAnsi="Times New Roman" w:cs="Times New Roman"/>
          <w:sz w:val="24"/>
          <w:szCs w:val="24"/>
        </w:rPr>
        <w:t>of the</w:t>
      </w:r>
      <w:r w:rsidR="1536B67E" w:rsidRPr="008F3998">
        <w:rPr>
          <w:rFonts w:ascii="Times New Roman" w:hAnsi="Times New Roman" w:cs="Times New Roman"/>
          <w:sz w:val="24"/>
          <w:szCs w:val="24"/>
        </w:rPr>
        <w:t xml:space="preserve"> G7 economies are quite </w:t>
      </w:r>
      <w:r w:rsidR="007635C5" w:rsidRPr="008F3998">
        <w:rPr>
          <w:rFonts w:ascii="Times New Roman" w:hAnsi="Times New Roman" w:cs="Times New Roman"/>
          <w:sz w:val="24"/>
          <w:szCs w:val="24"/>
        </w:rPr>
        <w:t>heterogeneous</w:t>
      </w:r>
      <w:r w:rsidR="1536B67E" w:rsidRPr="008F3998">
        <w:rPr>
          <w:rFonts w:ascii="Times New Roman" w:hAnsi="Times New Roman" w:cs="Times New Roman"/>
          <w:sz w:val="24"/>
          <w:szCs w:val="24"/>
        </w:rPr>
        <w:t xml:space="preserve">. </w:t>
      </w:r>
      <w:r w:rsidR="00C03DD9" w:rsidRPr="008F3998">
        <w:rPr>
          <w:rFonts w:ascii="Times New Roman" w:hAnsi="Times New Roman" w:cs="Times New Roman"/>
          <w:sz w:val="24"/>
          <w:szCs w:val="24"/>
        </w:rPr>
        <w:t>M</w:t>
      </w:r>
      <w:r w:rsidR="1536B67E" w:rsidRPr="008F3998">
        <w:rPr>
          <w:rFonts w:ascii="Times New Roman" w:hAnsi="Times New Roman" w:cs="Times New Roman"/>
          <w:sz w:val="24"/>
          <w:szCs w:val="24"/>
        </w:rPr>
        <w:t>ore precise</w:t>
      </w:r>
      <w:r w:rsidR="00C03DD9" w:rsidRPr="008F3998">
        <w:rPr>
          <w:rFonts w:ascii="Times New Roman" w:hAnsi="Times New Roman" w:cs="Times New Roman"/>
          <w:sz w:val="24"/>
          <w:szCs w:val="24"/>
        </w:rPr>
        <w:t>ly</w:t>
      </w:r>
      <w:r w:rsidR="1536B67E" w:rsidRPr="008F3998">
        <w:rPr>
          <w:rFonts w:ascii="Times New Roman" w:hAnsi="Times New Roman" w:cs="Times New Roman"/>
          <w:sz w:val="24"/>
          <w:szCs w:val="24"/>
        </w:rPr>
        <w:t>, the US</w:t>
      </w:r>
      <w:r w:rsidR="00C03DD9" w:rsidRPr="008F3998">
        <w:rPr>
          <w:rFonts w:ascii="Times New Roman" w:hAnsi="Times New Roman" w:cs="Times New Roman"/>
          <w:sz w:val="24"/>
          <w:szCs w:val="24"/>
        </w:rPr>
        <w:t>A</w:t>
      </w:r>
      <w:r w:rsidR="1536B67E" w:rsidRPr="008F3998">
        <w:rPr>
          <w:rFonts w:ascii="Times New Roman" w:hAnsi="Times New Roman" w:cs="Times New Roman"/>
          <w:sz w:val="24"/>
          <w:szCs w:val="24"/>
        </w:rPr>
        <w:t xml:space="preserve"> is </w:t>
      </w:r>
      <w:r w:rsidR="00C03DD9" w:rsidRPr="008F3998">
        <w:rPr>
          <w:rFonts w:ascii="Times New Roman" w:hAnsi="Times New Roman" w:cs="Times New Roman"/>
          <w:sz w:val="24"/>
          <w:szCs w:val="24"/>
        </w:rPr>
        <w:t>an</w:t>
      </w:r>
      <w:r w:rsidR="1536B67E" w:rsidRPr="008F3998">
        <w:rPr>
          <w:rFonts w:ascii="Times New Roman" w:hAnsi="Times New Roman" w:cs="Times New Roman"/>
          <w:sz w:val="24"/>
          <w:szCs w:val="24"/>
        </w:rPr>
        <w:t xml:space="preserve"> outlier which experiences high GHG emissions per capita as well as </w:t>
      </w:r>
      <w:r w:rsidR="00C03DD9" w:rsidRPr="008F3998">
        <w:rPr>
          <w:rFonts w:ascii="Times New Roman" w:hAnsi="Times New Roman" w:cs="Times New Roman"/>
          <w:sz w:val="24"/>
          <w:szCs w:val="24"/>
        </w:rPr>
        <w:t>high</w:t>
      </w:r>
      <w:r w:rsidR="1536B67E" w:rsidRPr="008F3998">
        <w:rPr>
          <w:rFonts w:ascii="Times New Roman" w:hAnsi="Times New Roman" w:cs="Times New Roman"/>
          <w:sz w:val="24"/>
          <w:szCs w:val="24"/>
        </w:rPr>
        <w:t xml:space="preserve"> share of global GHG</w:t>
      </w:r>
      <w:r w:rsidR="00C03DD9" w:rsidRPr="008F3998">
        <w:rPr>
          <w:rFonts w:ascii="Times New Roman" w:hAnsi="Times New Roman" w:cs="Times New Roman"/>
          <w:sz w:val="24"/>
          <w:szCs w:val="24"/>
        </w:rPr>
        <w:t xml:space="preserve"> emissions</w:t>
      </w:r>
      <w:r w:rsidR="1536B67E" w:rsidRPr="008F3998">
        <w:rPr>
          <w:rFonts w:ascii="Times New Roman" w:hAnsi="Times New Roman" w:cs="Times New Roman"/>
          <w:sz w:val="24"/>
          <w:szCs w:val="24"/>
        </w:rPr>
        <w:t xml:space="preserve">. Meanwhile, the US decided to withdraw </w:t>
      </w:r>
      <w:r w:rsidR="1087AD41" w:rsidRPr="008F3998">
        <w:rPr>
          <w:rFonts w:ascii="Times New Roman" w:hAnsi="Times New Roman" w:cs="Times New Roman"/>
          <w:sz w:val="24"/>
          <w:szCs w:val="24"/>
        </w:rPr>
        <w:t>from the Paris Agreement 2020. Of course, the United States is the largest economy and a producer, as well as a consumer of fossil fuel; therefore, the withdrawal of the leading country might cause serious implications and consequences among the strictly environmental compliance countries such as Germany or Japan. In addition, G7 economies are also the largest emitters of GHGs, including CO</w:t>
      </w:r>
      <w:r w:rsidR="1087AD41" w:rsidRPr="008F3998">
        <w:rPr>
          <w:rFonts w:ascii="Times New Roman" w:hAnsi="Times New Roman" w:cs="Times New Roman"/>
          <w:sz w:val="24"/>
          <w:szCs w:val="24"/>
          <w:vertAlign w:val="subscript"/>
        </w:rPr>
        <w:t>2</w:t>
      </w:r>
      <w:r w:rsidR="1087AD41" w:rsidRPr="008F3998">
        <w:rPr>
          <w:rFonts w:ascii="Times New Roman" w:hAnsi="Times New Roman" w:cs="Times New Roman"/>
          <w:sz w:val="24"/>
          <w:szCs w:val="24"/>
        </w:rPr>
        <w:t xml:space="preserve"> emissions. It is undeniable that</w:t>
      </w:r>
      <w:r w:rsidR="004B0795" w:rsidRPr="008F3998">
        <w:rPr>
          <w:rFonts w:ascii="Times New Roman" w:hAnsi="Times New Roman" w:cs="Times New Roman"/>
          <w:sz w:val="24"/>
          <w:szCs w:val="24"/>
        </w:rPr>
        <w:t xml:space="preserve"> the</w:t>
      </w:r>
      <w:r w:rsidR="1087AD41" w:rsidRPr="008F3998">
        <w:rPr>
          <w:rFonts w:ascii="Times New Roman" w:hAnsi="Times New Roman" w:cs="Times New Roman"/>
          <w:sz w:val="24"/>
          <w:szCs w:val="24"/>
        </w:rPr>
        <w:t xml:space="preserve"> G7 economies are the most influential countries in terms of economic as well as political status. Therefore, it is vital to examine their impact as the typical case for the further implications.</w:t>
      </w:r>
    </w:p>
    <w:p w14:paraId="1EAA4FB8" w14:textId="3573C44F" w:rsidR="00D7265A" w:rsidRPr="008F3998" w:rsidRDefault="1536B67E" w:rsidP="29D2763D">
      <w:pPr>
        <w:spacing w:after="100" w:afterAutospacing="1" w:line="480" w:lineRule="auto"/>
        <w:ind w:firstLine="709"/>
        <w:jc w:val="both"/>
        <w:rPr>
          <w:rFonts w:ascii="Times New Roman" w:hAnsi="Times New Roman" w:cs="Times New Roman"/>
          <w:sz w:val="24"/>
          <w:szCs w:val="24"/>
        </w:rPr>
      </w:pPr>
      <w:r w:rsidRPr="008F3998">
        <w:rPr>
          <w:rFonts w:ascii="Times New Roman" w:hAnsi="Times New Roman" w:cs="Times New Roman"/>
          <w:sz w:val="24"/>
          <w:szCs w:val="24"/>
        </w:rPr>
        <w:t>O</w:t>
      </w:r>
      <w:r w:rsidR="00D7265A" w:rsidRPr="008F3998">
        <w:rPr>
          <w:rFonts w:ascii="Times New Roman" w:hAnsi="Times New Roman" w:cs="Times New Roman"/>
          <w:sz w:val="24"/>
          <w:szCs w:val="24"/>
        </w:rPr>
        <w:t>ur paper contributes to the existing empirical studies of energy economics and wide</w:t>
      </w:r>
      <w:r w:rsidR="00170CEA" w:rsidRPr="008F3998">
        <w:rPr>
          <w:rFonts w:ascii="Times New Roman" w:hAnsi="Times New Roman" w:cs="Times New Roman"/>
          <w:sz w:val="24"/>
          <w:szCs w:val="24"/>
        </w:rPr>
        <w:t>r</w:t>
      </w:r>
      <w:r w:rsidR="00D7265A" w:rsidRPr="008F3998">
        <w:rPr>
          <w:rFonts w:ascii="Times New Roman" w:hAnsi="Times New Roman" w:cs="Times New Roman"/>
          <w:sz w:val="24"/>
          <w:szCs w:val="24"/>
        </w:rPr>
        <w:t xml:space="preserve"> economic and environmental literature in the </w:t>
      </w:r>
      <w:r w:rsidR="00170CEA" w:rsidRPr="008F3998">
        <w:rPr>
          <w:rFonts w:ascii="Times New Roman" w:hAnsi="Times New Roman" w:cs="Times New Roman"/>
          <w:sz w:val="24"/>
          <w:szCs w:val="24"/>
        </w:rPr>
        <w:t xml:space="preserve">following several </w:t>
      </w:r>
      <w:r w:rsidR="00D7265A" w:rsidRPr="008F3998">
        <w:rPr>
          <w:rFonts w:ascii="Times New Roman" w:hAnsi="Times New Roman" w:cs="Times New Roman"/>
          <w:sz w:val="24"/>
          <w:szCs w:val="24"/>
        </w:rPr>
        <w:t>novel ways. (</w:t>
      </w:r>
      <w:proofErr w:type="spellStart"/>
      <w:r w:rsidR="00D7265A" w:rsidRPr="008F3998">
        <w:rPr>
          <w:rFonts w:ascii="Times New Roman" w:hAnsi="Times New Roman" w:cs="Times New Roman"/>
          <w:sz w:val="24"/>
          <w:szCs w:val="24"/>
        </w:rPr>
        <w:t>i</w:t>
      </w:r>
      <w:proofErr w:type="spellEnd"/>
      <w:r w:rsidR="00D7265A" w:rsidRPr="008F3998">
        <w:rPr>
          <w:rFonts w:ascii="Times New Roman" w:hAnsi="Times New Roman" w:cs="Times New Roman"/>
          <w:sz w:val="24"/>
          <w:szCs w:val="24"/>
        </w:rPr>
        <w:t xml:space="preserve">) </w:t>
      </w:r>
      <w:r w:rsidR="005077E1" w:rsidRPr="008F3998">
        <w:rPr>
          <w:rFonts w:ascii="Times New Roman" w:hAnsi="Times New Roman" w:cs="Times New Roman"/>
          <w:sz w:val="24"/>
          <w:szCs w:val="24"/>
        </w:rPr>
        <w:t xml:space="preserve">We explore the role of innovation in managing the environmental challenges via examining </w:t>
      </w:r>
      <w:r w:rsidR="00D7265A" w:rsidRPr="008F3998">
        <w:rPr>
          <w:rFonts w:ascii="Times New Roman" w:hAnsi="Times New Roman" w:cs="Times New Roman"/>
          <w:sz w:val="24"/>
          <w:szCs w:val="24"/>
        </w:rPr>
        <w:t>the relationship of sovereign risk with carbon emission. Our paper uses a long sample period i.e. from 1996 to 2014</w:t>
      </w:r>
      <w:r w:rsidR="00B47122" w:rsidRPr="008F3998">
        <w:rPr>
          <w:rFonts w:ascii="Times New Roman" w:hAnsi="Times New Roman" w:cs="Times New Roman"/>
          <w:sz w:val="24"/>
          <w:szCs w:val="24"/>
        </w:rPr>
        <w:t xml:space="preserve"> and use dataset of G7 countries</w:t>
      </w:r>
      <w:r w:rsidR="00D7265A" w:rsidRPr="008F3998">
        <w:rPr>
          <w:rFonts w:ascii="Times New Roman" w:hAnsi="Times New Roman" w:cs="Times New Roman"/>
          <w:sz w:val="24"/>
          <w:szCs w:val="24"/>
        </w:rPr>
        <w:t xml:space="preserve">. </w:t>
      </w:r>
      <w:r w:rsidR="00170CEA" w:rsidRPr="008F3998">
        <w:rPr>
          <w:rFonts w:ascii="Times New Roman" w:hAnsi="Times New Roman" w:cs="Times New Roman"/>
          <w:sz w:val="24"/>
          <w:szCs w:val="24"/>
        </w:rPr>
        <w:t>(ii) We provide an evidence on the statistical relationship between carbon emission and sovereign risk, which has only been mentioned as a theory as well as a framework in the prior studies (</w:t>
      </w:r>
      <w:proofErr w:type="spellStart"/>
      <w:r w:rsidR="00170CEA" w:rsidRPr="008F3998">
        <w:rPr>
          <w:rFonts w:ascii="Times New Roman" w:hAnsi="Times New Roman" w:cs="Times New Roman"/>
          <w:sz w:val="24"/>
          <w:szCs w:val="24"/>
        </w:rPr>
        <w:t>Carvis</w:t>
      </w:r>
      <w:proofErr w:type="spellEnd"/>
      <w:r w:rsidR="00170CEA" w:rsidRPr="008F3998">
        <w:rPr>
          <w:rFonts w:ascii="Times New Roman" w:hAnsi="Times New Roman" w:cs="Times New Roman"/>
          <w:sz w:val="24"/>
          <w:szCs w:val="24"/>
        </w:rPr>
        <w:t xml:space="preserve"> et al., 2014; Kraemer and </w:t>
      </w:r>
      <w:proofErr w:type="spellStart"/>
      <w:r w:rsidR="00170CEA" w:rsidRPr="008F3998">
        <w:rPr>
          <w:rFonts w:ascii="Times New Roman" w:hAnsi="Times New Roman" w:cs="Times New Roman"/>
          <w:sz w:val="24"/>
          <w:szCs w:val="24"/>
        </w:rPr>
        <w:t>Negrila</w:t>
      </w:r>
      <w:proofErr w:type="spellEnd"/>
      <w:r w:rsidR="00170CEA" w:rsidRPr="008F3998">
        <w:rPr>
          <w:rFonts w:ascii="Times New Roman" w:hAnsi="Times New Roman" w:cs="Times New Roman"/>
          <w:sz w:val="24"/>
          <w:szCs w:val="24"/>
        </w:rPr>
        <w:t xml:space="preserve">, 2014). </w:t>
      </w:r>
      <w:r w:rsidR="00D7265A" w:rsidRPr="008F3998">
        <w:rPr>
          <w:rFonts w:ascii="Times New Roman" w:hAnsi="Times New Roman" w:cs="Times New Roman"/>
          <w:sz w:val="24"/>
          <w:szCs w:val="24"/>
        </w:rPr>
        <w:t>(ii</w:t>
      </w:r>
      <w:r w:rsidR="00170CEA" w:rsidRPr="008F3998">
        <w:rPr>
          <w:rFonts w:ascii="Times New Roman" w:hAnsi="Times New Roman" w:cs="Times New Roman"/>
          <w:sz w:val="24"/>
          <w:szCs w:val="24"/>
        </w:rPr>
        <w:t>i</w:t>
      </w:r>
      <w:r w:rsidR="00D7265A" w:rsidRPr="008F3998">
        <w:rPr>
          <w:rFonts w:ascii="Times New Roman" w:hAnsi="Times New Roman" w:cs="Times New Roman"/>
          <w:sz w:val="24"/>
          <w:szCs w:val="24"/>
        </w:rPr>
        <w:t xml:space="preserve">) We employ </w:t>
      </w:r>
      <w:r w:rsidR="00873D9B" w:rsidRPr="008F3998">
        <w:rPr>
          <w:rFonts w:ascii="Times New Roman" w:hAnsi="Times New Roman" w:cs="Times New Roman"/>
          <w:sz w:val="24"/>
          <w:szCs w:val="24"/>
        </w:rPr>
        <w:t xml:space="preserve">extreme value theory </w:t>
      </w:r>
      <w:r w:rsidR="00D7265A" w:rsidRPr="008F3998">
        <w:rPr>
          <w:rFonts w:ascii="Times New Roman" w:hAnsi="Times New Roman" w:cs="Times New Roman"/>
          <w:sz w:val="24"/>
          <w:szCs w:val="24"/>
        </w:rPr>
        <w:t>to compute risk measures i.e. tail quantile and tail expected shortfall</w:t>
      </w:r>
      <w:r w:rsidR="00B47122" w:rsidRPr="008F3998">
        <w:rPr>
          <w:rFonts w:ascii="Times New Roman" w:hAnsi="Times New Roman" w:cs="Times New Roman"/>
          <w:sz w:val="24"/>
          <w:szCs w:val="24"/>
        </w:rPr>
        <w:t xml:space="preserve"> as it captures extreme risk deep into the left tail of the distribution and long term in nature. </w:t>
      </w:r>
      <w:r w:rsidR="005077E1" w:rsidRPr="008F3998">
        <w:rPr>
          <w:rFonts w:ascii="Times New Roman" w:hAnsi="Times New Roman" w:cs="Times New Roman"/>
          <w:sz w:val="24"/>
          <w:szCs w:val="24"/>
        </w:rPr>
        <w:t>Long-term</w:t>
      </w:r>
      <w:r w:rsidR="00B47122" w:rsidRPr="008F3998">
        <w:rPr>
          <w:rFonts w:ascii="Times New Roman" w:hAnsi="Times New Roman" w:cs="Times New Roman"/>
          <w:sz w:val="24"/>
          <w:szCs w:val="24"/>
        </w:rPr>
        <w:t xml:space="preserve"> risk measure is more appropriate as carbon emissions are likely to affect the sovereign risk in the longer term. </w:t>
      </w:r>
      <w:r w:rsidR="00D7265A" w:rsidRPr="008F3998">
        <w:rPr>
          <w:rFonts w:ascii="Times New Roman" w:hAnsi="Times New Roman" w:cs="Times New Roman"/>
          <w:sz w:val="24"/>
          <w:szCs w:val="24"/>
        </w:rPr>
        <w:t>(iii) Rather than concentrating on tradition</w:t>
      </w:r>
      <w:r w:rsidR="005A0987" w:rsidRPr="008F3998">
        <w:rPr>
          <w:rFonts w:ascii="Times New Roman" w:hAnsi="Times New Roman" w:cs="Times New Roman"/>
          <w:sz w:val="24"/>
          <w:szCs w:val="24"/>
        </w:rPr>
        <w:t>al</w:t>
      </w:r>
      <w:r w:rsidR="00D7265A" w:rsidRPr="008F3998">
        <w:rPr>
          <w:rFonts w:ascii="Times New Roman" w:hAnsi="Times New Roman" w:cs="Times New Roman"/>
          <w:sz w:val="24"/>
          <w:szCs w:val="24"/>
        </w:rPr>
        <w:t xml:space="preserve"> sovereign risk with systematic modelling with debt, we are interested in business models</w:t>
      </w:r>
      <w:r w:rsidR="00A80EE1" w:rsidRPr="008F3998">
        <w:rPr>
          <w:rFonts w:ascii="Times New Roman" w:hAnsi="Times New Roman" w:cs="Times New Roman"/>
          <w:sz w:val="24"/>
          <w:szCs w:val="24"/>
        </w:rPr>
        <w:t>,</w:t>
      </w:r>
      <w:r w:rsidR="00D7265A" w:rsidRPr="008F3998">
        <w:rPr>
          <w:rFonts w:ascii="Times New Roman" w:hAnsi="Times New Roman" w:cs="Times New Roman"/>
          <w:sz w:val="24"/>
          <w:szCs w:val="24"/>
        </w:rPr>
        <w:t xml:space="preserve"> which allow sovereign countries to minimise contagion exposure due to climate change.</w:t>
      </w:r>
      <w:r w:rsidR="000F2C04" w:rsidRPr="008F3998">
        <w:rPr>
          <w:rFonts w:ascii="Times New Roman" w:hAnsi="Times New Roman" w:cs="Times New Roman"/>
          <w:sz w:val="24"/>
          <w:szCs w:val="24"/>
        </w:rPr>
        <w:t xml:space="preserve"> </w:t>
      </w:r>
      <w:proofErr w:type="gramStart"/>
      <w:r w:rsidR="000F2C04" w:rsidRPr="008F3998">
        <w:rPr>
          <w:rFonts w:ascii="Times New Roman" w:hAnsi="Times New Roman" w:cs="Times New Roman"/>
          <w:sz w:val="24"/>
          <w:szCs w:val="24"/>
        </w:rPr>
        <w:t xml:space="preserve">(iv) </w:t>
      </w:r>
      <w:r w:rsidR="00170CEA" w:rsidRPr="008F3998">
        <w:rPr>
          <w:rFonts w:ascii="Times New Roman" w:hAnsi="Times New Roman" w:cs="Times New Roman"/>
          <w:sz w:val="24"/>
          <w:szCs w:val="24"/>
        </w:rPr>
        <w:t>We</w:t>
      </w:r>
      <w:proofErr w:type="gramEnd"/>
      <w:r w:rsidR="00170CEA" w:rsidRPr="008F3998">
        <w:rPr>
          <w:rFonts w:ascii="Times New Roman" w:hAnsi="Times New Roman" w:cs="Times New Roman"/>
          <w:sz w:val="24"/>
          <w:szCs w:val="24"/>
        </w:rPr>
        <w:t xml:space="preserve"> provide evidence that </w:t>
      </w:r>
      <w:r w:rsidR="000F2C04" w:rsidRPr="008F3998">
        <w:rPr>
          <w:rFonts w:ascii="Times New Roman" w:hAnsi="Times New Roman" w:cs="Times New Roman"/>
          <w:sz w:val="24"/>
          <w:szCs w:val="24"/>
        </w:rPr>
        <w:t>carbon emission</w:t>
      </w:r>
      <w:r w:rsidR="00170CEA" w:rsidRPr="008F3998">
        <w:rPr>
          <w:rFonts w:ascii="Times New Roman" w:hAnsi="Times New Roman" w:cs="Times New Roman"/>
          <w:sz w:val="24"/>
          <w:szCs w:val="24"/>
        </w:rPr>
        <w:t xml:space="preserve">s are </w:t>
      </w:r>
      <w:r w:rsidR="000F2C04" w:rsidRPr="008F3998">
        <w:rPr>
          <w:rFonts w:ascii="Times New Roman" w:hAnsi="Times New Roman" w:cs="Times New Roman"/>
          <w:sz w:val="24"/>
          <w:szCs w:val="24"/>
        </w:rPr>
        <w:t xml:space="preserve">a determinant of sovereign risk </w:t>
      </w:r>
      <w:r w:rsidR="00B47122" w:rsidRPr="008F3998">
        <w:rPr>
          <w:rFonts w:ascii="Times New Roman" w:hAnsi="Times New Roman" w:cs="Times New Roman"/>
          <w:sz w:val="24"/>
          <w:szCs w:val="24"/>
        </w:rPr>
        <w:t xml:space="preserve">at the country level as well as at the </w:t>
      </w:r>
      <w:r w:rsidR="000F2C04" w:rsidRPr="008F3998">
        <w:rPr>
          <w:rFonts w:ascii="Times New Roman" w:hAnsi="Times New Roman" w:cs="Times New Roman"/>
          <w:sz w:val="24"/>
          <w:szCs w:val="24"/>
        </w:rPr>
        <w:t>industry-level.</w:t>
      </w:r>
      <w:r w:rsidR="005A0987" w:rsidRPr="008F3998">
        <w:rPr>
          <w:rFonts w:ascii="Times New Roman" w:hAnsi="Times New Roman" w:cs="Times New Roman"/>
          <w:sz w:val="24"/>
          <w:szCs w:val="24"/>
        </w:rPr>
        <w:t xml:space="preserve"> We </w:t>
      </w:r>
      <w:r w:rsidR="00C9547C" w:rsidRPr="008F3998">
        <w:rPr>
          <w:rFonts w:ascii="Times New Roman" w:hAnsi="Times New Roman" w:cs="Times New Roman"/>
          <w:sz w:val="24"/>
          <w:szCs w:val="24"/>
        </w:rPr>
        <w:t xml:space="preserve">analyse the </w:t>
      </w:r>
      <w:r w:rsidR="005A0987" w:rsidRPr="008F3998">
        <w:rPr>
          <w:rFonts w:ascii="Times New Roman" w:hAnsi="Times New Roman" w:cs="Times New Roman"/>
          <w:sz w:val="24"/>
          <w:szCs w:val="24"/>
        </w:rPr>
        <w:t>top 3 polluting sectors namely: Transportation, Electricity and Industry. They sectors are responsible for 29%, 28% and 22% of carbon emissions respectively.</w:t>
      </w:r>
      <w:r w:rsidR="005A0987" w:rsidRPr="008F3998">
        <w:rPr>
          <w:rStyle w:val="FootnoteReference"/>
          <w:rFonts w:ascii="Times New Roman" w:hAnsi="Times New Roman" w:cs="Times New Roman"/>
          <w:sz w:val="24"/>
          <w:szCs w:val="24"/>
        </w:rPr>
        <w:footnoteReference w:id="4"/>
      </w:r>
    </w:p>
    <w:p w14:paraId="1E691697" w14:textId="68CE2491" w:rsidR="00D7265A" w:rsidRPr="008F3998" w:rsidRDefault="3F46A01A" w:rsidP="3F46A01A">
      <w:pPr>
        <w:spacing w:after="100" w:afterAutospacing="1" w:line="480" w:lineRule="auto"/>
        <w:ind w:firstLine="709"/>
        <w:jc w:val="both"/>
        <w:rPr>
          <w:rFonts w:ascii="Times New Roman" w:hAnsi="Times New Roman" w:cs="Times New Roman"/>
          <w:sz w:val="24"/>
          <w:szCs w:val="24"/>
        </w:rPr>
      </w:pPr>
      <w:r w:rsidRPr="008F3998">
        <w:rPr>
          <w:rFonts w:ascii="Times New Roman" w:hAnsi="Times New Roman" w:cs="Times New Roman"/>
          <w:sz w:val="24"/>
          <w:szCs w:val="24"/>
        </w:rPr>
        <w:t xml:space="preserve">We find that that climate change (carbon emissions) increase sovereign risk of G7 countries both economically and statistically. When we expand our analysis by sectors, we find that that they are more likely to increase the sovereign risk. Our results are robust to change in risk measures, estimation in differences and dynamic version of econometric models. Therefore, we have robust consideration that the results significantly explain the sovereign risk. Policy makers are looking for innovative ways to inform the debate on tackling climate challenges as indicated by the quotes from the Governor of the Bank of England., </w:t>
      </w:r>
      <w:proofErr w:type="gramStart"/>
      <w:r w:rsidRPr="008F3998">
        <w:rPr>
          <w:rFonts w:ascii="Times New Roman" w:hAnsi="Times New Roman" w:cs="Times New Roman"/>
          <w:sz w:val="24"/>
          <w:szCs w:val="24"/>
        </w:rPr>
        <w:t>So</w:t>
      </w:r>
      <w:proofErr w:type="gramEnd"/>
      <w:r w:rsidRPr="008F3998">
        <w:rPr>
          <w:rFonts w:ascii="Times New Roman" w:hAnsi="Times New Roman" w:cs="Times New Roman"/>
          <w:sz w:val="24"/>
          <w:szCs w:val="24"/>
        </w:rPr>
        <w:t xml:space="preserve"> policy makers are interested in mitigating climate risks and achieving COPs Nationally Determined Contributions (NDCs). Our paper also raises alarm as an increase in the sovereign risk will put off foreign investors as well as domestic investors. Many investors are keen to know about disclosures of carbon and climate risks in sovereign bonds and managing those risks. Carbon emissions are also likely to increase the risk of those businesses that contribute the most to the carbon emissions.</w:t>
      </w:r>
    </w:p>
    <w:p w14:paraId="113631A4" w14:textId="52762616" w:rsidR="00167BF1" w:rsidRPr="008F3998" w:rsidRDefault="00D7265A" w:rsidP="00046A27">
      <w:pPr>
        <w:spacing w:after="0" w:line="480" w:lineRule="auto"/>
        <w:ind w:firstLine="709"/>
        <w:jc w:val="both"/>
        <w:rPr>
          <w:rFonts w:ascii="Times New Roman" w:hAnsi="Times New Roman" w:cs="Times New Roman"/>
          <w:sz w:val="24"/>
          <w:szCs w:val="24"/>
        </w:rPr>
      </w:pPr>
      <w:r w:rsidRPr="008F3998">
        <w:rPr>
          <w:rFonts w:ascii="Times New Roman" w:hAnsi="Times New Roman" w:cs="Times New Roman"/>
          <w:sz w:val="24"/>
          <w:szCs w:val="24"/>
        </w:rPr>
        <w:t>The remainder of the paper is organized as follows. Section 2 reviews the related literature on the carbon emission as well as the sovereign risk. Section 3 provides the data with the empirical models and explains the econometric methodology used in the empirical analysis. Section 4 reports the empirical findings as well as discusses. Section 5 provides the concl</w:t>
      </w:r>
      <w:r w:rsidR="00046A27" w:rsidRPr="008F3998">
        <w:rPr>
          <w:rFonts w:ascii="Times New Roman" w:hAnsi="Times New Roman" w:cs="Times New Roman"/>
          <w:sz w:val="24"/>
          <w:szCs w:val="24"/>
        </w:rPr>
        <w:t>usion and policy implications.</w:t>
      </w:r>
    </w:p>
    <w:p w14:paraId="03803860" w14:textId="3824CC51" w:rsidR="00D7265A" w:rsidRPr="008F3998" w:rsidRDefault="00D7265A" w:rsidP="009D4938">
      <w:pPr>
        <w:pStyle w:val="ListParagraph"/>
        <w:numPr>
          <w:ilvl w:val="0"/>
          <w:numId w:val="1"/>
        </w:numPr>
        <w:spacing w:line="360" w:lineRule="auto"/>
        <w:ind w:left="0" w:firstLine="0"/>
        <w:jc w:val="both"/>
        <w:rPr>
          <w:rFonts w:cs="Times New Roman"/>
          <w:b/>
          <w:szCs w:val="24"/>
        </w:rPr>
      </w:pPr>
      <w:r w:rsidRPr="008F3998">
        <w:rPr>
          <w:rFonts w:cs="Times New Roman"/>
          <w:b/>
          <w:szCs w:val="24"/>
        </w:rPr>
        <w:t>Literature Review</w:t>
      </w:r>
    </w:p>
    <w:p w14:paraId="68FF6FEC" w14:textId="49BEF3D8" w:rsidR="00D7265A" w:rsidRPr="008F3998" w:rsidRDefault="00D7265A" w:rsidP="009D4938">
      <w:pPr>
        <w:pStyle w:val="ListParagraph"/>
        <w:numPr>
          <w:ilvl w:val="1"/>
          <w:numId w:val="1"/>
        </w:numPr>
        <w:spacing w:line="360" w:lineRule="auto"/>
        <w:ind w:left="0" w:firstLine="0"/>
        <w:jc w:val="both"/>
        <w:rPr>
          <w:rFonts w:cs="Times New Roman"/>
          <w:i/>
          <w:szCs w:val="24"/>
        </w:rPr>
      </w:pPr>
      <w:r w:rsidRPr="008F3998">
        <w:rPr>
          <w:rFonts w:cs="Times New Roman"/>
          <w:i/>
          <w:szCs w:val="24"/>
        </w:rPr>
        <w:t>Global Warming and Carbon Emission</w:t>
      </w:r>
    </w:p>
    <w:p w14:paraId="7DC7533D" w14:textId="184F924D" w:rsidR="00D7265A" w:rsidRPr="008F3998" w:rsidRDefault="00D7265A" w:rsidP="003C0A6E">
      <w:pPr>
        <w:spacing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The issue of global warming is a </w:t>
      </w:r>
      <w:r w:rsidR="00E01D12" w:rsidRPr="008F3998">
        <w:rPr>
          <w:rFonts w:ascii="Times New Roman" w:hAnsi="Times New Roman" w:cs="Times New Roman"/>
          <w:sz w:val="24"/>
          <w:szCs w:val="24"/>
        </w:rPr>
        <w:t xml:space="preserve">major </w:t>
      </w:r>
      <w:r w:rsidRPr="008F3998">
        <w:rPr>
          <w:rFonts w:ascii="Times New Roman" w:hAnsi="Times New Roman" w:cs="Times New Roman"/>
          <w:sz w:val="24"/>
          <w:szCs w:val="24"/>
        </w:rPr>
        <w:t xml:space="preserve">concern </w:t>
      </w:r>
      <w:r w:rsidR="00E01D12" w:rsidRPr="008F3998">
        <w:rPr>
          <w:rFonts w:ascii="Times New Roman" w:hAnsi="Times New Roman" w:cs="Times New Roman"/>
          <w:sz w:val="24"/>
          <w:szCs w:val="24"/>
        </w:rPr>
        <w:t>that the whole world is facing</w:t>
      </w:r>
      <w:r w:rsidRPr="008F3998">
        <w:rPr>
          <w:rFonts w:ascii="Times New Roman" w:hAnsi="Times New Roman" w:cs="Times New Roman"/>
          <w:sz w:val="24"/>
          <w:szCs w:val="24"/>
        </w:rPr>
        <w:t xml:space="preserve">. Based on existing literature, the ideal strategy to tackle the world-wide global warming is to reduce carbon </w:t>
      </w:r>
      <w:r w:rsidR="00327F77" w:rsidRPr="008F3998">
        <w:rPr>
          <w:rFonts w:ascii="Times New Roman" w:hAnsi="Times New Roman" w:cs="Times New Roman"/>
          <w:sz w:val="24"/>
          <w:szCs w:val="24"/>
        </w:rPr>
        <w:t>emissions</w:t>
      </w:r>
      <w:r w:rsidRPr="008F3998">
        <w:rPr>
          <w:rFonts w:ascii="Times New Roman" w:hAnsi="Times New Roman" w:cs="Times New Roman"/>
          <w:sz w:val="24"/>
          <w:szCs w:val="24"/>
        </w:rPr>
        <w:t>. It is also very important to understand that extensive majority of CO</w:t>
      </w:r>
      <w:r w:rsidRPr="008F3998">
        <w:rPr>
          <w:rFonts w:ascii="Times New Roman" w:hAnsi="Times New Roman" w:cs="Times New Roman"/>
          <w:sz w:val="24"/>
          <w:szCs w:val="24"/>
          <w:vertAlign w:val="subscript"/>
        </w:rPr>
        <w:t>2</w:t>
      </w:r>
      <w:r w:rsidRPr="008F3998">
        <w:rPr>
          <w:rFonts w:ascii="Times New Roman" w:hAnsi="Times New Roman" w:cs="Times New Roman"/>
          <w:sz w:val="24"/>
          <w:szCs w:val="24"/>
        </w:rPr>
        <w:t xml:space="preserve"> emissions originated from the human activities for instance combustion </w:t>
      </w:r>
      <w:r w:rsidR="00327F77" w:rsidRPr="008F3998">
        <w:rPr>
          <w:rFonts w:ascii="Times New Roman" w:hAnsi="Times New Roman" w:cs="Times New Roman"/>
          <w:sz w:val="24"/>
          <w:szCs w:val="24"/>
        </w:rPr>
        <w:t xml:space="preserve">of </w:t>
      </w:r>
      <w:r w:rsidRPr="008F3998">
        <w:rPr>
          <w:rFonts w:ascii="Times New Roman" w:hAnsi="Times New Roman" w:cs="Times New Roman"/>
          <w:sz w:val="24"/>
          <w:szCs w:val="24"/>
        </w:rPr>
        <w:t>fossil fuels.</w:t>
      </w:r>
      <w:r w:rsidR="00D60AEE" w:rsidRPr="008F3998">
        <w:rPr>
          <w:rFonts w:ascii="Times New Roman" w:hAnsi="Times New Roman" w:cs="Times New Roman"/>
          <w:sz w:val="24"/>
          <w:szCs w:val="24"/>
        </w:rPr>
        <w:t xml:space="preserve"> </w:t>
      </w:r>
      <w:r w:rsidRPr="008F3998">
        <w:rPr>
          <w:rFonts w:ascii="Times New Roman" w:hAnsi="Times New Roman" w:cs="Times New Roman"/>
          <w:sz w:val="24"/>
          <w:szCs w:val="24"/>
        </w:rPr>
        <w:t>Therefore, monitoring and controlling of CO</w:t>
      </w:r>
      <w:r w:rsidRPr="008F3998">
        <w:rPr>
          <w:rFonts w:ascii="Times New Roman" w:hAnsi="Times New Roman" w:cs="Times New Roman"/>
          <w:sz w:val="24"/>
          <w:szCs w:val="24"/>
          <w:vertAlign w:val="subscript"/>
        </w:rPr>
        <w:t>2</w:t>
      </w:r>
      <w:r w:rsidRPr="008F3998">
        <w:rPr>
          <w:rFonts w:ascii="Times New Roman" w:hAnsi="Times New Roman" w:cs="Times New Roman"/>
          <w:sz w:val="24"/>
          <w:szCs w:val="24"/>
        </w:rPr>
        <w:t xml:space="preserve"> emissions </w:t>
      </w:r>
      <w:r w:rsidR="55F346EE" w:rsidRPr="008F3998">
        <w:rPr>
          <w:rFonts w:ascii="Times New Roman" w:hAnsi="Times New Roman" w:cs="Times New Roman"/>
          <w:sz w:val="24"/>
          <w:szCs w:val="24"/>
        </w:rPr>
        <w:t xml:space="preserve">is a </w:t>
      </w:r>
      <w:r w:rsidRPr="008F3998">
        <w:rPr>
          <w:rFonts w:ascii="Times New Roman" w:hAnsi="Times New Roman" w:cs="Times New Roman"/>
          <w:sz w:val="24"/>
          <w:szCs w:val="24"/>
        </w:rPr>
        <w:t xml:space="preserve">significant concern for civilization. </w:t>
      </w:r>
      <w:r w:rsidR="55F346EE" w:rsidRPr="008F3998">
        <w:rPr>
          <w:rFonts w:ascii="Times New Roman" w:eastAsia="Times New Roman" w:hAnsi="Times New Roman" w:cs="Times New Roman"/>
          <w:sz w:val="24"/>
          <w:szCs w:val="24"/>
        </w:rPr>
        <w:t xml:space="preserve">Globally, occurrence of frequent extreme weather events will lead higher insurance premiums and resulted the re-classification of uninsurable risks. </w:t>
      </w:r>
      <w:r w:rsidRPr="008F3998">
        <w:rPr>
          <w:rFonts w:ascii="Times New Roman" w:hAnsi="Times New Roman" w:cs="Times New Roman"/>
          <w:sz w:val="24"/>
          <w:szCs w:val="24"/>
        </w:rPr>
        <w:t>In this respect, the United Nations took major steps through organising conventions and conferences under United Nations Framework Convention on Climate Change (UNFCCC) in recent years. The aim of organising the conferences is to control the CO</w:t>
      </w:r>
      <w:r w:rsidRPr="008F3998">
        <w:rPr>
          <w:rFonts w:ascii="Times New Roman" w:hAnsi="Times New Roman" w:cs="Times New Roman"/>
          <w:sz w:val="24"/>
          <w:szCs w:val="24"/>
          <w:vertAlign w:val="subscript"/>
        </w:rPr>
        <w:t>2</w:t>
      </w:r>
      <w:r w:rsidRPr="008F3998">
        <w:rPr>
          <w:rFonts w:ascii="Times New Roman" w:hAnsi="Times New Roman" w:cs="Times New Roman"/>
          <w:sz w:val="24"/>
          <w:szCs w:val="24"/>
        </w:rPr>
        <w:t xml:space="preserve"> emissions. During 2009, Copenhagen accord signed to en</w:t>
      </w:r>
      <w:r w:rsidR="55F346EE" w:rsidRPr="008F3998">
        <w:rPr>
          <w:rFonts w:ascii="Times New Roman" w:hAnsi="Times New Roman" w:cs="Times New Roman"/>
          <w:sz w:val="24"/>
          <w:szCs w:val="24"/>
        </w:rPr>
        <w:t>s</w:t>
      </w:r>
      <w:r w:rsidRPr="008F3998">
        <w:rPr>
          <w:rFonts w:ascii="Times New Roman" w:hAnsi="Times New Roman" w:cs="Times New Roman"/>
          <w:sz w:val="24"/>
          <w:szCs w:val="24"/>
        </w:rPr>
        <w:t xml:space="preserve">ure the </w:t>
      </w:r>
      <w:r w:rsidR="55F346EE" w:rsidRPr="008F3998">
        <w:rPr>
          <w:rFonts w:ascii="Times New Roman" w:hAnsi="Times New Roman" w:cs="Times New Roman"/>
          <w:sz w:val="24"/>
          <w:szCs w:val="24"/>
        </w:rPr>
        <w:t xml:space="preserve">implementation of </w:t>
      </w:r>
      <w:r w:rsidRPr="008F3998">
        <w:rPr>
          <w:rFonts w:ascii="Times New Roman" w:hAnsi="Times New Roman" w:cs="Times New Roman"/>
          <w:sz w:val="24"/>
          <w:szCs w:val="24"/>
        </w:rPr>
        <w:t xml:space="preserve">Kyoto protocol and </w:t>
      </w:r>
      <w:r w:rsidR="55F346EE" w:rsidRPr="008F3998">
        <w:rPr>
          <w:rFonts w:ascii="Times New Roman" w:hAnsi="Times New Roman" w:cs="Times New Roman"/>
          <w:sz w:val="24"/>
          <w:szCs w:val="24"/>
        </w:rPr>
        <w:t xml:space="preserve">the </w:t>
      </w:r>
      <w:r w:rsidRPr="008F3998">
        <w:rPr>
          <w:rFonts w:ascii="Times New Roman" w:hAnsi="Times New Roman" w:cs="Times New Roman"/>
          <w:sz w:val="24"/>
          <w:szCs w:val="24"/>
        </w:rPr>
        <w:t xml:space="preserve">world community accepted that climate change </w:t>
      </w:r>
      <w:r w:rsidR="55F346EE" w:rsidRPr="008F3998">
        <w:rPr>
          <w:rFonts w:ascii="Times New Roman" w:hAnsi="Times New Roman" w:cs="Times New Roman"/>
          <w:sz w:val="24"/>
          <w:szCs w:val="24"/>
        </w:rPr>
        <w:t xml:space="preserve">has </w:t>
      </w:r>
      <w:r w:rsidRPr="008F3998">
        <w:rPr>
          <w:rFonts w:ascii="Times New Roman" w:hAnsi="Times New Roman" w:cs="Times New Roman"/>
          <w:sz w:val="24"/>
          <w:szCs w:val="24"/>
        </w:rPr>
        <w:t xml:space="preserve">major </w:t>
      </w:r>
      <w:r w:rsidR="55F346EE" w:rsidRPr="008F3998">
        <w:rPr>
          <w:rFonts w:ascii="Times New Roman" w:hAnsi="Times New Roman" w:cs="Times New Roman"/>
          <w:sz w:val="24"/>
          <w:szCs w:val="24"/>
        </w:rPr>
        <w:t xml:space="preserve">impact </w:t>
      </w:r>
      <w:r w:rsidRPr="008F3998">
        <w:rPr>
          <w:rFonts w:ascii="Times New Roman" w:hAnsi="Times New Roman" w:cs="Times New Roman"/>
          <w:sz w:val="24"/>
          <w:szCs w:val="24"/>
        </w:rPr>
        <w:t>on people</w:t>
      </w:r>
      <w:r w:rsidR="55F346EE" w:rsidRPr="008F3998">
        <w:rPr>
          <w:rFonts w:ascii="Times New Roman" w:hAnsi="Times New Roman" w:cs="Times New Roman"/>
          <w:sz w:val="24"/>
          <w:szCs w:val="24"/>
        </w:rPr>
        <w:t>’s</w:t>
      </w:r>
      <w:r w:rsidRPr="008F3998">
        <w:rPr>
          <w:rFonts w:ascii="Times New Roman" w:hAnsi="Times New Roman" w:cs="Times New Roman"/>
          <w:sz w:val="24"/>
          <w:szCs w:val="24"/>
        </w:rPr>
        <w:t xml:space="preserve"> living standards (Nordhaus, 2010).</w:t>
      </w:r>
      <w:r w:rsidRPr="008F3998">
        <w:rPr>
          <w:rFonts w:ascii="Times New Roman" w:hAnsi="Times New Roman" w:cs="Times New Roman"/>
          <w:sz w:val="28"/>
          <w:szCs w:val="28"/>
          <w:shd w:val="clear" w:color="auto" w:fill="FFFFFF"/>
        </w:rPr>
        <w:t xml:space="preserve"> </w:t>
      </w:r>
      <w:r w:rsidRPr="008F3998">
        <w:rPr>
          <w:rFonts w:ascii="Times New Roman" w:hAnsi="Times New Roman" w:cs="Times New Roman"/>
          <w:sz w:val="24"/>
          <w:szCs w:val="24"/>
        </w:rPr>
        <w:t>The</w:t>
      </w:r>
      <w:r w:rsidRPr="008F3998">
        <w:rPr>
          <w:rFonts w:ascii="Times New Roman" w:hAnsi="Times New Roman" w:cs="Times New Roman"/>
          <w:sz w:val="28"/>
          <w:szCs w:val="28"/>
          <w:shd w:val="clear" w:color="auto" w:fill="FFFFFF"/>
        </w:rPr>
        <w:t xml:space="preserve"> </w:t>
      </w:r>
      <w:r w:rsidRPr="008F3998">
        <w:rPr>
          <w:rFonts w:ascii="Times New Roman" w:hAnsi="Times New Roman" w:cs="Times New Roman"/>
          <w:sz w:val="24"/>
          <w:szCs w:val="24"/>
        </w:rPr>
        <w:t xml:space="preserve">Conference of Parties (COP) organised in Durban-2011, all </w:t>
      </w:r>
      <w:r w:rsidR="00327F77" w:rsidRPr="008F3998">
        <w:rPr>
          <w:rFonts w:ascii="Times New Roman" w:hAnsi="Times New Roman" w:cs="Times New Roman"/>
          <w:sz w:val="24"/>
          <w:szCs w:val="24"/>
        </w:rPr>
        <w:t xml:space="preserve">the </w:t>
      </w:r>
      <w:r w:rsidRPr="008F3998">
        <w:rPr>
          <w:rFonts w:ascii="Times New Roman" w:hAnsi="Times New Roman" w:cs="Times New Roman"/>
          <w:sz w:val="24"/>
          <w:szCs w:val="24"/>
        </w:rPr>
        <w:t>participants agreed to emphasise</w:t>
      </w:r>
      <w:r w:rsidR="55F346EE" w:rsidRPr="008F3998">
        <w:rPr>
          <w:rFonts w:ascii="Times New Roman" w:hAnsi="Times New Roman" w:cs="Times New Roman"/>
          <w:sz w:val="24"/>
          <w:szCs w:val="24"/>
        </w:rPr>
        <w:t xml:space="preserve"> on</w:t>
      </w:r>
      <w:r w:rsidRPr="008F3998">
        <w:rPr>
          <w:rFonts w:ascii="Times New Roman" w:hAnsi="Times New Roman" w:cs="Times New Roman"/>
          <w:sz w:val="24"/>
          <w:szCs w:val="24"/>
        </w:rPr>
        <w:t xml:space="preserve"> and adopt low carbon practices in the short period (</w:t>
      </w:r>
      <w:proofErr w:type="spellStart"/>
      <w:r w:rsidRPr="008F3998">
        <w:rPr>
          <w:rFonts w:ascii="Times New Roman" w:hAnsi="Times New Roman" w:cs="Times New Roman"/>
          <w:sz w:val="24"/>
          <w:szCs w:val="24"/>
        </w:rPr>
        <w:t>Deleuil</w:t>
      </w:r>
      <w:proofErr w:type="spellEnd"/>
      <w:r w:rsidRPr="008F3998">
        <w:rPr>
          <w:rFonts w:ascii="Times New Roman" w:hAnsi="Times New Roman" w:cs="Times New Roman"/>
          <w:sz w:val="24"/>
          <w:szCs w:val="24"/>
        </w:rPr>
        <w:t>, 2012). According to Brenton (2013), Kyoto Protocol has been adopted for eight years to control the Greenhouse Gas (GHG). Finally, Intergovernmental Panel on Climate Change (IPCC) is under the auspices of the United Nations Environment Programme stated into the IPCC report, the nations were approved the maximum global warming bound to be 2</w:t>
      </w:r>
      <w:r w:rsidR="55F346EE" w:rsidRPr="008F3998">
        <w:rPr>
          <w:rFonts w:ascii="Times New Roman" w:hAnsi="Times New Roman" w:cs="Times New Roman"/>
          <w:sz w:val="24"/>
          <w:szCs w:val="24"/>
        </w:rPr>
        <w:t>°</w:t>
      </w:r>
      <w:r w:rsidRPr="008F3998">
        <w:rPr>
          <w:rFonts w:ascii="Times New Roman" w:hAnsi="Times New Roman" w:cs="Times New Roman"/>
          <w:sz w:val="24"/>
          <w:szCs w:val="24"/>
        </w:rPr>
        <w:t>C temperature and agreed to decrease the GHG to zero level by 2020 (</w:t>
      </w:r>
      <w:proofErr w:type="spellStart"/>
      <w:r w:rsidRPr="008F3998">
        <w:rPr>
          <w:rFonts w:ascii="Times New Roman" w:hAnsi="Times New Roman" w:cs="Times New Roman"/>
          <w:sz w:val="24"/>
          <w:szCs w:val="24"/>
        </w:rPr>
        <w:t>Friedlingstein</w:t>
      </w:r>
      <w:proofErr w:type="spellEnd"/>
      <w:r w:rsidRPr="008F3998">
        <w:rPr>
          <w:rFonts w:ascii="Times New Roman" w:hAnsi="Times New Roman" w:cs="Times New Roman"/>
          <w:sz w:val="24"/>
          <w:szCs w:val="24"/>
        </w:rPr>
        <w:t xml:space="preserve"> et al., 2014).  Moreover, recently many studies highlighted the importance of low carbon emission into different perspectives; for </w:t>
      </w:r>
      <w:r w:rsidR="00BA29F3" w:rsidRPr="008F3998">
        <w:rPr>
          <w:rFonts w:ascii="Times New Roman" w:hAnsi="Times New Roman" w:cs="Times New Roman"/>
          <w:sz w:val="24"/>
          <w:szCs w:val="24"/>
        </w:rPr>
        <w:t>instance,</w:t>
      </w:r>
      <w:r w:rsidRPr="008F3998">
        <w:rPr>
          <w:rFonts w:ascii="Times New Roman" w:hAnsi="Times New Roman" w:cs="Times New Roman"/>
          <w:sz w:val="24"/>
          <w:szCs w:val="24"/>
        </w:rPr>
        <w:t xml:space="preserve"> the education industry (Liu et al., 2016), production and industrial firms (Wang and Wu, 2017).</w:t>
      </w:r>
    </w:p>
    <w:p w14:paraId="68D2FEF9" w14:textId="3FF5472A" w:rsidR="000F7DDB" w:rsidRPr="008F3998" w:rsidRDefault="000F7DDB" w:rsidP="000F7DDB">
      <w:pPr>
        <w:pStyle w:val="ListParagraph"/>
        <w:numPr>
          <w:ilvl w:val="1"/>
          <w:numId w:val="1"/>
        </w:numPr>
        <w:spacing w:line="360" w:lineRule="auto"/>
        <w:ind w:left="0" w:firstLine="0"/>
        <w:jc w:val="both"/>
        <w:rPr>
          <w:rFonts w:cs="Times New Roman"/>
          <w:i/>
          <w:iCs/>
        </w:rPr>
      </w:pPr>
      <w:r w:rsidRPr="008F3998">
        <w:rPr>
          <w:rFonts w:cs="Times New Roman"/>
          <w:i/>
          <w:iCs/>
        </w:rPr>
        <w:t>Nexus of Carbon Emission, Economic Growth and Financial Investment</w:t>
      </w:r>
    </w:p>
    <w:p w14:paraId="47D4AED3" w14:textId="49FE10D0" w:rsidR="00597272" w:rsidRPr="008F3998" w:rsidRDefault="00597272" w:rsidP="00597272">
      <w:pPr>
        <w:spacing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There has been substantial literature </w:t>
      </w:r>
      <w:r w:rsidR="55F346EE" w:rsidRPr="008F3998">
        <w:rPr>
          <w:rFonts w:ascii="Times New Roman" w:hAnsi="Times New Roman" w:cs="Times New Roman"/>
          <w:sz w:val="24"/>
          <w:szCs w:val="24"/>
        </w:rPr>
        <w:t xml:space="preserve">on nexus between CO2 emissions and economic growth (See  </w:t>
      </w:r>
      <w:proofErr w:type="spellStart"/>
      <w:r w:rsidR="55F346EE" w:rsidRPr="008F3998">
        <w:rPr>
          <w:rFonts w:ascii="Times New Roman" w:hAnsi="Times New Roman" w:cs="Times New Roman"/>
          <w:sz w:val="24"/>
          <w:szCs w:val="24"/>
        </w:rPr>
        <w:t>Soytas</w:t>
      </w:r>
      <w:proofErr w:type="spellEnd"/>
      <w:r w:rsidR="55F346EE" w:rsidRPr="008F3998">
        <w:rPr>
          <w:rFonts w:ascii="Times New Roman" w:hAnsi="Times New Roman" w:cs="Times New Roman"/>
          <w:sz w:val="24"/>
          <w:szCs w:val="24"/>
        </w:rPr>
        <w:t xml:space="preserve"> and Sari, 2006; Lee, 2006; Shahbaz et al., 2011; </w:t>
      </w:r>
      <w:proofErr w:type="spellStart"/>
      <w:r w:rsidR="55F346EE" w:rsidRPr="008F3998">
        <w:rPr>
          <w:rFonts w:ascii="Times New Roman" w:hAnsi="Times New Roman" w:cs="Times New Roman"/>
          <w:sz w:val="24"/>
          <w:szCs w:val="24"/>
        </w:rPr>
        <w:t>Omri</w:t>
      </w:r>
      <w:proofErr w:type="spellEnd"/>
      <w:r w:rsidR="55F346EE" w:rsidRPr="008F3998">
        <w:rPr>
          <w:rFonts w:ascii="Times New Roman" w:hAnsi="Times New Roman" w:cs="Times New Roman"/>
          <w:sz w:val="24"/>
          <w:szCs w:val="24"/>
        </w:rPr>
        <w:t xml:space="preserve"> et al., 2014; Zhang and Da, 2015; and Arvin et al., 2015</w:t>
      </w:r>
      <w:r w:rsidR="00C60FB9" w:rsidRPr="008F3998">
        <w:rPr>
          <w:rFonts w:ascii="Times New Roman" w:hAnsi="Times New Roman" w:cs="Times New Roman"/>
          <w:sz w:val="24"/>
          <w:szCs w:val="24"/>
        </w:rPr>
        <w:t>; Wu et al., 2016 and Nasir et al., 2019</w:t>
      </w:r>
      <w:r w:rsidR="55F346EE" w:rsidRPr="008F3998">
        <w:rPr>
          <w:rFonts w:ascii="Times New Roman" w:hAnsi="Times New Roman" w:cs="Times New Roman"/>
          <w:sz w:val="24"/>
          <w:szCs w:val="24"/>
        </w:rPr>
        <w:t xml:space="preserve"> among others).</w:t>
      </w:r>
      <w:r w:rsidRPr="008F3998">
        <w:rPr>
          <w:rFonts w:ascii="Times New Roman" w:hAnsi="Times New Roman" w:cs="Times New Roman"/>
          <w:sz w:val="24"/>
          <w:szCs w:val="24"/>
        </w:rPr>
        <w:t xml:space="preserve"> Specifically, </w:t>
      </w:r>
      <w:r w:rsidR="4F80972E" w:rsidRPr="008F3998">
        <w:rPr>
          <w:rFonts w:ascii="Times New Roman" w:hAnsi="Times New Roman" w:cs="Times New Roman"/>
          <w:sz w:val="24"/>
          <w:szCs w:val="24"/>
        </w:rPr>
        <w:t>He (2006) described the factor of Population Haven Hypothesis (PHH) for China. The results showed that 1 percent rise in the FDI leads to 0.098% in pollution. Al-</w:t>
      </w:r>
      <w:proofErr w:type="spellStart"/>
      <w:r w:rsidR="4F80972E" w:rsidRPr="008F3998">
        <w:rPr>
          <w:rFonts w:ascii="Times New Roman" w:hAnsi="Times New Roman" w:cs="Times New Roman"/>
          <w:sz w:val="24"/>
          <w:szCs w:val="24"/>
        </w:rPr>
        <w:t>mulali</w:t>
      </w:r>
      <w:proofErr w:type="spellEnd"/>
      <w:r w:rsidR="4F80972E" w:rsidRPr="008F3998">
        <w:rPr>
          <w:rFonts w:ascii="Times New Roman" w:hAnsi="Times New Roman" w:cs="Times New Roman"/>
          <w:sz w:val="24"/>
          <w:szCs w:val="24"/>
        </w:rPr>
        <w:t xml:space="preserve"> (2012) investigated the Middle East nations from 1990 to 2009. The results highlighted that energy consumption; FDI net inflows, GDP and trade are the main cause for rising CO2 emissions in the </w:t>
      </w:r>
      <w:r w:rsidR="000F7DDB" w:rsidRPr="008F3998">
        <w:rPr>
          <w:rFonts w:ascii="Times New Roman" w:hAnsi="Times New Roman" w:cs="Times New Roman"/>
          <w:sz w:val="24"/>
          <w:szCs w:val="24"/>
        </w:rPr>
        <w:t>long run</w:t>
      </w:r>
      <w:r w:rsidR="4F80972E" w:rsidRPr="008F3998">
        <w:rPr>
          <w:rFonts w:ascii="Times New Roman" w:hAnsi="Times New Roman" w:cs="Times New Roman"/>
          <w:sz w:val="24"/>
          <w:szCs w:val="24"/>
        </w:rPr>
        <w:t>. Shahbaz et al. (2013b) illustrated the relationship between energy use, FDI, economic growth and CO2 emissions in Malaysia from 1971 to 2011. The results indicate that energy use and economic growth rising CO2 emissions while FDI reduced CO2 emissions. In another study</w:t>
      </w:r>
      <w:r w:rsidRPr="008F3998">
        <w:rPr>
          <w:rFonts w:ascii="Times New Roman" w:hAnsi="Times New Roman" w:cs="Times New Roman"/>
          <w:sz w:val="24"/>
          <w:szCs w:val="24"/>
        </w:rPr>
        <w:t>,</w:t>
      </w:r>
      <w:r w:rsidR="4F80972E" w:rsidRPr="008F3998">
        <w:rPr>
          <w:rFonts w:ascii="Times New Roman" w:hAnsi="Times New Roman" w:cs="Times New Roman"/>
          <w:sz w:val="24"/>
          <w:szCs w:val="24"/>
        </w:rPr>
        <w:t xml:space="preserve"> Shahbaz et al. (2013a) recognised the relationship between CO2 emissions, energy use and trade openness in Indonesia from the period of 1975 to 2011. The results of this study illustrated that FDI and trade openness, energy consumption and economic growth increased CO2 emissions; however, trade openness and financial development reduced CO2 emissions.  </w:t>
      </w:r>
    </w:p>
    <w:p w14:paraId="4028852D" w14:textId="4E1D0561" w:rsidR="00D7265A" w:rsidRPr="008F3998" w:rsidRDefault="4F80972E" w:rsidP="003C0A6E">
      <w:pPr>
        <w:spacing w:line="480" w:lineRule="auto"/>
        <w:ind w:firstLine="720"/>
        <w:jc w:val="both"/>
        <w:rPr>
          <w:rFonts w:ascii="Times New Roman" w:hAnsi="Times New Roman" w:cs="Times New Roman"/>
          <w:sz w:val="24"/>
          <w:szCs w:val="24"/>
        </w:rPr>
      </w:pPr>
      <w:proofErr w:type="spellStart"/>
      <w:r w:rsidRPr="008F3998">
        <w:rPr>
          <w:rFonts w:ascii="Times New Roman" w:hAnsi="Times New Roman" w:cs="Times New Roman"/>
          <w:sz w:val="24"/>
          <w:szCs w:val="24"/>
        </w:rPr>
        <w:t>Alam</w:t>
      </w:r>
      <w:proofErr w:type="spellEnd"/>
      <w:r w:rsidRPr="008F3998">
        <w:rPr>
          <w:rFonts w:ascii="Times New Roman" w:hAnsi="Times New Roman" w:cs="Times New Roman"/>
          <w:sz w:val="24"/>
          <w:szCs w:val="24"/>
        </w:rPr>
        <w:t xml:space="preserve"> and </w:t>
      </w:r>
      <w:proofErr w:type="spellStart"/>
      <w:r w:rsidRPr="008F3998">
        <w:rPr>
          <w:rFonts w:ascii="Times New Roman" w:hAnsi="Times New Roman" w:cs="Times New Roman"/>
          <w:sz w:val="24"/>
          <w:szCs w:val="24"/>
        </w:rPr>
        <w:t>Paramati</w:t>
      </w:r>
      <w:proofErr w:type="spellEnd"/>
      <w:r w:rsidRPr="008F3998">
        <w:rPr>
          <w:rFonts w:ascii="Times New Roman" w:hAnsi="Times New Roman" w:cs="Times New Roman"/>
          <w:sz w:val="24"/>
          <w:szCs w:val="24"/>
        </w:rPr>
        <w:t xml:space="preserve"> (2015) applied VECM to examine the relationship between FDI, economic growth, CO2 emissions, internationalization, oil consumption and trade openness from the period of 1980 to 2012 from 18 emerging economies.</w:t>
      </w:r>
      <w:r w:rsidR="00597272" w:rsidRPr="008F3998">
        <w:rPr>
          <w:rFonts w:ascii="Times New Roman" w:hAnsi="Times New Roman" w:cs="Times New Roman"/>
          <w:sz w:val="24"/>
          <w:szCs w:val="24"/>
        </w:rPr>
        <w:t xml:space="preserve"> </w:t>
      </w:r>
      <w:r w:rsidR="1E568AAF" w:rsidRPr="008F3998">
        <w:rPr>
          <w:rFonts w:ascii="Times New Roman" w:hAnsi="Times New Roman" w:cs="Times New Roman"/>
          <w:sz w:val="24"/>
          <w:szCs w:val="24"/>
        </w:rPr>
        <w:t>The results indicate the presence of significant long run relationship between oil consumption, economic growth, internationalization, CO</w:t>
      </w:r>
      <w:r w:rsidR="1E568AAF" w:rsidRPr="008F3998">
        <w:rPr>
          <w:rFonts w:ascii="Times New Roman" w:hAnsi="Times New Roman" w:cs="Times New Roman"/>
          <w:sz w:val="24"/>
          <w:szCs w:val="24"/>
          <w:vertAlign w:val="subscript"/>
        </w:rPr>
        <w:t>2</w:t>
      </w:r>
      <w:r w:rsidR="1E568AAF" w:rsidRPr="008F3998">
        <w:rPr>
          <w:rFonts w:ascii="Times New Roman" w:hAnsi="Times New Roman" w:cs="Times New Roman"/>
          <w:sz w:val="24"/>
          <w:szCs w:val="24"/>
        </w:rPr>
        <w:t xml:space="preserve"> emissions, trade openness and financial development. </w:t>
      </w:r>
      <w:proofErr w:type="spellStart"/>
      <w:r w:rsidR="1E568AAF" w:rsidRPr="008F3998">
        <w:rPr>
          <w:rFonts w:ascii="Times New Roman" w:hAnsi="Times New Roman" w:cs="Times New Roman"/>
          <w:sz w:val="24"/>
          <w:szCs w:val="24"/>
        </w:rPr>
        <w:t>Omri</w:t>
      </w:r>
      <w:proofErr w:type="spellEnd"/>
      <w:r w:rsidR="1E568AAF" w:rsidRPr="008F3998">
        <w:rPr>
          <w:rFonts w:ascii="Times New Roman" w:hAnsi="Times New Roman" w:cs="Times New Roman"/>
          <w:sz w:val="24"/>
          <w:szCs w:val="24"/>
        </w:rPr>
        <w:t xml:space="preserve"> et al. (2014) also examined the link between CO</w:t>
      </w:r>
      <w:r w:rsidR="1E568AAF" w:rsidRPr="008F3998">
        <w:rPr>
          <w:rFonts w:ascii="Times New Roman" w:hAnsi="Times New Roman" w:cs="Times New Roman"/>
          <w:sz w:val="24"/>
          <w:szCs w:val="24"/>
          <w:vertAlign w:val="subscript"/>
        </w:rPr>
        <w:t>2</w:t>
      </w:r>
      <w:r w:rsidR="1E568AAF" w:rsidRPr="008F3998">
        <w:rPr>
          <w:rFonts w:ascii="Times New Roman" w:hAnsi="Times New Roman" w:cs="Times New Roman"/>
          <w:sz w:val="24"/>
          <w:szCs w:val="24"/>
        </w:rPr>
        <w:t xml:space="preserve"> emissions, FDI, energy use and economic growth among 54 countries for the period of 1990-2011 by applying the methodology of Cobb Douglas production function dynamic simultaneous equation models. The outcome of the study found the determinants of CO</w:t>
      </w:r>
      <w:r w:rsidR="1E568AAF" w:rsidRPr="008F3998">
        <w:rPr>
          <w:rFonts w:ascii="Times New Roman" w:hAnsi="Times New Roman" w:cs="Times New Roman"/>
          <w:sz w:val="24"/>
          <w:szCs w:val="24"/>
          <w:vertAlign w:val="subscript"/>
        </w:rPr>
        <w:t>2</w:t>
      </w:r>
      <w:r w:rsidR="1E568AAF" w:rsidRPr="008F3998">
        <w:rPr>
          <w:rFonts w:ascii="Times New Roman" w:hAnsi="Times New Roman" w:cs="Times New Roman"/>
          <w:sz w:val="24"/>
          <w:szCs w:val="24"/>
        </w:rPr>
        <w:t xml:space="preserve"> emissions were output, energy and FDI. Further related studies on CO</w:t>
      </w:r>
      <w:r w:rsidR="1E568AAF" w:rsidRPr="008F3998">
        <w:rPr>
          <w:rFonts w:ascii="Times New Roman" w:hAnsi="Times New Roman" w:cs="Times New Roman"/>
          <w:sz w:val="24"/>
          <w:szCs w:val="24"/>
          <w:vertAlign w:val="subscript"/>
        </w:rPr>
        <w:t>2</w:t>
      </w:r>
      <w:r w:rsidR="1E568AAF" w:rsidRPr="008F3998">
        <w:rPr>
          <w:rFonts w:ascii="Times New Roman" w:hAnsi="Times New Roman" w:cs="Times New Roman"/>
          <w:sz w:val="24"/>
          <w:szCs w:val="24"/>
        </w:rPr>
        <w:t xml:space="preserve"> emission, economic growth and financial investment are examined by (Chiu and Chang, 2009; </w:t>
      </w:r>
      <w:proofErr w:type="spellStart"/>
      <w:r w:rsidR="1E568AAF" w:rsidRPr="008F3998">
        <w:rPr>
          <w:rFonts w:ascii="Times New Roman" w:hAnsi="Times New Roman" w:cs="Times New Roman"/>
          <w:sz w:val="24"/>
          <w:szCs w:val="24"/>
        </w:rPr>
        <w:t>Apergis</w:t>
      </w:r>
      <w:proofErr w:type="spellEnd"/>
      <w:r w:rsidR="1E568AAF" w:rsidRPr="008F3998">
        <w:rPr>
          <w:rFonts w:ascii="Times New Roman" w:hAnsi="Times New Roman" w:cs="Times New Roman"/>
          <w:sz w:val="24"/>
          <w:szCs w:val="24"/>
        </w:rPr>
        <w:t xml:space="preserve"> and Payne, 2010; </w:t>
      </w:r>
      <w:proofErr w:type="spellStart"/>
      <w:r w:rsidR="1E568AAF" w:rsidRPr="008F3998">
        <w:rPr>
          <w:rFonts w:ascii="Times New Roman" w:hAnsi="Times New Roman" w:cs="Times New Roman"/>
          <w:sz w:val="24"/>
          <w:szCs w:val="24"/>
        </w:rPr>
        <w:t>Menyah</w:t>
      </w:r>
      <w:proofErr w:type="spellEnd"/>
      <w:r w:rsidR="1E568AAF" w:rsidRPr="008F3998">
        <w:rPr>
          <w:rFonts w:ascii="Times New Roman" w:hAnsi="Times New Roman" w:cs="Times New Roman"/>
          <w:sz w:val="24"/>
          <w:szCs w:val="24"/>
        </w:rPr>
        <w:t xml:space="preserve"> and </w:t>
      </w:r>
      <w:proofErr w:type="spellStart"/>
      <w:r w:rsidR="1E568AAF" w:rsidRPr="008F3998">
        <w:rPr>
          <w:rFonts w:ascii="Times New Roman" w:hAnsi="Times New Roman" w:cs="Times New Roman"/>
          <w:sz w:val="24"/>
          <w:szCs w:val="24"/>
        </w:rPr>
        <w:t>Wolde-Rufael</w:t>
      </w:r>
      <w:proofErr w:type="spellEnd"/>
      <w:r w:rsidR="1E568AAF" w:rsidRPr="008F3998">
        <w:rPr>
          <w:rFonts w:ascii="Times New Roman" w:hAnsi="Times New Roman" w:cs="Times New Roman"/>
          <w:sz w:val="24"/>
          <w:szCs w:val="24"/>
        </w:rPr>
        <w:t xml:space="preserve">, 2010; Zhu et al., 2016 and </w:t>
      </w:r>
      <w:proofErr w:type="spellStart"/>
      <w:r w:rsidR="1E568AAF" w:rsidRPr="008F3998">
        <w:rPr>
          <w:rFonts w:ascii="Times New Roman" w:hAnsi="Times New Roman" w:cs="Times New Roman"/>
          <w:sz w:val="24"/>
          <w:szCs w:val="24"/>
        </w:rPr>
        <w:t>Hakimi</w:t>
      </w:r>
      <w:proofErr w:type="spellEnd"/>
      <w:r w:rsidR="1E568AAF" w:rsidRPr="008F3998">
        <w:rPr>
          <w:rFonts w:ascii="Times New Roman" w:hAnsi="Times New Roman" w:cs="Times New Roman"/>
          <w:sz w:val="24"/>
          <w:szCs w:val="24"/>
        </w:rPr>
        <w:t xml:space="preserve"> and </w:t>
      </w:r>
      <w:proofErr w:type="spellStart"/>
      <w:r w:rsidR="1E568AAF" w:rsidRPr="008F3998">
        <w:rPr>
          <w:rFonts w:ascii="Times New Roman" w:hAnsi="Times New Roman" w:cs="Times New Roman"/>
          <w:sz w:val="24"/>
          <w:szCs w:val="24"/>
        </w:rPr>
        <w:t>Hamdi</w:t>
      </w:r>
      <w:proofErr w:type="spellEnd"/>
      <w:r w:rsidR="1E568AAF" w:rsidRPr="008F3998">
        <w:rPr>
          <w:rFonts w:ascii="Times New Roman" w:hAnsi="Times New Roman" w:cs="Times New Roman"/>
          <w:sz w:val="24"/>
          <w:szCs w:val="24"/>
        </w:rPr>
        <w:t>, 2016).</w:t>
      </w:r>
    </w:p>
    <w:p w14:paraId="449F78F4" w14:textId="328493DE" w:rsidR="1E568AAF" w:rsidRPr="008F3998" w:rsidRDefault="1E568AAF" w:rsidP="003C0A6E">
      <w:pPr>
        <w:spacing w:line="480" w:lineRule="auto"/>
        <w:ind w:firstLine="720"/>
        <w:jc w:val="both"/>
        <w:rPr>
          <w:rFonts w:ascii="Times New Roman" w:hAnsi="Times New Roman" w:cs="Times New Roman"/>
          <w:sz w:val="24"/>
          <w:szCs w:val="24"/>
        </w:rPr>
      </w:pPr>
      <w:r w:rsidRPr="008F3998">
        <w:rPr>
          <w:rFonts w:ascii="Times New Roman" w:eastAsia="Times New Roman" w:hAnsi="Times New Roman" w:cs="Times New Roman"/>
          <w:sz w:val="24"/>
          <w:szCs w:val="24"/>
        </w:rPr>
        <w:t>Moreover, Central Banks globally have started to debate the consequences of climate change for monetary policy, for example; Bank of England elevating Central Bank</w:t>
      </w:r>
      <w:r w:rsidR="00597272" w:rsidRPr="008F3998">
        <w:rPr>
          <w:rFonts w:ascii="Times New Roman" w:eastAsia="Times New Roman" w:hAnsi="Times New Roman" w:cs="Times New Roman"/>
          <w:sz w:val="24"/>
          <w:szCs w:val="24"/>
        </w:rPr>
        <w:t>’s</w:t>
      </w:r>
      <w:r w:rsidRPr="008F3998">
        <w:rPr>
          <w:rFonts w:ascii="Times New Roman" w:eastAsia="Times New Roman" w:hAnsi="Times New Roman" w:cs="Times New Roman"/>
          <w:sz w:val="24"/>
          <w:szCs w:val="24"/>
        </w:rPr>
        <w:t xml:space="preserve"> response to considering the environmental changes into research priorities.</w:t>
      </w:r>
    </w:p>
    <w:p w14:paraId="6D89DCBF" w14:textId="35017BED" w:rsidR="00D7265A" w:rsidRPr="008F3998" w:rsidRDefault="1E568AAF" w:rsidP="1E568AAF">
      <w:pPr>
        <w:pStyle w:val="ListParagraph"/>
        <w:numPr>
          <w:ilvl w:val="1"/>
          <w:numId w:val="1"/>
        </w:numPr>
        <w:spacing w:line="360" w:lineRule="auto"/>
        <w:ind w:left="0" w:firstLine="0"/>
        <w:jc w:val="both"/>
        <w:rPr>
          <w:rFonts w:cs="Times New Roman"/>
          <w:i/>
          <w:iCs/>
        </w:rPr>
      </w:pPr>
      <w:r w:rsidRPr="008F3998">
        <w:rPr>
          <w:rFonts w:cs="Times New Roman"/>
          <w:i/>
          <w:iCs/>
        </w:rPr>
        <w:t>Sovereign Risk and Environmental Risk</w:t>
      </w:r>
    </w:p>
    <w:p w14:paraId="5CE67D93" w14:textId="3FB41B36" w:rsidR="00D7265A" w:rsidRPr="008F3998" w:rsidRDefault="00D7265A" w:rsidP="003C0A6E">
      <w:pPr>
        <w:spacing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Existing literature on the sovereign risk in the context of energy and environmental risk is very limited. </w:t>
      </w:r>
      <w:proofErr w:type="spellStart"/>
      <w:r w:rsidRPr="008F3998">
        <w:rPr>
          <w:rFonts w:ascii="Times New Roman" w:hAnsi="Times New Roman" w:cs="Times New Roman"/>
          <w:sz w:val="24"/>
          <w:szCs w:val="24"/>
        </w:rPr>
        <w:t>Agliardi</w:t>
      </w:r>
      <w:proofErr w:type="spellEnd"/>
      <w:r w:rsidRPr="008F3998">
        <w:rPr>
          <w:rFonts w:ascii="Times New Roman" w:hAnsi="Times New Roman" w:cs="Times New Roman"/>
          <w:sz w:val="24"/>
          <w:szCs w:val="24"/>
        </w:rPr>
        <w:t xml:space="preserve"> et al. (2012) applied 34 indicators into three key classifications i.e. political, economic, operational and social to develop risk index. Several other studies also focus on sovereign risk in the context of industrial environment for instance Miller (1992) developed the international environmental risk awareness model, which examined the investment risk of the host country constructed on three levels i.e. macro-environment, the industrial environment and the corporate micro-environment. Another study of Sanchez et al. (2014) applied nine different economic indicators to distinguish the sovereignty of 27 countries in the European Union. Brown et al. (2015) has chosen four different categories (political, economic, operational and social) to develop a more comprehensive risk index. </w:t>
      </w:r>
    </w:p>
    <w:p w14:paraId="7C7257A1" w14:textId="2B4FD0B7" w:rsidR="00D7265A" w:rsidRPr="008F3998" w:rsidRDefault="55F346EE" w:rsidP="003C0A6E">
      <w:pPr>
        <w:spacing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Further Chinese overseas investment was under a debate with natural resources and particularly this variable plays crucial part in illustrating China’s overseas investment behaviour. In this regard, Li et al. (2012) applied methodology of decomposition hybrid approach to forecast the sovereign risk of major crude oil exporting countries. Tan </w:t>
      </w:r>
      <w:r w:rsidR="00F44F3F" w:rsidRPr="008F3998">
        <w:rPr>
          <w:rFonts w:ascii="Times New Roman" w:hAnsi="Times New Roman" w:cs="Times New Roman"/>
          <w:sz w:val="24"/>
          <w:szCs w:val="24"/>
        </w:rPr>
        <w:t xml:space="preserve">et al. </w:t>
      </w:r>
      <w:r w:rsidRPr="008F3998">
        <w:rPr>
          <w:rFonts w:ascii="Times New Roman" w:hAnsi="Times New Roman" w:cs="Times New Roman"/>
          <w:sz w:val="24"/>
          <w:szCs w:val="24"/>
        </w:rPr>
        <w:t>(2013) examined the scope of Chinese foreign investment in the energy sector as well as its key risks.</w:t>
      </w:r>
      <w:r w:rsidR="009E349B" w:rsidRPr="008F3998">
        <w:rPr>
          <w:rFonts w:ascii="Times New Roman" w:hAnsi="Times New Roman" w:cs="Times New Roman"/>
          <w:sz w:val="24"/>
          <w:szCs w:val="24"/>
        </w:rPr>
        <w:t xml:space="preserve"> </w:t>
      </w:r>
      <w:r w:rsidR="00D7265A" w:rsidRPr="008F3998">
        <w:rPr>
          <w:rFonts w:ascii="Times New Roman" w:hAnsi="Times New Roman" w:cs="Times New Roman"/>
          <w:sz w:val="24"/>
          <w:szCs w:val="24"/>
        </w:rPr>
        <w:t xml:space="preserve">Sun et al. (2014) also explained the investment of the Chinese sovereign wealth fund in the energy sector.  Recently, Conrad and </w:t>
      </w:r>
      <w:proofErr w:type="spellStart"/>
      <w:r w:rsidR="00D7265A" w:rsidRPr="008F3998">
        <w:rPr>
          <w:rFonts w:ascii="Times New Roman" w:hAnsi="Times New Roman" w:cs="Times New Roman"/>
          <w:sz w:val="24"/>
          <w:szCs w:val="24"/>
        </w:rPr>
        <w:t>Kostka</w:t>
      </w:r>
      <w:proofErr w:type="spellEnd"/>
      <w:r w:rsidR="00D7265A" w:rsidRPr="008F3998">
        <w:rPr>
          <w:rFonts w:ascii="Times New Roman" w:hAnsi="Times New Roman" w:cs="Times New Roman"/>
          <w:sz w:val="24"/>
          <w:szCs w:val="24"/>
        </w:rPr>
        <w:t xml:space="preserve"> (2017) and </w:t>
      </w:r>
      <w:proofErr w:type="spellStart"/>
      <w:r w:rsidR="00D7265A" w:rsidRPr="008F3998">
        <w:rPr>
          <w:rFonts w:ascii="Times New Roman" w:hAnsi="Times New Roman" w:cs="Times New Roman"/>
          <w:sz w:val="24"/>
          <w:szCs w:val="24"/>
        </w:rPr>
        <w:t>Liedtke</w:t>
      </w:r>
      <w:proofErr w:type="spellEnd"/>
      <w:r w:rsidR="00D7265A" w:rsidRPr="008F3998">
        <w:rPr>
          <w:rFonts w:ascii="Times New Roman" w:hAnsi="Times New Roman" w:cs="Times New Roman"/>
          <w:sz w:val="24"/>
          <w:szCs w:val="24"/>
        </w:rPr>
        <w:t xml:space="preserve"> (2017) examined activities in Chinese investment in the European energy sector which illustrate imbalanced competition and economic risk for a country.</w:t>
      </w:r>
    </w:p>
    <w:p w14:paraId="4998B3F9" w14:textId="23296831" w:rsidR="00D7265A" w:rsidRPr="008F3998" w:rsidRDefault="55F346EE" w:rsidP="003C0A6E">
      <w:pPr>
        <w:spacing w:line="48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Most of the other existing literature on sovereign risk examined with sovereign debt and consideration of financial crisis (See e.g., </w:t>
      </w:r>
      <w:proofErr w:type="spellStart"/>
      <w:r w:rsidRPr="008F3998">
        <w:rPr>
          <w:rFonts w:ascii="Times New Roman" w:hAnsi="Times New Roman" w:cs="Times New Roman"/>
          <w:sz w:val="24"/>
          <w:szCs w:val="24"/>
        </w:rPr>
        <w:t>Manganelli</w:t>
      </w:r>
      <w:proofErr w:type="spellEnd"/>
      <w:r w:rsidRPr="008F3998">
        <w:rPr>
          <w:rFonts w:ascii="Times New Roman" w:hAnsi="Times New Roman" w:cs="Times New Roman"/>
          <w:sz w:val="24"/>
          <w:szCs w:val="24"/>
        </w:rPr>
        <w:t xml:space="preserve"> and </w:t>
      </w:r>
      <w:proofErr w:type="spellStart"/>
      <w:r w:rsidRPr="008F3998">
        <w:rPr>
          <w:rFonts w:ascii="Times New Roman" w:hAnsi="Times New Roman" w:cs="Times New Roman"/>
          <w:sz w:val="24"/>
          <w:szCs w:val="24"/>
        </w:rPr>
        <w:t>Wolswijk</w:t>
      </w:r>
      <w:proofErr w:type="spellEnd"/>
      <w:r w:rsidRPr="008F3998">
        <w:rPr>
          <w:rFonts w:ascii="Times New Roman" w:hAnsi="Times New Roman" w:cs="Times New Roman"/>
          <w:sz w:val="24"/>
          <w:szCs w:val="24"/>
        </w:rPr>
        <w:t xml:space="preserve">, 2007; </w:t>
      </w:r>
      <w:proofErr w:type="spellStart"/>
      <w:r w:rsidRPr="008F3998">
        <w:rPr>
          <w:rFonts w:ascii="Times New Roman" w:hAnsi="Times New Roman" w:cs="Times New Roman"/>
          <w:sz w:val="24"/>
          <w:szCs w:val="24"/>
        </w:rPr>
        <w:t>Cecchetti</w:t>
      </w:r>
      <w:proofErr w:type="spellEnd"/>
      <w:r w:rsidRPr="008F3998">
        <w:rPr>
          <w:rFonts w:ascii="Times New Roman" w:hAnsi="Times New Roman" w:cs="Times New Roman"/>
          <w:sz w:val="24"/>
          <w:szCs w:val="24"/>
        </w:rPr>
        <w:t xml:space="preserve"> et al., 2010; Fischer and </w:t>
      </w:r>
      <w:proofErr w:type="spellStart"/>
      <w:r w:rsidRPr="008F3998">
        <w:rPr>
          <w:rFonts w:ascii="Times New Roman" w:hAnsi="Times New Roman" w:cs="Times New Roman"/>
          <w:sz w:val="24"/>
          <w:szCs w:val="24"/>
        </w:rPr>
        <w:t>Dötz</w:t>
      </w:r>
      <w:proofErr w:type="spellEnd"/>
      <w:r w:rsidRPr="008F3998">
        <w:rPr>
          <w:rFonts w:ascii="Times New Roman" w:hAnsi="Times New Roman" w:cs="Times New Roman"/>
          <w:sz w:val="24"/>
          <w:szCs w:val="24"/>
        </w:rPr>
        <w:t xml:space="preserve">, 2010; </w:t>
      </w:r>
      <w:proofErr w:type="spellStart"/>
      <w:r w:rsidRPr="008F3998">
        <w:rPr>
          <w:rFonts w:ascii="Times New Roman" w:hAnsi="Times New Roman" w:cs="Times New Roman"/>
          <w:sz w:val="24"/>
          <w:szCs w:val="24"/>
        </w:rPr>
        <w:t>Schuknecht</w:t>
      </w:r>
      <w:proofErr w:type="spellEnd"/>
      <w:r w:rsidRPr="008F3998">
        <w:rPr>
          <w:rFonts w:ascii="Times New Roman" w:hAnsi="Times New Roman" w:cs="Times New Roman"/>
          <w:sz w:val="24"/>
          <w:szCs w:val="24"/>
        </w:rPr>
        <w:t xml:space="preserve"> et al., 2010 and </w:t>
      </w:r>
      <w:proofErr w:type="spellStart"/>
      <w:r w:rsidRPr="008F3998">
        <w:rPr>
          <w:rFonts w:ascii="Times New Roman" w:hAnsi="Times New Roman" w:cs="Times New Roman"/>
          <w:sz w:val="24"/>
          <w:szCs w:val="24"/>
        </w:rPr>
        <w:t>Aizenman</w:t>
      </w:r>
      <w:proofErr w:type="spellEnd"/>
      <w:r w:rsidRPr="008F3998">
        <w:rPr>
          <w:rFonts w:ascii="Times New Roman" w:hAnsi="Times New Roman" w:cs="Times New Roman"/>
          <w:sz w:val="24"/>
          <w:szCs w:val="24"/>
        </w:rPr>
        <w:t xml:space="preserve"> et al., 2013). In addition, there are several studies to examine the relationship between the impact of environmental policies and firm value, credit risk, and the cost of capital (e.g.</w:t>
      </w:r>
      <w:proofErr w:type="gramStart"/>
      <w:r w:rsidRPr="008F3998">
        <w:rPr>
          <w:rFonts w:ascii="Times New Roman" w:hAnsi="Times New Roman" w:cs="Times New Roman"/>
          <w:sz w:val="24"/>
          <w:szCs w:val="24"/>
        </w:rPr>
        <w:t>,</w:t>
      </w:r>
      <w:proofErr w:type="spellStart"/>
      <w:r w:rsidRPr="008F3998">
        <w:rPr>
          <w:rFonts w:ascii="Times New Roman" w:hAnsi="Times New Roman" w:cs="Times New Roman"/>
          <w:sz w:val="24"/>
          <w:szCs w:val="24"/>
        </w:rPr>
        <w:t>Chava</w:t>
      </w:r>
      <w:proofErr w:type="spellEnd"/>
      <w:proofErr w:type="gramEnd"/>
      <w:r w:rsidRPr="008F3998">
        <w:rPr>
          <w:rFonts w:ascii="Times New Roman" w:hAnsi="Times New Roman" w:cs="Times New Roman"/>
          <w:sz w:val="24"/>
          <w:szCs w:val="24"/>
        </w:rPr>
        <w:t xml:space="preserve">, 2014; Bauer and Hann, 2010, and </w:t>
      </w:r>
      <w:proofErr w:type="spellStart"/>
      <w:r w:rsidRPr="008F3998">
        <w:rPr>
          <w:rFonts w:ascii="Times New Roman" w:hAnsi="Times New Roman" w:cs="Times New Roman"/>
          <w:sz w:val="24"/>
          <w:szCs w:val="24"/>
        </w:rPr>
        <w:t>Konar</w:t>
      </w:r>
      <w:proofErr w:type="spellEnd"/>
      <w:r w:rsidRPr="008F3998">
        <w:rPr>
          <w:rFonts w:ascii="Times New Roman" w:hAnsi="Times New Roman" w:cs="Times New Roman"/>
          <w:sz w:val="24"/>
          <w:szCs w:val="24"/>
        </w:rPr>
        <w:t xml:space="preserve"> and Cohen, 2001). Interestingly, the study of Dietz et al. (2016) mentioned the existence of ‘climate value-at-risk’, which is of great impact itself on asset values. This study also contributes to the theoretical literature how climate change can affect the value of financial assets. Later, Dietz et al. (2018) introduce the term ‘climate beta’, which represents a kind of risk factor capturing the high discount rate on the expected benefits of emissions reductions. By doing so, the growing body of literature also needs to examine the role of carbon emission on sovereign risks, which is still fruitful avenue. </w:t>
      </w:r>
    </w:p>
    <w:p w14:paraId="1AEDFC92" w14:textId="29D7E612" w:rsidR="1E568AAF" w:rsidRPr="008F3998" w:rsidRDefault="29D2763D" w:rsidP="003C0A6E">
      <w:pPr>
        <w:spacing w:line="480" w:lineRule="auto"/>
        <w:ind w:firstLine="720"/>
        <w:jc w:val="both"/>
        <w:rPr>
          <w:rFonts w:ascii="Times New Roman" w:eastAsia="Times New Roman" w:hAnsi="Times New Roman" w:cs="Times New Roman"/>
          <w:sz w:val="24"/>
          <w:szCs w:val="24"/>
        </w:rPr>
      </w:pPr>
      <w:r w:rsidRPr="008F3998">
        <w:rPr>
          <w:rFonts w:ascii="Times New Roman" w:eastAsia="Times New Roman" w:hAnsi="Times New Roman" w:cs="Times New Roman"/>
          <w:sz w:val="24"/>
          <w:szCs w:val="24"/>
        </w:rPr>
        <w:t>We have formulated the following two hypotheses to understand the potential effect of carbon emissions on sovereign risk:</w:t>
      </w:r>
    </w:p>
    <w:p w14:paraId="3B96D429" w14:textId="3772B26D" w:rsidR="1E568AAF" w:rsidRPr="008F3998" w:rsidRDefault="29D2763D" w:rsidP="003C0A6E">
      <w:pPr>
        <w:spacing w:line="360" w:lineRule="auto"/>
        <w:ind w:left="720"/>
        <w:jc w:val="both"/>
        <w:rPr>
          <w:rFonts w:ascii="Times New Roman" w:eastAsia="Times New Roman" w:hAnsi="Times New Roman" w:cs="Times New Roman"/>
          <w:bCs/>
          <w:sz w:val="24"/>
          <w:szCs w:val="24"/>
        </w:rPr>
      </w:pPr>
      <w:r w:rsidRPr="008F3998">
        <w:rPr>
          <w:rFonts w:ascii="Times New Roman" w:eastAsia="Times New Roman" w:hAnsi="Times New Roman" w:cs="Times New Roman"/>
          <w:bCs/>
          <w:sz w:val="24"/>
          <w:szCs w:val="24"/>
        </w:rPr>
        <w:t xml:space="preserve">Hypothesis 1. Carbon emissions are likely to increase the sovereign risk. </w:t>
      </w:r>
    </w:p>
    <w:p w14:paraId="3BB421EC" w14:textId="4DC1F404" w:rsidR="1E568AAF" w:rsidRPr="008F3998" w:rsidRDefault="29D2763D" w:rsidP="003C0A6E">
      <w:pPr>
        <w:spacing w:line="360" w:lineRule="auto"/>
        <w:ind w:firstLine="720"/>
        <w:jc w:val="both"/>
        <w:rPr>
          <w:rFonts w:ascii="Times New Roman" w:eastAsia="Times New Roman" w:hAnsi="Times New Roman" w:cs="Times New Roman"/>
          <w:sz w:val="24"/>
          <w:szCs w:val="24"/>
        </w:rPr>
      </w:pPr>
      <w:r w:rsidRPr="008F3998">
        <w:rPr>
          <w:rFonts w:ascii="Times New Roman" w:eastAsia="Times New Roman" w:hAnsi="Times New Roman" w:cs="Times New Roman"/>
          <w:sz w:val="24"/>
          <w:szCs w:val="24"/>
        </w:rPr>
        <w:t>We extend our analysis towards specific sectors because some of the sectors have significant role in the carbon emission. We have selected the main three polluted sectors of the economy i.e. transportation, electricity and industry to measure more likely impact on sovereign risk. We therefore hypothesize that:</w:t>
      </w:r>
    </w:p>
    <w:p w14:paraId="4142FA82" w14:textId="24BB11C0" w:rsidR="1E568AAF" w:rsidRPr="008F3998" w:rsidRDefault="29D2763D" w:rsidP="003C0A6E">
      <w:pPr>
        <w:spacing w:line="360" w:lineRule="auto"/>
        <w:ind w:left="720"/>
        <w:jc w:val="both"/>
        <w:rPr>
          <w:rFonts w:ascii="Times New Roman" w:eastAsia="Times New Roman" w:hAnsi="Times New Roman" w:cs="Times New Roman"/>
          <w:bCs/>
          <w:sz w:val="24"/>
          <w:szCs w:val="24"/>
        </w:rPr>
      </w:pPr>
      <w:r w:rsidRPr="008F3998">
        <w:rPr>
          <w:rFonts w:ascii="Times New Roman" w:eastAsia="Times New Roman" w:hAnsi="Times New Roman" w:cs="Times New Roman"/>
          <w:bCs/>
          <w:sz w:val="24"/>
          <w:szCs w:val="24"/>
        </w:rPr>
        <w:t>Hypothesis 2: The transportation, electricity and industrial sectors are more likely to increase the sovereign risk.</w:t>
      </w:r>
    </w:p>
    <w:p w14:paraId="43F9E92D" w14:textId="3175A2BE" w:rsidR="00D7265A" w:rsidRPr="008F3998" w:rsidRDefault="00CD41D5" w:rsidP="009D4938">
      <w:pPr>
        <w:pStyle w:val="ListParagraph"/>
        <w:numPr>
          <w:ilvl w:val="0"/>
          <w:numId w:val="1"/>
        </w:numPr>
        <w:spacing w:line="360" w:lineRule="auto"/>
        <w:ind w:left="0" w:firstLine="0"/>
        <w:jc w:val="both"/>
        <w:rPr>
          <w:rFonts w:cs="Times New Roman"/>
          <w:b/>
          <w:szCs w:val="24"/>
        </w:rPr>
      </w:pPr>
      <w:r w:rsidRPr="008F3998">
        <w:rPr>
          <w:rFonts w:cs="Times New Roman"/>
          <w:b/>
          <w:szCs w:val="24"/>
        </w:rPr>
        <w:t>Data</w:t>
      </w:r>
      <w:r w:rsidR="00E4594F" w:rsidRPr="008F3998">
        <w:rPr>
          <w:rFonts w:cs="Times New Roman"/>
          <w:b/>
          <w:szCs w:val="24"/>
        </w:rPr>
        <w:t xml:space="preserve"> and Methodology</w:t>
      </w:r>
    </w:p>
    <w:p w14:paraId="0F330756" w14:textId="0FD33EA0" w:rsidR="00E526FC" w:rsidRPr="008F3998" w:rsidRDefault="00D7265A" w:rsidP="009D4938">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Our sample includes annual data of G7 countries from 1996 to 2014. These countries are Canada, France, Germany, Italy, Japan,</w:t>
      </w:r>
      <w:r w:rsidR="00845FFE" w:rsidRPr="008F3998">
        <w:rPr>
          <w:rFonts w:ascii="Times New Roman" w:hAnsi="Times New Roman" w:cs="Times New Roman"/>
          <w:sz w:val="24"/>
          <w:szCs w:val="24"/>
        </w:rPr>
        <w:t xml:space="preserve"> the</w:t>
      </w:r>
      <w:r w:rsidRPr="008F3998">
        <w:rPr>
          <w:rFonts w:ascii="Times New Roman" w:hAnsi="Times New Roman" w:cs="Times New Roman"/>
          <w:sz w:val="24"/>
          <w:szCs w:val="24"/>
        </w:rPr>
        <w:t xml:space="preserve"> UK and the USA. As we use stock market data to calculate our risk measure, namely, tail quantile and tail expected shortfall, we restrict ourselves to only G7 countries as the stock markets are much </w:t>
      </w:r>
      <w:r w:rsidR="002F248D" w:rsidRPr="008F3998">
        <w:rPr>
          <w:rFonts w:ascii="Times New Roman" w:hAnsi="Times New Roman" w:cs="Times New Roman"/>
          <w:sz w:val="24"/>
          <w:szCs w:val="24"/>
        </w:rPr>
        <w:t>developed,</w:t>
      </w:r>
      <w:r w:rsidRPr="008F3998">
        <w:rPr>
          <w:rFonts w:ascii="Times New Roman" w:hAnsi="Times New Roman" w:cs="Times New Roman"/>
          <w:sz w:val="24"/>
          <w:szCs w:val="24"/>
        </w:rPr>
        <w:t xml:space="preserve"> and risk measures will be more reliable for these countries. For calculation of tail risk measure, we download daily stock price index data from </w:t>
      </w:r>
      <w:proofErr w:type="spellStart"/>
      <w:r w:rsidRPr="008F3998">
        <w:rPr>
          <w:rFonts w:ascii="Times New Roman" w:hAnsi="Times New Roman" w:cs="Times New Roman"/>
          <w:sz w:val="24"/>
          <w:szCs w:val="24"/>
        </w:rPr>
        <w:t>Datastream</w:t>
      </w:r>
      <w:proofErr w:type="spellEnd"/>
      <w:r w:rsidRPr="008F3998">
        <w:rPr>
          <w:rFonts w:ascii="Times New Roman" w:hAnsi="Times New Roman" w:cs="Times New Roman"/>
          <w:sz w:val="24"/>
          <w:szCs w:val="24"/>
        </w:rPr>
        <w:t xml:space="preserve"> (dividend-corrected total return indices) for the G7 countries from 2nd January 1990 to 31st December 2014. We use six years data to calculate tail risk. For example, we use daily data from 2nd January 1990 to 31st December 1995 to calculate tail risk measure for 1996, 2nd January 1991 to 31st December 1996 to calculate tail risk measure for 1997 and so on to come up annual tail risk measure from 1996 to 2014. We fix 2nd January 1990 as a start date because we need at least 1000 observation to calculate tail risk. Because of this, we exclude high carbon emitting countries like China and Russia as the stock market data for these countries do not start from 2nd January 1990. Our data sample stops in 2014 as 2014 is the latest year for which the carbon emissions data are available from the World Bank. Moreover, G7 countries are among top 20 countries in terms of carbon emissions, so we cover most of the top emitters in our sample. </w:t>
      </w:r>
      <w:r w:rsidR="0070352A" w:rsidRPr="008F3998">
        <w:rPr>
          <w:rFonts w:ascii="Times New Roman" w:hAnsi="Times New Roman" w:cs="Times New Roman"/>
          <w:position w:val="-12"/>
          <w:sz w:val="24"/>
        </w:rPr>
        <w:t>As an additional robustness check, we substitute the country financial risk measures–</w:t>
      </w:r>
      <w:r w:rsidR="0070352A" w:rsidRPr="008F3998">
        <w:rPr>
          <w:rFonts w:ascii="Times New Roman" w:hAnsi="Times New Roman" w:cs="Times New Roman"/>
          <w:i/>
          <w:position w:val="-12"/>
          <w:sz w:val="24"/>
        </w:rPr>
        <w:t>tail quantile</w:t>
      </w:r>
      <w:r w:rsidR="0070352A" w:rsidRPr="008F3998">
        <w:rPr>
          <w:rFonts w:ascii="Times New Roman" w:hAnsi="Times New Roman" w:cs="Times New Roman"/>
          <w:position w:val="-12"/>
          <w:sz w:val="24"/>
        </w:rPr>
        <w:t xml:space="preserve"> and (tail) </w:t>
      </w:r>
      <w:r w:rsidR="0070352A" w:rsidRPr="008F3998">
        <w:rPr>
          <w:rFonts w:ascii="Times New Roman" w:hAnsi="Times New Roman" w:cs="Times New Roman"/>
          <w:i/>
          <w:position w:val="-12"/>
          <w:sz w:val="24"/>
        </w:rPr>
        <w:t>expected shortfall</w:t>
      </w:r>
      <w:r w:rsidR="0070352A" w:rsidRPr="008F3998">
        <w:rPr>
          <w:rFonts w:ascii="Times New Roman" w:hAnsi="Times New Roman" w:cs="Times New Roman"/>
          <w:position w:val="-12"/>
          <w:sz w:val="24"/>
        </w:rPr>
        <w:t>–calculated using 5-year government bond data.</w:t>
      </w:r>
      <w:r w:rsidR="00522D83" w:rsidRPr="008F3998">
        <w:rPr>
          <w:rFonts w:ascii="Times New Roman" w:hAnsi="Times New Roman" w:cs="Times New Roman"/>
          <w:position w:val="-12"/>
          <w:sz w:val="24"/>
        </w:rPr>
        <w:t xml:space="preserve"> </w:t>
      </w:r>
      <w:r w:rsidRPr="008F3998">
        <w:rPr>
          <w:rFonts w:ascii="Times New Roman" w:hAnsi="Times New Roman" w:cs="Times New Roman"/>
          <w:sz w:val="24"/>
          <w:szCs w:val="24"/>
        </w:rPr>
        <w:t xml:space="preserve">We collect other data from multiple sources. </w:t>
      </w:r>
      <w:r w:rsidR="00725215" w:rsidRPr="008F3998">
        <w:rPr>
          <w:rFonts w:ascii="Times New Roman" w:hAnsi="Times New Roman" w:cs="Times New Roman"/>
          <w:sz w:val="24"/>
          <w:szCs w:val="24"/>
        </w:rPr>
        <w:t>V</w:t>
      </w:r>
      <w:r w:rsidRPr="008F3998">
        <w:rPr>
          <w:rFonts w:ascii="Times New Roman" w:hAnsi="Times New Roman" w:cs="Times New Roman"/>
          <w:sz w:val="24"/>
          <w:szCs w:val="24"/>
        </w:rPr>
        <w:t>ariable definition together with the data sources</w:t>
      </w:r>
      <w:r w:rsidR="00725215" w:rsidRPr="008F3998">
        <w:rPr>
          <w:rFonts w:ascii="Times New Roman" w:hAnsi="Times New Roman" w:cs="Times New Roman"/>
          <w:sz w:val="24"/>
          <w:szCs w:val="24"/>
        </w:rPr>
        <w:t xml:space="preserve"> are provided</w:t>
      </w:r>
      <w:r w:rsidRPr="008F3998">
        <w:rPr>
          <w:rFonts w:ascii="Times New Roman" w:hAnsi="Times New Roman" w:cs="Times New Roman"/>
          <w:sz w:val="24"/>
          <w:szCs w:val="24"/>
        </w:rPr>
        <w:t xml:space="preserve"> in </w:t>
      </w:r>
      <w:r w:rsidR="00B07CD7" w:rsidRPr="008F3998">
        <w:rPr>
          <w:rFonts w:ascii="Times New Roman" w:hAnsi="Times New Roman" w:cs="Times New Roman"/>
          <w:sz w:val="24"/>
          <w:szCs w:val="24"/>
        </w:rPr>
        <w:t xml:space="preserve">Table A1 </w:t>
      </w:r>
      <w:r w:rsidR="00725215" w:rsidRPr="008F3998">
        <w:rPr>
          <w:rFonts w:ascii="Times New Roman" w:hAnsi="Times New Roman" w:cs="Times New Roman"/>
          <w:sz w:val="24"/>
          <w:szCs w:val="24"/>
        </w:rPr>
        <w:t xml:space="preserve">of </w:t>
      </w:r>
      <w:r w:rsidRPr="008F3998">
        <w:rPr>
          <w:rFonts w:ascii="Times New Roman" w:hAnsi="Times New Roman" w:cs="Times New Roman"/>
          <w:sz w:val="24"/>
          <w:szCs w:val="24"/>
        </w:rPr>
        <w:t>Appendix</w:t>
      </w:r>
      <w:r w:rsidR="00013B5A" w:rsidRPr="008F3998">
        <w:rPr>
          <w:rFonts w:ascii="Times New Roman" w:hAnsi="Times New Roman" w:cs="Times New Roman"/>
          <w:sz w:val="24"/>
          <w:szCs w:val="24"/>
        </w:rPr>
        <w:t xml:space="preserve"> A</w:t>
      </w:r>
      <w:r w:rsidR="00B07CD7" w:rsidRPr="008F3998">
        <w:rPr>
          <w:rFonts w:ascii="Times New Roman" w:hAnsi="Times New Roman" w:cs="Times New Roman"/>
          <w:sz w:val="24"/>
          <w:szCs w:val="24"/>
        </w:rPr>
        <w:t>.</w:t>
      </w:r>
    </w:p>
    <w:p w14:paraId="33AD1C40" w14:textId="252D787E" w:rsidR="00E526FC" w:rsidRPr="008F3998" w:rsidRDefault="00E526FC" w:rsidP="003C0A6E">
      <w:pPr>
        <w:pStyle w:val="ListParagraph"/>
        <w:numPr>
          <w:ilvl w:val="1"/>
          <w:numId w:val="1"/>
        </w:numPr>
        <w:spacing w:line="360" w:lineRule="auto"/>
        <w:ind w:left="0" w:firstLine="0"/>
        <w:jc w:val="both"/>
        <w:rPr>
          <w:rFonts w:cs="Times New Roman"/>
          <w:i/>
          <w:iCs/>
        </w:rPr>
      </w:pPr>
      <w:r w:rsidRPr="008F3998">
        <w:rPr>
          <w:rFonts w:cs="Times New Roman"/>
          <w:i/>
          <w:iCs/>
        </w:rPr>
        <w:t>Measurement of Risk:</w:t>
      </w:r>
    </w:p>
    <w:p w14:paraId="13218AF6" w14:textId="77777777" w:rsidR="00E526FC" w:rsidRPr="008F3998" w:rsidRDefault="4F80972E" w:rsidP="009D4938">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Our measure of risk is identified by a sharp decline in the equity prices of banks. We use univariate extreme value theory (EVT) to measure equity tail risk. The univariate EVT comprises of the Generalised Extreme Value (GEV) distribution and that is the limit law for maxima of a stationary process. We opt for Peaks-Over-Threshold (POT) approach to determine the parameters of the GEV distribution. We do this in a semi-parametric way and fit the distributional excess losses over a given high threshold that converges to a Generalised Pareto Distribution (GPD)</w:t>
      </w:r>
      <w:r w:rsidR="00E526FC" w:rsidRPr="008F3998">
        <w:rPr>
          <w:rStyle w:val="FootnoteReference"/>
          <w:rFonts w:ascii="Times New Roman" w:hAnsi="Times New Roman" w:cs="Times New Roman"/>
          <w:sz w:val="24"/>
          <w:szCs w:val="24"/>
        </w:rPr>
        <w:footnoteReference w:id="5"/>
      </w:r>
      <w:r w:rsidR="00E526FC" w:rsidRPr="008F3998">
        <w:rPr>
          <w:rFonts w:ascii="Times New Roman" w:hAnsi="Times New Roman" w:cs="Times New Roman"/>
          <w:sz w:val="24"/>
          <w:szCs w:val="24"/>
        </w:rPr>
        <w:t xml:space="preserve">. </w:t>
      </w:r>
    </w:p>
    <w:p w14:paraId="08DCAC54" w14:textId="5793E37F"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hAnsi="Times New Roman" w:cs="Times New Roman"/>
          <w:sz w:val="24"/>
          <w:szCs w:val="24"/>
        </w:rPr>
        <w:t xml:space="preserve">We exploit the empirical stylised fact that equity returns of banks exhibit heavy tails and define </w:t>
      </w:r>
      <m:oMath>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den>
                </m:f>
              </m:e>
            </m:d>
          </m:e>
        </m:func>
      </m:oMath>
      <w:r w:rsidRPr="008F3998">
        <w:rPr>
          <w:rFonts w:ascii="Times New Roman" w:eastAsiaTheme="minorEastAsia" w:hAnsi="Times New Roman" w:cs="Times New Roman"/>
          <w:sz w:val="24"/>
          <w:szCs w:val="24"/>
        </w:rPr>
        <w:t xml:space="preserve"> as the loss distribution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m:t>
            </m:r>
          </m:sub>
        </m:sSub>
      </m:oMath>
      <w:r w:rsidRPr="008F3998">
        <w:rPr>
          <w:rFonts w:ascii="Times New Roman" w:eastAsiaTheme="minorEastAsia" w:hAnsi="Times New Roman" w:cs="Times New Roman"/>
          <w:sz w:val="24"/>
          <w:szCs w:val="24"/>
        </w:rPr>
        <w:t xml:space="preserve"> stands for the dividend adjusted stock price of a bank. The heavy tail implies that the marginal tail pr</w:t>
      </w:r>
      <w:proofErr w:type="spellStart"/>
      <w:r w:rsidRPr="008F3998">
        <w:rPr>
          <w:rFonts w:ascii="Times New Roman" w:eastAsiaTheme="minorEastAsia" w:hAnsi="Times New Roman" w:cs="Times New Roman"/>
          <w:sz w:val="24"/>
          <w:szCs w:val="24"/>
        </w:rPr>
        <w:t>obability</w:t>
      </w:r>
      <w:proofErr w:type="spellEnd"/>
      <w:r w:rsidRPr="008F3998">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X</m:t>
        </m:r>
      </m:oMath>
      <w:r w:rsidRPr="008F3998">
        <w:rPr>
          <w:rFonts w:ascii="Times New Roman" w:eastAsiaTheme="minorEastAsia" w:hAnsi="Times New Roman" w:cs="Times New Roman"/>
          <w:sz w:val="24"/>
          <w:szCs w:val="24"/>
        </w:rPr>
        <w:t xml:space="preserve"> as a function of the corresponding quantile can be approximated by a power law (as we call tail quantile above): </w:t>
      </w:r>
    </w:p>
    <w:p w14:paraId="14CBC565" w14:textId="06BCB764" w:rsidR="00E526FC" w:rsidRPr="008F3998" w:rsidRDefault="00E526FC" w:rsidP="009D4938">
      <w:pPr>
        <w:spacing w:line="360" w:lineRule="auto"/>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P</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X&gt;x</m:t>
            </m:r>
          </m:e>
        </m:d>
        <m:r>
          <w:rPr>
            <w:rFonts w:ascii="Cambria Math" w:eastAsiaTheme="minorEastAsia" w:hAnsi="Cambria Math" w:cs="Times New Roman"/>
            <w:sz w:val="24"/>
            <w:szCs w:val="24"/>
          </w:rPr>
          <m:t>=L</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-α</m:t>
            </m:r>
          </m:sup>
        </m:sSup>
        <m:r>
          <w:rPr>
            <w:rFonts w:ascii="Cambria Math" w:eastAsiaTheme="minorEastAsia" w:hAnsi="Cambria Math" w:cs="Times New Roman"/>
            <w:sz w:val="24"/>
            <w:szCs w:val="24"/>
          </w:rPr>
          <m:t xml:space="preserve">, x </m:t>
        </m:r>
        <m:r>
          <m:rPr>
            <m:sty m:val="p"/>
          </m:rPr>
          <w:rPr>
            <w:rFonts w:ascii="Cambria Math" w:eastAsiaTheme="minorEastAsia" w:hAnsi="Cambria Math" w:cs="Times New Roman"/>
            <w:sz w:val="24"/>
            <w:szCs w:val="24"/>
          </w:rPr>
          <m:t>large,</m:t>
        </m:r>
        <m:r>
          <w:rPr>
            <w:rFonts w:ascii="Cambria Math" w:eastAsiaTheme="minorEastAsia" w:hAnsi="Cambria Math" w:cs="Times New Roman"/>
            <w:sz w:val="24"/>
            <w:szCs w:val="24"/>
          </w:rPr>
          <m:t xml:space="preserve"> </m:t>
        </m:r>
      </m:oMath>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009D4938" w:rsidRPr="008F3998">
        <w:rPr>
          <w:rFonts w:ascii="Times New Roman" w:hAnsi="Times New Roman" w:cs="Times New Roman"/>
        </w:rPr>
        <w:t>(</w:t>
      </w:r>
      <w:bookmarkStart w:id="0" w:name="eq1"/>
      <w:r w:rsidR="009D4938" w:rsidRPr="008F3998">
        <w:rPr>
          <w:rFonts w:ascii="Times New Roman" w:hAnsi="Times New Roman" w:cs="Times New Roman"/>
        </w:rPr>
        <w:fldChar w:fldCharType="begin"/>
      </w:r>
      <w:r w:rsidR="009D4938" w:rsidRPr="008F3998">
        <w:rPr>
          <w:rFonts w:ascii="Times New Roman" w:hAnsi="Times New Roman" w:cs="Times New Roman"/>
        </w:rPr>
        <w:instrText>SEQ Text \* ARABIC</w:instrText>
      </w:r>
      <w:r w:rsidR="009D4938" w:rsidRPr="008F3998">
        <w:rPr>
          <w:rFonts w:ascii="Times New Roman" w:hAnsi="Times New Roman" w:cs="Times New Roman"/>
        </w:rPr>
        <w:fldChar w:fldCharType="separate"/>
      </w:r>
      <w:r w:rsidR="00312D5C" w:rsidRPr="008F3998">
        <w:rPr>
          <w:rFonts w:ascii="Times New Roman" w:hAnsi="Times New Roman" w:cs="Times New Roman"/>
          <w:noProof/>
        </w:rPr>
        <w:t>1</w:t>
      </w:r>
      <w:r w:rsidR="009D4938" w:rsidRPr="008F3998">
        <w:rPr>
          <w:rFonts w:ascii="Times New Roman" w:hAnsi="Times New Roman" w:cs="Times New Roman"/>
        </w:rPr>
        <w:fldChar w:fldCharType="end"/>
      </w:r>
      <w:bookmarkEnd w:id="0"/>
      <w:r w:rsidR="009D4938" w:rsidRPr="008F3998">
        <w:rPr>
          <w:rFonts w:ascii="Times New Roman" w:hAnsi="Times New Roman" w:cs="Times New Roman"/>
        </w:rPr>
        <w:t>)</w:t>
      </w:r>
    </w:p>
    <w:p w14:paraId="686073FA" w14:textId="77777777"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hAnsi="Times New Roman" w:cs="Times New Roman"/>
          <w:sz w:val="24"/>
          <w:szCs w:val="24"/>
        </w:rPr>
        <w:t xml:space="preserve">And </w:t>
      </w:r>
      <w:proofErr w:type="gramStart"/>
      <w:r w:rsidRPr="008F3998">
        <w:rPr>
          <w:rFonts w:ascii="Times New Roman" w:hAnsi="Times New Roman" w:cs="Times New Roman"/>
          <w:sz w:val="24"/>
          <w:szCs w:val="24"/>
        </w:rPr>
        <w:t xml:space="preserve">with </w:t>
      </w:r>
      <w:r w:rsidRPr="008F3998">
        <w:rPr>
          <w:rFonts w:ascii="Times New Roman" w:eastAsiaTheme="minorEastAsia" w:hAnsi="Times New Roman" w:cs="Times New Roman"/>
          <w:sz w:val="24"/>
          <w:szCs w:val="24"/>
        </w:rPr>
        <w:t xml:space="preserve"> </w:t>
      </w:r>
      <w:proofErr w:type="gramEnd"/>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r>
              <w:rPr>
                <w:rFonts w:ascii="Cambria Math" w:eastAsiaTheme="minorEastAsia" w:hAnsi="Cambria Math" w:cs="Times New Roman"/>
                <w:sz w:val="24"/>
                <w:szCs w:val="24"/>
              </w:rPr>
              <m:t>L(tx)/L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func>
      </m:oMath>
      <w:r w:rsidRPr="008F3998">
        <w:rPr>
          <w:rFonts w:ascii="Times New Roman" w:eastAsiaTheme="minorEastAsia" w:hAnsi="Times New Roman" w:cs="Times New Roman"/>
          <w:sz w:val="24"/>
          <w:szCs w:val="24"/>
        </w:rPr>
        <w:t xml:space="preserve">=1 and t&gt;0, i.e., “slowly varying”. </w:t>
      </w:r>
    </w:p>
    <w:p w14:paraId="574E382D" w14:textId="0A40567B"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eastAsiaTheme="minorEastAsia" w:hAnsi="Times New Roman" w:cs="Times New Roman"/>
          <w:sz w:val="24"/>
          <w:szCs w:val="24"/>
        </w:rPr>
        <w:t xml:space="preserve">Lower </w:t>
      </w:r>
      <w:proofErr w:type="gramStart"/>
      <w:r w:rsidRPr="008F3998">
        <w:rPr>
          <w:rFonts w:ascii="Times New Roman" w:eastAsiaTheme="minorEastAsia" w:hAnsi="Times New Roman" w:cs="Times New Roman"/>
          <w:sz w:val="24"/>
          <w:szCs w:val="24"/>
        </w:rPr>
        <w:t xml:space="preserve">the </w:t>
      </w:r>
      <w:r w:rsidRPr="008F3998">
        <w:rPr>
          <w:rFonts w:ascii="Times New Roman" w:eastAsiaTheme="minorEastAsia" w:hAnsi="Times New Roman" w:cs="Times New Roman"/>
          <w:i/>
          <w:sz w:val="24"/>
          <w:szCs w:val="24"/>
        </w:rPr>
        <w:t>α</w:t>
      </w:r>
      <w:proofErr w:type="gramEnd"/>
      <w:r w:rsidRPr="008F3998">
        <w:rPr>
          <w:rFonts w:ascii="Times New Roman" w:eastAsiaTheme="minorEastAsia" w:hAnsi="Times New Roman" w:cs="Times New Roman"/>
          <w:sz w:val="24"/>
          <w:szCs w:val="24"/>
        </w:rPr>
        <w:t xml:space="preserve">, the slower the decay to zero and a higher tail probability for a given </w:t>
      </w:r>
      <w:r w:rsidRPr="008F3998">
        <w:rPr>
          <w:rFonts w:ascii="Times New Roman" w:eastAsiaTheme="minorEastAsia" w:hAnsi="Times New Roman" w:cs="Times New Roman"/>
          <w:i/>
          <w:sz w:val="24"/>
          <w:szCs w:val="24"/>
        </w:rPr>
        <w:t xml:space="preserve">x </w:t>
      </w:r>
      <w:r w:rsidRPr="008F3998">
        <w:rPr>
          <w:rFonts w:ascii="Times New Roman" w:eastAsiaTheme="minorEastAsia" w:hAnsi="Times New Roman" w:cs="Times New Roman"/>
          <w:sz w:val="24"/>
          <w:szCs w:val="24"/>
        </w:rPr>
        <w:t xml:space="preserve">and vice versa. According to the regulation variation property, all distributional moments higher than </w:t>
      </w:r>
      <w:r w:rsidRPr="008F3998">
        <w:rPr>
          <w:rFonts w:ascii="Times New Roman" w:eastAsiaTheme="minorEastAsia" w:hAnsi="Times New Roman" w:cs="Times New Roman"/>
          <w:i/>
          <w:sz w:val="24"/>
          <w:szCs w:val="24"/>
        </w:rPr>
        <w:t>α</w:t>
      </w:r>
      <w:r w:rsidRPr="008F39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r</m:t>
                </m:r>
              </m:sup>
            </m:sSup>
          </m:e>
        </m:d>
        <m:r>
          <w:rPr>
            <w:rFonts w:ascii="Cambria Math" w:eastAsiaTheme="minorEastAsia" w:hAnsi="Cambria Math" w:cs="Times New Roman"/>
            <w:sz w:val="24"/>
            <w:szCs w:val="24"/>
          </w:rPr>
          <m:t>, r&gt;α</m:t>
        </m:r>
      </m:oMath>
      <w:r w:rsidRPr="008F3998">
        <w:rPr>
          <w:rFonts w:ascii="Times New Roman" w:eastAsiaTheme="minorEastAsia" w:hAnsi="Times New Roman" w:cs="Times New Roman"/>
          <w:sz w:val="24"/>
          <w:szCs w:val="24"/>
        </w:rPr>
        <w:t xml:space="preserve">), are unbounded. The distributional models like the Student-t, exhibit fat tails. We define the exceedance probability in </w:t>
      </w:r>
      <w:r w:rsidR="009D4938" w:rsidRPr="008F3998">
        <w:rPr>
          <w:rFonts w:ascii="Times New Roman" w:eastAsiaTheme="minorEastAsia" w:hAnsi="Times New Roman" w:cs="Times New Roman"/>
          <w:sz w:val="24"/>
          <w:szCs w:val="24"/>
        </w:rPr>
        <w:t>equation (</w:t>
      </w:r>
      <w:r w:rsidRPr="008F3998">
        <w:rPr>
          <w:rFonts w:ascii="Times New Roman" w:eastAsiaTheme="minorEastAsia" w:hAnsi="Times New Roman" w:cs="Times New Roman"/>
          <w:sz w:val="24"/>
          <w:szCs w:val="24"/>
        </w:rPr>
        <w:t>1</w:t>
      </w:r>
      <w:r w:rsidR="009D4938" w:rsidRPr="008F3998">
        <w:rPr>
          <w:rFonts w:ascii="Times New Roman" w:eastAsiaTheme="minorEastAsia" w:hAnsi="Times New Roman" w:cs="Times New Roman"/>
          <w:sz w:val="24"/>
          <w:szCs w:val="24"/>
        </w:rPr>
        <w:t>)</w:t>
      </w:r>
      <w:r w:rsidRPr="008F3998">
        <w:rPr>
          <w:rFonts w:ascii="Times New Roman" w:eastAsiaTheme="minorEastAsia" w:hAnsi="Times New Roman" w:cs="Times New Roman"/>
          <w:sz w:val="24"/>
          <w:szCs w:val="24"/>
        </w:rPr>
        <w:t xml:space="preserve"> for given values of value at risk (</w:t>
      </w:r>
      <w:proofErr w:type="spellStart"/>
      <w:r w:rsidRPr="008F3998">
        <w:rPr>
          <w:rFonts w:ascii="Times New Roman" w:eastAsiaTheme="minorEastAsia" w:hAnsi="Times New Roman" w:cs="Times New Roman"/>
          <w:sz w:val="24"/>
          <w:szCs w:val="24"/>
        </w:rPr>
        <w:t>VaR</w:t>
      </w:r>
      <w:proofErr w:type="spellEnd"/>
      <w:r w:rsidRPr="008F3998">
        <w:rPr>
          <w:rFonts w:ascii="Times New Roman" w:eastAsiaTheme="minorEastAsia" w:hAnsi="Times New Roman" w:cs="Times New Roman"/>
          <w:sz w:val="24"/>
          <w:szCs w:val="24"/>
        </w:rPr>
        <w:t xml:space="preserve">) level </w:t>
      </w:r>
      <w:r w:rsidRPr="008F3998">
        <w:rPr>
          <w:rFonts w:ascii="Times New Roman" w:eastAsiaTheme="minorEastAsia" w:hAnsi="Times New Roman" w:cs="Times New Roman"/>
          <w:i/>
          <w:sz w:val="24"/>
          <w:szCs w:val="24"/>
        </w:rPr>
        <w:t>x</w:t>
      </w:r>
      <w:r w:rsidRPr="008F3998">
        <w:rPr>
          <w:rFonts w:ascii="Times New Roman" w:eastAsiaTheme="minorEastAsia" w:hAnsi="Times New Roman" w:cs="Times New Roman"/>
          <w:sz w:val="24"/>
          <w:szCs w:val="24"/>
        </w:rPr>
        <w:t xml:space="preserve"> or tail-</w:t>
      </w:r>
      <w:proofErr w:type="spellStart"/>
      <w:r w:rsidRPr="008F3998">
        <w:rPr>
          <w:rFonts w:ascii="Times New Roman" w:eastAsiaTheme="minorEastAsia" w:hAnsi="Times New Roman" w:cs="Times New Roman"/>
          <w:sz w:val="24"/>
          <w:szCs w:val="24"/>
        </w:rPr>
        <w:t>VaR</w:t>
      </w:r>
      <w:proofErr w:type="spellEnd"/>
      <w:r w:rsidRPr="008F3998">
        <w:rPr>
          <w:rFonts w:ascii="Times New Roman" w:eastAsiaTheme="minorEastAsia" w:hAnsi="Times New Roman" w:cs="Times New Roman"/>
          <w:sz w:val="24"/>
          <w:szCs w:val="24"/>
        </w:rPr>
        <w:t xml:space="preserve"> </w:t>
      </w:r>
      <w:r w:rsidRPr="008F3998">
        <w:rPr>
          <w:rFonts w:ascii="Times New Roman" w:eastAsiaTheme="minorEastAsia" w:hAnsi="Times New Roman" w:cs="Times New Roman"/>
          <w:i/>
          <w:sz w:val="24"/>
          <w:szCs w:val="24"/>
        </w:rPr>
        <w:t>x</w:t>
      </w:r>
      <w:r w:rsidRPr="008F3998">
        <w:rPr>
          <w:rFonts w:ascii="Times New Roman" w:eastAsiaTheme="minorEastAsia" w:hAnsi="Times New Roman" w:cs="Times New Roman"/>
          <w:sz w:val="24"/>
          <w:szCs w:val="24"/>
        </w:rPr>
        <w:t xml:space="preserve"> it can also be calculated for a given value of the tail probability </w:t>
      </w:r>
      <w:r w:rsidRPr="008F3998">
        <w:rPr>
          <w:rFonts w:ascii="Times New Roman" w:eastAsiaTheme="minorEastAsia" w:hAnsi="Times New Roman" w:cs="Times New Roman"/>
          <w:i/>
          <w:sz w:val="24"/>
          <w:szCs w:val="24"/>
        </w:rPr>
        <w:t>p</w:t>
      </w:r>
      <w:r w:rsidRPr="008F3998">
        <w:rPr>
          <w:rFonts w:ascii="Times New Roman" w:eastAsiaTheme="minorEastAsia" w:hAnsi="Times New Roman" w:cs="Times New Roman"/>
          <w:sz w:val="24"/>
          <w:szCs w:val="24"/>
        </w:rPr>
        <w:t>.</w:t>
      </w:r>
    </w:p>
    <w:p w14:paraId="6ECE07F0" w14:textId="77777777" w:rsidR="00E526FC" w:rsidRPr="008F3998" w:rsidRDefault="00E526FC" w:rsidP="009D4938">
      <w:pPr>
        <w:spacing w:line="360" w:lineRule="auto"/>
        <w:ind w:firstLine="720"/>
        <w:jc w:val="both"/>
        <w:rPr>
          <w:rFonts w:ascii="Times New Roman" w:eastAsiaTheme="minorEastAsia" w:hAnsi="Times New Roman" w:cs="Times New Roman"/>
          <w:sz w:val="24"/>
          <w:szCs w:val="24"/>
        </w:rPr>
      </w:pPr>
      <w:proofErr w:type="spellStart"/>
      <w:r w:rsidRPr="008F3998">
        <w:rPr>
          <w:rFonts w:ascii="Times New Roman" w:eastAsiaTheme="minorEastAsia" w:hAnsi="Times New Roman" w:cs="Times New Roman"/>
          <w:sz w:val="24"/>
          <w:szCs w:val="24"/>
        </w:rPr>
        <w:t>VaR</w:t>
      </w:r>
      <w:proofErr w:type="spellEnd"/>
      <w:r w:rsidRPr="008F3998">
        <w:rPr>
          <w:rFonts w:ascii="Times New Roman" w:eastAsiaTheme="minorEastAsia" w:hAnsi="Times New Roman" w:cs="Times New Roman"/>
          <w:sz w:val="24"/>
          <w:szCs w:val="24"/>
        </w:rPr>
        <w:t xml:space="preserve"> is an important risk measure for risk managers, regulators and investors even though it is not a coherent risk measure. Therefore, we also use expected shortfall, which is a conditional expected loss given a sharp fall in the equity capital (</w:t>
      </w:r>
      <m:oMath>
        <m:r>
          <w:rPr>
            <w:rFonts w:ascii="Cambria Math" w:eastAsiaTheme="minorEastAsia" w:hAnsi="Cambria Math" w:cs="Times New Roman"/>
            <w:sz w:val="24"/>
            <w:szCs w:val="24"/>
          </w:rPr>
          <m:t>X&gt;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sidRPr="008F3998">
        <w:rPr>
          <w:rFonts w:ascii="Times New Roman" w:eastAsiaTheme="minorEastAsia" w:hAnsi="Times New Roman" w:cs="Times New Roman"/>
          <w:sz w:val="24"/>
          <w:szCs w:val="24"/>
        </w:rPr>
        <w:t>). Expected shortfall shows how bad things can go once loss exceeds the VaR boundary and it can be shown as follows:</w:t>
      </w:r>
    </w:p>
    <w:p w14:paraId="71136A1C" w14:textId="5132E5BC" w:rsidR="00E526FC" w:rsidRPr="008F3998" w:rsidRDefault="00E526FC" w:rsidP="009D4938">
      <w:pPr>
        <w:spacing w:line="360" w:lineRule="auto"/>
        <w:jc w:val="right"/>
        <w:rPr>
          <w:rFonts w:ascii="Times New Roman" w:eastAsiaTheme="minorEastAsia" w:hAnsi="Times New Roman" w:cs="Times New Roman"/>
          <w:sz w:val="24"/>
          <w:szCs w:val="24"/>
        </w:rPr>
      </w:pP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m:t>
                </m:r>
              </m:sub>
            </m:sSub>
          </m:e>
          <m:e>
            <m:r>
              <w:rPr>
                <w:rFonts w:ascii="Cambria Math" w:hAnsi="Cambria Math" w:cs="Times New Roman"/>
                <w:sz w:val="24"/>
                <w:szCs w:val="24"/>
              </w:rPr>
              <m:t>X&gt;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m:t>
                </m:r>
              </m:sub>
            </m:sSub>
          </m:num>
          <m:den>
            <m:r>
              <w:rPr>
                <w:rFonts w:ascii="Cambria Math" w:hAnsi="Cambria Math" w:cs="Times New Roman"/>
                <w:sz w:val="24"/>
                <w:szCs w:val="24"/>
              </w:rPr>
              <m:t>α-1</m:t>
            </m:r>
          </m:den>
        </m:f>
        <m:r>
          <w:rPr>
            <w:rFonts w:ascii="Cambria Math" w:hAnsi="Cambria Math" w:cs="Times New Roman"/>
            <w:sz w:val="24"/>
            <w:szCs w:val="24"/>
          </w:rPr>
          <m:t>,</m:t>
        </m:r>
      </m:oMath>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Pr="008F3998">
        <w:rPr>
          <w:rFonts w:ascii="Times New Roman" w:eastAsiaTheme="minorEastAsia" w:hAnsi="Times New Roman" w:cs="Times New Roman"/>
          <w:sz w:val="24"/>
          <w:szCs w:val="24"/>
        </w:rPr>
        <w:tab/>
      </w:r>
      <w:r w:rsidR="009D4938" w:rsidRPr="008F3998">
        <w:rPr>
          <w:rFonts w:ascii="Times New Roman" w:hAnsi="Times New Roman" w:cs="Times New Roman"/>
        </w:rPr>
        <w:t>(</w:t>
      </w:r>
      <w:r w:rsidR="009D4938" w:rsidRPr="008F3998">
        <w:rPr>
          <w:rFonts w:ascii="Times New Roman" w:hAnsi="Times New Roman" w:cs="Times New Roman"/>
        </w:rPr>
        <w:fldChar w:fldCharType="begin"/>
      </w:r>
      <w:r w:rsidR="009D4938" w:rsidRPr="008F3998">
        <w:rPr>
          <w:rFonts w:ascii="Times New Roman" w:hAnsi="Times New Roman" w:cs="Times New Roman"/>
        </w:rPr>
        <w:instrText>SEQ Text \* ARABIC</w:instrText>
      </w:r>
      <w:r w:rsidR="009D4938" w:rsidRPr="008F3998">
        <w:rPr>
          <w:rFonts w:ascii="Times New Roman" w:hAnsi="Times New Roman" w:cs="Times New Roman"/>
        </w:rPr>
        <w:fldChar w:fldCharType="separate"/>
      </w:r>
      <w:r w:rsidR="00312D5C" w:rsidRPr="008F3998">
        <w:rPr>
          <w:rFonts w:ascii="Times New Roman" w:hAnsi="Times New Roman" w:cs="Times New Roman"/>
          <w:noProof/>
        </w:rPr>
        <w:t>2</w:t>
      </w:r>
      <w:r w:rsidR="009D4938" w:rsidRPr="008F3998">
        <w:rPr>
          <w:rFonts w:ascii="Times New Roman" w:hAnsi="Times New Roman" w:cs="Times New Roman"/>
        </w:rPr>
        <w:fldChar w:fldCharType="end"/>
      </w:r>
      <w:r w:rsidR="009D4938" w:rsidRPr="008F3998">
        <w:rPr>
          <w:rFonts w:ascii="Times New Roman" w:hAnsi="Times New Roman" w:cs="Times New Roman"/>
        </w:rPr>
        <w:t>)</w:t>
      </w:r>
    </w:p>
    <w:p w14:paraId="10DAB1FB" w14:textId="77777777"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eastAsiaTheme="minorEastAsia" w:hAnsi="Times New Roman" w:cs="Times New Roman"/>
          <w:sz w:val="24"/>
          <w:szCs w:val="24"/>
        </w:rPr>
        <w:t xml:space="preserve">The above equation shows that the expected shortfall is a linear transformation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sidRPr="008F3998">
        <w:rPr>
          <w:rFonts w:ascii="Times New Roman" w:eastAsiaTheme="minorEastAsia" w:hAnsi="Times New Roman" w:cs="Times New Roman"/>
          <w:sz w:val="24"/>
          <w:szCs w:val="24"/>
        </w:rPr>
        <w:t xml:space="preserve">within the EVT framework. </w:t>
      </w:r>
    </w:p>
    <w:p w14:paraId="30EA9CC3" w14:textId="47280CF2"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eastAsiaTheme="minorEastAsia" w:hAnsi="Times New Roman" w:cs="Times New Roman"/>
          <w:sz w:val="24"/>
          <w:szCs w:val="24"/>
        </w:rPr>
        <w:t xml:space="preserve">We use the following semi-parametric estimator of </w:t>
      </w:r>
      <w:r w:rsidR="00843E9D" w:rsidRPr="008F3998">
        <w:rPr>
          <w:rFonts w:ascii="Times New Roman" w:eastAsiaTheme="minorEastAsia" w:hAnsi="Times New Roman" w:cs="Times New Roman"/>
          <w:sz w:val="24"/>
          <w:szCs w:val="24"/>
        </w:rPr>
        <w:t>D</w:t>
      </w:r>
      <w:r w:rsidRPr="008F3998">
        <w:rPr>
          <w:rFonts w:ascii="Times New Roman" w:eastAsiaTheme="minorEastAsia" w:hAnsi="Times New Roman" w:cs="Times New Roman"/>
          <w:sz w:val="24"/>
          <w:szCs w:val="24"/>
        </w:rPr>
        <w:t xml:space="preserve">e </w:t>
      </w:r>
      <w:proofErr w:type="spellStart"/>
      <w:r w:rsidRPr="008F3998">
        <w:rPr>
          <w:rFonts w:ascii="Times New Roman" w:eastAsiaTheme="minorEastAsia" w:hAnsi="Times New Roman" w:cs="Times New Roman"/>
          <w:sz w:val="24"/>
          <w:szCs w:val="24"/>
        </w:rPr>
        <w:t>Haan</w:t>
      </w:r>
      <w:proofErr w:type="spellEnd"/>
      <w:r w:rsidRPr="008F3998">
        <w:rPr>
          <w:rFonts w:ascii="Times New Roman" w:eastAsiaTheme="minorEastAsia" w:hAnsi="Times New Roman" w:cs="Times New Roman"/>
          <w:sz w:val="24"/>
          <w:szCs w:val="24"/>
        </w:rPr>
        <w:t xml:space="preserve"> et al. (1994) to estimate the quantile </w:t>
      </w:r>
      <w:r w:rsidRPr="008F3998">
        <w:rPr>
          <w:rFonts w:ascii="Times New Roman" w:eastAsiaTheme="minorEastAsia" w:hAnsi="Times New Roman" w:cs="Times New Roman"/>
          <w:i/>
          <w:sz w:val="24"/>
          <w:szCs w:val="24"/>
        </w:rPr>
        <w:t>x</w:t>
      </w:r>
      <w:r w:rsidRPr="008F3998">
        <w:rPr>
          <w:rFonts w:ascii="Times New Roman" w:eastAsiaTheme="minorEastAsia" w:hAnsi="Times New Roman" w:cs="Times New Roman"/>
          <w:sz w:val="24"/>
          <w:szCs w:val="24"/>
        </w:rPr>
        <w:t xml:space="preserve"> for extremely low values </w:t>
      </w:r>
      <w:proofErr w:type="gramStart"/>
      <w:r w:rsidRPr="008F3998">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p=P</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e>
        </m:d>
      </m:oMath>
      <w:r w:rsidRPr="008F3998">
        <w:rPr>
          <w:rFonts w:ascii="Times New Roman" w:eastAsiaTheme="minorEastAsia" w:hAnsi="Times New Roman" w:cs="Times New Roman"/>
          <w:sz w:val="24"/>
          <w:szCs w:val="24"/>
        </w:rPr>
        <w:t>:</w:t>
      </w:r>
    </w:p>
    <w:p w14:paraId="338CAF9F" w14:textId="06321AA9" w:rsidR="00E526FC" w:rsidRPr="008F3998" w:rsidRDefault="008F3998" w:rsidP="009D4938">
      <w:pPr>
        <w:spacing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n-m,n</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np</m:t>
                    </m:r>
                  </m:den>
                </m:f>
              </m:e>
            </m:d>
          </m:e>
          <m:sup>
            <m:r>
              <w:rPr>
                <w:rFonts w:ascii="Cambria Math" w:hAnsi="Cambria Math" w:cs="Times New Roman"/>
                <w:sz w:val="24"/>
                <w:szCs w:val="24"/>
              </w:rPr>
              <m:t>1/α</m:t>
            </m:r>
          </m:sup>
        </m:sSup>
      </m:oMath>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9D4938" w:rsidRPr="008F3998">
        <w:rPr>
          <w:rFonts w:ascii="Times New Roman" w:hAnsi="Times New Roman" w:cs="Times New Roman"/>
        </w:rPr>
        <w:t>(</w:t>
      </w:r>
      <w:r w:rsidR="009D4938" w:rsidRPr="008F3998">
        <w:rPr>
          <w:rFonts w:ascii="Times New Roman" w:hAnsi="Times New Roman" w:cs="Times New Roman"/>
        </w:rPr>
        <w:fldChar w:fldCharType="begin"/>
      </w:r>
      <w:r w:rsidR="009D4938" w:rsidRPr="008F3998">
        <w:rPr>
          <w:rFonts w:ascii="Times New Roman" w:hAnsi="Times New Roman" w:cs="Times New Roman"/>
        </w:rPr>
        <w:instrText>SEQ Text \* ARABIC</w:instrText>
      </w:r>
      <w:r w:rsidR="009D4938" w:rsidRPr="008F3998">
        <w:rPr>
          <w:rFonts w:ascii="Times New Roman" w:hAnsi="Times New Roman" w:cs="Times New Roman"/>
        </w:rPr>
        <w:fldChar w:fldCharType="separate"/>
      </w:r>
      <w:r w:rsidR="00312D5C" w:rsidRPr="008F3998">
        <w:rPr>
          <w:rFonts w:ascii="Times New Roman" w:hAnsi="Times New Roman" w:cs="Times New Roman"/>
          <w:noProof/>
        </w:rPr>
        <w:t>3</w:t>
      </w:r>
      <w:r w:rsidR="009D4938" w:rsidRPr="008F3998">
        <w:rPr>
          <w:rFonts w:ascii="Times New Roman" w:hAnsi="Times New Roman" w:cs="Times New Roman"/>
        </w:rPr>
        <w:fldChar w:fldCharType="end"/>
      </w:r>
      <w:r w:rsidR="009D4938" w:rsidRPr="008F3998">
        <w:rPr>
          <w:rFonts w:ascii="Times New Roman" w:hAnsi="Times New Roman" w:cs="Times New Roman"/>
        </w:rPr>
        <w:t>)</w:t>
      </w:r>
    </w:p>
    <w:p w14:paraId="373A24E1" w14:textId="77777777" w:rsidR="00E526FC" w:rsidRPr="008F3998" w:rsidRDefault="00E526FC" w:rsidP="009D4938">
      <w:pPr>
        <w:spacing w:line="360" w:lineRule="auto"/>
        <w:ind w:firstLine="720"/>
        <w:jc w:val="both"/>
        <w:rPr>
          <w:rFonts w:ascii="Times New Roman" w:eastAsiaTheme="minorEastAsia" w:hAnsi="Times New Roman" w:cs="Times New Roman"/>
          <w:sz w:val="24"/>
          <w:szCs w:val="24"/>
        </w:rPr>
      </w:pPr>
      <w:proofErr w:type="gramStart"/>
      <w:r w:rsidRPr="008F3998">
        <w:rPr>
          <w:rFonts w:ascii="Times New Roman" w:eastAsiaTheme="minorEastAsia" w:hAnsi="Times New Roman" w:cs="Times New Roman"/>
          <w:sz w:val="24"/>
          <w:szCs w:val="24"/>
        </w:rPr>
        <w:t>where</w:t>
      </w:r>
      <w:proofErr w:type="gramEnd"/>
      <w:r w:rsidRPr="008F39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n-m,n</m:t>
            </m:r>
          </m:sub>
        </m:sSub>
      </m:oMath>
      <w:r w:rsidRPr="008F3998">
        <w:rPr>
          <w:rFonts w:ascii="Times New Roman" w:eastAsiaTheme="minorEastAsia" w:hAnsi="Times New Roman" w:cs="Times New Roman"/>
          <w:sz w:val="24"/>
          <w:szCs w:val="24"/>
        </w:rPr>
        <w:t xml:space="preserve"> is the tail cut-off point and it is the </w:t>
      </w:r>
      <w:r w:rsidRPr="008F3998">
        <w:rPr>
          <w:rFonts w:ascii="Times New Roman" w:eastAsiaTheme="minorEastAsia" w:hAnsi="Times New Roman" w:cs="Times New Roman"/>
          <w:i/>
          <w:sz w:val="24"/>
          <w:szCs w:val="24"/>
        </w:rPr>
        <w:t>(n-m)</w:t>
      </w:r>
      <w:proofErr w:type="spellStart"/>
      <w:r w:rsidRPr="008F3998">
        <w:rPr>
          <w:rFonts w:ascii="Times New Roman" w:eastAsiaTheme="minorEastAsia" w:hAnsi="Times New Roman" w:cs="Times New Roman"/>
          <w:sz w:val="24"/>
          <w:szCs w:val="24"/>
        </w:rPr>
        <w:t>th</w:t>
      </w:r>
      <w:proofErr w:type="spellEnd"/>
      <w:r w:rsidRPr="008F3998">
        <w:rPr>
          <w:rFonts w:ascii="Times New Roman" w:eastAsiaTheme="minorEastAsia" w:hAnsi="Times New Roman" w:cs="Times New Roman"/>
          <w:sz w:val="24"/>
          <w:szCs w:val="24"/>
        </w:rPr>
        <w:t xml:space="preserve"> ascending order statistics from a sample size </w:t>
      </w:r>
      <w:r w:rsidRPr="008F3998">
        <w:rPr>
          <w:rFonts w:ascii="Times New Roman" w:eastAsiaTheme="minorEastAsia" w:hAnsi="Times New Roman" w:cs="Times New Roman"/>
          <w:i/>
          <w:sz w:val="24"/>
          <w:szCs w:val="24"/>
        </w:rPr>
        <w:t>n</w:t>
      </w:r>
      <w:r w:rsidRPr="008F3998">
        <w:rPr>
          <w:rFonts w:ascii="Times New Roman" w:eastAsiaTheme="minorEastAsia" w:hAnsi="Times New Roman" w:cs="Times New Roman"/>
          <w:sz w:val="24"/>
          <w:szCs w:val="24"/>
        </w:rPr>
        <w:t xml:space="preserve"> such that </w:t>
      </w:r>
      <m:oMath>
        <m:r>
          <w:rPr>
            <w:rFonts w:ascii="Cambria Math" w:eastAsiaTheme="minorEastAsia" w:hAnsi="Cambria Math" w:cs="Times New Roman"/>
            <w:sz w:val="24"/>
            <w:szCs w:val="24"/>
          </w:rPr>
          <m:t>q&gt;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n-m,n</m:t>
            </m:r>
          </m:sub>
        </m:sSub>
        <m:r>
          <w:rPr>
            <w:rFonts w:ascii="Cambria Math" w:eastAsiaTheme="minorEastAsia" w:hAnsi="Cambria Math" w:cs="Times New Roman"/>
            <w:sz w:val="24"/>
            <w:szCs w:val="24"/>
          </w:rPr>
          <m:t>.</m:t>
        </m:r>
      </m:oMath>
    </w:p>
    <w:p w14:paraId="4CA59578" w14:textId="178D143A"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eastAsiaTheme="minorEastAsia" w:hAnsi="Times New Roman" w:cs="Times New Roman"/>
          <w:sz w:val="24"/>
          <w:szCs w:val="24"/>
        </w:rPr>
        <w:t xml:space="preserve">We estimate the </w:t>
      </w:r>
      <m:oMath>
        <m:r>
          <w:rPr>
            <w:rFonts w:ascii="Cambria Math" w:eastAsiaTheme="minorEastAsia" w:hAnsi="Cambria Math" w:cs="Times New Roman"/>
            <w:sz w:val="24"/>
            <w:szCs w:val="24"/>
          </w:rPr>
          <m:t>α</m:t>
        </m:r>
      </m:oMath>
      <w:r w:rsidRPr="008F3998">
        <w:rPr>
          <w:rFonts w:ascii="Times New Roman" w:eastAsiaTheme="minorEastAsia" w:hAnsi="Times New Roman" w:cs="Times New Roman"/>
          <w:sz w:val="24"/>
          <w:szCs w:val="24"/>
        </w:rPr>
        <w:t xml:space="preserve"> in the above tail quantile estimator in </w:t>
      </w:r>
      <w:r w:rsidR="009D4938" w:rsidRPr="008F3998">
        <w:rPr>
          <w:rFonts w:ascii="Times New Roman" w:eastAsiaTheme="minorEastAsia" w:hAnsi="Times New Roman" w:cs="Times New Roman"/>
          <w:sz w:val="24"/>
          <w:szCs w:val="24"/>
        </w:rPr>
        <w:t>equation (</w:t>
      </w:r>
      <w:r w:rsidRPr="008F3998">
        <w:rPr>
          <w:rFonts w:ascii="Times New Roman" w:eastAsiaTheme="minorEastAsia" w:hAnsi="Times New Roman" w:cs="Times New Roman"/>
          <w:sz w:val="24"/>
          <w:szCs w:val="24"/>
        </w:rPr>
        <w:t>3</w:t>
      </w:r>
      <w:r w:rsidR="009D4938" w:rsidRPr="008F3998">
        <w:rPr>
          <w:rFonts w:ascii="Times New Roman" w:eastAsiaTheme="minorEastAsia" w:hAnsi="Times New Roman" w:cs="Times New Roman"/>
          <w:sz w:val="24"/>
          <w:szCs w:val="24"/>
        </w:rPr>
        <w:t>)</w:t>
      </w:r>
      <w:r w:rsidRPr="008F3998">
        <w:rPr>
          <w:rFonts w:ascii="Times New Roman" w:eastAsiaTheme="minorEastAsia" w:hAnsi="Times New Roman" w:cs="Times New Roman"/>
          <w:sz w:val="24"/>
          <w:szCs w:val="24"/>
        </w:rPr>
        <w:t xml:space="preserve"> with the help of the popular Hill (1975) estimator, which is as follows:</w:t>
      </w:r>
    </w:p>
    <w:p w14:paraId="0763EC3F" w14:textId="6DB66436" w:rsidR="00E526FC" w:rsidRPr="008F3998" w:rsidRDefault="008F3998" w:rsidP="009D4938">
      <w:pPr>
        <w:spacing w:line="360" w:lineRule="auto"/>
        <w:jc w:val="right"/>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m</m:t>
                    </m:r>
                  </m:den>
                </m:f>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j=0</m:t>
                    </m:r>
                  </m:sub>
                  <m:sup>
                    <m:r>
                      <w:rPr>
                        <w:rFonts w:ascii="Cambria Math" w:eastAsiaTheme="minorEastAsia" w:hAnsi="Cambria Math" w:cs="Times New Roman"/>
                        <w:sz w:val="24"/>
                        <w:szCs w:val="24"/>
                      </w:rPr>
                      <m:t>m-1</m:t>
                    </m:r>
                  </m:sup>
                  <m:e>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n-j,n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n-m,n</m:t>
                                </m:r>
                              </m:sub>
                            </m:sSub>
                          </m:den>
                        </m:f>
                      </m:e>
                    </m:d>
                  </m:e>
                </m:nary>
              </m:e>
            </m:d>
          </m:e>
          <m:sup>
            <m:r>
              <w:rPr>
                <w:rFonts w:ascii="Cambria Math" w:eastAsiaTheme="minorEastAsia" w:hAnsi="Cambria Math" w:cs="Times New Roman"/>
                <w:sz w:val="24"/>
                <w:szCs w:val="24"/>
              </w:rPr>
              <m:t>-1</m:t>
            </m:r>
          </m:sup>
        </m:sSup>
      </m:oMath>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9D4938" w:rsidRPr="008F3998">
        <w:rPr>
          <w:rFonts w:ascii="Times New Roman" w:hAnsi="Times New Roman" w:cs="Times New Roman"/>
        </w:rPr>
        <w:t>(</w:t>
      </w:r>
      <w:r w:rsidR="009D4938" w:rsidRPr="008F3998">
        <w:rPr>
          <w:rFonts w:ascii="Times New Roman" w:hAnsi="Times New Roman" w:cs="Times New Roman"/>
        </w:rPr>
        <w:fldChar w:fldCharType="begin"/>
      </w:r>
      <w:r w:rsidR="009D4938" w:rsidRPr="008F3998">
        <w:rPr>
          <w:rFonts w:ascii="Times New Roman" w:hAnsi="Times New Roman" w:cs="Times New Roman"/>
        </w:rPr>
        <w:instrText>SEQ Text \* ARABIC</w:instrText>
      </w:r>
      <w:r w:rsidR="009D4938" w:rsidRPr="008F3998">
        <w:rPr>
          <w:rFonts w:ascii="Times New Roman" w:hAnsi="Times New Roman" w:cs="Times New Roman"/>
        </w:rPr>
        <w:fldChar w:fldCharType="separate"/>
      </w:r>
      <w:r w:rsidR="00312D5C" w:rsidRPr="008F3998">
        <w:rPr>
          <w:rFonts w:ascii="Times New Roman" w:hAnsi="Times New Roman" w:cs="Times New Roman"/>
          <w:noProof/>
        </w:rPr>
        <w:t>4</w:t>
      </w:r>
      <w:r w:rsidR="009D4938" w:rsidRPr="008F3998">
        <w:rPr>
          <w:rFonts w:ascii="Times New Roman" w:hAnsi="Times New Roman" w:cs="Times New Roman"/>
        </w:rPr>
        <w:fldChar w:fldCharType="end"/>
      </w:r>
      <w:r w:rsidR="009D4938" w:rsidRPr="008F3998">
        <w:rPr>
          <w:rFonts w:ascii="Times New Roman" w:hAnsi="Times New Roman" w:cs="Times New Roman"/>
        </w:rPr>
        <w:t>)</w:t>
      </w:r>
    </w:p>
    <w:p w14:paraId="1F6AE396" w14:textId="6758ACA7" w:rsidR="00E526FC" w:rsidRPr="008F3998" w:rsidRDefault="00E526FC" w:rsidP="009D4938">
      <w:pPr>
        <w:spacing w:line="360" w:lineRule="auto"/>
        <w:ind w:firstLine="720"/>
        <w:jc w:val="both"/>
        <w:rPr>
          <w:rFonts w:ascii="Times New Roman" w:eastAsiaTheme="minorEastAsia" w:hAnsi="Times New Roman" w:cs="Times New Roman"/>
          <w:sz w:val="24"/>
          <w:szCs w:val="24"/>
        </w:rPr>
      </w:pPr>
      <w:r w:rsidRPr="008F3998">
        <w:rPr>
          <w:rFonts w:ascii="Times New Roman" w:eastAsiaTheme="minorEastAsia" w:hAnsi="Times New Roman" w:cs="Times New Roman"/>
          <w:sz w:val="24"/>
          <w:szCs w:val="24"/>
        </w:rPr>
        <w:t xml:space="preserve">The parameter </w:t>
      </w:r>
      <w:r w:rsidRPr="008F3998">
        <w:rPr>
          <w:rFonts w:ascii="Times New Roman" w:eastAsiaTheme="minorEastAsia" w:hAnsi="Times New Roman" w:cs="Times New Roman"/>
          <w:i/>
          <w:sz w:val="24"/>
          <w:szCs w:val="24"/>
        </w:rPr>
        <w:t>m</w:t>
      </w:r>
      <w:r w:rsidRPr="008F3998">
        <w:rPr>
          <w:rFonts w:ascii="Times New Roman" w:eastAsiaTheme="minorEastAsia" w:hAnsi="Times New Roman" w:cs="Times New Roman"/>
          <w:sz w:val="24"/>
          <w:szCs w:val="24"/>
        </w:rPr>
        <w:t xml:space="preserve"> determines how many extreme returns are used in estimation. We use </w:t>
      </w:r>
      <m:oMath>
        <m:r>
          <w:rPr>
            <w:rFonts w:ascii="Cambria Math" w:eastAsiaTheme="minorEastAsia" w:hAnsi="Cambria Math" w:cs="Times New Roman"/>
            <w:sz w:val="24"/>
            <w:szCs w:val="24"/>
          </w:rPr>
          <m:t>m=225</m:t>
        </m:r>
      </m:oMath>
      <w:r w:rsidRPr="008F3998">
        <w:rPr>
          <w:rFonts w:ascii="Times New Roman" w:eastAsiaTheme="minorEastAsia" w:hAnsi="Times New Roman" w:cs="Times New Roman"/>
          <w:sz w:val="24"/>
          <w:szCs w:val="24"/>
        </w:rPr>
        <w:t xml:space="preserve"> for our main analysis for country level analysis as well as for industry analysis. W</w:t>
      </w:r>
      <w:proofErr w:type="spellStart"/>
      <w:r w:rsidRPr="008F3998">
        <w:rPr>
          <w:rFonts w:ascii="Times New Roman" w:eastAsiaTheme="minorEastAsia" w:hAnsi="Times New Roman" w:cs="Times New Roman"/>
          <w:sz w:val="24"/>
          <w:szCs w:val="24"/>
        </w:rPr>
        <w:t>e</w:t>
      </w:r>
      <w:proofErr w:type="spellEnd"/>
      <w:r w:rsidRPr="008F3998">
        <w:rPr>
          <w:rFonts w:ascii="Times New Roman" w:eastAsiaTheme="minorEastAsia" w:hAnsi="Times New Roman" w:cs="Times New Roman"/>
          <w:sz w:val="24"/>
          <w:szCs w:val="24"/>
        </w:rPr>
        <w:t xml:space="preserve"> do sensitivity analysis by changing </w:t>
      </w:r>
      <m:oMath>
        <m:r>
          <w:rPr>
            <w:rFonts w:ascii="Cambria Math" w:eastAsiaTheme="minorEastAsia" w:hAnsi="Cambria Math" w:cs="Times New Roman"/>
            <w:sz w:val="24"/>
            <w:szCs w:val="24"/>
          </w:rPr>
          <m:t>m=75</m:t>
        </m:r>
      </m:oMath>
      <w:r w:rsidRPr="008F3998">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m=125</m:t>
        </m:r>
      </m:oMath>
      <w:r w:rsidRPr="008F3998">
        <w:rPr>
          <w:rFonts w:ascii="Times New Roman" w:eastAsiaTheme="minorEastAsia" w:hAnsi="Times New Roman" w:cs="Times New Roman"/>
          <w:sz w:val="24"/>
          <w:szCs w:val="24"/>
        </w:rPr>
        <w:t xml:space="preserve"> for country analysis and </w:t>
      </w:r>
      <m:oMath>
        <m:r>
          <w:rPr>
            <w:rFonts w:ascii="Cambria Math" w:eastAsiaTheme="minorEastAsia" w:hAnsi="Cambria Math" w:cs="Times New Roman"/>
            <w:sz w:val="24"/>
            <w:szCs w:val="24"/>
          </w:rPr>
          <m:t>m=175</m:t>
        </m:r>
      </m:oMath>
      <w:r w:rsidRPr="008F3998">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m=200</m:t>
        </m:r>
      </m:oMath>
      <w:r w:rsidRPr="008F3998">
        <w:rPr>
          <w:rFonts w:ascii="Times New Roman" w:eastAsiaTheme="minorEastAsia" w:hAnsi="Times New Roman" w:cs="Times New Roman"/>
          <w:sz w:val="24"/>
          <w:szCs w:val="24"/>
        </w:rPr>
        <w:t xml:space="preserve"> for industry level analysis. We select m values by using the Hill (1975) estimator. We substitute the Hill statistic in </w:t>
      </w:r>
      <w:r w:rsidR="009D4938" w:rsidRPr="008F3998">
        <w:rPr>
          <w:rFonts w:ascii="Times New Roman" w:eastAsiaTheme="minorEastAsia" w:hAnsi="Times New Roman" w:cs="Times New Roman"/>
          <w:sz w:val="24"/>
          <w:szCs w:val="24"/>
        </w:rPr>
        <w:t>equation (</w:t>
      </w:r>
      <w:r w:rsidRPr="008F3998">
        <w:rPr>
          <w:rFonts w:ascii="Times New Roman" w:eastAsiaTheme="minorEastAsia" w:hAnsi="Times New Roman" w:cs="Times New Roman"/>
          <w:sz w:val="24"/>
          <w:szCs w:val="24"/>
        </w:rPr>
        <w:t>4</w:t>
      </w:r>
      <w:r w:rsidR="009D4938" w:rsidRPr="008F3998">
        <w:rPr>
          <w:rFonts w:ascii="Times New Roman" w:eastAsiaTheme="minorEastAsia" w:hAnsi="Times New Roman" w:cs="Times New Roman"/>
          <w:sz w:val="24"/>
          <w:szCs w:val="24"/>
        </w:rPr>
        <w:t>)</w:t>
      </w:r>
      <w:r w:rsidRPr="008F3998">
        <w:rPr>
          <w:rFonts w:ascii="Times New Roman" w:eastAsiaTheme="minorEastAsia" w:hAnsi="Times New Roman" w:cs="Times New Roman"/>
          <w:sz w:val="24"/>
          <w:szCs w:val="24"/>
        </w:rPr>
        <w:t xml:space="preserve"> and tail quantile estimator in </w:t>
      </w:r>
      <w:r w:rsidR="009D4938" w:rsidRPr="008F3998">
        <w:rPr>
          <w:rFonts w:ascii="Times New Roman" w:eastAsiaTheme="minorEastAsia" w:hAnsi="Times New Roman" w:cs="Times New Roman"/>
          <w:sz w:val="24"/>
          <w:szCs w:val="24"/>
        </w:rPr>
        <w:t>equation (3)</w:t>
      </w:r>
      <w:r w:rsidRPr="008F3998">
        <w:rPr>
          <w:rFonts w:ascii="Times New Roman" w:eastAsiaTheme="minorEastAsia" w:hAnsi="Times New Roman" w:cs="Times New Roman"/>
          <w:sz w:val="24"/>
          <w:szCs w:val="24"/>
        </w:rPr>
        <w:t>, to come up with expected shortfall estimator as follows:</w:t>
      </w:r>
    </w:p>
    <w:p w14:paraId="62A9BBE5" w14:textId="45FBD22D" w:rsidR="00E526FC" w:rsidRPr="008F3998" w:rsidRDefault="008F3998" w:rsidP="009D4938">
      <w:pPr>
        <w:spacing w:line="360" w:lineRule="auto"/>
        <w:jc w:val="right"/>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e>
            </m:acc>
            <m:r>
              <w:rPr>
                <w:rFonts w:ascii="Cambria Math" w:eastAsiaTheme="minorEastAsia" w:hAnsi="Cambria Math" w:cs="Times New Roman"/>
                <w:sz w:val="24"/>
                <w:szCs w:val="24"/>
              </w:rPr>
              <m:t>X&gt;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e>
            </m:acc>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e>
            </m:acc>
          </m:num>
          <m:den>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α-1</m:t>
                </m:r>
              </m:e>
            </m:acc>
          </m:den>
        </m:f>
      </m:oMath>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E526FC" w:rsidRPr="008F3998">
        <w:rPr>
          <w:rFonts w:ascii="Times New Roman" w:eastAsiaTheme="minorEastAsia" w:hAnsi="Times New Roman" w:cs="Times New Roman"/>
          <w:sz w:val="24"/>
          <w:szCs w:val="24"/>
        </w:rPr>
        <w:tab/>
      </w:r>
      <w:r w:rsidR="009D4938" w:rsidRPr="008F3998">
        <w:rPr>
          <w:rFonts w:ascii="Times New Roman" w:hAnsi="Times New Roman" w:cs="Times New Roman"/>
        </w:rPr>
        <w:t>(</w:t>
      </w:r>
      <w:r w:rsidR="009D4938" w:rsidRPr="008F3998">
        <w:rPr>
          <w:rFonts w:ascii="Times New Roman" w:hAnsi="Times New Roman" w:cs="Times New Roman"/>
        </w:rPr>
        <w:fldChar w:fldCharType="begin"/>
      </w:r>
      <w:r w:rsidR="009D4938" w:rsidRPr="008F3998">
        <w:rPr>
          <w:rFonts w:ascii="Times New Roman" w:hAnsi="Times New Roman" w:cs="Times New Roman"/>
        </w:rPr>
        <w:instrText>SEQ Text \* ARABIC</w:instrText>
      </w:r>
      <w:r w:rsidR="009D4938" w:rsidRPr="008F3998">
        <w:rPr>
          <w:rFonts w:ascii="Times New Roman" w:hAnsi="Times New Roman" w:cs="Times New Roman"/>
        </w:rPr>
        <w:fldChar w:fldCharType="separate"/>
      </w:r>
      <w:r w:rsidR="00312D5C" w:rsidRPr="008F3998">
        <w:rPr>
          <w:rFonts w:ascii="Times New Roman" w:hAnsi="Times New Roman" w:cs="Times New Roman"/>
          <w:noProof/>
        </w:rPr>
        <w:t>5</w:t>
      </w:r>
      <w:r w:rsidR="009D4938" w:rsidRPr="008F3998">
        <w:rPr>
          <w:rFonts w:ascii="Times New Roman" w:hAnsi="Times New Roman" w:cs="Times New Roman"/>
        </w:rPr>
        <w:fldChar w:fldCharType="end"/>
      </w:r>
      <w:r w:rsidR="009D4938" w:rsidRPr="008F3998">
        <w:rPr>
          <w:rFonts w:ascii="Times New Roman" w:hAnsi="Times New Roman" w:cs="Times New Roman"/>
        </w:rPr>
        <w:t>)</w:t>
      </w:r>
    </w:p>
    <w:p w14:paraId="470AFAF1" w14:textId="3594C0BF" w:rsidR="00E4594F" w:rsidRPr="008F3998" w:rsidRDefault="00CD41D5" w:rsidP="009D4938">
      <w:pPr>
        <w:pStyle w:val="ListParagraph"/>
        <w:numPr>
          <w:ilvl w:val="1"/>
          <w:numId w:val="1"/>
        </w:numPr>
        <w:spacing w:line="360" w:lineRule="auto"/>
        <w:ind w:left="0" w:firstLine="0"/>
        <w:jc w:val="both"/>
        <w:rPr>
          <w:rFonts w:cs="Times New Roman"/>
          <w:i/>
          <w:szCs w:val="24"/>
        </w:rPr>
      </w:pPr>
      <w:r w:rsidRPr="008F3998">
        <w:rPr>
          <w:rFonts w:cs="Times New Roman"/>
          <w:i/>
          <w:szCs w:val="24"/>
        </w:rPr>
        <w:t>Econometric Methodology</w:t>
      </w:r>
    </w:p>
    <w:p w14:paraId="2E9E3BA1" w14:textId="33A47DBF" w:rsidR="00100068" w:rsidRPr="008F3998" w:rsidRDefault="00E526FC" w:rsidP="002F0C58">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The starting point of our empirical analysis is a</w:t>
      </w:r>
      <w:r w:rsidR="00F65456" w:rsidRPr="008F3998">
        <w:rPr>
          <w:rFonts w:ascii="Times New Roman" w:hAnsi="Times New Roman" w:cs="Times New Roman"/>
          <w:sz w:val="24"/>
          <w:szCs w:val="24"/>
        </w:rPr>
        <w:t xml:space="preserve"> baseline</w:t>
      </w:r>
      <w:r w:rsidRPr="008F3998">
        <w:rPr>
          <w:rFonts w:ascii="Times New Roman" w:hAnsi="Times New Roman" w:cs="Times New Roman"/>
          <w:sz w:val="24"/>
          <w:szCs w:val="24"/>
        </w:rPr>
        <w:t xml:space="preserve"> panel</w:t>
      </w:r>
      <w:r w:rsidR="00FC38CD" w:rsidRPr="008F3998">
        <w:rPr>
          <w:rFonts w:ascii="Times New Roman" w:hAnsi="Times New Roman" w:cs="Times New Roman"/>
          <w:sz w:val="24"/>
          <w:szCs w:val="24"/>
        </w:rPr>
        <w:t xml:space="preserve"> </w:t>
      </w:r>
      <w:r w:rsidRPr="008F3998">
        <w:rPr>
          <w:rFonts w:ascii="Times New Roman" w:hAnsi="Times New Roman" w:cs="Times New Roman"/>
          <w:sz w:val="24"/>
          <w:szCs w:val="24"/>
        </w:rPr>
        <w:t xml:space="preserve">regression </w:t>
      </w:r>
      <w:r w:rsidR="00FC38CD" w:rsidRPr="008F3998">
        <w:rPr>
          <w:rFonts w:ascii="Times New Roman" w:hAnsi="Times New Roman" w:cs="Times New Roman"/>
          <w:sz w:val="24"/>
          <w:szCs w:val="24"/>
        </w:rPr>
        <w:t>testing the effect of carbon dioxide (CO</w:t>
      </w:r>
      <w:r w:rsidR="00FC38CD" w:rsidRPr="008F3998">
        <w:rPr>
          <w:rFonts w:ascii="Times New Roman" w:hAnsi="Times New Roman" w:cs="Times New Roman"/>
          <w:sz w:val="24"/>
          <w:szCs w:val="24"/>
          <w:vertAlign w:val="subscript"/>
        </w:rPr>
        <w:t>2</w:t>
      </w:r>
      <w:r w:rsidR="00FC38CD" w:rsidRPr="008F3998">
        <w:rPr>
          <w:rFonts w:ascii="Times New Roman" w:hAnsi="Times New Roman" w:cs="Times New Roman"/>
          <w:sz w:val="24"/>
          <w:szCs w:val="24"/>
        </w:rPr>
        <w:t>)</w:t>
      </w:r>
      <w:r w:rsidR="00940B89" w:rsidRPr="008F3998">
        <w:rPr>
          <w:rFonts w:ascii="Times New Roman" w:hAnsi="Times New Roman" w:cs="Times New Roman"/>
          <w:sz w:val="24"/>
          <w:szCs w:val="24"/>
        </w:rPr>
        <w:t xml:space="preserve"> on</w:t>
      </w:r>
      <w:r w:rsidR="008152B4" w:rsidRPr="008F3998">
        <w:rPr>
          <w:rFonts w:ascii="Times New Roman" w:hAnsi="Times New Roman" w:cs="Times New Roman"/>
          <w:sz w:val="24"/>
          <w:szCs w:val="24"/>
        </w:rPr>
        <w:t xml:space="preserve"> country (national) level</w:t>
      </w:r>
      <w:r w:rsidR="00940B89" w:rsidRPr="008F3998">
        <w:rPr>
          <w:rFonts w:ascii="Times New Roman" w:hAnsi="Times New Roman" w:cs="Times New Roman"/>
          <w:sz w:val="24"/>
          <w:szCs w:val="24"/>
        </w:rPr>
        <w:t xml:space="preserve"> financial risk measures </w:t>
      </w:r>
      <w:r w:rsidR="00FC38CD" w:rsidRPr="008F3998">
        <w:rPr>
          <w:rFonts w:ascii="Times New Roman" w:hAnsi="Times New Roman" w:cs="Times New Roman"/>
          <w:sz w:val="24"/>
          <w:szCs w:val="24"/>
        </w:rPr>
        <w:t xml:space="preserve">while controlling for exposure to the financial system. </w:t>
      </w:r>
      <w:r w:rsidR="00B87148" w:rsidRPr="008F3998">
        <w:rPr>
          <w:rFonts w:ascii="Times New Roman" w:hAnsi="Times New Roman" w:cs="Times New Roman"/>
          <w:sz w:val="24"/>
          <w:szCs w:val="24"/>
        </w:rPr>
        <w:t>F</w:t>
      </w:r>
      <w:r w:rsidR="00FC38CD" w:rsidRPr="008F3998">
        <w:rPr>
          <w:rFonts w:ascii="Times New Roman" w:hAnsi="Times New Roman" w:cs="Times New Roman"/>
          <w:sz w:val="24"/>
          <w:szCs w:val="24"/>
        </w:rPr>
        <w:t>ollowing</w:t>
      </w:r>
      <w:r w:rsidR="00B87148" w:rsidRPr="008F3998">
        <w:rPr>
          <w:rFonts w:ascii="Times New Roman" w:hAnsi="Times New Roman" w:cs="Times New Roman"/>
          <w:sz w:val="24"/>
          <w:szCs w:val="24"/>
        </w:rPr>
        <w:t xml:space="preserve"> </w:t>
      </w:r>
      <w:proofErr w:type="spellStart"/>
      <w:r w:rsidR="00B87148" w:rsidRPr="008F3998">
        <w:rPr>
          <w:rFonts w:ascii="Times New Roman" w:hAnsi="Times New Roman" w:cs="Times New Roman"/>
          <w:sz w:val="24"/>
          <w:szCs w:val="24"/>
        </w:rPr>
        <w:t>Hilscher</w:t>
      </w:r>
      <w:proofErr w:type="spellEnd"/>
      <w:r w:rsidR="00B87148" w:rsidRPr="008F3998">
        <w:rPr>
          <w:rFonts w:ascii="Times New Roman" w:hAnsi="Times New Roman" w:cs="Times New Roman"/>
          <w:sz w:val="24"/>
          <w:szCs w:val="24"/>
        </w:rPr>
        <w:t xml:space="preserve"> and </w:t>
      </w:r>
      <w:proofErr w:type="spellStart"/>
      <w:r w:rsidR="00B87148" w:rsidRPr="008F3998">
        <w:rPr>
          <w:rFonts w:ascii="Times New Roman" w:hAnsi="Times New Roman" w:cs="Times New Roman"/>
          <w:sz w:val="24"/>
          <w:szCs w:val="24"/>
        </w:rPr>
        <w:t>Nosbusch</w:t>
      </w:r>
      <w:proofErr w:type="spellEnd"/>
      <w:r w:rsidR="00B87148" w:rsidRPr="008F3998">
        <w:rPr>
          <w:rFonts w:ascii="Times New Roman" w:hAnsi="Times New Roman" w:cs="Times New Roman"/>
          <w:sz w:val="24"/>
          <w:szCs w:val="24"/>
        </w:rPr>
        <w:t xml:space="preserve"> (2010) and</w:t>
      </w:r>
      <w:r w:rsidR="00FC38CD" w:rsidRPr="008F3998">
        <w:rPr>
          <w:rFonts w:ascii="Times New Roman" w:hAnsi="Times New Roman" w:cs="Times New Roman"/>
          <w:sz w:val="24"/>
          <w:szCs w:val="24"/>
        </w:rPr>
        <w:t xml:space="preserve"> </w:t>
      </w:r>
      <w:proofErr w:type="spellStart"/>
      <w:r w:rsidR="00940B89" w:rsidRPr="008F3998">
        <w:rPr>
          <w:rFonts w:ascii="Times New Roman" w:hAnsi="Times New Roman" w:cs="Times New Roman"/>
          <w:sz w:val="24"/>
          <w:szCs w:val="24"/>
        </w:rPr>
        <w:t>Dieckmann</w:t>
      </w:r>
      <w:proofErr w:type="spellEnd"/>
      <w:r w:rsidR="00940B89" w:rsidRPr="008F3998">
        <w:rPr>
          <w:rFonts w:ascii="Times New Roman" w:hAnsi="Times New Roman" w:cs="Times New Roman"/>
          <w:sz w:val="24"/>
          <w:szCs w:val="24"/>
        </w:rPr>
        <w:t xml:space="preserve"> and Plank (2012)</w:t>
      </w:r>
      <w:r w:rsidR="00B87148" w:rsidRPr="008F3998">
        <w:rPr>
          <w:rFonts w:ascii="Times New Roman" w:hAnsi="Times New Roman" w:cs="Times New Roman"/>
          <w:sz w:val="24"/>
          <w:szCs w:val="24"/>
        </w:rPr>
        <w:t xml:space="preserve">, we specify equation </w:t>
      </w:r>
      <w:r w:rsidR="00B87148" w:rsidRPr="008F3998">
        <w:rPr>
          <w:rFonts w:ascii="Times New Roman" w:hAnsi="Times New Roman" w:cs="Times New Roman"/>
          <w:sz w:val="24"/>
          <w:szCs w:val="24"/>
        </w:rPr>
        <w:fldChar w:fldCharType="begin"/>
      </w:r>
      <w:r w:rsidR="00B87148" w:rsidRPr="008F3998">
        <w:rPr>
          <w:rFonts w:ascii="Times New Roman" w:hAnsi="Times New Roman" w:cs="Times New Roman"/>
          <w:sz w:val="24"/>
          <w:szCs w:val="24"/>
        </w:rPr>
        <w:instrText xml:space="preserve"> REF eq6 \h  \* MERGEFORMAT </w:instrText>
      </w:r>
      <w:r w:rsidR="00B87148" w:rsidRPr="008F3998">
        <w:rPr>
          <w:rFonts w:ascii="Times New Roman" w:hAnsi="Times New Roman" w:cs="Times New Roman"/>
          <w:sz w:val="24"/>
          <w:szCs w:val="24"/>
        </w:rPr>
      </w:r>
      <w:r w:rsidR="00B87148" w:rsidRPr="008F3998">
        <w:rPr>
          <w:rFonts w:ascii="Times New Roman" w:hAnsi="Times New Roman" w:cs="Times New Roman"/>
          <w:sz w:val="24"/>
          <w:szCs w:val="24"/>
        </w:rPr>
        <w:fldChar w:fldCharType="separate"/>
      </w:r>
      <w:r w:rsidR="00312D5C" w:rsidRPr="008F3998">
        <w:rPr>
          <w:rFonts w:ascii="Times New Roman" w:hAnsi="Times New Roman" w:cs="Times New Roman"/>
          <w:sz w:val="24"/>
          <w:szCs w:val="24"/>
        </w:rPr>
        <w:t>(</w:t>
      </w:r>
      <w:r w:rsidR="00312D5C" w:rsidRPr="008F3998">
        <w:rPr>
          <w:rFonts w:ascii="Times New Roman" w:hAnsi="Times New Roman" w:cs="Times New Roman"/>
          <w:noProof/>
          <w:sz w:val="24"/>
          <w:szCs w:val="24"/>
        </w:rPr>
        <w:t>6</w:t>
      </w:r>
      <w:r w:rsidR="00312D5C" w:rsidRPr="008F3998">
        <w:rPr>
          <w:rFonts w:ascii="Times New Roman" w:hAnsi="Times New Roman" w:cs="Times New Roman"/>
          <w:sz w:val="24"/>
          <w:szCs w:val="24"/>
        </w:rPr>
        <w:t>)</w:t>
      </w:r>
      <w:r w:rsidR="00B87148" w:rsidRPr="008F3998">
        <w:rPr>
          <w:rFonts w:ascii="Times New Roman" w:hAnsi="Times New Roman" w:cs="Times New Roman"/>
          <w:sz w:val="24"/>
          <w:szCs w:val="24"/>
        </w:rPr>
        <w:fldChar w:fldCharType="end"/>
      </w:r>
      <w:r w:rsidR="00B87148" w:rsidRPr="008F3998">
        <w:rPr>
          <w:rFonts w:ascii="Times New Roman" w:hAnsi="Times New Roman" w:cs="Times New Roman"/>
          <w:sz w:val="24"/>
          <w:szCs w:val="24"/>
        </w:rPr>
        <w:t xml:space="preserve"> as the fixed-effects model for assessing financial risk in the G7 economies:</w:t>
      </w:r>
    </w:p>
    <w:tbl>
      <w:tblPr>
        <w:tblW w:w="5000" w:type="pct"/>
        <w:tblCellMar>
          <w:top w:w="55" w:type="dxa"/>
          <w:left w:w="55" w:type="dxa"/>
          <w:bottom w:w="55" w:type="dxa"/>
          <w:right w:w="55" w:type="dxa"/>
        </w:tblCellMar>
        <w:tblLook w:val="0000" w:firstRow="0" w:lastRow="0" w:firstColumn="0" w:lastColumn="0" w:noHBand="0" w:noVBand="0"/>
      </w:tblPr>
      <w:tblGrid>
        <w:gridCol w:w="8662"/>
        <w:gridCol w:w="1084"/>
      </w:tblGrid>
      <w:tr w:rsidR="008F3998" w:rsidRPr="008F3998" w14:paraId="0044D52C" w14:textId="77777777" w:rsidTr="002F0C58">
        <w:trPr>
          <w:tblHeader/>
        </w:trPr>
        <w:tc>
          <w:tcPr>
            <w:tcW w:w="4444" w:type="pct"/>
            <w:shd w:val="clear" w:color="auto" w:fill="auto"/>
            <w:vAlign w:val="center"/>
          </w:tcPr>
          <w:p w14:paraId="7A9D365A" w14:textId="7FD9900A" w:rsidR="002F0C58" w:rsidRPr="008F3998" w:rsidRDefault="008F3998" w:rsidP="002F0C58">
            <w:pPr>
              <w:pStyle w:val="TableContents"/>
              <w:jc w:val="center"/>
            </w:pPr>
            <m:oMathPara>
              <m:oMath>
                <m:sSub>
                  <m:sSubPr>
                    <m:ctrlPr>
                      <w:rPr>
                        <w:rFonts w:ascii="Cambria Math" w:hAnsi="Cambria Math"/>
                        <w:i/>
                      </w:rPr>
                    </m:ctrlPr>
                  </m:sSubPr>
                  <m:e>
                    <m:r>
                      <w:rPr>
                        <w:rFonts w:ascii="Cambria Math" w:hAnsi="Cambria Math"/>
                      </w:rPr>
                      <m:t>RM</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debtgd</m:t>
                </m:r>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totvo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ex</m:t>
                </m:r>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stmvo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tc>
        <w:tc>
          <w:tcPr>
            <w:tcW w:w="556" w:type="pct"/>
            <w:shd w:val="clear" w:color="auto" w:fill="auto"/>
            <w:vAlign w:val="center"/>
          </w:tcPr>
          <w:p w14:paraId="7C3B0BE9" w14:textId="4B4B9186" w:rsidR="002F0C58" w:rsidRPr="008F3998" w:rsidRDefault="002F0C58" w:rsidP="002F0C58">
            <w:pPr>
              <w:pStyle w:val="TableContents"/>
              <w:jc w:val="right"/>
            </w:pPr>
            <w:bookmarkStart w:id="1" w:name="eq6"/>
            <w:r w:rsidRPr="008F3998">
              <w:t>(</w:t>
            </w:r>
            <w:r w:rsidRPr="008F3998">
              <w:fldChar w:fldCharType="begin"/>
            </w:r>
            <w:r w:rsidRPr="008F3998">
              <w:instrText>SEQ Text \* ARABIC</w:instrText>
            </w:r>
            <w:r w:rsidRPr="008F3998">
              <w:fldChar w:fldCharType="separate"/>
            </w:r>
            <w:r w:rsidR="00312D5C" w:rsidRPr="008F3998">
              <w:rPr>
                <w:noProof/>
              </w:rPr>
              <w:t>6</w:t>
            </w:r>
            <w:r w:rsidRPr="008F3998">
              <w:fldChar w:fldCharType="end"/>
            </w:r>
            <w:r w:rsidRPr="008F3998">
              <w:t>)</w:t>
            </w:r>
            <w:bookmarkEnd w:id="1"/>
          </w:p>
        </w:tc>
      </w:tr>
    </w:tbl>
    <w:p w14:paraId="440AA2C9" w14:textId="54523BC8" w:rsidR="000F7E8B" w:rsidRPr="008F3998" w:rsidRDefault="00E526FC" w:rsidP="003E4F79">
      <w:pPr>
        <w:spacing w:line="360" w:lineRule="auto"/>
        <w:ind w:firstLine="720"/>
        <w:jc w:val="both"/>
        <w:rPr>
          <w:rFonts w:ascii="Times New Roman" w:hAnsi="Times New Roman" w:cs="Times New Roman"/>
          <w:sz w:val="24"/>
          <w:szCs w:val="24"/>
        </w:rPr>
      </w:pPr>
      <w:proofErr w:type="gramStart"/>
      <w:r w:rsidRPr="008F3998">
        <w:rPr>
          <w:rFonts w:ascii="Times New Roman" w:hAnsi="Times New Roman" w:cs="Times New Roman"/>
          <w:sz w:val="24"/>
          <w:szCs w:val="24"/>
        </w:rPr>
        <w:t>where</w:t>
      </w:r>
      <w:proofErr w:type="gramEnd"/>
      <w:r w:rsidRPr="008F399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it</m:t>
            </m:r>
          </m:sub>
        </m:sSub>
      </m:oMath>
      <w:r w:rsidRPr="008F3998">
        <w:rPr>
          <w:rFonts w:ascii="Times New Roman" w:hAnsi="Times New Roman" w:cs="Times New Roman"/>
          <w:sz w:val="24"/>
          <w:szCs w:val="24"/>
        </w:rPr>
        <w:t xml:space="preserve"> </w:t>
      </w:r>
      <w:r w:rsidR="00B87148" w:rsidRPr="008F3998">
        <w:rPr>
          <w:rFonts w:ascii="Times New Roman" w:hAnsi="Times New Roman" w:cs="Times New Roman"/>
          <w:sz w:val="24"/>
          <w:szCs w:val="24"/>
        </w:rPr>
        <w:t xml:space="preserve">is </w:t>
      </w:r>
      <w:r w:rsidR="003C5567" w:rsidRPr="008F3998">
        <w:rPr>
          <w:rFonts w:ascii="Times New Roman" w:hAnsi="Times New Roman" w:cs="Times New Roman"/>
          <w:sz w:val="24"/>
          <w:szCs w:val="24"/>
        </w:rPr>
        <w:t xml:space="preserve">the dependent variable representing our risk measure of tail quantile and </w:t>
      </w:r>
      <w:r w:rsidR="00B87148" w:rsidRPr="008F3998">
        <w:rPr>
          <w:rFonts w:ascii="Times New Roman" w:hAnsi="Times New Roman" w:cs="Times New Roman"/>
          <w:sz w:val="24"/>
          <w:szCs w:val="24"/>
        </w:rPr>
        <w:t>(</w:t>
      </w:r>
      <w:r w:rsidR="003C5567" w:rsidRPr="008F3998">
        <w:rPr>
          <w:rFonts w:ascii="Times New Roman" w:hAnsi="Times New Roman" w:cs="Times New Roman"/>
          <w:sz w:val="24"/>
          <w:szCs w:val="24"/>
        </w:rPr>
        <w:t>tail</w:t>
      </w:r>
      <w:r w:rsidR="00B87148" w:rsidRPr="008F3998">
        <w:rPr>
          <w:rFonts w:ascii="Times New Roman" w:hAnsi="Times New Roman" w:cs="Times New Roman"/>
          <w:sz w:val="24"/>
          <w:szCs w:val="24"/>
        </w:rPr>
        <w:t>)</w:t>
      </w:r>
      <w:r w:rsidR="003C5567" w:rsidRPr="008F3998">
        <w:rPr>
          <w:rFonts w:ascii="Times New Roman" w:hAnsi="Times New Roman" w:cs="Times New Roman"/>
          <w:sz w:val="24"/>
          <w:szCs w:val="24"/>
        </w:rPr>
        <w:t xml:space="preserve"> expected short</w:t>
      </w:r>
      <w:r w:rsidR="00E5643A" w:rsidRPr="008F3998">
        <w:rPr>
          <w:rFonts w:ascii="Times New Roman" w:hAnsi="Times New Roman" w:cs="Times New Roman"/>
          <w:sz w:val="24"/>
          <w:szCs w:val="24"/>
        </w:rPr>
        <w:t>fall</w:t>
      </w:r>
      <w:r w:rsidR="00B87148" w:rsidRPr="008F3998">
        <w:rPr>
          <w:rFonts w:ascii="Times New Roman" w:hAnsi="Times New Roman" w:cs="Times New Roman"/>
          <w:sz w:val="24"/>
          <w:szCs w:val="24"/>
        </w:rPr>
        <w:t xml:space="preserve"> over time (</w:t>
      </w:r>
      <w:r w:rsidR="00B87148" w:rsidRPr="008F3998">
        <w:rPr>
          <w:rFonts w:ascii="Times New Roman" w:hAnsi="Times New Roman" w:cs="Times New Roman"/>
          <w:i/>
          <w:sz w:val="24"/>
          <w:szCs w:val="24"/>
        </w:rPr>
        <w:t>t</w:t>
      </w:r>
      <w:r w:rsidR="00B87148" w:rsidRPr="008F3998">
        <w:rPr>
          <w:rFonts w:ascii="Times New Roman" w:hAnsi="Times New Roman" w:cs="Times New Roman"/>
          <w:sz w:val="24"/>
          <w:szCs w:val="24"/>
        </w:rPr>
        <w:t>) for each country (</w:t>
      </w:r>
      <w:proofErr w:type="spellStart"/>
      <w:r w:rsidR="00B87148" w:rsidRPr="008F3998">
        <w:rPr>
          <w:rFonts w:ascii="Times New Roman" w:hAnsi="Times New Roman" w:cs="Times New Roman"/>
          <w:i/>
          <w:sz w:val="24"/>
          <w:szCs w:val="24"/>
        </w:rPr>
        <w:t>i</w:t>
      </w:r>
      <w:proofErr w:type="spellEnd"/>
      <w:r w:rsidR="00B87148" w:rsidRPr="008F3998">
        <w:rPr>
          <w:rFonts w:ascii="Times New Roman" w:hAnsi="Times New Roman" w:cs="Times New Roman"/>
          <w:sz w:val="24"/>
          <w:szCs w:val="24"/>
        </w:rPr>
        <w:t>)</w:t>
      </w:r>
      <w:r w:rsidR="001C44C0" w:rsidRPr="008F3998">
        <w:rPr>
          <w:rFonts w:ascii="Times New Roman" w:hAnsi="Times New Roman" w:cs="Times New Roman"/>
          <w:sz w:val="24"/>
          <w:szCs w:val="24"/>
        </w:rPr>
        <w:t>.</w:t>
      </w:r>
      <w:r w:rsidR="00343F5B" w:rsidRPr="008F3998">
        <w:rPr>
          <w:rFonts w:ascii="Times New Roman" w:hAnsi="Times New Roman" w:cs="Times New Roman"/>
          <w:sz w:val="24"/>
          <w:szCs w:val="24"/>
        </w:rPr>
        <w:t xml:space="preserve"> </w:t>
      </w:r>
      <m:oMath>
        <m:sSub>
          <m:sSubPr>
            <m:ctrlPr>
              <w:rPr>
                <w:rFonts w:ascii="Cambria Math" w:eastAsia="Segoe UI" w:hAnsi="Cambria Math" w:cs="Times New Roman"/>
                <w:i/>
                <w:kern w:val="2"/>
                <w:sz w:val="24"/>
                <w:szCs w:val="24"/>
                <w:lang w:val="en-AU" w:eastAsia="en-AU"/>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8F3998">
        <w:rPr>
          <w:rFonts w:ascii="Times New Roman" w:hAnsi="Times New Roman" w:cs="Times New Roman"/>
          <w:sz w:val="24"/>
          <w:szCs w:val="24"/>
        </w:rPr>
        <w:t xml:space="preserve"> </w:t>
      </w:r>
      <w:proofErr w:type="gramStart"/>
      <w:r w:rsidRPr="008F3998">
        <w:rPr>
          <w:rFonts w:ascii="Times New Roman" w:hAnsi="Times New Roman" w:cs="Times New Roman"/>
          <w:sz w:val="24"/>
          <w:szCs w:val="24"/>
        </w:rPr>
        <w:t>is</w:t>
      </w:r>
      <w:proofErr w:type="gramEnd"/>
      <w:r w:rsidRPr="008F3998">
        <w:rPr>
          <w:rFonts w:ascii="Times New Roman" w:hAnsi="Times New Roman" w:cs="Times New Roman"/>
          <w:sz w:val="24"/>
          <w:szCs w:val="24"/>
        </w:rPr>
        <w:t xml:space="preserve"> the </w:t>
      </w:r>
      <w:r w:rsidR="00343F5B" w:rsidRPr="008F3998">
        <w:rPr>
          <w:rFonts w:ascii="Times New Roman" w:hAnsi="Times New Roman" w:cs="Times New Roman"/>
          <w:sz w:val="24"/>
          <w:szCs w:val="24"/>
        </w:rPr>
        <w:t xml:space="preserve">constant term of the regression while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343F5B" w:rsidRPr="008F3998">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Pr="008F3998">
        <w:rPr>
          <w:rFonts w:ascii="Times New Roman" w:hAnsi="Times New Roman" w:cs="Times New Roman"/>
          <w:sz w:val="24"/>
          <w:szCs w:val="24"/>
        </w:rPr>
        <w:t xml:space="preserve"> </w:t>
      </w:r>
      <w:r w:rsidR="00343F5B" w:rsidRPr="008F3998">
        <w:rPr>
          <w:rFonts w:ascii="Times New Roman" w:hAnsi="Times New Roman" w:cs="Times New Roman"/>
          <w:sz w:val="24"/>
          <w:szCs w:val="24"/>
        </w:rPr>
        <w:t xml:space="preserve">represent </w:t>
      </w:r>
      <w:r w:rsidRPr="008F3998">
        <w:rPr>
          <w:rFonts w:ascii="Times New Roman" w:hAnsi="Times New Roman" w:cs="Times New Roman"/>
          <w:sz w:val="24"/>
          <w:szCs w:val="24"/>
        </w:rPr>
        <w:t>the slope coefficients with respect to</w:t>
      </w:r>
      <w:r w:rsidR="00343F5B" w:rsidRPr="008F3998">
        <w:rPr>
          <w:rFonts w:ascii="Times New Roman" w:hAnsi="Times New Roman" w:cs="Times New Roman"/>
          <w:sz w:val="24"/>
          <w:szCs w:val="24"/>
        </w:rPr>
        <w:t xml:space="preserve"> each</w:t>
      </w:r>
      <w:r w:rsidR="00F65456" w:rsidRPr="008F3998">
        <w:rPr>
          <w:rFonts w:ascii="Times New Roman" w:hAnsi="Times New Roman" w:cs="Times New Roman"/>
          <w:sz w:val="24"/>
          <w:szCs w:val="24"/>
        </w:rPr>
        <w:t xml:space="preserve"> </w:t>
      </w:r>
      <w:proofErr w:type="spellStart"/>
      <w:r w:rsidR="00F65456" w:rsidRPr="008F3998">
        <w:rPr>
          <w:rFonts w:ascii="Times New Roman" w:hAnsi="Times New Roman" w:cs="Times New Roman"/>
          <w:sz w:val="24"/>
          <w:szCs w:val="24"/>
        </w:rPr>
        <w:t>regressor</w:t>
      </w:r>
      <w:proofErr w:type="spellEnd"/>
      <w:r w:rsidR="000655AC" w:rsidRPr="008F3998">
        <w:rPr>
          <w:rFonts w:ascii="Times New Roman" w:hAnsi="Times New Roman" w:cs="Times New Roman"/>
          <w:sz w:val="24"/>
          <w:szCs w:val="24"/>
        </w:rPr>
        <w:t>. The exposure to the country’s financial system is accounted for using the following: debt to GDP ratio (</w:t>
      </w:r>
      <w:proofErr w:type="spellStart"/>
      <w:r w:rsidR="000655AC" w:rsidRPr="008F3998">
        <w:rPr>
          <w:rFonts w:ascii="Times New Roman" w:hAnsi="Times New Roman" w:cs="Times New Roman"/>
          <w:i/>
          <w:sz w:val="24"/>
          <w:szCs w:val="24"/>
        </w:rPr>
        <w:t>debtgdp</w:t>
      </w:r>
      <w:proofErr w:type="spellEnd"/>
      <w:r w:rsidR="000655AC" w:rsidRPr="008F3998">
        <w:rPr>
          <w:rFonts w:ascii="Times New Roman" w:hAnsi="Times New Roman" w:cs="Times New Roman"/>
          <w:sz w:val="24"/>
          <w:szCs w:val="24"/>
        </w:rPr>
        <w:t>), terms of trade volatility (</w:t>
      </w:r>
      <w:proofErr w:type="spellStart"/>
      <w:r w:rsidR="000655AC" w:rsidRPr="008F3998">
        <w:rPr>
          <w:rFonts w:ascii="Times New Roman" w:hAnsi="Times New Roman" w:cs="Times New Roman"/>
          <w:i/>
          <w:sz w:val="24"/>
          <w:szCs w:val="24"/>
        </w:rPr>
        <w:t>totvol</w:t>
      </w:r>
      <w:proofErr w:type="spellEnd"/>
      <w:r w:rsidR="000655AC" w:rsidRPr="008F3998">
        <w:rPr>
          <w:rFonts w:ascii="Times New Roman" w:hAnsi="Times New Roman" w:cs="Times New Roman"/>
          <w:sz w:val="24"/>
          <w:szCs w:val="24"/>
        </w:rPr>
        <w:t>), exchange rate</w:t>
      </w:r>
      <w:r w:rsidR="009E0085" w:rsidRPr="008F3998">
        <w:rPr>
          <w:rFonts w:ascii="Times New Roman" w:hAnsi="Times New Roman" w:cs="Times New Roman"/>
          <w:sz w:val="24"/>
          <w:szCs w:val="24"/>
        </w:rPr>
        <w:t>s (</w:t>
      </w:r>
      <w:proofErr w:type="spellStart"/>
      <w:r w:rsidR="009E0085" w:rsidRPr="008F3998">
        <w:rPr>
          <w:rFonts w:ascii="Times New Roman" w:hAnsi="Times New Roman" w:cs="Times New Roman"/>
          <w:i/>
          <w:sz w:val="24"/>
          <w:szCs w:val="24"/>
        </w:rPr>
        <w:t>exr</w:t>
      </w:r>
      <w:proofErr w:type="spellEnd"/>
      <w:r w:rsidR="009E0085" w:rsidRPr="008F3998">
        <w:rPr>
          <w:rFonts w:ascii="Times New Roman" w:hAnsi="Times New Roman" w:cs="Times New Roman"/>
          <w:sz w:val="24"/>
          <w:szCs w:val="24"/>
        </w:rPr>
        <w:t>), and stock market volatility (</w:t>
      </w:r>
      <w:proofErr w:type="spellStart"/>
      <w:r w:rsidR="009E0085" w:rsidRPr="008F3998">
        <w:rPr>
          <w:rFonts w:ascii="Times New Roman" w:hAnsi="Times New Roman" w:cs="Times New Roman"/>
          <w:i/>
          <w:sz w:val="24"/>
          <w:szCs w:val="24"/>
        </w:rPr>
        <w:t>stmvol</w:t>
      </w:r>
      <w:proofErr w:type="spellEnd"/>
      <w:r w:rsidR="009E0085" w:rsidRPr="008F3998">
        <w:rPr>
          <w:rFonts w:ascii="Times New Roman" w:hAnsi="Times New Roman" w:cs="Times New Roman"/>
          <w:sz w:val="24"/>
          <w:szCs w:val="24"/>
        </w:rPr>
        <w:t>)</w:t>
      </w:r>
      <w:r w:rsidRPr="008F3998">
        <w:rPr>
          <w:rFonts w:ascii="Times New Roman" w:hAnsi="Times New Roman" w:cs="Times New Roman"/>
          <w:sz w:val="24"/>
          <w:szCs w:val="24"/>
        </w:rPr>
        <w:t>.</w:t>
      </w:r>
      <w:r w:rsidR="00F65456" w:rsidRPr="008F3998">
        <w:rPr>
          <w:rFonts w:ascii="Times New Roman" w:hAnsi="Times New Roman" w:cs="Times New Roman"/>
          <w:sz w:val="24"/>
          <w:szCs w:val="24"/>
        </w:rPr>
        <w:t xml:space="preserve"> The c</w:t>
      </w:r>
      <w:r w:rsidRPr="008F3998">
        <w:rPr>
          <w:rFonts w:ascii="Times New Roman" w:hAnsi="Times New Roman" w:cs="Times New Roman"/>
          <w:sz w:val="24"/>
          <w:szCs w:val="24"/>
        </w:rPr>
        <w:t xml:space="preserve">ountry-fixed effects (FE) are captured </w:t>
      </w:r>
      <w:proofErr w:type="gramStart"/>
      <w:r w:rsidRPr="008F3998">
        <w:rPr>
          <w:rFonts w:ascii="Times New Roman" w:hAnsi="Times New Roman" w:cs="Times New Roman"/>
          <w:sz w:val="24"/>
          <w:szCs w:val="24"/>
        </w:rPr>
        <w:t>by</w:t>
      </w:r>
      <w:r w:rsidR="00F65456" w:rsidRPr="008F3998">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oMath>
      <w:r w:rsidR="00F65456" w:rsidRPr="008F3998">
        <w:rPr>
          <w:rFonts w:ascii="Times New Roman" w:eastAsiaTheme="minorEastAsia" w:hAnsi="Times New Roman" w:cs="Times New Roman"/>
          <w:sz w:val="24"/>
          <w:szCs w:val="24"/>
        </w:rPr>
        <w:t>. The</w:t>
      </w:r>
      <w:r w:rsidR="0090045C" w:rsidRPr="008F3998">
        <w:rPr>
          <w:rFonts w:ascii="Times New Roman" w:eastAsiaTheme="minorEastAsia" w:hAnsi="Times New Roman" w:cs="Times New Roman"/>
          <w:sz w:val="24"/>
          <w:szCs w:val="24"/>
        </w:rPr>
        <w:t xml:space="preserve"> idiosyncratic</w:t>
      </w:r>
      <w:r w:rsidR="00F65456" w:rsidRPr="008F3998">
        <w:rPr>
          <w:rFonts w:ascii="Times New Roman" w:eastAsiaTheme="minorEastAsia" w:hAnsi="Times New Roman" w:cs="Times New Roman"/>
          <w:sz w:val="24"/>
          <w:szCs w:val="24"/>
        </w:rPr>
        <w:t xml:space="preserve"> error </w:t>
      </w:r>
      <w:proofErr w:type="gramStart"/>
      <w:r w:rsidR="00F65456" w:rsidRPr="008F3998">
        <w:rPr>
          <w:rFonts w:ascii="Times New Roman" w:eastAsiaTheme="minorEastAsia" w:hAnsi="Times New Roman" w:cs="Times New Roman"/>
          <w:sz w:val="24"/>
          <w:szCs w:val="24"/>
        </w:rPr>
        <w:t xml:space="preserve">term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90045C" w:rsidRPr="008F3998">
        <w:rPr>
          <w:rFonts w:ascii="Times New Roman" w:eastAsiaTheme="minorEastAsia" w:hAnsi="Times New Roman" w:cs="Times New Roman"/>
          <w:sz w:val="24"/>
          <w:szCs w:val="24"/>
        </w:rPr>
        <w:t>,</w:t>
      </w:r>
      <w:r w:rsidR="0090045C" w:rsidRPr="008F3998">
        <w:rPr>
          <w:rFonts w:ascii="Times New Roman" w:hAnsi="Times New Roman" w:cs="Times New Roman"/>
          <w:sz w:val="24"/>
          <w:szCs w:val="24"/>
        </w:rPr>
        <w:t xml:space="preserve"> which captures regression disturbances,</w:t>
      </w:r>
      <w:r w:rsidR="00F65456" w:rsidRPr="008F3998">
        <w:rPr>
          <w:rFonts w:ascii="Times New Roman" w:eastAsiaTheme="minorEastAsia" w:hAnsi="Times New Roman" w:cs="Times New Roman"/>
          <w:sz w:val="24"/>
          <w:szCs w:val="24"/>
        </w:rPr>
        <w:t xml:space="preserve"> is assumed to independently and identically distributed</w:t>
      </w:r>
      <w:r w:rsidR="0090045C" w:rsidRPr="008F3998">
        <w:rPr>
          <w:rFonts w:ascii="Times New Roman" w:eastAsiaTheme="minorEastAsia" w:hAnsi="Times New Roman" w:cs="Times New Roman"/>
          <w:sz w:val="24"/>
          <w:szCs w:val="24"/>
        </w:rPr>
        <w:t xml:space="preserve"> (</w:t>
      </w:r>
      <w:proofErr w:type="spellStart"/>
      <w:r w:rsidR="0090045C" w:rsidRPr="008F3998">
        <w:rPr>
          <w:rFonts w:ascii="Times New Roman" w:eastAsiaTheme="minorEastAsia" w:hAnsi="Times New Roman" w:cs="Times New Roman"/>
          <w:sz w:val="24"/>
          <w:szCs w:val="24"/>
        </w:rPr>
        <w:t>i.i.d</w:t>
      </w:r>
      <w:proofErr w:type="spellEnd"/>
      <w:r w:rsidR="0090045C" w:rsidRPr="008F3998">
        <w:rPr>
          <w:rFonts w:ascii="Times New Roman" w:eastAsiaTheme="minorEastAsia" w:hAnsi="Times New Roman" w:cs="Times New Roman"/>
          <w:sz w:val="24"/>
          <w:szCs w:val="24"/>
        </w:rPr>
        <w:t>.)</w:t>
      </w:r>
      <w:r w:rsidRPr="008F3998">
        <w:rPr>
          <w:rFonts w:ascii="Times New Roman" w:hAnsi="Times New Roman" w:cs="Times New Roman"/>
          <w:sz w:val="24"/>
          <w:szCs w:val="24"/>
        </w:rPr>
        <w:t>.</w:t>
      </w:r>
    </w:p>
    <w:p w14:paraId="1F325267" w14:textId="7DB7A923" w:rsidR="00E526FC" w:rsidRPr="008F3998" w:rsidRDefault="00C26451" w:rsidP="003E4F79">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The</w:t>
      </w:r>
      <w:r w:rsidR="00063687" w:rsidRPr="008F3998">
        <w:rPr>
          <w:rFonts w:ascii="Times New Roman" w:hAnsi="Times New Roman" w:cs="Times New Roman"/>
          <w:sz w:val="24"/>
          <w:szCs w:val="24"/>
        </w:rPr>
        <w:t xml:space="preserve"> baseline</w:t>
      </w:r>
      <w:r w:rsidRPr="008F3998">
        <w:rPr>
          <w:rFonts w:ascii="Times New Roman" w:hAnsi="Times New Roman" w:cs="Times New Roman"/>
          <w:sz w:val="24"/>
          <w:szCs w:val="24"/>
        </w:rPr>
        <w:t xml:space="preserve"> model (6) may appear underspecified and suffer from </w:t>
      </w:r>
      <w:proofErr w:type="spellStart"/>
      <w:r w:rsidRPr="008F3998">
        <w:rPr>
          <w:rFonts w:ascii="Times New Roman" w:hAnsi="Times New Roman" w:cs="Times New Roman"/>
          <w:sz w:val="24"/>
          <w:szCs w:val="24"/>
        </w:rPr>
        <w:t>endogeneity</w:t>
      </w:r>
      <w:proofErr w:type="spellEnd"/>
      <w:r w:rsidRPr="008F3998">
        <w:rPr>
          <w:rFonts w:ascii="Times New Roman" w:hAnsi="Times New Roman" w:cs="Times New Roman"/>
          <w:sz w:val="24"/>
          <w:szCs w:val="24"/>
        </w:rPr>
        <w:t xml:space="preserve"> due to omitted variables affecting country financial risk (Roberts and Whited, 2013; Ullah et al., 2018).</w:t>
      </w:r>
      <w:r w:rsidR="00063687" w:rsidRPr="008F3998">
        <w:rPr>
          <w:rFonts w:ascii="Times New Roman" w:hAnsi="Times New Roman" w:cs="Times New Roman"/>
          <w:sz w:val="24"/>
          <w:szCs w:val="24"/>
        </w:rPr>
        <w:t xml:space="preserve"> As such, we </w:t>
      </w:r>
      <w:r w:rsidR="00D5335C" w:rsidRPr="008F3998">
        <w:rPr>
          <w:rFonts w:ascii="Times New Roman" w:hAnsi="Times New Roman" w:cs="Times New Roman"/>
          <w:sz w:val="24"/>
          <w:szCs w:val="24"/>
        </w:rPr>
        <w:t>additionally</w:t>
      </w:r>
      <w:r w:rsidR="00063687" w:rsidRPr="008F3998">
        <w:rPr>
          <w:rFonts w:ascii="Times New Roman" w:hAnsi="Times New Roman" w:cs="Times New Roman"/>
          <w:sz w:val="24"/>
          <w:szCs w:val="24"/>
        </w:rPr>
        <w:t xml:space="preserve"> control for</w:t>
      </w:r>
      <w:r w:rsidRPr="008F3998">
        <w:rPr>
          <w:rFonts w:ascii="Times New Roman" w:hAnsi="Times New Roman" w:cs="Times New Roman"/>
          <w:sz w:val="24"/>
          <w:szCs w:val="24"/>
        </w:rPr>
        <w:t xml:space="preserve"> </w:t>
      </w:r>
      <w:r w:rsidR="00063687" w:rsidRPr="008F3998">
        <w:rPr>
          <w:rFonts w:ascii="Times New Roman" w:hAnsi="Times New Roman" w:cs="Times New Roman"/>
          <w:sz w:val="24"/>
          <w:szCs w:val="24"/>
        </w:rPr>
        <w:t xml:space="preserve">the </w:t>
      </w:r>
      <w:r w:rsidR="000F7E8B" w:rsidRPr="008F3998">
        <w:rPr>
          <w:rFonts w:ascii="Times New Roman" w:hAnsi="Times New Roman" w:cs="Times New Roman"/>
          <w:sz w:val="24"/>
          <w:szCs w:val="24"/>
        </w:rPr>
        <w:t xml:space="preserve">exposure to the financial system using a proxy for international liquidity–i.e. total </w:t>
      </w:r>
      <w:r w:rsidR="000F7E8B" w:rsidRPr="008F3998">
        <w:rPr>
          <w:rFonts w:ascii="Times New Roman" w:hAnsi="Times New Roman" w:cs="Times New Roman"/>
          <w:i/>
          <w:sz w:val="24"/>
          <w:szCs w:val="24"/>
        </w:rPr>
        <w:t>reserves</w:t>
      </w:r>
      <w:r w:rsidR="000F7E8B" w:rsidRPr="008F3998">
        <w:rPr>
          <w:rFonts w:ascii="Times New Roman" w:hAnsi="Times New Roman" w:cs="Times New Roman"/>
          <w:sz w:val="24"/>
          <w:szCs w:val="24"/>
        </w:rPr>
        <w:t xml:space="preserve"> (excluding gold). This results in augmenting the baseline model to equation </w:t>
      </w:r>
      <w:r w:rsidR="000F7E8B" w:rsidRPr="008F3998">
        <w:rPr>
          <w:rFonts w:ascii="Times New Roman" w:hAnsi="Times New Roman" w:cs="Times New Roman"/>
          <w:sz w:val="24"/>
          <w:szCs w:val="24"/>
        </w:rPr>
        <w:fldChar w:fldCharType="begin"/>
      </w:r>
      <w:r w:rsidR="000F7E8B" w:rsidRPr="008F3998">
        <w:rPr>
          <w:rFonts w:ascii="Times New Roman" w:hAnsi="Times New Roman" w:cs="Times New Roman"/>
          <w:sz w:val="24"/>
          <w:szCs w:val="24"/>
        </w:rPr>
        <w:instrText xml:space="preserve"> REF eq7 \h  \* MERGEFORMAT </w:instrText>
      </w:r>
      <w:r w:rsidR="000F7E8B" w:rsidRPr="008F3998">
        <w:rPr>
          <w:rFonts w:ascii="Times New Roman" w:hAnsi="Times New Roman" w:cs="Times New Roman"/>
          <w:sz w:val="24"/>
          <w:szCs w:val="24"/>
        </w:rPr>
      </w:r>
      <w:r w:rsidR="000F7E8B" w:rsidRPr="008F3998">
        <w:rPr>
          <w:rFonts w:ascii="Times New Roman" w:hAnsi="Times New Roman" w:cs="Times New Roman"/>
          <w:sz w:val="24"/>
          <w:szCs w:val="24"/>
        </w:rPr>
        <w:fldChar w:fldCharType="separate"/>
      </w:r>
      <w:r w:rsidR="00312D5C" w:rsidRPr="008F3998">
        <w:rPr>
          <w:rFonts w:ascii="Times New Roman" w:hAnsi="Times New Roman" w:cs="Times New Roman"/>
          <w:sz w:val="24"/>
          <w:szCs w:val="24"/>
        </w:rPr>
        <w:t>(</w:t>
      </w:r>
      <w:r w:rsidR="00312D5C" w:rsidRPr="008F3998">
        <w:rPr>
          <w:rFonts w:ascii="Times New Roman" w:hAnsi="Times New Roman" w:cs="Times New Roman"/>
          <w:noProof/>
          <w:sz w:val="24"/>
          <w:szCs w:val="24"/>
        </w:rPr>
        <w:t>7</w:t>
      </w:r>
      <w:r w:rsidR="00312D5C" w:rsidRPr="008F3998">
        <w:rPr>
          <w:rFonts w:ascii="Times New Roman" w:hAnsi="Times New Roman" w:cs="Times New Roman"/>
          <w:sz w:val="24"/>
          <w:szCs w:val="24"/>
        </w:rPr>
        <w:t>)</w:t>
      </w:r>
      <w:r w:rsidR="000F7E8B" w:rsidRPr="008F3998">
        <w:rPr>
          <w:rFonts w:ascii="Times New Roman" w:hAnsi="Times New Roman" w:cs="Times New Roman"/>
          <w:sz w:val="24"/>
          <w:szCs w:val="24"/>
        </w:rPr>
        <w:fldChar w:fldCharType="end"/>
      </w:r>
      <w:r w:rsidR="000F7E8B" w:rsidRPr="008F3998">
        <w:rPr>
          <w:rFonts w:ascii="Times New Roman" w:hAnsi="Times New Roman" w:cs="Times New Roman"/>
          <w:sz w:val="24"/>
          <w:szCs w:val="24"/>
        </w:rPr>
        <w:t>.</w:t>
      </w:r>
    </w:p>
    <w:tbl>
      <w:tblPr>
        <w:tblW w:w="5000" w:type="pct"/>
        <w:tblCellMar>
          <w:top w:w="55" w:type="dxa"/>
          <w:left w:w="55" w:type="dxa"/>
          <w:bottom w:w="55" w:type="dxa"/>
          <w:right w:w="55" w:type="dxa"/>
        </w:tblCellMar>
        <w:tblLook w:val="0000" w:firstRow="0" w:lastRow="0" w:firstColumn="0" w:lastColumn="0" w:noHBand="0" w:noVBand="0"/>
      </w:tblPr>
      <w:tblGrid>
        <w:gridCol w:w="8662"/>
        <w:gridCol w:w="1084"/>
      </w:tblGrid>
      <w:tr w:rsidR="002F0C58" w:rsidRPr="008F3998" w14:paraId="61ABDFCF" w14:textId="77777777" w:rsidTr="002F0C58">
        <w:trPr>
          <w:tblHeader/>
        </w:trPr>
        <w:tc>
          <w:tcPr>
            <w:tcW w:w="4444" w:type="pct"/>
            <w:shd w:val="clear" w:color="auto" w:fill="auto"/>
            <w:vAlign w:val="center"/>
          </w:tcPr>
          <w:p w14:paraId="2BD525D0" w14:textId="6AD8AA89" w:rsidR="002F0C58" w:rsidRPr="008F3998" w:rsidRDefault="008F3998" w:rsidP="002F0C58">
            <w:pPr>
              <w:pStyle w:val="TableContents"/>
              <w:jc w:val="center"/>
            </w:pPr>
            <m:oMathPara>
              <m:oMath>
                <m:sSub>
                  <m:sSubPr>
                    <m:ctrlPr>
                      <w:rPr>
                        <w:rFonts w:ascii="Cambria Math" w:hAnsi="Cambria Math"/>
                        <w:i/>
                      </w:rPr>
                    </m:ctrlPr>
                  </m:sSubPr>
                  <m:e>
                    <m:r>
                      <w:rPr>
                        <w:rFonts w:ascii="Cambria Math" w:hAnsi="Cambria Math"/>
                      </w:rPr>
                      <m:t>RM</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debtgd</m:t>
                </m:r>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totvo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ex</m:t>
                </m:r>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stmvo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reserves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tc>
        <w:tc>
          <w:tcPr>
            <w:tcW w:w="556" w:type="pct"/>
            <w:shd w:val="clear" w:color="auto" w:fill="auto"/>
            <w:vAlign w:val="center"/>
          </w:tcPr>
          <w:p w14:paraId="2B186372" w14:textId="3D5201F4" w:rsidR="002F0C58" w:rsidRPr="008F3998" w:rsidRDefault="002F0C58" w:rsidP="002F0C58">
            <w:pPr>
              <w:pStyle w:val="TableContents"/>
              <w:jc w:val="right"/>
            </w:pPr>
            <w:bookmarkStart w:id="2" w:name="eq7"/>
            <w:r w:rsidRPr="008F3998">
              <w:t>(</w:t>
            </w:r>
            <w:r w:rsidRPr="008F3998">
              <w:fldChar w:fldCharType="begin"/>
            </w:r>
            <w:r w:rsidRPr="008F3998">
              <w:instrText>SEQ Text \* ARABIC</w:instrText>
            </w:r>
            <w:r w:rsidRPr="008F3998">
              <w:fldChar w:fldCharType="separate"/>
            </w:r>
            <w:r w:rsidR="00312D5C" w:rsidRPr="008F3998">
              <w:rPr>
                <w:noProof/>
              </w:rPr>
              <w:t>7</w:t>
            </w:r>
            <w:r w:rsidRPr="008F3998">
              <w:fldChar w:fldCharType="end"/>
            </w:r>
            <w:r w:rsidRPr="008F3998">
              <w:t>)</w:t>
            </w:r>
            <w:bookmarkEnd w:id="2"/>
          </w:p>
        </w:tc>
      </w:tr>
    </w:tbl>
    <w:p w14:paraId="328823E0" w14:textId="77777777" w:rsidR="002F0C58" w:rsidRPr="008F3998" w:rsidRDefault="002F0C58" w:rsidP="002F0C58">
      <w:pPr>
        <w:jc w:val="both"/>
        <w:rPr>
          <w:rFonts w:ascii="Times New Roman" w:hAnsi="Times New Roman" w:cs="Times New Roman"/>
          <w:szCs w:val="24"/>
        </w:rPr>
      </w:pPr>
    </w:p>
    <w:p w14:paraId="4AD71DA6" w14:textId="09E095C2" w:rsidR="00E526FC" w:rsidRPr="008F3998" w:rsidRDefault="000F7E8B" w:rsidP="002F0C58">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The</w:t>
      </w:r>
      <w:r w:rsidR="00044CB7" w:rsidRPr="008F3998">
        <w:rPr>
          <w:rFonts w:ascii="Times New Roman" w:hAnsi="Times New Roman" w:cs="Times New Roman"/>
          <w:sz w:val="24"/>
          <w:szCs w:val="24"/>
        </w:rPr>
        <w:t xml:space="preserve"> country risk analysis</w:t>
      </w:r>
      <w:r w:rsidRPr="008F3998">
        <w:rPr>
          <w:rFonts w:ascii="Times New Roman" w:hAnsi="Times New Roman" w:cs="Times New Roman"/>
          <w:sz w:val="24"/>
          <w:szCs w:val="24"/>
        </w:rPr>
        <w:t xml:space="preserve"> model is extended</w:t>
      </w:r>
      <w:r w:rsidR="00D5335C" w:rsidRPr="008F3998">
        <w:rPr>
          <w:rFonts w:ascii="Times New Roman" w:hAnsi="Times New Roman" w:cs="Times New Roman"/>
          <w:sz w:val="24"/>
          <w:szCs w:val="24"/>
        </w:rPr>
        <w:t xml:space="preserve"> further</w:t>
      </w:r>
      <w:r w:rsidRPr="008F3998">
        <w:rPr>
          <w:rFonts w:ascii="Times New Roman" w:hAnsi="Times New Roman" w:cs="Times New Roman"/>
          <w:sz w:val="24"/>
          <w:szCs w:val="24"/>
        </w:rPr>
        <w:t xml:space="preserve"> to </w:t>
      </w:r>
      <w:r w:rsidR="00044CB7" w:rsidRPr="008F3998">
        <w:rPr>
          <w:rFonts w:ascii="Times New Roman" w:hAnsi="Times New Roman" w:cs="Times New Roman"/>
          <w:sz w:val="24"/>
          <w:szCs w:val="24"/>
        </w:rPr>
        <w:t>control for</w:t>
      </w:r>
      <w:r w:rsidRPr="008F3998">
        <w:rPr>
          <w:rFonts w:ascii="Times New Roman" w:hAnsi="Times New Roman" w:cs="Times New Roman"/>
          <w:sz w:val="24"/>
          <w:szCs w:val="24"/>
        </w:rPr>
        <w:t xml:space="preserve"> the effect</w:t>
      </w:r>
      <w:r w:rsidR="00044CB7" w:rsidRPr="008F3998">
        <w:rPr>
          <w:rFonts w:ascii="Times New Roman" w:hAnsi="Times New Roman" w:cs="Times New Roman"/>
          <w:sz w:val="24"/>
          <w:szCs w:val="24"/>
        </w:rPr>
        <w:t>s</w:t>
      </w:r>
      <w:r w:rsidRPr="008F3998">
        <w:rPr>
          <w:rFonts w:ascii="Times New Roman" w:hAnsi="Times New Roman" w:cs="Times New Roman"/>
          <w:sz w:val="24"/>
          <w:szCs w:val="24"/>
        </w:rPr>
        <w:t xml:space="preserve"> of local and global financial shocks.</w:t>
      </w:r>
      <w:r w:rsidR="00044CB7" w:rsidRPr="008F3998">
        <w:rPr>
          <w:rFonts w:ascii="Times New Roman" w:hAnsi="Times New Roman" w:cs="Times New Roman"/>
          <w:sz w:val="24"/>
          <w:szCs w:val="24"/>
        </w:rPr>
        <w:t xml:space="preserve"> The local</w:t>
      </w:r>
      <w:r w:rsidR="00E51AB5" w:rsidRPr="008F3998">
        <w:rPr>
          <w:rFonts w:ascii="Times New Roman" w:hAnsi="Times New Roman" w:cs="Times New Roman"/>
          <w:sz w:val="24"/>
          <w:szCs w:val="24"/>
        </w:rPr>
        <w:t xml:space="preserve"> and global</w:t>
      </w:r>
      <w:r w:rsidR="00044CB7" w:rsidRPr="008F3998">
        <w:rPr>
          <w:rFonts w:ascii="Times New Roman" w:hAnsi="Times New Roman" w:cs="Times New Roman"/>
          <w:sz w:val="24"/>
          <w:szCs w:val="24"/>
        </w:rPr>
        <w:t xml:space="preserve"> financial </w:t>
      </w:r>
      <w:proofErr w:type="spellStart"/>
      <w:r w:rsidR="00044CB7" w:rsidRPr="008F3998">
        <w:rPr>
          <w:rFonts w:ascii="Times New Roman" w:hAnsi="Times New Roman" w:cs="Times New Roman"/>
          <w:sz w:val="24"/>
          <w:szCs w:val="24"/>
        </w:rPr>
        <w:t>shocks</w:t>
      </w:r>
      <w:proofErr w:type="spellEnd"/>
      <w:r w:rsidR="00044CB7" w:rsidRPr="008F3998">
        <w:rPr>
          <w:rFonts w:ascii="Times New Roman" w:hAnsi="Times New Roman" w:cs="Times New Roman"/>
          <w:sz w:val="24"/>
          <w:szCs w:val="24"/>
        </w:rPr>
        <w:t xml:space="preserve"> are captured by measuring the effect of the MSCI World Financial Index and domestic Stock Market Index</w:t>
      </w:r>
      <w:r w:rsidR="00E51AB5" w:rsidRPr="008F3998">
        <w:rPr>
          <w:rFonts w:ascii="Times New Roman" w:hAnsi="Times New Roman" w:cs="Times New Roman"/>
          <w:sz w:val="24"/>
          <w:szCs w:val="24"/>
        </w:rPr>
        <w:t xml:space="preserve"> returns</w:t>
      </w:r>
      <w:r w:rsidR="00044CB7" w:rsidRPr="008F3998">
        <w:rPr>
          <w:rFonts w:ascii="Times New Roman" w:hAnsi="Times New Roman" w:cs="Times New Roman"/>
          <w:sz w:val="24"/>
          <w:szCs w:val="24"/>
        </w:rPr>
        <w:t xml:space="preserve"> on the </w:t>
      </w:r>
      <w:r w:rsidR="002446BD" w:rsidRPr="008F3998">
        <w:rPr>
          <w:rFonts w:ascii="Times New Roman" w:hAnsi="Times New Roman" w:cs="Times New Roman"/>
          <w:sz w:val="24"/>
          <w:szCs w:val="24"/>
        </w:rPr>
        <w:t>Dow Jones Total Market (</w:t>
      </w:r>
      <w:r w:rsidR="00044CB7" w:rsidRPr="008F3998">
        <w:rPr>
          <w:rFonts w:ascii="Times New Roman" w:hAnsi="Times New Roman" w:cs="Times New Roman"/>
          <w:sz w:val="24"/>
          <w:szCs w:val="24"/>
        </w:rPr>
        <w:t>DJTM</w:t>
      </w:r>
      <w:r w:rsidR="002446BD" w:rsidRPr="008F3998">
        <w:rPr>
          <w:rFonts w:ascii="Times New Roman" w:hAnsi="Times New Roman" w:cs="Times New Roman"/>
          <w:sz w:val="24"/>
          <w:szCs w:val="24"/>
        </w:rPr>
        <w:t>)</w:t>
      </w:r>
      <w:r w:rsidR="00044CB7" w:rsidRPr="008F3998">
        <w:rPr>
          <w:rFonts w:ascii="Times New Roman" w:hAnsi="Times New Roman" w:cs="Times New Roman"/>
          <w:sz w:val="24"/>
          <w:szCs w:val="24"/>
        </w:rPr>
        <w:t xml:space="preserve"> Financial </w:t>
      </w:r>
      <w:r w:rsidR="00E51AB5" w:rsidRPr="008F3998">
        <w:rPr>
          <w:rFonts w:ascii="Times New Roman" w:hAnsi="Times New Roman" w:cs="Times New Roman"/>
          <w:sz w:val="24"/>
          <w:szCs w:val="24"/>
        </w:rPr>
        <w:t>I</w:t>
      </w:r>
      <w:r w:rsidR="00044CB7" w:rsidRPr="008F3998">
        <w:rPr>
          <w:rFonts w:ascii="Times New Roman" w:hAnsi="Times New Roman" w:cs="Times New Roman"/>
          <w:sz w:val="24"/>
          <w:szCs w:val="24"/>
        </w:rPr>
        <w:t>ndex returns (</w:t>
      </w:r>
      <w:proofErr w:type="spellStart"/>
      <w:r w:rsidR="00044CB7" w:rsidRPr="008F3998">
        <w:rPr>
          <w:rFonts w:ascii="Times New Roman" w:hAnsi="Times New Roman" w:cs="Times New Roman"/>
          <w:i/>
          <w:sz w:val="24"/>
          <w:szCs w:val="24"/>
        </w:rPr>
        <w:t>locfin</w:t>
      </w:r>
      <w:proofErr w:type="spellEnd"/>
      <w:r w:rsidR="00044CB7" w:rsidRPr="008F3998">
        <w:rPr>
          <w:rFonts w:ascii="Times New Roman" w:hAnsi="Times New Roman" w:cs="Times New Roman"/>
          <w:sz w:val="24"/>
          <w:szCs w:val="24"/>
        </w:rPr>
        <w:t>), the effect of Market Index on Financial Index</w:t>
      </w:r>
      <w:r w:rsidR="00E51AB5" w:rsidRPr="008F3998">
        <w:rPr>
          <w:rFonts w:ascii="Times New Roman" w:hAnsi="Times New Roman" w:cs="Times New Roman"/>
          <w:sz w:val="24"/>
          <w:szCs w:val="24"/>
        </w:rPr>
        <w:t xml:space="preserve"> returns</w:t>
      </w:r>
      <w:r w:rsidR="00044CB7" w:rsidRPr="008F3998">
        <w:rPr>
          <w:rFonts w:ascii="Times New Roman" w:hAnsi="Times New Roman" w:cs="Times New Roman"/>
          <w:sz w:val="24"/>
          <w:szCs w:val="24"/>
        </w:rPr>
        <w:t xml:space="preserve"> domestically (</w:t>
      </w:r>
      <w:proofErr w:type="spellStart"/>
      <w:r w:rsidR="00044CB7" w:rsidRPr="008F3998">
        <w:rPr>
          <w:rFonts w:ascii="Times New Roman" w:hAnsi="Times New Roman" w:cs="Times New Roman"/>
          <w:i/>
          <w:sz w:val="24"/>
          <w:szCs w:val="24"/>
        </w:rPr>
        <w:t>finmar</w:t>
      </w:r>
      <w:proofErr w:type="spellEnd"/>
      <w:r w:rsidR="00044CB7" w:rsidRPr="008F3998">
        <w:rPr>
          <w:rFonts w:ascii="Times New Roman" w:hAnsi="Times New Roman" w:cs="Times New Roman"/>
          <w:sz w:val="24"/>
          <w:szCs w:val="24"/>
        </w:rPr>
        <w:t>), the effect of MSCI World Financial Index on domestic Market Index</w:t>
      </w:r>
      <w:r w:rsidR="00E51AB5" w:rsidRPr="008F3998">
        <w:rPr>
          <w:rFonts w:ascii="Times New Roman" w:hAnsi="Times New Roman" w:cs="Times New Roman"/>
          <w:sz w:val="24"/>
          <w:szCs w:val="24"/>
        </w:rPr>
        <w:t xml:space="preserve"> returns</w:t>
      </w:r>
      <w:r w:rsidR="00044CB7" w:rsidRPr="008F3998">
        <w:rPr>
          <w:rFonts w:ascii="Times New Roman" w:hAnsi="Times New Roman" w:cs="Times New Roman"/>
          <w:sz w:val="24"/>
          <w:szCs w:val="24"/>
        </w:rPr>
        <w:t xml:space="preserve"> (</w:t>
      </w:r>
      <w:proofErr w:type="spellStart"/>
      <w:r w:rsidR="00044CB7" w:rsidRPr="008F3998">
        <w:rPr>
          <w:rFonts w:ascii="Times New Roman" w:hAnsi="Times New Roman" w:cs="Times New Roman"/>
          <w:i/>
          <w:sz w:val="24"/>
          <w:szCs w:val="24"/>
        </w:rPr>
        <w:t>marmsci</w:t>
      </w:r>
      <w:proofErr w:type="spellEnd"/>
      <w:r w:rsidR="00044CB7" w:rsidRPr="008F3998">
        <w:rPr>
          <w:rFonts w:ascii="Times New Roman" w:hAnsi="Times New Roman" w:cs="Times New Roman"/>
          <w:sz w:val="24"/>
          <w:szCs w:val="24"/>
        </w:rPr>
        <w:t>),</w:t>
      </w:r>
      <w:r w:rsidR="00E51AB5" w:rsidRPr="008F3998">
        <w:rPr>
          <w:rFonts w:ascii="Times New Roman" w:hAnsi="Times New Roman" w:cs="Times New Roman"/>
          <w:sz w:val="24"/>
          <w:szCs w:val="24"/>
        </w:rPr>
        <w:t xml:space="preserve"> the effect of MSCI World Financial Index on domestic Financial Index returns (</w:t>
      </w:r>
      <w:proofErr w:type="spellStart"/>
      <w:r w:rsidR="00E51AB5" w:rsidRPr="008F3998">
        <w:rPr>
          <w:rFonts w:ascii="Times New Roman" w:hAnsi="Times New Roman" w:cs="Times New Roman"/>
          <w:i/>
          <w:sz w:val="24"/>
          <w:szCs w:val="24"/>
        </w:rPr>
        <w:t>finmsci</w:t>
      </w:r>
      <w:proofErr w:type="spellEnd"/>
      <w:r w:rsidR="00E51AB5" w:rsidRPr="008F3998">
        <w:rPr>
          <w:rFonts w:ascii="Times New Roman" w:hAnsi="Times New Roman" w:cs="Times New Roman"/>
          <w:sz w:val="24"/>
          <w:szCs w:val="24"/>
        </w:rPr>
        <w:t>), and the effect of Stoxx50 Index and S&amp;P 500 Index returns on MSCI World Financial Index (</w:t>
      </w:r>
      <w:r w:rsidR="00E51AB5" w:rsidRPr="008F3998">
        <w:rPr>
          <w:rFonts w:ascii="Times New Roman" w:hAnsi="Times New Roman" w:cs="Times New Roman"/>
          <w:i/>
          <w:sz w:val="24"/>
          <w:szCs w:val="24"/>
        </w:rPr>
        <w:t>stoxx50</w:t>
      </w:r>
      <w:r w:rsidR="00E51AB5" w:rsidRPr="008F3998">
        <w:rPr>
          <w:rFonts w:ascii="Times New Roman" w:hAnsi="Times New Roman" w:cs="Times New Roman"/>
          <w:sz w:val="24"/>
          <w:szCs w:val="24"/>
        </w:rPr>
        <w:t xml:space="preserve">). Lastly, equation </w:t>
      </w:r>
      <w:r w:rsidR="00707225" w:rsidRPr="008F3998">
        <w:rPr>
          <w:rFonts w:ascii="Times New Roman" w:hAnsi="Times New Roman" w:cs="Times New Roman"/>
          <w:sz w:val="24"/>
          <w:szCs w:val="24"/>
        </w:rPr>
        <w:fldChar w:fldCharType="begin"/>
      </w:r>
      <w:r w:rsidR="00707225" w:rsidRPr="008F3998">
        <w:rPr>
          <w:rFonts w:ascii="Times New Roman" w:hAnsi="Times New Roman" w:cs="Times New Roman"/>
          <w:sz w:val="24"/>
          <w:szCs w:val="24"/>
        </w:rPr>
        <w:instrText xml:space="preserve"> REF eq8 \h  \* MERGEFORMAT </w:instrText>
      </w:r>
      <w:r w:rsidR="00707225" w:rsidRPr="008F3998">
        <w:rPr>
          <w:rFonts w:ascii="Times New Roman" w:hAnsi="Times New Roman" w:cs="Times New Roman"/>
          <w:sz w:val="24"/>
          <w:szCs w:val="24"/>
        </w:rPr>
      </w:r>
      <w:r w:rsidR="00707225" w:rsidRPr="008F3998">
        <w:rPr>
          <w:rFonts w:ascii="Times New Roman" w:hAnsi="Times New Roman" w:cs="Times New Roman"/>
          <w:sz w:val="24"/>
          <w:szCs w:val="24"/>
        </w:rPr>
        <w:fldChar w:fldCharType="separate"/>
      </w:r>
      <w:r w:rsidR="00312D5C" w:rsidRPr="008F3998">
        <w:rPr>
          <w:rFonts w:ascii="Times New Roman" w:hAnsi="Times New Roman" w:cs="Times New Roman"/>
          <w:sz w:val="24"/>
          <w:szCs w:val="24"/>
        </w:rPr>
        <w:t>(</w:t>
      </w:r>
      <w:r w:rsidR="00312D5C" w:rsidRPr="008F3998">
        <w:rPr>
          <w:rFonts w:ascii="Times New Roman" w:hAnsi="Times New Roman" w:cs="Times New Roman"/>
          <w:noProof/>
          <w:sz w:val="24"/>
          <w:szCs w:val="24"/>
        </w:rPr>
        <w:t>8</w:t>
      </w:r>
      <w:r w:rsidR="00312D5C" w:rsidRPr="008F3998">
        <w:rPr>
          <w:rFonts w:ascii="Times New Roman" w:hAnsi="Times New Roman" w:cs="Times New Roman"/>
          <w:sz w:val="24"/>
          <w:szCs w:val="24"/>
        </w:rPr>
        <w:t>)</w:t>
      </w:r>
      <w:r w:rsidR="00707225" w:rsidRPr="008F3998">
        <w:rPr>
          <w:rFonts w:ascii="Times New Roman" w:hAnsi="Times New Roman" w:cs="Times New Roman"/>
          <w:sz w:val="24"/>
          <w:szCs w:val="24"/>
        </w:rPr>
        <w:fldChar w:fldCharType="end"/>
      </w:r>
      <w:r w:rsidR="00E51AB5" w:rsidRPr="008F3998">
        <w:rPr>
          <w:rFonts w:ascii="Times New Roman" w:hAnsi="Times New Roman" w:cs="Times New Roman"/>
          <w:sz w:val="24"/>
          <w:szCs w:val="24"/>
        </w:rPr>
        <w:t xml:space="preserve"> controls for the yields spreads of corporations in the respective country. This is </w:t>
      </w:r>
      <w:r w:rsidR="00707225" w:rsidRPr="008F3998">
        <w:rPr>
          <w:rFonts w:ascii="Times New Roman" w:hAnsi="Times New Roman" w:cs="Times New Roman"/>
          <w:sz w:val="24"/>
          <w:szCs w:val="24"/>
        </w:rPr>
        <w:t>done by calculating two yield-spread variables: (</w:t>
      </w:r>
      <w:proofErr w:type="spellStart"/>
      <w:r w:rsidR="00707225" w:rsidRPr="008F3998">
        <w:rPr>
          <w:rFonts w:ascii="Times New Roman" w:hAnsi="Times New Roman" w:cs="Times New Roman"/>
          <w:sz w:val="24"/>
          <w:szCs w:val="24"/>
        </w:rPr>
        <w:t>i</w:t>
      </w:r>
      <w:proofErr w:type="spellEnd"/>
      <w:r w:rsidR="00707225" w:rsidRPr="008F3998">
        <w:rPr>
          <w:rFonts w:ascii="Times New Roman" w:hAnsi="Times New Roman" w:cs="Times New Roman"/>
          <w:sz w:val="24"/>
          <w:szCs w:val="24"/>
        </w:rPr>
        <w:t>) yield spread between BB- and BBB-rated corporations (</w:t>
      </w:r>
      <w:proofErr w:type="spellStart"/>
      <w:r w:rsidR="00707225" w:rsidRPr="008F3998">
        <w:rPr>
          <w:rFonts w:ascii="Times New Roman" w:hAnsi="Times New Roman" w:cs="Times New Roman"/>
          <w:i/>
          <w:sz w:val="24"/>
          <w:szCs w:val="24"/>
        </w:rPr>
        <w:t>hyyield</w:t>
      </w:r>
      <w:proofErr w:type="spellEnd"/>
      <w:r w:rsidR="00707225" w:rsidRPr="008F3998">
        <w:rPr>
          <w:rFonts w:ascii="Times New Roman" w:hAnsi="Times New Roman" w:cs="Times New Roman"/>
          <w:sz w:val="24"/>
          <w:szCs w:val="24"/>
        </w:rPr>
        <w:t>), and (ii) yield spread between BBB- and AA-rated corporations</w:t>
      </w:r>
      <w:r w:rsidR="00151EB6" w:rsidRPr="008F3998">
        <w:rPr>
          <w:rFonts w:ascii="Times New Roman" w:hAnsi="Times New Roman" w:cs="Times New Roman"/>
          <w:sz w:val="24"/>
          <w:szCs w:val="24"/>
        </w:rPr>
        <w:t xml:space="preserve"> (</w:t>
      </w:r>
      <w:proofErr w:type="spellStart"/>
      <w:r w:rsidR="00151EB6" w:rsidRPr="008F3998">
        <w:rPr>
          <w:rFonts w:ascii="Times New Roman" w:hAnsi="Times New Roman" w:cs="Times New Roman"/>
          <w:i/>
          <w:sz w:val="24"/>
          <w:szCs w:val="24"/>
        </w:rPr>
        <w:t>igyield</w:t>
      </w:r>
      <w:proofErr w:type="spellEnd"/>
      <w:r w:rsidR="00151EB6" w:rsidRPr="008F3998">
        <w:rPr>
          <w:rFonts w:ascii="Times New Roman" w:hAnsi="Times New Roman" w:cs="Times New Roman"/>
          <w:sz w:val="24"/>
          <w:szCs w:val="24"/>
        </w:rPr>
        <w:t>)</w:t>
      </w:r>
      <w:r w:rsidR="00707225" w:rsidRPr="008F3998">
        <w:rPr>
          <w:rFonts w:ascii="Times New Roman" w:hAnsi="Times New Roman" w:cs="Times New Roman"/>
          <w:sz w:val="24"/>
          <w:szCs w:val="24"/>
        </w:rPr>
        <w:t>.</w:t>
      </w:r>
    </w:p>
    <w:tbl>
      <w:tblPr>
        <w:tblW w:w="5000" w:type="pct"/>
        <w:tblCellMar>
          <w:top w:w="55" w:type="dxa"/>
          <w:left w:w="55" w:type="dxa"/>
          <w:bottom w:w="55" w:type="dxa"/>
          <w:right w:w="55" w:type="dxa"/>
        </w:tblCellMar>
        <w:tblLook w:val="0000" w:firstRow="0" w:lastRow="0" w:firstColumn="0" w:lastColumn="0" w:noHBand="0" w:noVBand="0"/>
      </w:tblPr>
      <w:tblGrid>
        <w:gridCol w:w="8789"/>
        <w:gridCol w:w="957"/>
      </w:tblGrid>
      <w:tr w:rsidR="002F0C58" w:rsidRPr="008F3998" w14:paraId="5D5C438E" w14:textId="77777777" w:rsidTr="00712CCF">
        <w:trPr>
          <w:tblHeader/>
        </w:trPr>
        <w:tc>
          <w:tcPr>
            <w:tcW w:w="4677" w:type="pct"/>
            <w:shd w:val="clear" w:color="auto" w:fill="auto"/>
            <w:vAlign w:val="center"/>
          </w:tcPr>
          <w:p w14:paraId="47E3194F" w14:textId="5B08E8D8" w:rsidR="002F0C58" w:rsidRPr="008F3998" w:rsidRDefault="008F3998" w:rsidP="002F0C58">
            <w:pPr>
              <w:pStyle w:val="TableContents"/>
              <w:jc w:val="center"/>
            </w:pPr>
            <m:oMathPara>
              <m:oMath>
                <m:sSub>
                  <m:sSubPr>
                    <m:ctrlPr>
                      <w:rPr>
                        <w:rFonts w:ascii="Cambria Math" w:hAnsi="Cambria Math"/>
                        <w:i/>
                      </w:rPr>
                    </m:ctrlPr>
                  </m:sSubPr>
                  <m:e>
                    <m:r>
                      <w:rPr>
                        <w:rFonts w:ascii="Cambria Math" w:hAnsi="Cambria Math"/>
                      </w:rPr>
                      <m:t>RM</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debtgd</m:t>
                </m:r>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totvo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ex</m:t>
                </m:r>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stmvo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reserves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locfi</m:t>
                </m:r>
                <m:sSub>
                  <m:sSubPr>
                    <m:ctrlPr>
                      <w:rPr>
                        <w:rFonts w:ascii="Cambria Math" w:hAnsi="Cambria Math"/>
                        <w:i/>
                      </w:rPr>
                    </m:ctrlPr>
                  </m:sSubPr>
                  <m:e>
                    <m:r>
                      <w:rPr>
                        <w:rFonts w:ascii="Cambria Math" w:hAnsi="Cambria Math"/>
                      </w:rPr>
                      <m:t>n</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stmvo</m:t>
                </m:r>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sSub>
                  <m:sSubPr>
                    <m:ctrlPr>
                      <w:rPr>
                        <w:rFonts w:ascii="Cambria Math" w:hAnsi="Cambria Math"/>
                        <w:i/>
                      </w:rPr>
                    </m:ctrlPr>
                  </m:sSubPr>
                  <m:e>
                    <m:r>
                      <w:rPr>
                        <w:rFonts w:ascii="Cambria Math" w:hAnsi="Cambria Math"/>
                      </w:rPr>
                      <m:t>finmar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10</m:t>
                    </m:r>
                  </m:sub>
                </m:sSub>
                <m:sSub>
                  <m:sSubPr>
                    <m:ctrlPr>
                      <w:rPr>
                        <w:rFonts w:ascii="Cambria Math" w:hAnsi="Cambria Math"/>
                        <w:i/>
                      </w:rPr>
                    </m:ctrlPr>
                  </m:sSubPr>
                  <m:e>
                    <m:r>
                      <w:rPr>
                        <w:rFonts w:ascii="Cambria Math" w:hAnsi="Cambria Math"/>
                      </w:rPr>
                      <m:t>marmsci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marca</m:t>
                </m:r>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finmsc</m:t>
                </m:r>
                <m:sSub>
                  <m:sSubPr>
                    <m:ctrlPr>
                      <w:rPr>
                        <w:rFonts w:ascii="Cambria Math" w:hAnsi="Cambria Math"/>
                        <w:i/>
                      </w:rPr>
                    </m:ctrlPr>
                  </m:sSubPr>
                  <m:e>
                    <m:r>
                      <w:rPr>
                        <w:rFonts w:ascii="Cambria Math" w:hAnsi="Cambria Math"/>
                      </w:rPr>
                      <m:t>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13</m:t>
                    </m:r>
                  </m:sub>
                </m:sSub>
                <m:sSub>
                  <m:sSubPr>
                    <m:ctrlPr>
                      <w:rPr>
                        <w:rFonts w:ascii="Cambria Math" w:hAnsi="Cambria Math"/>
                        <w:i/>
                      </w:rPr>
                    </m:ctrlPr>
                  </m:sSubPr>
                  <m:e>
                    <m:r>
                      <w:rPr>
                        <w:rFonts w:ascii="Cambria Math" w:hAnsi="Cambria Math"/>
                      </w:rPr>
                      <m:t>stoxx50</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hyyiel</m:t>
                </m:r>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15</m:t>
                    </m:r>
                  </m:sub>
                </m:sSub>
                <m:r>
                  <w:rPr>
                    <w:rFonts w:ascii="Cambria Math" w:hAnsi="Cambria Math"/>
                  </w:rPr>
                  <m:t>igyiel</m:t>
                </m:r>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tc>
        <w:tc>
          <w:tcPr>
            <w:tcW w:w="323" w:type="pct"/>
            <w:shd w:val="clear" w:color="auto" w:fill="auto"/>
            <w:vAlign w:val="center"/>
          </w:tcPr>
          <w:p w14:paraId="6E4EBAAC" w14:textId="2FEE17CD" w:rsidR="002F0C58" w:rsidRPr="008F3998" w:rsidRDefault="002F0C58" w:rsidP="002F0C58">
            <w:pPr>
              <w:pStyle w:val="TableContents"/>
              <w:jc w:val="right"/>
            </w:pPr>
            <w:bookmarkStart w:id="3" w:name="eq8"/>
            <w:r w:rsidRPr="008F3998">
              <w:t>(</w:t>
            </w:r>
            <w:r w:rsidRPr="008F3998">
              <w:fldChar w:fldCharType="begin"/>
            </w:r>
            <w:r w:rsidRPr="008F3998">
              <w:instrText>SEQ Text \* ARABIC</w:instrText>
            </w:r>
            <w:r w:rsidRPr="008F3998">
              <w:fldChar w:fldCharType="separate"/>
            </w:r>
            <w:r w:rsidR="00312D5C" w:rsidRPr="008F3998">
              <w:rPr>
                <w:noProof/>
              </w:rPr>
              <w:t>8</w:t>
            </w:r>
            <w:r w:rsidRPr="008F3998">
              <w:fldChar w:fldCharType="end"/>
            </w:r>
            <w:r w:rsidRPr="008F3998">
              <w:t>)</w:t>
            </w:r>
            <w:bookmarkEnd w:id="3"/>
          </w:p>
        </w:tc>
      </w:tr>
    </w:tbl>
    <w:p w14:paraId="4664431D" w14:textId="5491EFBC" w:rsidR="00E526FC" w:rsidRPr="008F3998" w:rsidRDefault="00E526FC" w:rsidP="002F0C58">
      <w:pPr>
        <w:rPr>
          <w:rFonts w:ascii="Times New Roman" w:hAnsi="Times New Roman" w:cs="Times New Roman"/>
          <w:position w:val="-12"/>
        </w:rPr>
      </w:pPr>
    </w:p>
    <w:p w14:paraId="7DA6EF76" w14:textId="07DDF8A4" w:rsidR="00707225" w:rsidRPr="008F3998" w:rsidRDefault="00C669D2" w:rsidP="009F122F">
      <w:pPr>
        <w:spacing w:line="360" w:lineRule="auto"/>
        <w:ind w:firstLine="720"/>
        <w:jc w:val="both"/>
        <w:rPr>
          <w:rFonts w:ascii="Times New Roman" w:hAnsi="Times New Roman" w:cs="Times New Roman"/>
          <w:position w:val="-12"/>
          <w:sz w:val="24"/>
        </w:rPr>
      </w:pPr>
      <w:r w:rsidRPr="008F3998">
        <w:rPr>
          <w:rFonts w:ascii="Times New Roman" w:hAnsi="Times New Roman" w:cs="Times New Roman"/>
          <w:position w:val="-12"/>
          <w:sz w:val="24"/>
        </w:rPr>
        <w:t xml:space="preserve">We check for robustness of the results from equations (6)-(8) by estimating them using the first difference of each variable. </w:t>
      </w:r>
      <w:r w:rsidR="00BC03B2" w:rsidRPr="008F3998">
        <w:rPr>
          <w:rFonts w:ascii="Times New Roman" w:hAnsi="Times New Roman" w:cs="Times New Roman"/>
          <w:position w:val="-12"/>
          <w:sz w:val="24"/>
        </w:rPr>
        <w:t>This</w:t>
      </w:r>
      <w:r w:rsidR="002446BD" w:rsidRPr="008F3998">
        <w:rPr>
          <w:rFonts w:ascii="Times New Roman" w:hAnsi="Times New Roman" w:cs="Times New Roman"/>
          <w:position w:val="-12"/>
          <w:sz w:val="24"/>
        </w:rPr>
        <w:t xml:space="preserve"> allows us to investigate</w:t>
      </w:r>
      <w:r w:rsidR="00CA331C" w:rsidRPr="008F3998">
        <w:rPr>
          <w:rFonts w:ascii="Times New Roman" w:hAnsi="Times New Roman" w:cs="Times New Roman"/>
          <w:position w:val="-12"/>
          <w:sz w:val="24"/>
        </w:rPr>
        <w:t xml:space="preserve"> how</w:t>
      </w:r>
      <w:r w:rsidR="002446BD" w:rsidRPr="008F3998">
        <w:rPr>
          <w:rFonts w:ascii="Times New Roman" w:hAnsi="Times New Roman" w:cs="Times New Roman"/>
          <w:position w:val="-12"/>
          <w:sz w:val="24"/>
        </w:rPr>
        <w:t xml:space="preserve"> the </w:t>
      </w:r>
      <w:r w:rsidR="00C53F24" w:rsidRPr="008F3998">
        <w:rPr>
          <w:rFonts w:ascii="Times New Roman" w:hAnsi="Times New Roman" w:cs="Times New Roman"/>
          <w:position w:val="-12"/>
          <w:sz w:val="24"/>
        </w:rPr>
        <w:t>change</w:t>
      </w:r>
      <w:r w:rsidR="00CA331C" w:rsidRPr="008F3998">
        <w:rPr>
          <w:rFonts w:ascii="Times New Roman" w:hAnsi="Times New Roman" w:cs="Times New Roman"/>
          <w:position w:val="-12"/>
          <w:sz w:val="24"/>
        </w:rPr>
        <w:t>s</w:t>
      </w:r>
      <w:r w:rsidR="00C53F24" w:rsidRPr="008F3998">
        <w:rPr>
          <w:rFonts w:ascii="Times New Roman" w:hAnsi="Times New Roman" w:cs="Times New Roman"/>
          <w:position w:val="-12"/>
          <w:sz w:val="24"/>
        </w:rPr>
        <w:t xml:space="preserve"> in</w:t>
      </w:r>
      <w:r w:rsidR="002446BD" w:rsidRPr="008F3998">
        <w:rPr>
          <w:rFonts w:ascii="Times New Roman" w:hAnsi="Times New Roman" w:cs="Times New Roman"/>
          <w:position w:val="-12"/>
          <w:sz w:val="24"/>
        </w:rPr>
        <w:t xml:space="preserve"> carbon emissions</w:t>
      </w:r>
      <w:r w:rsidR="00CA331C" w:rsidRPr="008F3998">
        <w:rPr>
          <w:rFonts w:ascii="Times New Roman" w:hAnsi="Times New Roman" w:cs="Times New Roman"/>
          <w:position w:val="-12"/>
          <w:sz w:val="24"/>
        </w:rPr>
        <w:t xml:space="preserve"> affect</w:t>
      </w:r>
      <w:r w:rsidR="002446BD" w:rsidRPr="008F3998">
        <w:rPr>
          <w:rFonts w:ascii="Times New Roman" w:hAnsi="Times New Roman" w:cs="Times New Roman"/>
          <w:position w:val="-12"/>
          <w:sz w:val="24"/>
        </w:rPr>
        <w:t xml:space="preserve"> </w:t>
      </w:r>
      <w:r w:rsidR="00CA331C" w:rsidRPr="008F3998">
        <w:rPr>
          <w:rFonts w:ascii="Times New Roman" w:hAnsi="Times New Roman" w:cs="Times New Roman"/>
          <w:position w:val="-12"/>
          <w:sz w:val="24"/>
        </w:rPr>
        <w:t>the</w:t>
      </w:r>
      <w:r w:rsidR="00C53F24" w:rsidRPr="008F3998">
        <w:rPr>
          <w:rFonts w:ascii="Times New Roman" w:hAnsi="Times New Roman" w:cs="Times New Roman"/>
          <w:position w:val="-12"/>
          <w:sz w:val="24"/>
        </w:rPr>
        <w:t xml:space="preserve"> change</w:t>
      </w:r>
      <w:r w:rsidR="00CA331C" w:rsidRPr="008F3998">
        <w:rPr>
          <w:rFonts w:ascii="Times New Roman" w:hAnsi="Times New Roman" w:cs="Times New Roman"/>
          <w:position w:val="-12"/>
          <w:sz w:val="24"/>
        </w:rPr>
        <w:t>s</w:t>
      </w:r>
      <w:r w:rsidR="00C53F24" w:rsidRPr="008F3998">
        <w:rPr>
          <w:rFonts w:ascii="Times New Roman" w:hAnsi="Times New Roman" w:cs="Times New Roman"/>
          <w:position w:val="-12"/>
          <w:sz w:val="24"/>
        </w:rPr>
        <w:t xml:space="preserve"> in</w:t>
      </w:r>
      <w:r w:rsidR="002446BD" w:rsidRPr="008F3998">
        <w:rPr>
          <w:rFonts w:ascii="Times New Roman" w:hAnsi="Times New Roman" w:cs="Times New Roman"/>
          <w:position w:val="-12"/>
          <w:sz w:val="24"/>
        </w:rPr>
        <w:t xml:space="preserve"> country</w:t>
      </w:r>
      <w:r w:rsidR="00BC03B2" w:rsidRPr="008F3998">
        <w:rPr>
          <w:rFonts w:ascii="Times New Roman" w:hAnsi="Times New Roman" w:cs="Times New Roman"/>
          <w:position w:val="-12"/>
          <w:sz w:val="24"/>
        </w:rPr>
        <w:t xml:space="preserve"> financial</w:t>
      </w:r>
      <w:r w:rsidR="002446BD" w:rsidRPr="008F3998">
        <w:rPr>
          <w:rFonts w:ascii="Times New Roman" w:hAnsi="Times New Roman" w:cs="Times New Roman"/>
          <w:position w:val="-12"/>
          <w:sz w:val="24"/>
        </w:rPr>
        <w:t xml:space="preserve"> risk.</w:t>
      </w:r>
      <w:r w:rsidR="001E5E29" w:rsidRPr="008F3998">
        <w:t xml:space="preserve"> </w:t>
      </w:r>
      <w:r w:rsidR="001E5E29" w:rsidRPr="008F3998">
        <w:rPr>
          <w:rFonts w:ascii="Times New Roman" w:hAnsi="Times New Roman" w:cs="Times New Roman"/>
          <w:position w:val="-12"/>
          <w:sz w:val="24"/>
        </w:rPr>
        <w:t>The robustness of the estimated equations (6)-(8) can</w:t>
      </w:r>
      <w:r w:rsidR="009F122F" w:rsidRPr="008F3998">
        <w:rPr>
          <w:rFonts w:ascii="Times New Roman" w:hAnsi="Times New Roman" w:cs="Times New Roman"/>
          <w:position w:val="-12"/>
          <w:sz w:val="24"/>
        </w:rPr>
        <w:t xml:space="preserve"> also</w:t>
      </w:r>
      <w:r w:rsidR="001E5E29" w:rsidRPr="008F3998">
        <w:rPr>
          <w:rFonts w:ascii="Times New Roman" w:hAnsi="Times New Roman" w:cs="Times New Roman"/>
          <w:position w:val="-12"/>
          <w:sz w:val="24"/>
        </w:rPr>
        <w:t xml:space="preserve"> be verified by estimating their dynamic</w:t>
      </w:r>
      <w:r w:rsidR="007B7E9B" w:rsidRPr="008F3998">
        <w:rPr>
          <w:rFonts w:ascii="Times New Roman" w:hAnsi="Times New Roman" w:cs="Times New Roman"/>
          <w:position w:val="-12"/>
          <w:sz w:val="24"/>
        </w:rPr>
        <w:t xml:space="preserve"> panel</w:t>
      </w:r>
      <w:r w:rsidR="001E5E29" w:rsidRPr="008F3998">
        <w:rPr>
          <w:rFonts w:ascii="Times New Roman" w:hAnsi="Times New Roman" w:cs="Times New Roman"/>
          <w:position w:val="-12"/>
          <w:sz w:val="24"/>
        </w:rPr>
        <w:t xml:space="preserve"> versions. The dynamic versions of equations (6)-(8) are estimated by incorporating first-lag of each </w:t>
      </w:r>
      <w:proofErr w:type="spellStart"/>
      <w:r w:rsidR="001E5E29" w:rsidRPr="008F3998">
        <w:rPr>
          <w:rFonts w:ascii="Times New Roman" w:hAnsi="Times New Roman" w:cs="Times New Roman"/>
          <w:position w:val="-12"/>
          <w:sz w:val="24"/>
        </w:rPr>
        <w:t>regressor</w:t>
      </w:r>
      <w:proofErr w:type="spellEnd"/>
      <w:r w:rsidR="001E5E29" w:rsidRPr="008F3998">
        <w:rPr>
          <w:rFonts w:ascii="Times New Roman" w:hAnsi="Times New Roman" w:cs="Times New Roman"/>
          <w:position w:val="-12"/>
          <w:sz w:val="24"/>
        </w:rPr>
        <w:t xml:space="preserve"> in their respective models.</w:t>
      </w:r>
      <w:r w:rsidR="00122539" w:rsidRPr="008F3998">
        <w:rPr>
          <w:rFonts w:ascii="Times New Roman" w:hAnsi="Times New Roman" w:cs="Times New Roman"/>
          <w:position w:val="-12"/>
          <w:sz w:val="24"/>
        </w:rPr>
        <w:t xml:space="preserve"> This allows us to observe the dynamic–lagged–effect of the </w:t>
      </w:r>
      <w:proofErr w:type="spellStart"/>
      <w:r w:rsidR="00122539" w:rsidRPr="008F3998">
        <w:rPr>
          <w:rFonts w:ascii="Times New Roman" w:hAnsi="Times New Roman" w:cs="Times New Roman"/>
          <w:position w:val="-12"/>
          <w:sz w:val="24"/>
        </w:rPr>
        <w:t>regressors</w:t>
      </w:r>
      <w:proofErr w:type="spellEnd"/>
      <w:r w:rsidR="00122539" w:rsidRPr="008F3998">
        <w:rPr>
          <w:rFonts w:ascii="Times New Roman" w:hAnsi="Times New Roman" w:cs="Times New Roman"/>
          <w:position w:val="-12"/>
          <w:sz w:val="24"/>
        </w:rPr>
        <w:t xml:space="preserve"> on the country risk measures in respective models.</w:t>
      </w:r>
      <w:r w:rsidR="00443F53" w:rsidRPr="008F3998">
        <w:rPr>
          <w:rFonts w:ascii="Times New Roman" w:hAnsi="Times New Roman" w:cs="Times New Roman"/>
          <w:position w:val="-12"/>
          <w:sz w:val="24"/>
        </w:rPr>
        <w:t xml:space="preserve"> In addition, it reduces </w:t>
      </w:r>
      <w:proofErr w:type="spellStart"/>
      <w:r w:rsidR="00443F53" w:rsidRPr="008F3998">
        <w:rPr>
          <w:rFonts w:ascii="Times New Roman" w:hAnsi="Times New Roman" w:cs="Times New Roman"/>
          <w:position w:val="-12"/>
          <w:sz w:val="24"/>
        </w:rPr>
        <w:t>endogeneity</w:t>
      </w:r>
      <w:proofErr w:type="spellEnd"/>
      <w:r w:rsidR="00443F53" w:rsidRPr="008F3998">
        <w:rPr>
          <w:rFonts w:ascii="Times New Roman" w:hAnsi="Times New Roman" w:cs="Times New Roman"/>
          <w:position w:val="-12"/>
          <w:sz w:val="24"/>
        </w:rPr>
        <w:t xml:space="preserve"> biases in the estimates that may arise due to reverse causation from country risk measures to carbon emissions</w:t>
      </w:r>
      <w:r w:rsidR="007B7E9B" w:rsidRPr="008F3998">
        <w:rPr>
          <w:rFonts w:ascii="Times New Roman" w:hAnsi="Times New Roman" w:cs="Times New Roman"/>
          <w:position w:val="-12"/>
          <w:sz w:val="24"/>
        </w:rPr>
        <w:t xml:space="preserve"> and/or simultaneity (Roberts and Whited, 2013; Ullah et al., 2018)</w:t>
      </w:r>
      <w:r w:rsidR="00443F53" w:rsidRPr="008F3998">
        <w:rPr>
          <w:rFonts w:ascii="Times New Roman" w:hAnsi="Times New Roman" w:cs="Times New Roman"/>
          <w:position w:val="-12"/>
          <w:sz w:val="24"/>
        </w:rPr>
        <w:t>.</w:t>
      </w:r>
      <w:r w:rsidR="009F122F" w:rsidRPr="008F3998">
        <w:rPr>
          <w:rFonts w:ascii="Times New Roman" w:hAnsi="Times New Roman" w:cs="Times New Roman"/>
          <w:position w:val="-12"/>
          <w:sz w:val="24"/>
        </w:rPr>
        <w:t xml:space="preserve"> As an additional robustness check, we </w:t>
      </w:r>
      <w:r w:rsidR="001E5E29" w:rsidRPr="008F3998">
        <w:rPr>
          <w:rFonts w:ascii="Times New Roman" w:hAnsi="Times New Roman" w:cs="Times New Roman"/>
          <w:position w:val="-12"/>
          <w:sz w:val="24"/>
        </w:rPr>
        <w:t>substitut</w:t>
      </w:r>
      <w:r w:rsidR="009F122F" w:rsidRPr="008F3998">
        <w:rPr>
          <w:rFonts w:ascii="Times New Roman" w:hAnsi="Times New Roman" w:cs="Times New Roman"/>
          <w:position w:val="-12"/>
          <w:sz w:val="24"/>
        </w:rPr>
        <w:t>e</w:t>
      </w:r>
      <w:r w:rsidR="001E5E29" w:rsidRPr="008F3998">
        <w:rPr>
          <w:rFonts w:ascii="Times New Roman" w:hAnsi="Times New Roman" w:cs="Times New Roman"/>
          <w:position w:val="-12"/>
          <w:sz w:val="24"/>
        </w:rPr>
        <w:t xml:space="preserve"> the country financial risk measures–</w:t>
      </w:r>
      <w:r w:rsidR="001E5E29" w:rsidRPr="008F3998">
        <w:rPr>
          <w:rFonts w:ascii="Times New Roman" w:hAnsi="Times New Roman" w:cs="Times New Roman"/>
          <w:i/>
          <w:position w:val="-12"/>
          <w:sz w:val="24"/>
        </w:rPr>
        <w:t>tail quantile</w:t>
      </w:r>
      <w:r w:rsidR="001E5E29" w:rsidRPr="008F3998">
        <w:rPr>
          <w:rFonts w:ascii="Times New Roman" w:hAnsi="Times New Roman" w:cs="Times New Roman"/>
          <w:position w:val="-12"/>
          <w:sz w:val="24"/>
        </w:rPr>
        <w:t xml:space="preserve"> and (tail) </w:t>
      </w:r>
      <w:r w:rsidR="001E5E29" w:rsidRPr="008F3998">
        <w:rPr>
          <w:rFonts w:ascii="Times New Roman" w:hAnsi="Times New Roman" w:cs="Times New Roman"/>
          <w:i/>
          <w:position w:val="-12"/>
          <w:sz w:val="24"/>
        </w:rPr>
        <w:t>expected shortfall</w:t>
      </w:r>
      <w:r w:rsidR="001E5E29" w:rsidRPr="008F3998">
        <w:rPr>
          <w:rFonts w:ascii="Times New Roman" w:hAnsi="Times New Roman" w:cs="Times New Roman"/>
          <w:position w:val="-12"/>
          <w:sz w:val="24"/>
        </w:rPr>
        <w:t>–calculated</w:t>
      </w:r>
      <w:r w:rsidR="00443F53" w:rsidRPr="008F3998">
        <w:rPr>
          <w:rFonts w:ascii="Times New Roman" w:hAnsi="Times New Roman" w:cs="Times New Roman"/>
          <w:position w:val="-12"/>
          <w:sz w:val="24"/>
        </w:rPr>
        <w:t xml:space="preserve"> </w:t>
      </w:r>
      <w:r w:rsidR="001E5E29" w:rsidRPr="008F3998">
        <w:rPr>
          <w:rFonts w:ascii="Times New Roman" w:hAnsi="Times New Roman" w:cs="Times New Roman"/>
          <w:position w:val="-12"/>
          <w:sz w:val="24"/>
        </w:rPr>
        <w:t>using 5-year government bond data and re-estimating equations (6)-(8).</w:t>
      </w:r>
    </w:p>
    <w:p w14:paraId="2E7A5FF2" w14:textId="5B9144FC" w:rsidR="00C669D2" w:rsidRPr="008F3998" w:rsidRDefault="009F122F" w:rsidP="008152B4">
      <w:pPr>
        <w:spacing w:line="360" w:lineRule="auto"/>
        <w:ind w:firstLine="720"/>
        <w:jc w:val="both"/>
        <w:rPr>
          <w:rFonts w:ascii="Times New Roman" w:hAnsi="Times New Roman" w:cs="Times New Roman"/>
          <w:position w:val="-12"/>
          <w:sz w:val="24"/>
        </w:rPr>
      </w:pPr>
      <w:r w:rsidRPr="008F3998">
        <w:rPr>
          <w:rFonts w:ascii="Times New Roman" w:hAnsi="Times New Roman" w:cs="Times New Roman"/>
          <w:position w:val="-12"/>
          <w:sz w:val="24"/>
        </w:rPr>
        <w:t>Furthermore</w:t>
      </w:r>
      <w:r w:rsidR="00C669D2" w:rsidRPr="008F3998">
        <w:rPr>
          <w:rFonts w:ascii="Times New Roman" w:hAnsi="Times New Roman" w:cs="Times New Roman"/>
          <w:position w:val="-12"/>
          <w:sz w:val="24"/>
        </w:rPr>
        <w:t>, we extend the national level analysis to three most-polluting sectors of the G7 economies: electricity, industry, and transport. This allows a more in-depth analysis by assessing how, if at all, the financial risk of these sectors is affected by the country’s CO</w:t>
      </w:r>
      <w:r w:rsidR="00C669D2" w:rsidRPr="008F3998">
        <w:rPr>
          <w:rFonts w:ascii="Times New Roman" w:hAnsi="Times New Roman" w:cs="Times New Roman"/>
          <w:position w:val="-12"/>
          <w:sz w:val="24"/>
          <w:vertAlign w:val="subscript"/>
        </w:rPr>
        <w:t>2</w:t>
      </w:r>
      <w:r w:rsidR="00C669D2" w:rsidRPr="008F3998">
        <w:rPr>
          <w:rFonts w:ascii="Times New Roman" w:hAnsi="Times New Roman" w:cs="Times New Roman"/>
          <w:position w:val="-12"/>
          <w:sz w:val="24"/>
        </w:rPr>
        <w:t xml:space="preserve"> emissions. The effect of carbon emissions on sector financial risk is examined by replacing the national level </w:t>
      </w:r>
      <w:r w:rsidR="00C669D2" w:rsidRPr="008F3998">
        <w:rPr>
          <w:rFonts w:ascii="Times New Roman" w:hAnsi="Times New Roman" w:cs="Times New Roman"/>
          <w:i/>
          <w:position w:val="-12"/>
          <w:sz w:val="24"/>
        </w:rPr>
        <w:t>tail quantile</w:t>
      </w:r>
      <w:r w:rsidR="00C669D2" w:rsidRPr="008F3998">
        <w:rPr>
          <w:rFonts w:ascii="Times New Roman" w:hAnsi="Times New Roman" w:cs="Times New Roman"/>
          <w:position w:val="-12"/>
          <w:sz w:val="24"/>
        </w:rPr>
        <w:t xml:space="preserve"> and (tail) </w:t>
      </w:r>
      <w:r w:rsidR="00C669D2" w:rsidRPr="008F3998">
        <w:rPr>
          <w:rFonts w:ascii="Times New Roman" w:hAnsi="Times New Roman" w:cs="Times New Roman"/>
          <w:i/>
          <w:position w:val="-12"/>
          <w:sz w:val="24"/>
        </w:rPr>
        <w:t>expected shortfall</w:t>
      </w:r>
      <w:r w:rsidR="00C669D2" w:rsidRPr="008F3998">
        <w:rPr>
          <w:rFonts w:ascii="Times New Roman" w:hAnsi="Times New Roman" w:cs="Times New Roman"/>
          <w:position w:val="-12"/>
          <w:sz w:val="24"/>
        </w:rPr>
        <w:t xml:space="preserve"> measures with that of each sector and re-estimating equations (6)-(8) for each sector.</w:t>
      </w:r>
    </w:p>
    <w:p w14:paraId="16B84A62" w14:textId="77777777" w:rsidR="007C65CE" w:rsidRPr="008F3998" w:rsidRDefault="007C65CE" w:rsidP="007C65CE">
      <w:pPr>
        <w:pStyle w:val="ListParagraph"/>
        <w:numPr>
          <w:ilvl w:val="1"/>
          <w:numId w:val="1"/>
        </w:numPr>
        <w:spacing w:line="360" w:lineRule="auto"/>
        <w:ind w:left="0" w:firstLine="0"/>
        <w:jc w:val="both"/>
        <w:rPr>
          <w:rFonts w:cs="Times New Roman"/>
          <w:i/>
          <w:szCs w:val="24"/>
        </w:rPr>
      </w:pPr>
      <w:r w:rsidRPr="008F3998">
        <w:rPr>
          <w:rFonts w:cs="Times New Roman"/>
          <w:i/>
          <w:szCs w:val="24"/>
        </w:rPr>
        <w:t>Descriptive Statistics</w:t>
      </w:r>
    </w:p>
    <w:p w14:paraId="370A41A2" w14:textId="77777777" w:rsidR="007C65CE" w:rsidRPr="008F3998" w:rsidRDefault="007C65CE" w:rsidP="007C65CE">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Table 1 explains the descriptive statistics of G7 countries. Of the risk measures, the mean values are similar in magnitudes, with the (tail) </w:t>
      </w:r>
      <w:r w:rsidRPr="008F3998">
        <w:rPr>
          <w:rFonts w:ascii="Times New Roman" w:hAnsi="Times New Roman" w:cs="Times New Roman"/>
          <w:i/>
          <w:sz w:val="24"/>
          <w:szCs w:val="24"/>
        </w:rPr>
        <w:t>expected shortfall</w:t>
      </w:r>
      <w:r w:rsidRPr="008F3998">
        <w:rPr>
          <w:rFonts w:ascii="Times New Roman" w:hAnsi="Times New Roman" w:cs="Times New Roman"/>
          <w:sz w:val="24"/>
          <w:szCs w:val="24"/>
        </w:rPr>
        <w:t xml:space="preserve"> of the transport sector registering the highest value, </w:t>
      </w:r>
      <w:proofErr w:type="gramStart"/>
      <w:r w:rsidRPr="008F3998">
        <w:rPr>
          <w:rFonts w:ascii="Times New Roman" w:hAnsi="Times New Roman" w:cs="Times New Roman"/>
          <w:sz w:val="24"/>
          <w:szCs w:val="24"/>
        </w:rPr>
        <w:t>followed</w:t>
      </w:r>
      <w:proofErr w:type="gramEnd"/>
      <w:r w:rsidRPr="008F3998">
        <w:rPr>
          <w:rFonts w:ascii="Times New Roman" w:hAnsi="Times New Roman" w:cs="Times New Roman"/>
          <w:sz w:val="24"/>
          <w:szCs w:val="24"/>
        </w:rPr>
        <w:t xml:space="preserve"> by </w:t>
      </w:r>
      <w:r w:rsidRPr="008F3998">
        <w:rPr>
          <w:rFonts w:ascii="Times New Roman" w:hAnsi="Times New Roman" w:cs="Times New Roman"/>
          <w:i/>
          <w:sz w:val="24"/>
          <w:szCs w:val="24"/>
        </w:rPr>
        <w:t>tail quantile</w:t>
      </w:r>
      <w:r w:rsidRPr="008F3998">
        <w:rPr>
          <w:rFonts w:ascii="Times New Roman" w:hAnsi="Times New Roman" w:cs="Times New Roman"/>
          <w:sz w:val="24"/>
          <w:szCs w:val="24"/>
        </w:rPr>
        <w:t xml:space="preserve"> measure of the electricity sector. The financial risk measures for the transport sector appear to have higher means compared to the national level, as well as other sectors. Turning to the other variables, we find the highest value of mean for market capitalization (</w:t>
      </w:r>
      <w:proofErr w:type="spellStart"/>
      <w:r w:rsidRPr="008F3998">
        <w:rPr>
          <w:rFonts w:ascii="Times New Roman" w:hAnsi="Times New Roman" w:cs="Times New Roman"/>
          <w:i/>
          <w:sz w:val="24"/>
          <w:szCs w:val="24"/>
        </w:rPr>
        <w:t>marcap</w:t>
      </w:r>
      <w:proofErr w:type="spellEnd"/>
      <w:r w:rsidRPr="008F3998">
        <w:rPr>
          <w:rFonts w:ascii="Times New Roman" w:hAnsi="Times New Roman" w:cs="Times New Roman"/>
          <w:sz w:val="24"/>
          <w:szCs w:val="24"/>
        </w:rPr>
        <w:t>), followed by international liquidity (</w:t>
      </w:r>
      <w:r w:rsidRPr="008F3998">
        <w:rPr>
          <w:rFonts w:ascii="Times New Roman" w:hAnsi="Times New Roman" w:cs="Times New Roman"/>
          <w:i/>
          <w:sz w:val="24"/>
          <w:szCs w:val="24"/>
        </w:rPr>
        <w:t>reserves</w:t>
      </w:r>
      <w:r w:rsidRPr="008F3998">
        <w:rPr>
          <w:rFonts w:ascii="Times New Roman" w:hAnsi="Times New Roman" w:cs="Times New Roman"/>
          <w:sz w:val="24"/>
          <w:szCs w:val="24"/>
        </w:rPr>
        <w:t>), yield spread between BBB- and AA-rated corporations (</w:t>
      </w:r>
      <w:proofErr w:type="spellStart"/>
      <w:r w:rsidRPr="008F3998">
        <w:rPr>
          <w:rFonts w:ascii="Times New Roman" w:hAnsi="Times New Roman" w:cs="Times New Roman"/>
          <w:i/>
          <w:sz w:val="24"/>
          <w:szCs w:val="24"/>
        </w:rPr>
        <w:t>igyield</w:t>
      </w:r>
      <w:proofErr w:type="spellEnd"/>
      <w:r w:rsidRPr="008F3998">
        <w:rPr>
          <w:rFonts w:ascii="Times New Roman" w:hAnsi="Times New Roman" w:cs="Times New Roman"/>
          <w:sz w:val="24"/>
          <w:szCs w:val="24"/>
        </w:rPr>
        <w:t>), debt to GDP ratio (</w:t>
      </w:r>
      <w:proofErr w:type="spellStart"/>
      <w:r w:rsidRPr="008F3998">
        <w:rPr>
          <w:rFonts w:ascii="Times New Roman" w:hAnsi="Times New Roman" w:cs="Times New Roman"/>
          <w:i/>
          <w:sz w:val="24"/>
          <w:szCs w:val="24"/>
        </w:rPr>
        <w:t>debtgdp</w:t>
      </w:r>
      <w:proofErr w:type="spellEnd"/>
      <w:r w:rsidRPr="008F3998">
        <w:rPr>
          <w:rFonts w:ascii="Times New Roman" w:hAnsi="Times New Roman" w:cs="Times New Roman"/>
          <w:sz w:val="24"/>
          <w:szCs w:val="24"/>
        </w:rPr>
        <w:t>), stock market volatility (</w:t>
      </w:r>
      <w:proofErr w:type="spellStart"/>
      <w:r w:rsidRPr="008F3998">
        <w:rPr>
          <w:rFonts w:ascii="Times New Roman" w:hAnsi="Times New Roman" w:cs="Times New Roman"/>
          <w:i/>
          <w:sz w:val="24"/>
          <w:szCs w:val="24"/>
        </w:rPr>
        <w:t>stmvol</w:t>
      </w:r>
      <w:proofErr w:type="spellEnd"/>
      <w:r w:rsidRPr="008F3998">
        <w:rPr>
          <w:rFonts w:ascii="Times New Roman" w:hAnsi="Times New Roman" w:cs="Times New Roman"/>
          <w:sz w:val="24"/>
          <w:szCs w:val="24"/>
        </w:rPr>
        <w:t>), yield spread between BB- and BBB-rated corporations (</w:t>
      </w:r>
      <w:proofErr w:type="spellStart"/>
      <w:r w:rsidRPr="008F3998">
        <w:rPr>
          <w:rFonts w:ascii="Times New Roman" w:hAnsi="Times New Roman" w:cs="Times New Roman"/>
          <w:i/>
          <w:sz w:val="24"/>
          <w:szCs w:val="24"/>
        </w:rPr>
        <w:t>hyyield</w:t>
      </w:r>
      <w:proofErr w:type="spellEnd"/>
      <w:r w:rsidRPr="008F3998">
        <w:rPr>
          <w:rFonts w:ascii="Times New Roman" w:hAnsi="Times New Roman" w:cs="Times New Roman"/>
          <w:sz w:val="24"/>
          <w:szCs w:val="24"/>
        </w:rPr>
        <w:t>), exchange rates (</w:t>
      </w:r>
      <w:proofErr w:type="spellStart"/>
      <w:r w:rsidRPr="008F3998">
        <w:rPr>
          <w:rFonts w:ascii="Times New Roman" w:hAnsi="Times New Roman" w:cs="Times New Roman"/>
          <w:i/>
          <w:sz w:val="24"/>
          <w:szCs w:val="24"/>
        </w:rPr>
        <w:t>exr</w:t>
      </w:r>
      <w:proofErr w:type="spellEnd"/>
      <w:r w:rsidRPr="008F3998">
        <w:rPr>
          <w:rFonts w:ascii="Times New Roman" w:hAnsi="Times New Roman" w:cs="Times New Roman"/>
          <w:sz w:val="24"/>
          <w:szCs w:val="24"/>
        </w:rPr>
        <w:t>), and carbon emissions (CO</w:t>
      </w:r>
      <w:r w:rsidRPr="008F3998">
        <w:rPr>
          <w:rFonts w:ascii="Times New Roman" w:hAnsi="Times New Roman" w:cs="Times New Roman"/>
          <w:sz w:val="24"/>
          <w:szCs w:val="24"/>
          <w:vertAlign w:val="subscript"/>
        </w:rPr>
        <w:t>2</w:t>
      </w:r>
      <w:r w:rsidRPr="008F3998">
        <w:rPr>
          <w:rFonts w:ascii="Times New Roman" w:hAnsi="Times New Roman" w:cs="Times New Roman"/>
          <w:sz w:val="24"/>
          <w:szCs w:val="24"/>
        </w:rPr>
        <w:t>). The remaining variables have respective means that are close to zero (0) in magnitude.</w:t>
      </w:r>
    </w:p>
    <w:p w14:paraId="1F84A7E4" w14:textId="2F88C1E1" w:rsidR="007C65CE" w:rsidRPr="008F3998" w:rsidRDefault="007C65CE" w:rsidP="007C65CE">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The standard deviation is found to be the highest</w:t>
      </w:r>
      <w:r w:rsidR="00812275" w:rsidRPr="008F3998">
        <w:rPr>
          <w:rFonts w:ascii="Times New Roman" w:hAnsi="Times New Roman" w:cs="Times New Roman"/>
          <w:sz w:val="24"/>
          <w:szCs w:val="24"/>
        </w:rPr>
        <w:t xml:space="preserve"> for</w:t>
      </w:r>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marcap</w:t>
      </w:r>
      <w:proofErr w:type="spellEnd"/>
      <w:r w:rsidRPr="008F3998">
        <w:rPr>
          <w:rFonts w:ascii="Times New Roman" w:hAnsi="Times New Roman" w:cs="Times New Roman"/>
          <w:sz w:val="24"/>
          <w:szCs w:val="24"/>
        </w:rPr>
        <w:t xml:space="preserve"> and </w:t>
      </w:r>
      <w:r w:rsidRPr="008F3998">
        <w:rPr>
          <w:rFonts w:ascii="Times New Roman" w:hAnsi="Times New Roman" w:cs="Times New Roman"/>
          <w:i/>
          <w:sz w:val="24"/>
          <w:szCs w:val="24"/>
        </w:rPr>
        <w:t>reserves</w:t>
      </w:r>
      <w:r w:rsidRPr="008F3998">
        <w:rPr>
          <w:rFonts w:ascii="Times New Roman" w:hAnsi="Times New Roman" w:cs="Times New Roman"/>
          <w:sz w:val="24"/>
          <w:szCs w:val="24"/>
        </w:rPr>
        <w:t>, followed by the measures for global financial shock</w:t>
      </w:r>
      <w:r w:rsidR="006A1534" w:rsidRPr="008F3998">
        <w:rPr>
          <w:rFonts w:ascii="Times New Roman" w:hAnsi="Times New Roman" w:cs="Times New Roman"/>
          <w:sz w:val="24"/>
          <w:szCs w:val="24"/>
        </w:rPr>
        <w:t>s</w:t>
      </w:r>
      <w:r w:rsidRPr="008F3998">
        <w:rPr>
          <w:rFonts w:ascii="Times New Roman" w:hAnsi="Times New Roman" w:cs="Times New Roman"/>
          <w:sz w:val="24"/>
          <w:szCs w:val="24"/>
        </w:rPr>
        <w:softHyphen/>
        <w:t>–</w:t>
      </w:r>
      <w:proofErr w:type="spellStart"/>
      <w:r w:rsidRPr="008F3998">
        <w:rPr>
          <w:rFonts w:ascii="Times New Roman" w:hAnsi="Times New Roman" w:cs="Times New Roman"/>
          <w:i/>
          <w:sz w:val="24"/>
          <w:szCs w:val="24"/>
        </w:rPr>
        <w:t>marmsci</w:t>
      </w:r>
      <w:proofErr w:type="spellEnd"/>
      <w:r w:rsidRPr="008F3998">
        <w:rPr>
          <w:rFonts w:ascii="Times New Roman" w:hAnsi="Times New Roman" w:cs="Times New Roman"/>
          <w:sz w:val="24"/>
          <w:szCs w:val="24"/>
        </w:rPr>
        <w:t xml:space="preserve"> and </w:t>
      </w:r>
      <w:r w:rsidRPr="008F3998">
        <w:rPr>
          <w:rFonts w:ascii="Times New Roman" w:hAnsi="Times New Roman" w:cs="Times New Roman"/>
          <w:i/>
          <w:sz w:val="24"/>
          <w:szCs w:val="24"/>
        </w:rPr>
        <w:t>stoxx50</w:t>
      </w:r>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igyield</w:t>
      </w:r>
      <w:proofErr w:type="spellEnd"/>
      <w:r w:rsidRPr="008F3998">
        <w:rPr>
          <w:rFonts w:ascii="Times New Roman" w:hAnsi="Times New Roman" w:cs="Times New Roman"/>
          <w:sz w:val="24"/>
          <w:szCs w:val="24"/>
        </w:rPr>
        <w:t>, local financial shocks–</w:t>
      </w:r>
      <w:proofErr w:type="spellStart"/>
      <w:r w:rsidRPr="008F3998">
        <w:rPr>
          <w:rFonts w:ascii="Times New Roman" w:hAnsi="Times New Roman" w:cs="Times New Roman"/>
          <w:i/>
          <w:sz w:val="24"/>
          <w:szCs w:val="24"/>
        </w:rPr>
        <w:t>finmsci</w:t>
      </w:r>
      <w:proofErr w:type="spellEnd"/>
      <w:r w:rsidRPr="008F3998">
        <w:rPr>
          <w:rFonts w:ascii="Times New Roman" w:hAnsi="Times New Roman" w:cs="Times New Roman"/>
          <w:sz w:val="24"/>
          <w:szCs w:val="24"/>
        </w:rPr>
        <w:t xml:space="preserve"> and </w:t>
      </w:r>
      <w:proofErr w:type="spellStart"/>
      <w:r w:rsidRPr="008F3998">
        <w:rPr>
          <w:rFonts w:ascii="Times New Roman" w:hAnsi="Times New Roman" w:cs="Times New Roman"/>
          <w:i/>
          <w:sz w:val="24"/>
          <w:szCs w:val="24"/>
        </w:rPr>
        <w:t>finmar</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hyyield</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debtgdp</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exr</w:t>
      </w:r>
      <w:proofErr w:type="spellEnd"/>
      <w:r w:rsidRPr="008F3998">
        <w:rPr>
          <w:rFonts w:ascii="Times New Roman" w:hAnsi="Times New Roman" w:cs="Times New Roman"/>
          <w:sz w:val="24"/>
          <w:szCs w:val="24"/>
        </w:rPr>
        <w:t xml:space="preserve">, and </w:t>
      </w:r>
      <w:proofErr w:type="spellStart"/>
      <w:r w:rsidRPr="008F3998">
        <w:rPr>
          <w:rFonts w:ascii="Times New Roman" w:hAnsi="Times New Roman" w:cs="Times New Roman"/>
          <w:i/>
          <w:sz w:val="24"/>
          <w:szCs w:val="24"/>
        </w:rPr>
        <w:t>stmvol</w:t>
      </w:r>
      <w:proofErr w:type="spellEnd"/>
      <w:r w:rsidRPr="008F3998">
        <w:rPr>
          <w:rFonts w:ascii="Times New Roman" w:hAnsi="Times New Roman" w:cs="Times New Roman"/>
          <w:sz w:val="24"/>
          <w:szCs w:val="24"/>
        </w:rPr>
        <w:t xml:space="preserve">. The remaining variables have single-digit standard deviations. In addition, the country financial risk measures as well as the carbon emissions appear to have high standard deviations compared to their respective means. The minimum value is the lowest for </w:t>
      </w:r>
      <w:proofErr w:type="spellStart"/>
      <w:r w:rsidRPr="008F3998">
        <w:rPr>
          <w:rFonts w:ascii="Times New Roman" w:hAnsi="Times New Roman" w:cs="Times New Roman"/>
          <w:i/>
          <w:sz w:val="24"/>
          <w:szCs w:val="24"/>
        </w:rPr>
        <w:t>marmsci</w:t>
      </w:r>
      <w:proofErr w:type="spellEnd"/>
      <w:r w:rsidRPr="008F3998">
        <w:rPr>
          <w:rFonts w:ascii="Times New Roman" w:hAnsi="Times New Roman" w:cs="Times New Roman"/>
          <w:sz w:val="24"/>
          <w:szCs w:val="24"/>
        </w:rPr>
        <w:t xml:space="preserve">, followed by </w:t>
      </w:r>
      <w:r w:rsidRPr="008F3998">
        <w:rPr>
          <w:rFonts w:ascii="Times New Roman" w:hAnsi="Times New Roman" w:cs="Times New Roman"/>
          <w:i/>
          <w:sz w:val="24"/>
          <w:szCs w:val="24"/>
        </w:rPr>
        <w:t>stoxx50</w:t>
      </w:r>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finmsci</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finmar</w:t>
      </w:r>
      <w:proofErr w:type="spellEnd"/>
      <w:r w:rsidRPr="008F3998">
        <w:rPr>
          <w:rFonts w:ascii="Times New Roman" w:hAnsi="Times New Roman" w:cs="Times New Roman"/>
          <w:sz w:val="24"/>
          <w:szCs w:val="24"/>
        </w:rPr>
        <w:t>, and local financials (</w:t>
      </w:r>
      <w:proofErr w:type="spellStart"/>
      <w:r w:rsidRPr="008F3998">
        <w:rPr>
          <w:rFonts w:ascii="Times New Roman" w:hAnsi="Times New Roman" w:cs="Times New Roman"/>
          <w:i/>
          <w:sz w:val="24"/>
          <w:szCs w:val="24"/>
        </w:rPr>
        <w:t>locfin</w:t>
      </w:r>
      <w:proofErr w:type="spellEnd"/>
      <w:r w:rsidRPr="008F3998">
        <w:rPr>
          <w:rFonts w:ascii="Times New Roman" w:hAnsi="Times New Roman" w:cs="Times New Roman"/>
          <w:sz w:val="24"/>
          <w:szCs w:val="24"/>
        </w:rPr>
        <w:t xml:space="preserve">). The minimum values of the remainder of the variables are relatively high. For the financial risk measures, the </w:t>
      </w:r>
      <w:r w:rsidRPr="008F3998">
        <w:rPr>
          <w:rFonts w:ascii="Times New Roman" w:hAnsi="Times New Roman" w:cs="Times New Roman"/>
          <w:i/>
          <w:sz w:val="24"/>
          <w:szCs w:val="24"/>
        </w:rPr>
        <w:t>tail quantile</w:t>
      </w:r>
      <w:r w:rsidRPr="008F3998">
        <w:rPr>
          <w:rFonts w:ascii="Times New Roman" w:hAnsi="Times New Roman" w:cs="Times New Roman"/>
          <w:sz w:val="24"/>
          <w:szCs w:val="24"/>
        </w:rPr>
        <w:t xml:space="preserve"> measures show higher minimum values relative to their </w:t>
      </w:r>
      <w:r w:rsidRPr="008F3998">
        <w:rPr>
          <w:rFonts w:ascii="Times New Roman" w:hAnsi="Times New Roman" w:cs="Times New Roman"/>
          <w:i/>
          <w:sz w:val="24"/>
          <w:szCs w:val="24"/>
        </w:rPr>
        <w:t>expected shortfall</w:t>
      </w:r>
      <w:r w:rsidRPr="008F3998">
        <w:rPr>
          <w:rFonts w:ascii="Times New Roman" w:hAnsi="Times New Roman" w:cs="Times New Roman"/>
          <w:sz w:val="24"/>
          <w:szCs w:val="24"/>
        </w:rPr>
        <w:t xml:space="preserve"> counterparts. The maximum values are the largest for </w:t>
      </w:r>
      <w:proofErr w:type="spellStart"/>
      <w:r w:rsidRPr="008F3998">
        <w:rPr>
          <w:rFonts w:ascii="Times New Roman" w:hAnsi="Times New Roman" w:cs="Times New Roman"/>
          <w:i/>
          <w:sz w:val="24"/>
          <w:szCs w:val="24"/>
        </w:rPr>
        <w:t>marcap</w:t>
      </w:r>
      <w:proofErr w:type="spellEnd"/>
      <w:r w:rsidRPr="008F3998">
        <w:rPr>
          <w:rFonts w:ascii="Times New Roman" w:hAnsi="Times New Roman" w:cs="Times New Roman"/>
          <w:sz w:val="24"/>
          <w:szCs w:val="24"/>
        </w:rPr>
        <w:t xml:space="preserve">, </w:t>
      </w:r>
      <w:r w:rsidRPr="008F3998">
        <w:rPr>
          <w:rFonts w:ascii="Times New Roman" w:hAnsi="Times New Roman" w:cs="Times New Roman"/>
          <w:i/>
          <w:sz w:val="24"/>
          <w:szCs w:val="24"/>
        </w:rPr>
        <w:t>reserves</w:t>
      </w:r>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marmsci</w:t>
      </w:r>
      <w:proofErr w:type="spellEnd"/>
      <w:r w:rsidRPr="008F3998">
        <w:rPr>
          <w:rFonts w:ascii="Times New Roman" w:hAnsi="Times New Roman" w:cs="Times New Roman"/>
          <w:sz w:val="24"/>
          <w:szCs w:val="24"/>
        </w:rPr>
        <w:t xml:space="preserve">, </w:t>
      </w:r>
      <w:r w:rsidRPr="008F3998">
        <w:rPr>
          <w:rFonts w:ascii="Times New Roman" w:hAnsi="Times New Roman" w:cs="Times New Roman"/>
          <w:i/>
          <w:sz w:val="24"/>
          <w:szCs w:val="24"/>
        </w:rPr>
        <w:t>stoxx50</w:t>
      </w:r>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igyield</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hyyield</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debtgdp</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finmar</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finmsci</w:t>
      </w:r>
      <w:proofErr w:type="spellEnd"/>
      <w:r w:rsidRPr="008F3998">
        <w:rPr>
          <w:rFonts w:ascii="Times New Roman" w:hAnsi="Times New Roman" w:cs="Times New Roman"/>
          <w:sz w:val="24"/>
          <w:szCs w:val="24"/>
        </w:rPr>
        <w:t xml:space="preserve">, </w:t>
      </w:r>
      <w:proofErr w:type="spellStart"/>
      <w:r w:rsidRPr="008F3998">
        <w:rPr>
          <w:rFonts w:ascii="Times New Roman" w:hAnsi="Times New Roman" w:cs="Times New Roman"/>
          <w:i/>
          <w:sz w:val="24"/>
          <w:szCs w:val="24"/>
        </w:rPr>
        <w:t>exr</w:t>
      </w:r>
      <w:proofErr w:type="spellEnd"/>
      <w:r w:rsidRPr="008F3998">
        <w:rPr>
          <w:rFonts w:ascii="Times New Roman" w:hAnsi="Times New Roman" w:cs="Times New Roman"/>
          <w:sz w:val="24"/>
          <w:szCs w:val="24"/>
        </w:rPr>
        <w:t xml:space="preserve">, and </w:t>
      </w:r>
      <w:proofErr w:type="spellStart"/>
      <w:r w:rsidRPr="008F3998">
        <w:rPr>
          <w:rFonts w:ascii="Times New Roman" w:hAnsi="Times New Roman" w:cs="Times New Roman"/>
          <w:i/>
          <w:sz w:val="24"/>
          <w:szCs w:val="24"/>
        </w:rPr>
        <w:t>stmvol</w:t>
      </w:r>
      <w:proofErr w:type="spellEnd"/>
      <w:r w:rsidRPr="008F3998">
        <w:rPr>
          <w:rFonts w:ascii="Times New Roman" w:hAnsi="Times New Roman" w:cs="Times New Roman"/>
          <w:sz w:val="24"/>
          <w:szCs w:val="24"/>
        </w:rPr>
        <w:t>. The maximum values in the other variables are less than 100 in magnitude. Here too, the country risk measures are relatively high in contrast to their mean and minimum values. The national level risk measures are higher than that of their sectoral counterparts.</w:t>
      </w:r>
    </w:p>
    <w:p w14:paraId="3F29869B" w14:textId="77777777" w:rsidR="007C65CE" w:rsidRPr="008F3998" w:rsidRDefault="007C65CE" w:rsidP="007C65CE">
      <w:pPr>
        <w:spacing w:after="0"/>
        <w:jc w:val="both"/>
        <w:rPr>
          <w:rFonts w:ascii="Times New Roman" w:hAnsi="Times New Roman" w:cs="Times New Roman"/>
          <w:b/>
        </w:rPr>
      </w:pPr>
      <w:r w:rsidRPr="008F3998">
        <w:rPr>
          <w:rFonts w:ascii="Times New Roman" w:hAnsi="Times New Roman" w:cs="Times New Roman"/>
          <w:b/>
        </w:rPr>
        <w:t xml:space="preserve">Table 1: Descriptive statistics </w:t>
      </w:r>
    </w:p>
    <w:tbl>
      <w:tblPr>
        <w:tblW w:w="5000" w:type="pct"/>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4430"/>
        <w:gridCol w:w="528"/>
        <w:gridCol w:w="1197"/>
        <w:gridCol w:w="1197"/>
        <w:gridCol w:w="1197"/>
        <w:gridCol w:w="1197"/>
      </w:tblGrid>
      <w:tr w:rsidR="008F3998" w:rsidRPr="008F3998" w14:paraId="70833192" w14:textId="77777777" w:rsidTr="00044CB7">
        <w:tc>
          <w:tcPr>
            <w:tcW w:w="2273" w:type="pct"/>
            <w:tcBorders>
              <w:top w:val="single" w:sz="4" w:space="0" w:color="auto"/>
              <w:bottom w:val="single" w:sz="4" w:space="0" w:color="auto"/>
            </w:tcBorders>
          </w:tcPr>
          <w:p w14:paraId="371DCBA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Variables</w:t>
            </w:r>
          </w:p>
        </w:tc>
        <w:tc>
          <w:tcPr>
            <w:tcW w:w="271" w:type="pct"/>
            <w:tcBorders>
              <w:top w:val="single" w:sz="4" w:space="0" w:color="auto"/>
              <w:bottom w:val="single" w:sz="4" w:space="0" w:color="auto"/>
            </w:tcBorders>
          </w:tcPr>
          <w:p w14:paraId="0D1B0D0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N</w:t>
            </w:r>
          </w:p>
        </w:tc>
        <w:tc>
          <w:tcPr>
            <w:tcW w:w="614" w:type="pct"/>
            <w:tcBorders>
              <w:top w:val="single" w:sz="4" w:space="0" w:color="auto"/>
              <w:bottom w:val="single" w:sz="4" w:space="0" w:color="auto"/>
            </w:tcBorders>
          </w:tcPr>
          <w:p w14:paraId="61D092D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Mean</w:t>
            </w:r>
          </w:p>
        </w:tc>
        <w:tc>
          <w:tcPr>
            <w:tcW w:w="614" w:type="pct"/>
            <w:tcBorders>
              <w:top w:val="single" w:sz="4" w:space="0" w:color="auto"/>
              <w:bottom w:val="single" w:sz="4" w:space="0" w:color="auto"/>
            </w:tcBorders>
          </w:tcPr>
          <w:p w14:paraId="199D8019"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Std. Dev.</w:t>
            </w:r>
          </w:p>
        </w:tc>
        <w:tc>
          <w:tcPr>
            <w:tcW w:w="614" w:type="pct"/>
            <w:tcBorders>
              <w:top w:val="single" w:sz="4" w:space="0" w:color="auto"/>
              <w:bottom w:val="single" w:sz="4" w:space="0" w:color="auto"/>
            </w:tcBorders>
          </w:tcPr>
          <w:p w14:paraId="4A47F19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Min.</w:t>
            </w:r>
          </w:p>
        </w:tc>
        <w:tc>
          <w:tcPr>
            <w:tcW w:w="614" w:type="pct"/>
            <w:tcBorders>
              <w:top w:val="single" w:sz="4" w:space="0" w:color="auto"/>
              <w:bottom w:val="single" w:sz="4" w:space="0" w:color="auto"/>
            </w:tcBorders>
          </w:tcPr>
          <w:p w14:paraId="450BCB4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Max.</w:t>
            </w:r>
          </w:p>
        </w:tc>
      </w:tr>
      <w:tr w:rsidR="008F3998" w:rsidRPr="008F3998" w14:paraId="33143887" w14:textId="77777777" w:rsidTr="00044CB7">
        <w:tc>
          <w:tcPr>
            <w:tcW w:w="2273" w:type="pct"/>
            <w:tcBorders>
              <w:top w:val="single" w:sz="4" w:space="0" w:color="auto"/>
            </w:tcBorders>
          </w:tcPr>
          <w:p w14:paraId="74119DC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Tail Quantile (National level)</w:t>
            </w:r>
          </w:p>
        </w:tc>
        <w:tc>
          <w:tcPr>
            <w:tcW w:w="271" w:type="pct"/>
            <w:tcBorders>
              <w:top w:val="single" w:sz="4" w:space="0" w:color="auto"/>
            </w:tcBorders>
          </w:tcPr>
          <w:p w14:paraId="62DDEEB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Borders>
              <w:top w:val="single" w:sz="4" w:space="0" w:color="auto"/>
            </w:tcBorders>
          </w:tcPr>
          <w:p w14:paraId="771C018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7.707</w:t>
            </w:r>
          </w:p>
        </w:tc>
        <w:tc>
          <w:tcPr>
            <w:tcW w:w="614" w:type="pct"/>
            <w:tcBorders>
              <w:top w:val="single" w:sz="4" w:space="0" w:color="auto"/>
            </w:tcBorders>
          </w:tcPr>
          <w:p w14:paraId="08746FF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2.944</w:t>
            </w:r>
          </w:p>
        </w:tc>
        <w:tc>
          <w:tcPr>
            <w:tcW w:w="614" w:type="pct"/>
            <w:tcBorders>
              <w:top w:val="single" w:sz="4" w:space="0" w:color="auto"/>
            </w:tcBorders>
          </w:tcPr>
          <w:p w14:paraId="75F8266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3.331</w:t>
            </w:r>
          </w:p>
        </w:tc>
        <w:tc>
          <w:tcPr>
            <w:tcW w:w="614" w:type="pct"/>
            <w:tcBorders>
              <w:top w:val="single" w:sz="4" w:space="0" w:color="auto"/>
            </w:tcBorders>
          </w:tcPr>
          <w:p w14:paraId="4BE5344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18.26</w:t>
            </w:r>
          </w:p>
        </w:tc>
      </w:tr>
      <w:tr w:rsidR="008F3998" w:rsidRPr="008F3998" w14:paraId="228BDF33" w14:textId="77777777" w:rsidTr="00044CB7">
        <w:tc>
          <w:tcPr>
            <w:tcW w:w="2273" w:type="pct"/>
          </w:tcPr>
          <w:p w14:paraId="29C9629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Expected Shortfall (National level)</w:t>
            </w:r>
          </w:p>
        </w:tc>
        <w:tc>
          <w:tcPr>
            <w:tcW w:w="271" w:type="pct"/>
          </w:tcPr>
          <w:p w14:paraId="2DD91D7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7D4D394B"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7.305</w:t>
            </w:r>
          </w:p>
        </w:tc>
        <w:tc>
          <w:tcPr>
            <w:tcW w:w="614" w:type="pct"/>
          </w:tcPr>
          <w:p w14:paraId="169C003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4.180</w:t>
            </w:r>
          </w:p>
        </w:tc>
        <w:tc>
          <w:tcPr>
            <w:tcW w:w="614" w:type="pct"/>
          </w:tcPr>
          <w:p w14:paraId="79C1DFB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1.364</w:t>
            </w:r>
          </w:p>
        </w:tc>
        <w:tc>
          <w:tcPr>
            <w:tcW w:w="614" w:type="pct"/>
          </w:tcPr>
          <w:p w14:paraId="1DB0CBE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24.73</w:t>
            </w:r>
          </w:p>
        </w:tc>
      </w:tr>
      <w:tr w:rsidR="008F3998" w:rsidRPr="008F3998" w14:paraId="408BBBB2" w14:textId="77777777" w:rsidTr="00044CB7">
        <w:tc>
          <w:tcPr>
            <w:tcW w:w="2273" w:type="pct"/>
          </w:tcPr>
          <w:p w14:paraId="6AFE5F6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Tail quantile (electricity)</w:t>
            </w:r>
          </w:p>
        </w:tc>
        <w:tc>
          <w:tcPr>
            <w:tcW w:w="271" w:type="pct"/>
          </w:tcPr>
          <w:p w14:paraId="3B9F9F6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131</w:t>
            </w:r>
          </w:p>
        </w:tc>
        <w:tc>
          <w:tcPr>
            <w:tcW w:w="614" w:type="pct"/>
          </w:tcPr>
          <w:p w14:paraId="75B3254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8.147</w:t>
            </w:r>
          </w:p>
        </w:tc>
        <w:tc>
          <w:tcPr>
            <w:tcW w:w="614" w:type="pct"/>
          </w:tcPr>
          <w:p w14:paraId="74AA267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4.285</w:t>
            </w:r>
          </w:p>
        </w:tc>
        <w:tc>
          <w:tcPr>
            <w:tcW w:w="614" w:type="pct"/>
          </w:tcPr>
          <w:p w14:paraId="3E920E2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1.190</w:t>
            </w:r>
          </w:p>
        </w:tc>
        <w:tc>
          <w:tcPr>
            <w:tcW w:w="614" w:type="pct"/>
          </w:tcPr>
          <w:p w14:paraId="0436ACB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20.47</w:t>
            </w:r>
          </w:p>
        </w:tc>
      </w:tr>
      <w:tr w:rsidR="008F3998" w:rsidRPr="008F3998" w14:paraId="2ED4DCA8" w14:textId="77777777" w:rsidTr="00044CB7">
        <w:tc>
          <w:tcPr>
            <w:tcW w:w="2273" w:type="pct"/>
          </w:tcPr>
          <w:p w14:paraId="4BAC7AB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Expected shortfall (electricity)</w:t>
            </w:r>
          </w:p>
        </w:tc>
        <w:tc>
          <w:tcPr>
            <w:tcW w:w="271" w:type="pct"/>
          </w:tcPr>
          <w:p w14:paraId="32EDDE7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131</w:t>
            </w:r>
          </w:p>
        </w:tc>
        <w:tc>
          <w:tcPr>
            <w:tcW w:w="614" w:type="pct"/>
          </w:tcPr>
          <w:p w14:paraId="6A7D008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7.620</w:t>
            </w:r>
          </w:p>
        </w:tc>
        <w:tc>
          <w:tcPr>
            <w:tcW w:w="614" w:type="pct"/>
          </w:tcPr>
          <w:p w14:paraId="58893D5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4.925</w:t>
            </w:r>
          </w:p>
        </w:tc>
        <w:tc>
          <w:tcPr>
            <w:tcW w:w="614" w:type="pct"/>
          </w:tcPr>
          <w:p w14:paraId="240207D9"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0.275</w:t>
            </w:r>
          </w:p>
        </w:tc>
        <w:tc>
          <w:tcPr>
            <w:tcW w:w="614" w:type="pct"/>
          </w:tcPr>
          <w:p w14:paraId="7CF3C4E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23.65</w:t>
            </w:r>
          </w:p>
        </w:tc>
      </w:tr>
      <w:tr w:rsidR="008F3998" w:rsidRPr="008F3998" w14:paraId="224DDB2B" w14:textId="77777777" w:rsidTr="00044CB7">
        <w:tc>
          <w:tcPr>
            <w:tcW w:w="2273" w:type="pct"/>
          </w:tcPr>
          <w:p w14:paraId="3721E8A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Tail quantile (industry)</w:t>
            </w:r>
          </w:p>
        </w:tc>
        <w:tc>
          <w:tcPr>
            <w:tcW w:w="271" w:type="pct"/>
          </w:tcPr>
          <w:p w14:paraId="2AE8384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29C39FD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7.202</w:t>
            </w:r>
          </w:p>
        </w:tc>
        <w:tc>
          <w:tcPr>
            <w:tcW w:w="614" w:type="pct"/>
          </w:tcPr>
          <w:p w14:paraId="50D7966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2.637</w:t>
            </w:r>
          </w:p>
        </w:tc>
        <w:tc>
          <w:tcPr>
            <w:tcW w:w="614" w:type="pct"/>
          </w:tcPr>
          <w:p w14:paraId="79B0E59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3.381</w:t>
            </w:r>
          </w:p>
        </w:tc>
        <w:tc>
          <w:tcPr>
            <w:tcW w:w="614" w:type="pct"/>
          </w:tcPr>
          <w:p w14:paraId="1264062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17.53</w:t>
            </w:r>
          </w:p>
        </w:tc>
      </w:tr>
      <w:tr w:rsidR="008F3998" w:rsidRPr="008F3998" w14:paraId="79E5CBB3" w14:textId="77777777" w:rsidTr="00044CB7">
        <w:tc>
          <w:tcPr>
            <w:tcW w:w="2273" w:type="pct"/>
          </w:tcPr>
          <w:p w14:paraId="1FDDCCE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Expected shortfall (industry)</w:t>
            </w:r>
          </w:p>
        </w:tc>
        <w:tc>
          <w:tcPr>
            <w:tcW w:w="271" w:type="pct"/>
          </w:tcPr>
          <w:p w14:paraId="1B0A69F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798F534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7.366</w:t>
            </w:r>
          </w:p>
        </w:tc>
        <w:tc>
          <w:tcPr>
            <w:tcW w:w="614" w:type="pct"/>
          </w:tcPr>
          <w:p w14:paraId="0A7BFB3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3.820</w:t>
            </w:r>
          </w:p>
        </w:tc>
        <w:tc>
          <w:tcPr>
            <w:tcW w:w="614" w:type="pct"/>
          </w:tcPr>
          <w:p w14:paraId="5160DD5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1.732</w:t>
            </w:r>
          </w:p>
        </w:tc>
        <w:tc>
          <w:tcPr>
            <w:tcW w:w="614" w:type="pct"/>
          </w:tcPr>
          <w:p w14:paraId="0C176E0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22.74</w:t>
            </w:r>
          </w:p>
        </w:tc>
      </w:tr>
      <w:tr w:rsidR="008F3998" w:rsidRPr="008F3998" w14:paraId="64ECD334" w14:textId="77777777" w:rsidTr="00044CB7">
        <w:tc>
          <w:tcPr>
            <w:tcW w:w="2273" w:type="pct"/>
            <w:tcBorders>
              <w:bottom w:val="nil"/>
            </w:tcBorders>
          </w:tcPr>
          <w:p w14:paraId="7FC4903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Tail quantile (transport)</w:t>
            </w:r>
          </w:p>
        </w:tc>
        <w:tc>
          <w:tcPr>
            <w:tcW w:w="271" w:type="pct"/>
            <w:tcBorders>
              <w:bottom w:val="nil"/>
            </w:tcBorders>
          </w:tcPr>
          <w:p w14:paraId="32DD1699"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Borders>
              <w:bottom w:val="nil"/>
            </w:tcBorders>
          </w:tcPr>
          <w:p w14:paraId="66B8C139"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7.643</w:t>
            </w:r>
          </w:p>
        </w:tc>
        <w:tc>
          <w:tcPr>
            <w:tcW w:w="614" w:type="pct"/>
            <w:tcBorders>
              <w:bottom w:val="nil"/>
            </w:tcBorders>
          </w:tcPr>
          <w:p w14:paraId="58D9992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2.746</w:t>
            </w:r>
          </w:p>
        </w:tc>
        <w:tc>
          <w:tcPr>
            <w:tcW w:w="614" w:type="pct"/>
            <w:tcBorders>
              <w:bottom w:val="nil"/>
            </w:tcBorders>
          </w:tcPr>
          <w:p w14:paraId="2ED520C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3.522</w:t>
            </w:r>
          </w:p>
        </w:tc>
        <w:tc>
          <w:tcPr>
            <w:tcW w:w="614" w:type="pct"/>
            <w:tcBorders>
              <w:bottom w:val="nil"/>
            </w:tcBorders>
          </w:tcPr>
          <w:p w14:paraId="4157EB5B"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15.34</w:t>
            </w:r>
          </w:p>
        </w:tc>
      </w:tr>
      <w:tr w:rsidR="008F3998" w:rsidRPr="008F3998" w14:paraId="05C0AD91" w14:textId="77777777" w:rsidTr="00044CB7">
        <w:tc>
          <w:tcPr>
            <w:tcW w:w="2273" w:type="pct"/>
            <w:tcBorders>
              <w:top w:val="nil"/>
              <w:bottom w:val="nil"/>
            </w:tcBorders>
          </w:tcPr>
          <w:p w14:paraId="6C6F673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Expected shortfall (transport)</w:t>
            </w:r>
          </w:p>
        </w:tc>
        <w:tc>
          <w:tcPr>
            <w:tcW w:w="271" w:type="pct"/>
            <w:tcBorders>
              <w:top w:val="nil"/>
              <w:bottom w:val="nil"/>
            </w:tcBorders>
          </w:tcPr>
          <w:p w14:paraId="08D8072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Borders>
              <w:top w:val="nil"/>
              <w:bottom w:val="nil"/>
            </w:tcBorders>
          </w:tcPr>
          <w:p w14:paraId="6296DFA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8.439</w:t>
            </w:r>
          </w:p>
        </w:tc>
        <w:tc>
          <w:tcPr>
            <w:tcW w:w="614" w:type="pct"/>
            <w:tcBorders>
              <w:top w:val="nil"/>
              <w:bottom w:val="nil"/>
            </w:tcBorders>
          </w:tcPr>
          <w:p w14:paraId="510EA88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4.728</w:t>
            </w:r>
          </w:p>
        </w:tc>
        <w:tc>
          <w:tcPr>
            <w:tcW w:w="614" w:type="pct"/>
            <w:tcBorders>
              <w:top w:val="nil"/>
              <w:bottom w:val="nil"/>
            </w:tcBorders>
          </w:tcPr>
          <w:p w14:paraId="3A6489A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2.184</w:t>
            </w:r>
          </w:p>
        </w:tc>
        <w:tc>
          <w:tcPr>
            <w:tcW w:w="614" w:type="pct"/>
            <w:tcBorders>
              <w:top w:val="nil"/>
              <w:bottom w:val="nil"/>
            </w:tcBorders>
          </w:tcPr>
          <w:p w14:paraId="3E029FF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23.35</w:t>
            </w:r>
          </w:p>
        </w:tc>
      </w:tr>
      <w:tr w:rsidR="008F3998" w:rsidRPr="008F3998" w14:paraId="3E086153" w14:textId="77777777" w:rsidTr="00044CB7">
        <w:tc>
          <w:tcPr>
            <w:tcW w:w="2273" w:type="pct"/>
            <w:tcBorders>
              <w:top w:val="nil"/>
            </w:tcBorders>
          </w:tcPr>
          <w:p w14:paraId="4BCF426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CO</w:t>
            </w:r>
            <w:r w:rsidRPr="008F3998">
              <w:rPr>
                <w:rFonts w:ascii="Times New Roman" w:hAnsi="Times New Roman" w:cs="Times New Roman"/>
                <w:vertAlign w:val="subscript"/>
              </w:rPr>
              <w:t>2</w:t>
            </w:r>
          </w:p>
        </w:tc>
        <w:tc>
          <w:tcPr>
            <w:tcW w:w="271" w:type="pct"/>
            <w:tcBorders>
              <w:top w:val="nil"/>
            </w:tcBorders>
          </w:tcPr>
          <w:p w14:paraId="69345CF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Borders>
              <w:top w:val="nil"/>
            </w:tcBorders>
          </w:tcPr>
          <w:p w14:paraId="18E0266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10.84</w:t>
            </w:r>
          </w:p>
        </w:tc>
        <w:tc>
          <w:tcPr>
            <w:tcW w:w="614" w:type="pct"/>
            <w:tcBorders>
              <w:top w:val="nil"/>
            </w:tcBorders>
          </w:tcPr>
          <w:p w14:paraId="6A2D5A9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4.539</w:t>
            </w:r>
          </w:p>
        </w:tc>
        <w:tc>
          <w:tcPr>
            <w:tcW w:w="614" w:type="pct"/>
            <w:tcBorders>
              <w:top w:val="nil"/>
            </w:tcBorders>
          </w:tcPr>
          <w:p w14:paraId="68F9164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4.573</w:t>
            </w:r>
          </w:p>
        </w:tc>
        <w:tc>
          <w:tcPr>
            <w:tcW w:w="614" w:type="pct"/>
            <w:tcBorders>
              <w:top w:val="nil"/>
            </w:tcBorders>
          </w:tcPr>
          <w:p w14:paraId="36D9010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20.18</w:t>
            </w:r>
          </w:p>
        </w:tc>
      </w:tr>
      <w:tr w:rsidR="008F3998" w:rsidRPr="008F3998" w14:paraId="170D55A6" w14:textId="77777777" w:rsidTr="00044CB7">
        <w:tc>
          <w:tcPr>
            <w:tcW w:w="2273" w:type="pct"/>
          </w:tcPr>
          <w:p w14:paraId="628A7E7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debtgdp</w:t>
            </w:r>
            <w:proofErr w:type="spellEnd"/>
          </w:p>
        </w:tc>
        <w:tc>
          <w:tcPr>
            <w:tcW w:w="271" w:type="pct"/>
          </w:tcPr>
          <w:p w14:paraId="7621DEA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0C68E8C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89.32</w:t>
            </w:r>
          </w:p>
        </w:tc>
        <w:tc>
          <w:tcPr>
            <w:tcW w:w="614" w:type="pct"/>
          </w:tcPr>
          <w:p w14:paraId="2FB6978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42.66</w:t>
            </w:r>
          </w:p>
        </w:tc>
        <w:tc>
          <w:tcPr>
            <w:tcW w:w="614" w:type="pct"/>
          </w:tcPr>
          <w:p w14:paraId="0ADFADE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34.32</w:t>
            </w:r>
          </w:p>
        </w:tc>
        <w:tc>
          <w:tcPr>
            <w:tcW w:w="614" w:type="pct"/>
          </w:tcPr>
          <w:p w14:paraId="421E14B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236.1</w:t>
            </w:r>
          </w:p>
        </w:tc>
      </w:tr>
      <w:tr w:rsidR="008F3998" w:rsidRPr="008F3998" w14:paraId="23F1A5EE" w14:textId="77777777" w:rsidTr="00044CB7">
        <w:tc>
          <w:tcPr>
            <w:tcW w:w="2273" w:type="pct"/>
          </w:tcPr>
          <w:p w14:paraId="759B786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totvol</w:t>
            </w:r>
            <w:proofErr w:type="spellEnd"/>
          </w:p>
        </w:tc>
        <w:tc>
          <w:tcPr>
            <w:tcW w:w="271" w:type="pct"/>
          </w:tcPr>
          <w:p w14:paraId="6865E81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2886C0C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2.048</w:t>
            </w:r>
          </w:p>
        </w:tc>
        <w:tc>
          <w:tcPr>
            <w:tcW w:w="614" w:type="pct"/>
          </w:tcPr>
          <w:p w14:paraId="549F8CFB"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1.616</w:t>
            </w:r>
          </w:p>
        </w:tc>
        <w:tc>
          <w:tcPr>
            <w:tcW w:w="614" w:type="pct"/>
          </w:tcPr>
          <w:p w14:paraId="07F0537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0.258</w:t>
            </w:r>
          </w:p>
        </w:tc>
        <w:tc>
          <w:tcPr>
            <w:tcW w:w="614" w:type="pct"/>
          </w:tcPr>
          <w:p w14:paraId="29BF1E1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8.043</w:t>
            </w:r>
          </w:p>
        </w:tc>
      </w:tr>
      <w:tr w:rsidR="008F3998" w:rsidRPr="008F3998" w14:paraId="42AB5076" w14:textId="77777777" w:rsidTr="00044CB7">
        <w:tc>
          <w:tcPr>
            <w:tcW w:w="2273" w:type="pct"/>
          </w:tcPr>
          <w:p w14:paraId="08776BF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exr</w:t>
            </w:r>
            <w:proofErr w:type="spellEnd"/>
          </w:p>
        </w:tc>
        <w:tc>
          <w:tcPr>
            <w:tcW w:w="271" w:type="pct"/>
          </w:tcPr>
          <w:p w14:paraId="68748CC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5A4ACAF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16.15</w:t>
            </w:r>
          </w:p>
        </w:tc>
        <w:tc>
          <w:tcPr>
            <w:tcW w:w="614" w:type="pct"/>
          </w:tcPr>
          <w:p w14:paraId="025A84C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37.88</w:t>
            </w:r>
          </w:p>
        </w:tc>
        <w:tc>
          <w:tcPr>
            <w:tcW w:w="614" w:type="pct"/>
          </w:tcPr>
          <w:p w14:paraId="65A3E46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0.500</w:t>
            </w:r>
          </w:p>
        </w:tc>
        <w:tc>
          <w:tcPr>
            <w:tcW w:w="614" w:type="pct"/>
          </w:tcPr>
          <w:p w14:paraId="5B7F6DF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130.9</w:t>
            </w:r>
          </w:p>
        </w:tc>
      </w:tr>
      <w:tr w:rsidR="008F3998" w:rsidRPr="008F3998" w14:paraId="3D9341C4" w14:textId="77777777" w:rsidTr="00044CB7">
        <w:tc>
          <w:tcPr>
            <w:tcW w:w="2273" w:type="pct"/>
          </w:tcPr>
          <w:p w14:paraId="413A98A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reserves</w:t>
            </w:r>
          </w:p>
        </w:tc>
        <w:tc>
          <w:tcPr>
            <w:tcW w:w="271" w:type="pct"/>
          </w:tcPr>
          <w:p w14:paraId="7FFE498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5958AA1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1.545e+11</w:t>
            </w:r>
          </w:p>
        </w:tc>
        <w:tc>
          <w:tcPr>
            <w:tcW w:w="614" w:type="pct"/>
          </w:tcPr>
          <w:p w14:paraId="39824EE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2.862e+11</w:t>
            </w:r>
          </w:p>
        </w:tc>
        <w:tc>
          <w:tcPr>
            <w:tcW w:w="614" w:type="pct"/>
          </w:tcPr>
          <w:p w14:paraId="571AF619"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1.782e+10</w:t>
            </w:r>
          </w:p>
        </w:tc>
        <w:tc>
          <w:tcPr>
            <w:tcW w:w="614" w:type="pct"/>
          </w:tcPr>
          <w:p w14:paraId="405FFDA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1.258e+12</w:t>
            </w:r>
          </w:p>
        </w:tc>
      </w:tr>
      <w:tr w:rsidR="008F3998" w:rsidRPr="008F3998" w14:paraId="5F70F8A6" w14:textId="77777777" w:rsidTr="00044CB7">
        <w:tc>
          <w:tcPr>
            <w:tcW w:w="2273" w:type="pct"/>
          </w:tcPr>
          <w:p w14:paraId="554EE25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locfin</w:t>
            </w:r>
            <w:proofErr w:type="spellEnd"/>
          </w:p>
        </w:tc>
        <w:tc>
          <w:tcPr>
            <w:tcW w:w="271" w:type="pct"/>
          </w:tcPr>
          <w:p w14:paraId="4E4DA07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124</w:t>
            </w:r>
          </w:p>
        </w:tc>
        <w:tc>
          <w:tcPr>
            <w:tcW w:w="614" w:type="pct"/>
          </w:tcPr>
          <w:p w14:paraId="1311909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0.525</w:t>
            </w:r>
          </w:p>
        </w:tc>
        <w:tc>
          <w:tcPr>
            <w:tcW w:w="614" w:type="pct"/>
          </w:tcPr>
          <w:p w14:paraId="23E4631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0.510</w:t>
            </w:r>
          </w:p>
        </w:tc>
        <w:tc>
          <w:tcPr>
            <w:tcW w:w="614" w:type="pct"/>
          </w:tcPr>
          <w:p w14:paraId="0BB9733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0.0191</w:t>
            </w:r>
          </w:p>
        </w:tc>
        <w:tc>
          <w:tcPr>
            <w:tcW w:w="614" w:type="pct"/>
          </w:tcPr>
          <w:p w14:paraId="64850DD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1.781</w:t>
            </w:r>
          </w:p>
        </w:tc>
      </w:tr>
      <w:tr w:rsidR="008F3998" w:rsidRPr="008F3998" w14:paraId="19C42CD5" w14:textId="77777777" w:rsidTr="00044CB7">
        <w:tc>
          <w:tcPr>
            <w:tcW w:w="2273" w:type="pct"/>
          </w:tcPr>
          <w:p w14:paraId="0BFFE8B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stmvol</w:t>
            </w:r>
            <w:proofErr w:type="spellEnd"/>
          </w:p>
        </w:tc>
        <w:tc>
          <w:tcPr>
            <w:tcW w:w="271" w:type="pct"/>
          </w:tcPr>
          <w:p w14:paraId="738EE02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4B3B5E0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27.62</w:t>
            </w:r>
          </w:p>
        </w:tc>
        <w:tc>
          <w:tcPr>
            <w:tcW w:w="614" w:type="pct"/>
          </w:tcPr>
          <w:p w14:paraId="3F928B8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25.54</w:t>
            </w:r>
          </w:p>
        </w:tc>
        <w:tc>
          <w:tcPr>
            <w:tcW w:w="614" w:type="pct"/>
          </w:tcPr>
          <w:p w14:paraId="73FEBBB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0.877</w:t>
            </w:r>
          </w:p>
        </w:tc>
        <w:tc>
          <w:tcPr>
            <w:tcW w:w="614" w:type="pct"/>
          </w:tcPr>
          <w:p w14:paraId="0E742BE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117.6</w:t>
            </w:r>
          </w:p>
        </w:tc>
      </w:tr>
      <w:tr w:rsidR="008F3998" w:rsidRPr="008F3998" w14:paraId="1B982C72" w14:textId="77777777" w:rsidTr="00044CB7">
        <w:tc>
          <w:tcPr>
            <w:tcW w:w="2273" w:type="pct"/>
          </w:tcPr>
          <w:p w14:paraId="15F8B5E8"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finmar</w:t>
            </w:r>
            <w:proofErr w:type="spellEnd"/>
          </w:p>
        </w:tc>
        <w:tc>
          <w:tcPr>
            <w:tcW w:w="271" w:type="pct"/>
          </w:tcPr>
          <w:p w14:paraId="0167468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132</w:t>
            </w:r>
          </w:p>
        </w:tc>
        <w:tc>
          <w:tcPr>
            <w:tcW w:w="614" w:type="pct"/>
          </w:tcPr>
          <w:p w14:paraId="720A245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1.98e-14</w:t>
            </w:r>
          </w:p>
        </w:tc>
        <w:tc>
          <w:tcPr>
            <w:tcW w:w="614" w:type="pct"/>
          </w:tcPr>
          <w:p w14:paraId="0A21731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61.77</w:t>
            </w:r>
          </w:p>
        </w:tc>
        <w:tc>
          <w:tcPr>
            <w:tcW w:w="614" w:type="pct"/>
          </w:tcPr>
          <w:p w14:paraId="4048985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-142.7</w:t>
            </w:r>
          </w:p>
        </w:tc>
        <w:tc>
          <w:tcPr>
            <w:tcW w:w="614" w:type="pct"/>
          </w:tcPr>
          <w:p w14:paraId="3C080AE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171.0</w:t>
            </w:r>
          </w:p>
        </w:tc>
      </w:tr>
      <w:tr w:rsidR="008F3998" w:rsidRPr="008F3998" w14:paraId="0608E250" w14:textId="77777777" w:rsidTr="00044CB7">
        <w:tc>
          <w:tcPr>
            <w:tcW w:w="2273" w:type="pct"/>
          </w:tcPr>
          <w:p w14:paraId="37EDDF0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marmsci</w:t>
            </w:r>
            <w:proofErr w:type="spellEnd"/>
          </w:p>
        </w:tc>
        <w:tc>
          <w:tcPr>
            <w:tcW w:w="271" w:type="pct"/>
          </w:tcPr>
          <w:p w14:paraId="3B92635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132</w:t>
            </w:r>
          </w:p>
        </w:tc>
        <w:tc>
          <w:tcPr>
            <w:tcW w:w="614" w:type="pct"/>
          </w:tcPr>
          <w:p w14:paraId="79FAD3B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1.05e-12</w:t>
            </w:r>
          </w:p>
        </w:tc>
        <w:tc>
          <w:tcPr>
            <w:tcW w:w="614" w:type="pct"/>
          </w:tcPr>
          <w:p w14:paraId="26998AD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3,380</w:t>
            </w:r>
          </w:p>
        </w:tc>
        <w:tc>
          <w:tcPr>
            <w:tcW w:w="614" w:type="pct"/>
          </w:tcPr>
          <w:p w14:paraId="6B6F64B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-10,965</w:t>
            </w:r>
          </w:p>
        </w:tc>
        <w:tc>
          <w:tcPr>
            <w:tcW w:w="614" w:type="pct"/>
          </w:tcPr>
          <w:p w14:paraId="2B76C24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14,476</w:t>
            </w:r>
          </w:p>
        </w:tc>
      </w:tr>
      <w:tr w:rsidR="008F3998" w:rsidRPr="008F3998" w14:paraId="64CA16DB" w14:textId="77777777" w:rsidTr="00044CB7">
        <w:tc>
          <w:tcPr>
            <w:tcW w:w="2273" w:type="pct"/>
          </w:tcPr>
          <w:p w14:paraId="1DDEBE7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marcap</w:t>
            </w:r>
            <w:proofErr w:type="spellEnd"/>
          </w:p>
        </w:tc>
        <w:tc>
          <w:tcPr>
            <w:tcW w:w="271" w:type="pct"/>
          </w:tcPr>
          <w:p w14:paraId="053E16A1"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118</w:t>
            </w:r>
          </w:p>
        </w:tc>
        <w:tc>
          <w:tcPr>
            <w:tcW w:w="614" w:type="pct"/>
          </w:tcPr>
          <w:p w14:paraId="39F6DCD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4.161e+12</w:t>
            </w:r>
          </w:p>
        </w:tc>
        <w:tc>
          <w:tcPr>
            <w:tcW w:w="614" w:type="pct"/>
          </w:tcPr>
          <w:p w14:paraId="4E828FA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5.554e+12</w:t>
            </w:r>
          </w:p>
        </w:tc>
        <w:tc>
          <w:tcPr>
            <w:tcW w:w="614" w:type="pct"/>
          </w:tcPr>
          <w:p w14:paraId="01CDBCF5"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4.771e+11</w:t>
            </w:r>
          </w:p>
        </w:tc>
        <w:tc>
          <w:tcPr>
            <w:tcW w:w="614" w:type="pct"/>
          </w:tcPr>
          <w:p w14:paraId="4CD6BAD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2.633e+13</w:t>
            </w:r>
          </w:p>
        </w:tc>
      </w:tr>
      <w:tr w:rsidR="008F3998" w:rsidRPr="008F3998" w14:paraId="1E2DCBE8" w14:textId="77777777" w:rsidTr="00044CB7">
        <w:tc>
          <w:tcPr>
            <w:tcW w:w="2273" w:type="pct"/>
          </w:tcPr>
          <w:p w14:paraId="37DBB71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finmsci</w:t>
            </w:r>
            <w:proofErr w:type="spellEnd"/>
          </w:p>
        </w:tc>
        <w:tc>
          <w:tcPr>
            <w:tcW w:w="271" w:type="pct"/>
          </w:tcPr>
          <w:p w14:paraId="030C881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133</w:t>
            </w:r>
          </w:p>
        </w:tc>
        <w:tc>
          <w:tcPr>
            <w:tcW w:w="614" w:type="pct"/>
          </w:tcPr>
          <w:p w14:paraId="12CC8DF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2.94e-14</w:t>
            </w:r>
          </w:p>
        </w:tc>
        <w:tc>
          <w:tcPr>
            <w:tcW w:w="614" w:type="pct"/>
          </w:tcPr>
          <w:p w14:paraId="4C6E8FB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70.82</w:t>
            </w:r>
          </w:p>
        </w:tc>
        <w:tc>
          <w:tcPr>
            <w:tcW w:w="614" w:type="pct"/>
          </w:tcPr>
          <w:p w14:paraId="488BB080"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-176.0</w:t>
            </w:r>
          </w:p>
        </w:tc>
        <w:tc>
          <w:tcPr>
            <w:tcW w:w="614" w:type="pct"/>
          </w:tcPr>
          <w:p w14:paraId="31FEFC9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170.0</w:t>
            </w:r>
          </w:p>
        </w:tc>
      </w:tr>
      <w:tr w:rsidR="008F3998" w:rsidRPr="008F3998" w14:paraId="0B4D820D" w14:textId="77777777" w:rsidTr="00044CB7">
        <w:tc>
          <w:tcPr>
            <w:tcW w:w="2273" w:type="pct"/>
          </w:tcPr>
          <w:p w14:paraId="5DF457F3"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stoxx50</w:t>
            </w:r>
          </w:p>
        </w:tc>
        <w:tc>
          <w:tcPr>
            <w:tcW w:w="271" w:type="pct"/>
          </w:tcPr>
          <w:p w14:paraId="01DEE8D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112</w:t>
            </w:r>
          </w:p>
        </w:tc>
        <w:tc>
          <w:tcPr>
            <w:tcW w:w="614" w:type="pct"/>
          </w:tcPr>
          <w:p w14:paraId="5F9802C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-2.73e-13</w:t>
            </w:r>
          </w:p>
        </w:tc>
        <w:tc>
          <w:tcPr>
            <w:tcW w:w="614" w:type="pct"/>
          </w:tcPr>
          <w:p w14:paraId="65AEA737"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755.6</w:t>
            </w:r>
          </w:p>
        </w:tc>
        <w:tc>
          <w:tcPr>
            <w:tcW w:w="614" w:type="pct"/>
          </w:tcPr>
          <w:p w14:paraId="7851D88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-1,364</w:t>
            </w:r>
          </w:p>
        </w:tc>
        <w:tc>
          <w:tcPr>
            <w:tcW w:w="614" w:type="pct"/>
          </w:tcPr>
          <w:p w14:paraId="76ED5E7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1,482</w:t>
            </w:r>
          </w:p>
        </w:tc>
      </w:tr>
      <w:tr w:rsidR="008F3998" w:rsidRPr="008F3998" w14:paraId="524F873D" w14:textId="77777777" w:rsidTr="00044CB7">
        <w:tc>
          <w:tcPr>
            <w:tcW w:w="2273" w:type="pct"/>
            <w:tcBorders>
              <w:bottom w:val="nil"/>
            </w:tcBorders>
          </w:tcPr>
          <w:p w14:paraId="3782F49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hyyield</w:t>
            </w:r>
            <w:proofErr w:type="spellEnd"/>
          </w:p>
        </w:tc>
        <w:tc>
          <w:tcPr>
            <w:tcW w:w="271" w:type="pct"/>
            <w:tcBorders>
              <w:bottom w:val="nil"/>
            </w:tcBorders>
          </w:tcPr>
          <w:p w14:paraId="35EDB30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102</w:t>
            </w:r>
          </w:p>
        </w:tc>
        <w:tc>
          <w:tcPr>
            <w:tcW w:w="614" w:type="pct"/>
            <w:tcBorders>
              <w:bottom w:val="nil"/>
            </w:tcBorders>
          </w:tcPr>
          <w:p w14:paraId="7AF9BE2D"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24.70</w:t>
            </w:r>
          </w:p>
        </w:tc>
        <w:tc>
          <w:tcPr>
            <w:tcW w:w="614" w:type="pct"/>
            <w:tcBorders>
              <w:bottom w:val="nil"/>
            </w:tcBorders>
          </w:tcPr>
          <w:p w14:paraId="5A01ABBF"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53.65</w:t>
            </w:r>
          </w:p>
        </w:tc>
        <w:tc>
          <w:tcPr>
            <w:tcW w:w="614" w:type="pct"/>
            <w:tcBorders>
              <w:bottom w:val="nil"/>
            </w:tcBorders>
          </w:tcPr>
          <w:p w14:paraId="0D26B1B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w:t>
            </w:r>
          </w:p>
        </w:tc>
        <w:tc>
          <w:tcPr>
            <w:tcW w:w="614" w:type="pct"/>
            <w:tcBorders>
              <w:bottom w:val="nil"/>
            </w:tcBorders>
          </w:tcPr>
          <w:p w14:paraId="207C0EC6"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320</w:t>
            </w:r>
          </w:p>
        </w:tc>
      </w:tr>
      <w:tr w:rsidR="007C65CE" w:rsidRPr="008F3998" w14:paraId="4442AAB6" w14:textId="77777777" w:rsidTr="00044CB7">
        <w:tc>
          <w:tcPr>
            <w:tcW w:w="2273" w:type="pct"/>
            <w:tcBorders>
              <w:top w:val="nil"/>
              <w:bottom w:val="single" w:sz="4" w:space="0" w:color="auto"/>
            </w:tcBorders>
          </w:tcPr>
          <w:p w14:paraId="500409AC"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proofErr w:type="spellStart"/>
            <w:r w:rsidRPr="008F3998">
              <w:rPr>
                <w:rFonts w:ascii="Times New Roman" w:hAnsi="Times New Roman" w:cs="Times New Roman"/>
              </w:rPr>
              <w:t>igyield</w:t>
            </w:r>
            <w:proofErr w:type="spellEnd"/>
          </w:p>
        </w:tc>
        <w:tc>
          <w:tcPr>
            <w:tcW w:w="271" w:type="pct"/>
            <w:tcBorders>
              <w:top w:val="nil"/>
              <w:bottom w:val="single" w:sz="4" w:space="0" w:color="auto"/>
            </w:tcBorders>
          </w:tcPr>
          <w:p w14:paraId="45F3F582"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128</w:t>
            </w:r>
          </w:p>
        </w:tc>
        <w:tc>
          <w:tcPr>
            <w:tcW w:w="614" w:type="pct"/>
            <w:tcBorders>
              <w:top w:val="nil"/>
              <w:bottom w:val="single" w:sz="4" w:space="0" w:color="auto"/>
            </w:tcBorders>
          </w:tcPr>
          <w:p w14:paraId="3B1E56E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126.8</w:t>
            </w:r>
          </w:p>
        </w:tc>
        <w:tc>
          <w:tcPr>
            <w:tcW w:w="614" w:type="pct"/>
            <w:tcBorders>
              <w:top w:val="nil"/>
              <w:bottom w:val="single" w:sz="4" w:space="0" w:color="auto"/>
            </w:tcBorders>
          </w:tcPr>
          <w:p w14:paraId="15F83A6E"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221.8</w:t>
            </w:r>
          </w:p>
        </w:tc>
        <w:tc>
          <w:tcPr>
            <w:tcW w:w="614" w:type="pct"/>
            <w:tcBorders>
              <w:top w:val="nil"/>
              <w:bottom w:val="single" w:sz="4" w:space="0" w:color="auto"/>
            </w:tcBorders>
          </w:tcPr>
          <w:p w14:paraId="6EE63A04"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w:t>
            </w:r>
          </w:p>
        </w:tc>
        <w:tc>
          <w:tcPr>
            <w:tcW w:w="614" w:type="pct"/>
            <w:tcBorders>
              <w:top w:val="nil"/>
              <w:bottom w:val="single" w:sz="4" w:space="0" w:color="auto"/>
            </w:tcBorders>
          </w:tcPr>
          <w:p w14:paraId="114CA42A" w14:textId="77777777" w:rsidR="007C65CE" w:rsidRPr="008F3998" w:rsidRDefault="007C65CE" w:rsidP="00044CB7">
            <w:pPr>
              <w:widowControl w:val="0"/>
              <w:autoSpaceDE w:val="0"/>
              <w:autoSpaceDN w:val="0"/>
              <w:adjustRightInd w:val="0"/>
              <w:spacing w:after="0" w:line="240" w:lineRule="auto"/>
              <w:jc w:val="both"/>
              <w:rPr>
                <w:rFonts w:ascii="Times New Roman" w:hAnsi="Times New Roman" w:cs="Times New Roman"/>
              </w:rPr>
            </w:pPr>
            <w:r w:rsidRPr="008F3998">
              <w:rPr>
                <w:rFonts w:ascii="Times New Roman" w:hAnsi="Times New Roman" w:cs="Times New Roman"/>
              </w:rPr>
              <w:t>1,286</w:t>
            </w:r>
          </w:p>
        </w:tc>
      </w:tr>
    </w:tbl>
    <w:p w14:paraId="4C9BDE96" w14:textId="77777777" w:rsidR="007C65CE" w:rsidRPr="008F3998" w:rsidRDefault="007C65CE" w:rsidP="007C65CE">
      <w:pPr>
        <w:spacing w:line="360" w:lineRule="auto"/>
        <w:jc w:val="both"/>
        <w:rPr>
          <w:rFonts w:ascii="Times New Roman" w:hAnsi="Times New Roman" w:cs="Times New Roman"/>
          <w:sz w:val="24"/>
          <w:szCs w:val="24"/>
        </w:rPr>
      </w:pPr>
    </w:p>
    <w:p w14:paraId="4199F11C" w14:textId="07DE5A94" w:rsidR="00702F68" w:rsidRPr="008F3998" w:rsidRDefault="007C65CE" w:rsidP="00C02CB8">
      <w:pPr>
        <w:spacing w:line="360" w:lineRule="auto"/>
        <w:ind w:firstLine="720"/>
        <w:jc w:val="both"/>
        <w:rPr>
          <w:rFonts w:ascii="Times New Roman" w:hAnsi="Times New Roman" w:cs="Times New Roman"/>
          <w:sz w:val="24"/>
        </w:rPr>
      </w:pPr>
      <w:r w:rsidRPr="008F3998">
        <w:rPr>
          <w:rFonts w:ascii="Times New Roman" w:hAnsi="Times New Roman" w:cs="Times New Roman"/>
          <w:sz w:val="24"/>
        </w:rPr>
        <w:t xml:space="preserve">Table </w:t>
      </w:r>
      <w:r w:rsidR="002307E0" w:rsidRPr="008F3998">
        <w:rPr>
          <w:rFonts w:ascii="Times New Roman" w:hAnsi="Times New Roman" w:cs="Times New Roman"/>
          <w:sz w:val="24"/>
        </w:rPr>
        <w:t>A</w:t>
      </w:r>
      <w:r w:rsidRPr="008F3998">
        <w:rPr>
          <w:rFonts w:ascii="Times New Roman" w:hAnsi="Times New Roman" w:cs="Times New Roman"/>
          <w:sz w:val="24"/>
        </w:rPr>
        <w:t>2</w:t>
      </w:r>
      <w:r w:rsidR="00812275" w:rsidRPr="008F3998">
        <w:rPr>
          <w:rFonts w:ascii="Times New Roman" w:hAnsi="Times New Roman" w:cs="Times New Roman"/>
          <w:sz w:val="24"/>
        </w:rPr>
        <w:t xml:space="preserve"> in Appendix</w:t>
      </w:r>
      <w:r w:rsidR="00013B5A" w:rsidRPr="008F3998">
        <w:rPr>
          <w:rFonts w:ascii="Times New Roman" w:hAnsi="Times New Roman" w:cs="Times New Roman"/>
          <w:sz w:val="24"/>
        </w:rPr>
        <w:t xml:space="preserve"> A</w:t>
      </w:r>
      <w:r w:rsidRPr="008F3998">
        <w:rPr>
          <w:rFonts w:ascii="Times New Roman" w:hAnsi="Times New Roman" w:cs="Times New Roman"/>
          <w:sz w:val="24"/>
        </w:rPr>
        <w:t xml:space="preserve"> provides the pairwise correlation coefficients between the dependent variables–the financial risk measures–and each of the independent variables. As can be seen, </w:t>
      </w:r>
      <w:r w:rsidR="00BE2EC7" w:rsidRPr="008F3998">
        <w:rPr>
          <w:rFonts w:ascii="Times New Roman" w:hAnsi="Times New Roman" w:cs="Times New Roman"/>
          <w:sz w:val="24"/>
        </w:rPr>
        <w:t>the risk measures</w:t>
      </w:r>
      <w:r w:rsidR="00BE2EC7" w:rsidRPr="008F3998">
        <w:rPr>
          <w:rFonts w:ascii="Times New Roman" w:hAnsi="Times New Roman" w:cs="Times New Roman"/>
          <w:sz w:val="24"/>
        </w:rPr>
        <w:softHyphen/>
        <w:t>–tail quantile and expected shortfall measures–are positive</w:t>
      </w:r>
      <w:r w:rsidR="001F0BE6" w:rsidRPr="008F3998">
        <w:rPr>
          <w:rFonts w:ascii="Times New Roman" w:hAnsi="Times New Roman" w:cs="Times New Roman"/>
          <w:sz w:val="24"/>
        </w:rPr>
        <w:t>ly</w:t>
      </w:r>
      <w:r w:rsidR="00BE2EC7" w:rsidRPr="008F3998">
        <w:rPr>
          <w:rFonts w:ascii="Times New Roman" w:hAnsi="Times New Roman" w:cs="Times New Roman"/>
          <w:sz w:val="24"/>
        </w:rPr>
        <w:t xml:space="preserve"> correlated with CO</w:t>
      </w:r>
      <w:r w:rsidR="00BE2EC7" w:rsidRPr="008F3998">
        <w:rPr>
          <w:rFonts w:ascii="Times New Roman" w:hAnsi="Times New Roman" w:cs="Times New Roman"/>
          <w:sz w:val="24"/>
          <w:vertAlign w:val="subscript"/>
        </w:rPr>
        <w:t>2</w:t>
      </w:r>
      <w:r w:rsidR="00BE2EC7" w:rsidRPr="008F3998">
        <w:rPr>
          <w:rFonts w:ascii="Times New Roman" w:hAnsi="Times New Roman" w:cs="Times New Roman"/>
          <w:sz w:val="24"/>
        </w:rPr>
        <w:t xml:space="preserve"> emissions at the national level as well as with that of the three sectors.</w:t>
      </w:r>
      <w:r w:rsidR="00C02CB8" w:rsidRPr="008F3998">
        <w:rPr>
          <w:rFonts w:ascii="Times New Roman" w:hAnsi="Times New Roman" w:cs="Times New Roman"/>
          <w:sz w:val="24"/>
        </w:rPr>
        <w:t xml:space="preserve"> The highest correlation coefficients are at the national level risk measures while the lowest values are observed for industrial sector. </w:t>
      </w:r>
      <w:r w:rsidR="00BC3E09" w:rsidRPr="008F3998">
        <w:rPr>
          <w:rFonts w:ascii="Times New Roman" w:hAnsi="Times New Roman" w:cs="Times New Roman"/>
          <w:sz w:val="24"/>
        </w:rPr>
        <w:t xml:space="preserve">The </w:t>
      </w:r>
      <w:proofErr w:type="spellStart"/>
      <w:r w:rsidR="00BC3E09" w:rsidRPr="008F3998">
        <w:rPr>
          <w:rFonts w:ascii="Times New Roman" w:hAnsi="Times New Roman" w:cs="Times New Roman"/>
          <w:i/>
          <w:sz w:val="24"/>
        </w:rPr>
        <w:t>debtgdp</w:t>
      </w:r>
      <w:proofErr w:type="spellEnd"/>
      <w:r w:rsidR="00C02CB8" w:rsidRPr="008F3998">
        <w:rPr>
          <w:rFonts w:ascii="Times New Roman" w:hAnsi="Times New Roman" w:cs="Times New Roman"/>
          <w:sz w:val="24"/>
        </w:rPr>
        <w:t xml:space="preserve"> </w:t>
      </w:r>
      <w:r w:rsidR="00BC3E09" w:rsidRPr="008F3998">
        <w:rPr>
          <w:rFonts w:ascii="Times New Roman" w:hAnsi="Times New Roman" w:cs="Times New Roman"/>
          <w:sz w:val="24"/>
        </w:rPr>
        <w:t>variable</w:t>
      </w:r>
      <w:r w:rsidR="00C02CB8" w:rsidRPr="008F3998">
        <w:rPr>
          <w:rFonts w:ascii="Times New Roman" w:hAnsi="Times New Roman" w:cs="Times New Roman"/>
          <w:sz w:val="24"/>
        </w:rPr>
        <w:t xml:space="preserve"> is found to be negatively correlated with financial risk variables for all four instances. Terms of trade volatility</w:t>
      </w:r>
      <w:r w:rsidR="005853C4" w:rsidRPr="008F3998">
        <w:rPr>
          <w:rFonts w:ascii="Times New Roman" w:hAnsi="Times New Roman" w:cs="Times New Roman"/>
          <w:sz w:val="24"/>
        </w:rPr>
        <w:t xml:space="preserve"> (</w:t>
      </w:r>
      <w:proofErr w:type="spellStart"/>
      <w:r w:rsidR="005853C4" w:rsidRPr="008F3998">
        <w:rPr>
          <w:rFonts w:ascii="Times New Roman" w:hAnsi="Times New Roman" w:cs="Times New Roman"/>
          <w:i/>
          <w:sz w:val="24"/>
        </w:rPr>
        <w:t>totvol</w:t>
      </w:r>
      <w:proofErr w:type="spellEnd"/>
      <w:r w:rsidR="005853C4" w:rsidRPr="008F3998">
        <w:rPr>
          <w:rFonts w:ascii="Times New Roman" w:hAnsi="Times New Roman" w:cs="Times New Roman"/>
          <w:sz w:val="24"/>
        </w:rPr>
        <w:t>)</w:t>
      </w:r>
      <w:r w:rsidR="00C02CB8" w:rsidRPr="008F3998">
        <w:rPr>
          <w:rFonts w:ascii="Times New Roman" w:hAnsi="Times New Roman" w:cs="Times New Roman"/>
          <w:sz w:val="24"/>
        </w:rPr>
        <w:t xml:space="preserve"> and exchange rates </w:t>
      </w:r>
      <w:r w:rsidR="005853C4" w:rsidRPr="008F3998">
        <w:rPr>
          <w:rFonts w:ascii="Times New Roman" w:hAnsi="Times New Roman" w:cs="Times New Roman"/>
          <w:sz w:val="24"/>
        </w:rPr>
        <w:t xml:space="preserve">are positively correlated with the risk measures with </w:t>
      </w:r>
      <w:r w:rsidR="001F0BE6" w:rsidRPr="008F3998">
        <w:rPr>
          <w:rFonts w:ascii="Times New Roman" w:hAnsi="Times New Roman" w:cs="Times New Roman"/>
          <w:sz w:val="24"/>
        </w:rPr>
        <w:t>two</w:t>
      </w:r>
      <w:r w:rsidR="005853C4" w:rsidRPr="008F3998">
        <w:rPr>
          <w:rFonts w:ascii="Times New Roman" w:hAnsi="Times New Roman" w:cs="Times New Roman"/>
          <w:sz w:val="24"/>
        </w:rPr>
        <w:t xml:space="preserve"> exception</w:t>
      </w:r>
      <w:r w:rsidR="001F0BE6" w:rsidRPr="008F3998">
        <w:rPr>
          <w:rFonts w:ascii="Times New Roman" w:hAnsi="Times New Roman" w:cs="Times New Roman"/>
          <w:sz w:val="24"/>
        </w:rPr>
        <w:t>s</w:t>
      </w:r>
      <w:r w:rsidR="005853C4" w:rsidRPr="008F3998">
        <w:rPr>
          <w:rFonts w:ascii="Times New Roman" w:hAnsi="Times New Roman" w:cs="Times New Roman"/>
          <w:sz w:val="24"/>
        </w:rPr>
        <w:t>–</w:t>
      </w:r>
      <w:proofErr w:type="spellStart"/>
      <w:r w:rsidR="005853C4" w:rsidRPr="008F3998">
        <w:rPr>
          <w:rFonts w:ascii="Times New Roman" w:hAnsi="Times New Roman" w:cs="Times New Roman"/>
          <w:i/>
          <w:sz w:val="24"/>
        </w:rPr>
        <w:t>totvol</w:t>
      </w:r>
      <w:proofErr w:type="spellEnd"/>
      <w:r w:rsidR="005853C4" w:rsidRPr="008F3998">
        <w:rPr>
          <w:rFonts w:ascii="Times New Roman" w:hAnsi="Times New Roman" w:cs="Times New Roman"/>
          <w:sz w:val="24"/>
        </w:rPr>
        <w:t xml:space="preserve"> and risk measures are negatively correlated for the industry sector.</w:t>
      </w:r>
      <w:r w:rsidR="001F0BE6" w:rsidRPr="008F3998">
        <w:rPr>
          <w:rFonts w:ascii="Times New Roman" w:hAnsi="Times New Roman" w:cs="Times New Roman"/>
          <w:sz w:val="24"/>
        </w:rPr>
        <w:t xml:space="preserve"> </w:t>
      </w:r>
      <w:r w:rsidR="00C50CEF" w:rsidRPr="008F3998">
        <w:rPr>
          <w:rFonts w:ascii="Times New Roman" w:hAnsi="Times New Roman" w:cs="Times New Roman"/>
          <w:sz w:val="24"/>
        </w:rPr>
        <w:t xml:space="preserve">The </w:t>
      </w:r>
      <w:proofErr w:type="spellStart"/>
      <w:r w:rsidR="00C50CEF" w:rsidRPr="008F3998">
        <w:rPr>
          <w:rFonts w:ascii="Times New Roman" w:hAnsi="Times New Roman" w:cs="Times New Roman"/>
          <w:i/>
          <w:sz w:val="24"/>
        </w:rPr>
        <w:t>exr</w:t>
      </w:r>
      <w:proofErr w:type="spellEnd"/>
      <w:r w:rsidR="00C50CEF" w:rsidRPr="008F3998">
        <w:rPr>
          <w:rFonts w:ascii="Times New Roman" w:hAnsi="Times New Roman" w:cs="Times New Roman"/>
          <w:sz w:val="24"/>
        </w:rPr>
        <w:t xml:space="preserve"> values</w:t>
      </w:r>
      <w:r w:rsidR="001F0BE6" w:rsidRPr="008F3998">
        <w:rPr>
          <w:rFonts w:ascii="Times New Roman" w:hAnsi="Times New Roman" w:cs="Times New Roman"/>
          <w:sz w:val="24"/>
        </w:rPr>
        <w:t xml:space="preserve"> are negatively correlated with financial risk at the national level and in the industry sector, while it is positively correlated with the electricity and transport sectors.</w:t>
      </w:r>
    </w:p>
    <w:p w14:paraId="0E753A29" w14:textId="1386A4A7" w:rsidR="007C65CE" w:rsidRPr="008F3998" w:rsidRDefault="00702F68" w:rsidP="003C0A6E">
      <w:pPr>
        <w:spacing w:line="360" w:lineRule="auto"/>
        <w:ind w:firstLine="720"/>
        <w:jc w:val="both"/>
        <w:rPr>
          <w:rFonts w:ascii="Times New Roman" w:hAnsi="Times New Roman" w:cs="Times New Roman"/>
          <w:b/>
          <w:sz w:val="24"/>
        </w:rPr>
        <w:sectPr w:rsidR="007C65CE" w:rsidRPr="008F3998" w:rsidSect="007C7544">
          <w:footerReference w:type="default" r:id="rId11"/>
          <w:pgSz w:w="11906" w:h="16838"/>
          <w:pgMar w:top="1440" w:right="1080" w:bottom="1440" w:left="1080" w:header="708" w:footer="708" w:gutter="0"/>
          <w:cols w:space="708"/>
          <w:docGrid w:linePitch="360"/>
        </w:sectPr>
      </w:pPr>
      <w:r w:rsidRPr="008F3998">
        <w:rPr>
          <w:rFonts w:ascii="Times New Roman" w:hAnsi="Times New Roman" w:cs="Times New Roman"/>
          <w:sz w:val="24"/>
        </w:rPr>
        <w:t>The</w:t>
      </w:r>
      <w:r w:rsidR="001F0BE6" w:rsidRPr="008F3998">
        <w:rPr>
          <w:rFonts w:ascii="Times New Roman" w:hAnsi="Times New Roman" w:cs="Times New Roman"/>
          <w:sz w:val="24"/>
        </w:rPr>
        <w:t xml:space="preserve"> </w:t>
      </w:r>
      <w:proofErr w:type="spellStart"/>
      <w:r w:rsidR="001F0BE6" w:rsidRPr="008F3998">
        <w:rPr>
          <w:rFonts w:ascii="Times New Roman" w:hAnsi="Times New Roman" w:cs="Times New Roman"/>
          <w:i/>
          <w:sz w:val="24"/>
        </w:rPr>
        <w:t>locfin</w:t>
      </w:r>
      <w:proofErr w:type="spellEnd"/>
      <w:r w:rsidR="001F0BE6" w:rsidRPr="008F3998">
        <w:rPr>
          <w:rFonts w:ascii="Times New Roman" w:hAnsi="Times New Roman" w:cs="Times New Roman"/>
          <w:sz w:val="24"/>
        </w:rPr>
        <w:t xml:space="preserve"> </w:t>
      </w:r>
      <w:r w:rsidRPr="008F3998">
        <w:rPr>
          <w:rFonts w:ascii="Times New Roman" w:hAnsi="Times New Roman" w:cs="Times New Roman"/>
          <w:sz w:val="24"/>
        </w:rPr>
        <w:t>is</w:t>
      </w:r>
      <w:r w:rsidR="001F0BE6" w:rsidRPr="008F3998">
        <w:rPr>
          <w:rFonts w:ascii="Times New Roman" w:hAnsi="Times New Roman" w:cs="Times New Roman"/>
          <w:sz w:val="24"/>
        </w:rPr>
        <w:t xml:space="preserve"> positively correlated with risk measures with one exception–the negative correlation between the former and tail quantile measure for electricity.</w:t>
      </w:r>
      <w:r w:rsidR="00C50CEF" w:rsidRPr="008F3998">
        <w:rPr>
          <w:rFonts w:ascii="Times New Roman" w:hAnsi="Times New Roman" w:cs="Times New Roman"/>
          <w:sz w:val="24"/>
        </w:rPr>
        <w:t xml:space="preserve"> </w:t>
      </w:r>
      <w:proofErr w:type="spellStart"/>
      <w:proofErr w:type="gramStart"/>
      <w:r w:rsidR="00C50CEF" w:rsidRPr="008F3998">
        <w:rPr>
          <w:rFonts w:ascii="Times New Roman" w:hAnsi="Times New Roman" w:cs="Times New Roman"/>
          <w:i/>
          <w:sz w:val="24"/>
        </w:rPr>
        <w:t>finmar</w:t>
      </w:r>
      <w:proofErr w:type="spellEnd"/>
      <w:proofErr w:type="gramEnd"/>
      <w:r w:rsidR="00C50CEF" w:rsidRPr="008F3998">
        <w:rPr>
          <w:rFonts w:ascii="Times New Roman" w:hAnsi="Times New Roman" w:cs="Times New Roman"/>
          <w:sz w:val="24"/>
        </w:rPr>
        <w:t xml:space="preserve"> also ha</w:t>
      </w:r>
      <w:r w:rsidR="007E380E" w:rsidRPr="008F3998">
        <w:rPr>
          <w:rFonts w:ascii="Times New Roman" w:hAnsi="Times New Roman" w:cs="Times New Roman"/>
          <w:sz w:val="24"/>
        </w:rPr>
        <w:t>s</w:t>
      </w:r>
      <w:r w:rsidR="00C50CEF" w:rsidRPr="008F3998">
        <w:rPr>
          <w:rFonts w:ascii="Times New Roman" w:hAnsi="Times New Roman" w:cs="Times New Roman"/>
          <w:sz w:val="24"/>
        </w:rPr>
        <w:t xml:space="preserve"> positive correlation coefficient</w:t>
      </w:r>
      <w:r w:rsidRPr="008F3998">
        <w:rPr>
          <w:rFonts w:ascii="Times New Roman" w:hAnsi="Times New Roman" w:cs="Times New Roman"/>
          <w:sz w:val="24"/>
        </w:rPr>
        <w:t>s</w:t>
      </w:r>
      <w:r w:rsidR="00C50CEF" w:rsidRPr="008F3998">
        <w:rPr>
          <w:rFonts w:ascii="Times New Roman" w:hAnsi="Times New Roman" w:cs="Times New Roman"/>
          <w:sz w:val="24"/>
        </w:rPr>
        <w:t xml:space="preserve"> for all four instances–nationally as well as in the three sectors. The </w:t>
      </w:r>
      <w:proofErr w:type="spellStart"/>
      <w:r w:rsidR="00C50CEF" w:rsidRPr="008F3998">
        <w:rPr>
          <w:rFonts w:ascii="Times New Roman" w:hAnsi="Times New Roman" w:cs="Times New Roman"/>
          <w:i/>
          <w:sz w:val="24"/>
        </w:rPr>
        <w:t>marmsci</w:t>
      </w:r>
      <w:proofErr w:type="spellEnd"/>
      <w:r w:rsidR="00C50CEF" w:rsidRPr="008F3998">
        <w:rPr>
          <w:rFonts w:ascii="Times New Roman" w:hAnsi="Times New Roman" w:cs="Times New Roman"/>
          <w:sz w:val="24"/>
        </w:rPr>
        <w:t xml:space="preserve"> coefficients are negative, except in the industrial sector. </w:t>
      </w:r>
      <w:proofErr w:type="spellStart"/>
      <w:proofErr w:type="gramStart"/>
      <w:r w:rsidR="00C50CEF" w:rsidRPr="008F3998">
        <w:rPr>
          <w:rFonts w:ascii="Times New Roman" w:hAnsi="Times New Roman" w:cs="Times New Roman"/>
          <w:i/>
          <w:sz w:val="24"/>
        </w:rPr>
        <w:t>marcap</w:t>
      </w:r>
      <w:proofErr w:type="spellEnd"/>
      <w:proofErr w:type="gramEnd"/>
      <w:r w:rsidR="00C50CEF" w:rsidRPr="008F3998">
        <w:rPr>
          <w:rFonts w:ascii="Times New Roman" w:hAnsi="Times New Roman" w:cs="Times New Roman"/>
          <w:sz w:val="24"/>
        </w:rPr>
        <w:t xml:space="preserve"> </w:t>
      </w:r>
      <w:r w:rsidR="007E380E" w:rsidRPr="008F3998">
        <w:rPr>
          <w:rFonts w:ascii="Times New Roman" w:hAnsi="Times New Roman" w:cs="Times New Roman"/>
          <w:sz w:val="24"/>
        </w:rPr>
        <w:t>is</w:t>
      </w:r>
      <w:r w:rsidR="00C50CEF" w:rsidRPr="008F3998">
        <w:rPr>
          <w:rFonts w:ascii="Times New Roman" w:hAnsi="Times New Roman" w:cs="Times New Roman"/>
          <w:sz w:val="24"/>
        </w:rPr>
        <w:t xml:space="preserve"> negatively correlated with financial risk measures with exception of expected shortfall nationally.</w:t>
      </w:r>
      <w:r w:rsidR="00BC3E09" w:rsidRPr="008F3998">
        <w:rPr>
          <w:rFonts w:ascii="Times New Roman" w:hAnsi="Times New Roman" w:cs="Times New Roman"/>
          <w:sz w:val="24"/>
        </w:rPr>
        <w:t xml:space="preserve"> The risk measures and </w:t>
      </w:r>
      <w:proofErr w:type="spellStart"/>
      <w:r w:rsidR="00BC3E09" w:rsidRPr="008F3998">
        <w:rPr>
          <w:rFonts w:ascii="Times New Roman" w:hAnsi="Times New Roman" w:cs="Times New Roman"/>
          <w:i/>
          <w:sz w:val="24"/>
        </w:rPr>
        <w:t>finmsci</w:t>
      </w:r>
      <w:proofErr w:type="spellEnd"/>
      <w:r w:rsidR="00BC3E09" w:rsidRPr="008F3998">
        <w:rPr>
          <w:rFonts w:ascii="Times New Roman" w:hAnsi="Times New Roman" w:cs="Times New Roman"/>
          <w:sz w:val="24"/>
        </w:rPr>
        <w:t xml:space="preserve"> are positively correlated except for the electricity sector’s </w:t>
      </w:r>
      <w:r w:rsidR="00BC3E09" w:rsidRPr="008F3998">
        <w:rPr>
          <w:rFonts w:ascii="Times New Roman" w:hAnsi="Times New Roman" w:cs="Times New Roman"/>
          <w:i/>
          <w:sz w:val="24"/>
        </w:rPr>
        <w:t>tail quantile</w:t>
      </w:r>
      <w:r w:rsidR="00BC3E09" w:rsidRPr="008F3998">
        <w:rPr>
          <w:rFonts w:ascii="Times New Roman" w:hAnsi="Times New Roman" w:cs="Times New Roman"/>
          <w:sz w:val="24"/>
        </w:rPr>
        <w:t xml:space="preserve"> measure.</w:t>
      </w:r>
      <w:r w:rsidR="007E380E" w:rsidRPr="008F3998">
        <w:rPr>
          <w:rFonts w:ascii="Times New Roman" w:hAnsi="Times New Roman" w:cs="Times New Roman"/>
          <w:sz w:val="24"/>
        </w:rPr>
        <w:t xml:space="preserve"> The</w:t>
      </w:r>
      <w:r w:rsidR="00BC3E09" w:rsidRPr="008F3998">
        <w:rPr>
          <w:rFonts w:ascii="Times New Roman" w:hAnsi="Times New Roman" w:cs="Times New Roman"/>
          <w:sz w:val="24"/>
        </w:rPr>
        <w:t xml:space="preserve"> </w:t>
      </w:r>
      <w:r w:rsidR="00BC3E09" w:rsidRPr="008F3998">
        <w:rPr>
          <w:rFonts w:ascii="Times New Roman" w:hAnsi="Times New Roman" w:cs="Times New Roman"/>
          <w:i/>
          <w:sz w:val="24"/>
        </w:rPr>
        <w:t>stoxx50</w:t>
      </w:r>
      <w:r w:rsidR="00BC3E09" w:rsidRPr="008F3998">
        <w:rPr>
          <w:rFonts w:ascii="Times New Roman" w:hAnsi="Times New Roman" w:cs="Times New Roman"/>
          <w:sz w:val="24"/>
        </w:rPr>
        <w:t xml:space="preserve"> and </w:t>
      </w:r>
      <w:proofErr w:type="spellStart"/>
      <w:r w:rsidR="00BC3E09" w:rsidRPr="008F3998">
        <w:rPr>
          <w:rFonts w:ascii="Times New Roman" w:hAnsi="Times New Roman" w:cs="Times New Roman"/>
          <w:i/>
          <w:sz w:val="24"/>
        </w:rPr>
        <w:t>hyyield</w:t>
      </w:r>
      <w:proofErr w:type="spellEnd"/>
      <w:r w:rsidR="00BC3E09" w:rsidRPr="008F3998">
        <w:rPr>
          <w:rFonts w:ascii="Times New Roman" w:hAnsi="Times New Roman" w:cs="Times New Roman"/>
          <w:sz w:val="24"/>
        </w:rPr>
        <w:t xml:space="preserve"> </w:t>
      </w:r>
      <w:r w:rsidR="007E380E" w:rsidRPr="008F3998">
        <w:rPr>
          <w:rFonts w:ascii="Times New Roman" w:hAnsi="Times New Roman" w:cs="Times New Roman"/>
          <w:sz w:val="24"/>
        </w:rPr>
        <w:t xml:space="preserve">values </w:t>
      </w:r>
      <w:r w:rsidR="00BC3E09" w:rsidRPr="008F3998">
        <w:rPr>
          <w:rFonts w:ascii="Times New Roman" w:hAnsi="Times New Roman" w:cs="Times New Roman"/>
          <w:sz w:val="24"/>
        </w:rPr>
        <w:t>are all negatively correlated with the financial risk variables in the national level as well as sectoral level data.</w:t>
      </w:r>
      <w:r w:rsidRPr="008F3998">
        <w:rPr>
          <w:rFonts w:ascii="Times New Roman" w:hAnsi="Times New Roman" w:cs="Times New Roman"/>
          <w:sz w:val="24"/>
        </w:rPr>
        <w:t xml:space="preserve"> Lastly, </w:t>
      </w:r>
      <w:proofErr w:type="spellStart"/>
      <w:r w:rsidRPr="008F3998">
        <w:rPr>
          <w:rFonts w:ascii="Times New Roman" w:hAnsi="Times New Roman" w:cs="Times New Roman"/>
          <w:i/>
          <w:sz w:val="24"/>
        </w:rPr>
        <w:t>igyield</w:t>
      </w:r>
      <w:proofErr w:type="spellEnd"/>
      <w:r w:rsidRPr="008F3998">
        <w:rPr>
          <w:rFonts w:ascii="Times New Roman" w:hAnsi="Times New Roman" w:cs="Times New Roman"/>
          <w:sz w:val="24"/>
        </w:rPr>
        <w:t xml:space="preserve"> has positive correlation coefficients with</w:t>
      </w:r>
      <w:r w:rsidR="00194F73" w:rsidRPr="008F3998">
        <w:rPr>
          <w:rFonts w:ascii="Times New Roman" w:hAnsi="Times New Roman" w:cs="Times New Roman"/>
          <w:sz w:val="24"/>
        </w:rPr>
        <w:t xml:space="preserve"> all the</w:t>
      </w:r>
      <w:r w:rsidRPr="008F3998">
        <w:rPr>
          <w:rFonts w:ascii="Times New Roman" w:hAnsi="Times New Roman" w:cs="Times New Roman"/>
          <w:sz w:val="24"/>
        </w:rPr>
        <w:t xml:space="preserve"> national and sectoral level financial risk measures.</w:t>
      </w:r>
    </w:p>
    <w:p w14:paraId="0F6F9A9C" w14:textId="1D9A913E" w:rsidR="00E526FC" w:rsidRPr="008F3998" w:rsidRDefault="00E526FC" w:rsidP="005C3156">
      <w:pPr>
        <w:pStyle w:val="ListParagraph"/>
        <w:numPr>
          <w:ilvl w:val="0"/>
          <w:numId w:val="1"/>
        </w:numPr>
        <w:ind w:left="0" w:firstLine="0"/>
        <w:jc w:val="both"/>
        <w:rPr>
          <w:rFonts w:cs="Times New Roman"/>
          <w:b/>
          <w:position w:val="-12"/>
        </w:rPr>
      </w:pPr>
      <w:r w:rsidRPr="008F3998">
        <w:rPr>
          <w:rFonts w:cs="Times New Roman"/>
          <w:b/>
          <w:position w:val="-12"/>
        </w:rPr>
        <w:t>Results and Discussion</w:t>
      </w:r>
    </w:p>
    <w:p w14:paraId="7CB85E56" w14:textId="260FC62A" w:rsidR="000B454D" w:rsidRPr="008F3998" w:rsidRDefault="000B454D" w:rsidP="000B454D">
      <w:pPr>
        <w:pStyle w:val="ListParagraph"/>
        <w:numPr>
          <w:ilvl w:val="1"/>
          <w:numId w:val="1"/>
        </w:numPr>
        <w:spacing w:line="360" w:lineRule="auto"/>
        <w:ind w:left="0" w:firstLine="0"/>
        <w:jc w:val="both"/>
        <w:rPr>
          <w:rFonts w:cs="Times New Roman"/>
          <w:i/>
          <w:szCs w:val="24"/>
        </w:rPr>
      </w:pPr>
      <w:r w:rsidRPr="008F3998">
        <w:rPr>
          <w:rFonts w:cs="Times New Roman"/>
          <w:i/>
          <w:szCs w:val="24"/>
        </w:rPr>
        <w:t>National</w:t>
      </w:r>
      <w:r w:rsidR="00834D8B" w:rsidRPr="008F3998">
        <w:rPr>
          <w:rFonts w:cs="Times New Roman"/>
          <w:i/>
          <w:szCs w:val="24"/>
        </w:rPr>
        <w:t xml:space="preserve"> </w:t>
      </w:r>
      <w:r w:rsidRPr="008F3998">
        <w:rPr>
          <w:rFonts w:cs="Times New Roman"/>
          <w:i/>
          <w:szCs w:val="24"/>
        </w:rPr>
        <w:t>level Analysis</w:t>
      </w:r>
    </w:p>
    <w:p w14:paraId="290F1D11" w14:textId="39DCD546" w:rsidR="00B1205A" w:rsidRPr="008F3998" w:rsidRDefault="000B454D" w:rsidP="14AD0288">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Table </w:t>
      </w:r>
      <w:r w:rsidR="14AD0288" w:rsidRPr="008F3998">
        <w:rPr>
          <w:rFonts w:ascii="Times New Roman" w:hAnsi="Times New Roman" w:cs="Times New Roman"/>
          <w:sz w:val="24"/>
          <w:szCs w:val="24"/>
        </w:rPr>
        <w:t xml:space="preserve">2 </w:t>
      </w:r>
      <w:r w:rsidRPr="008F3998">
        <w:rPr>
          <w:rFonts w:ascii="Times New Roman" w:hAnsi="Times New Roman" w:cs="Times New Roman"/>
          <w:sz w:val="24"/>
          <w:szCs w:val="24"/>
        </w:rPr>
        <w:t>provides</w:t>
      </w:r>
      <w:r w:rsidR="00E369BC" w:rsidRPr="008F3998">
        <w:rPr>
          <w:rFonts w:ascii="Times New Roman" w:hAnsi="Times New Roman" w:cs="Times New Roman"/>
          <w:sz w:val="24"/>
          <w:szCs w:val="24"/>
        </w:rPr>
        <w:t xml:space="preserve"> estimated results from equations (6)-(8) using national level risk data.</w:t>
      </w:r>
      <w:r w:rsidR="002B78E7" w:rsidRPr="008F3998">
        <w:rPr>
          <w:rFonts w:ascii="Times New Roman" w:hAnsi="Times New Roman" w:cs="Times New Roman"/>
          <w:sz w:val="24"/>
          <w:szCs w:val="24"/>
        </w:rPr>
        <w:t xml:space="preserve"> The baseline model estimates can be found in columns (1)-(2).</w:t>
      </w:r>
      <w:r w:rsidR="00EC6A55" w:rsidRPr="008F3998">
        <w:rPr>
          <w:rFonts w:ascii="Times New Roman" w:hAnsi="Times New Roman" w:cs="Times New Roman"/>
          <w:sz w:val="24"/>
          <w:szCs w:val="24"/>
        </w:rPr>
        <w:t xml:space="preserve"> The coefficients on the carbon emissions (CO</w:t>
      </w:r>
      <w:r w:rsidR="00EC6A55" w:rsidRPr="008F3998">
        <w:rPr>
          <w:rFonts w:ascii="Times New Roman" w:hAnsi="Times New Roman" w:cs="Times New Roman"/>
          <w:sz w:val="24"/>
          <w:szCs w:val="24"/>
          <w:vertAlign w:val="subscript"/>
        </w:rPr>
        <w:t>2</w:t>
      </w:r>
      <w:r w:rsidR="00EC6A55" w:rsidRPr="008F3998">
        <w:rPr>
          <w:rFonts w:ascii="Times New Roman" w:hAnsi="Times New Roman" w:cs="Times New Roman"/>
          <w:sz w:val="24"/>
          <w:szCs w:val="24"/>
        </w:rPr>
        <w:t>) are positive and statistically significant</w:t>
      </w:r>
      <w:r w:rsidR="00C116A2" w:rsidRPr="008F3998">
        <w:rPr>
          <w:rFonts w:ascii="Times New Roman" w:hAnsi="Times New Roman" w:cs="Times New Roman"/>
          <w:sz w:val="24"/>
          <w:szCs w:val="24"/>
        </w:rPr>
        <w:t xml:space="preserve"> for both </w:t>
      </w:r>
      <w:r w:rsidR="00C116A2" w:rsidRPr="008F3998">
        <w:rPr>
          <w:rFonts w:ascii="Times New Roman" w:hAnsi="Times New Roman" w:cs="Times New Roman"/>
          <w:i/>
          <w:iCs/>
          <w:sz w:val="24"/>
          <w:szCs w:val="24"/>
        </w:rPr>
        <w:t>tail quantile</w:t>
      </w:r>
      <w:r w:rsidR="00C116A2" w:rsidRPr="008F3998">
        <w:rPr>
          <w:rFonts w:ascii="Times New Roman" w:hAnsi="Times New Roman" w:cs="Times New Roman"/>
          <w:sz w:val="24"/>
          <w:szCs w:val="24"/>
        </w:rPr>
        <w:t xml:space="preserve"> and (tail) </w:t>
      </w:r>
      <w:r w:rsidR="00C116A2" w:rsidRPr="008F3998">
        <w:rPr>
          <w:rFonts w:ascii="Times New Roman" w:hAnsi="Times New Roman" w:cs="Times New Roman"/>
          <w:i/>
          <w:iCs/>
          <w:sz w:val="24"/>
          <w:szCs w:val="24"/>
        </w:rPr>
        <w:t>expected shortfall</w:t>
      </w:r>
      <w:r w:rsidR="00EC6A55" w:rsidRPr="008F3998">
        <w:rPr>
          <w:rFonts w:ascii="Times New Roman" w:hAnsi="Times New Roman" w:cs="Times New Roman"/>
          <w:sz w:val="24"/>
          <w:szCs w:val="24"/>
        </w:rPr>
        <w:t xml:space="preserve">. </w:t>
      </w:r>
      <w:r w:rsidR="14AD0288" w:rsidRPr="008F3998">
        <w:rPr>
          <w:rFonts w:ascii="Times New Roman" w:eastAsia="Times New Roman" w:hAnsi="Times New Roman" w:cs="Times New Roman"/>
          <w:sz w:val="24"/>
          <w:szCs w:val="24"/>
        </w:rPr>
        <w:t>Moreover, the results of our study are aligned with the existing literature with environmental policies and firm value, credit risk, or the cost of capital (e.g.</w:t>
      </w:r>
      <w:r w:rsidR="00930D3A" w:rsidRPr="008F3998">
        <w:rPr>
          <w:rFonts w:ascii="Times New Roman" w:eastAsia="Times New Roman" w:hAnsi="Times New Roman" w:cs="Times New Roman"/>
          <w:sz w:val="24"/>
          <w:szCs w:val="24"/>
        </w:rPr>
        <w:t>,</w:t>
      </w:r>
      <w:r w:rsidR="14AD0288" w:rsidRPr="008F3998">
        <w:rPr>
          <w:rFonts w:ascii="Times New Roman" w:eastAsia="Times New Roman" w:hAnsi="Times New Roman" w:cs="Times New Roman"/>
          <w:sz w:val="24"/>
          <w:szCs w:val="24"/>
        </w:rPr>
        <w:t xml:space="preserve"> </w:t>
      </w:r>
      <w:proofErr w:type="spellStart"/>
      <w:r w:rsidR="14AD0288" w:rsidRPr="008F3998">
        <w:rPr>
          <w:rFonts w:ascii="Times New Roman" w:eastAsia="Times New Roman" w:hAnsi="Times New Roman" w:cs="Times New Roman"/>
          <w:sz w:val="24"/>
          <w:szCs w:val="24"/>
        </w:rPr>
        <w:t>Chava</w:t>
      </w:r>
      <w:proofErr w:type="spellEnd"/>
      <w:r w:rsidR="14AD0288" w:rsidRPr="008F3998">
        <w:rPr>
          <w:rFonts w:ascii="Times New Roman" w:eastAsia="Times New Roman" w:hAnsi="Times New Roman" w:cs="Times New Roman"/>
          <w:sz w:val="24"/>
          <w:szCs w:val="24"/>
        </w:rPr>
        <w:t xml:space="preserve">, 2014; Bauer and Hann, 2010, and </w:t>
      </w:r>
      <w:proofErr w:type="spellStart"/>
      <w:r w:rsidR="14AD0288" w:rsidRPr="008F3998">
        <w:rPr>
          <w:rFonts w:ascii="Times New Roman" w:eastAsia="Times New Roman" w:hAnsi="Times New Roman" w:cs="Times New Roman"/>
          <w:sz w:val="24"/>
          <w:szCs w:val="24"/>
        </w:rPr>
        <w:t>Konar</w:t>
      </w:r>
      <w:proofErr w:type="spellEnd"/>
      <w:r w:rsidR="14AD0288" w:rsidRPr="008F3998">
        <w:rPr>
          <w:rFonts w:ascii="Times New Roman" w:eastAsia="Times New Roman" w:hAnsi="Times New Roman" w:cs="Times New Roman"/>
          <w:sz w:val="24"/>
          <w:szCs w:val="24"/>
        </w:rPr>
        <w:t xml:space="preserve"> and Cohen, 2001).</w:t>
      </w:r>
      <w:r w:rsidR="00C116A2" w:rsidRPr="008F3998">
        <w:rPr>
          <w:rFonts w:ascii="Times New Roman" w:hAnsi="Times New Roman" w:cs="Times New Roman"/>
          <w:sz w:val="24"/>
          <w:szCs w:val="24"/>
        </w:rPr>
        <w:t xml:space="preserve"> The effect of carbon emissions on </w:t>
      </w:r>
      <w:r w:rsidR="00C116A2" w:rsidRPr="008F3998">
        <w:rPr>
          <w:rFonts w:ascii="Times New Roman" w:hAnsi="Times New Roman" w:cs="Times New Roman"/>
          <w:i/>
          <w:iCs/>
          <w:sz w:val="24"/>
          <w:szCs w:val="24"/>
        </w:rPr>
        <w:t>expected shortfall</w:t>
      </w:r>
      <w:r w:rsidR="00C116A2" w:rsidRPr="008F3998">
        <w:rPr>
          <w:rFonts w:ascii="Times New Roman" w:hAnsi="Times New Roman" w:cs="Times New Roman"/>
          <w:sz w:val="24"/>
          <w:szCs w:val="24"/>
        </w:rPr>
        <w:t xml:space="preserve"> is found to be larger in magnitude in contrast to that of </w:t>
      </w:r>
      <w:r w:rsidR="00C116A2" w:rsidRPr="008F3998">
        <w:rPr>
          <w:rFonts w:ascii="Times New Roman" w:hAnsi="Times New Roman" w:cs="Times New Roman"/>
          <w:i/>
          <w:iCs/>
          <w:sz w:val="24"/>
          <w:szCs w:val="24"/>
        </w:rPr>
        <w:t>tail quantile</w:t>
      </w:r>
      <w:r w:rsidR="008F32E4" w:rsidRPr="008F3998">
        <w:rPr>
          <w:rFonts w:ascii="Times New Roman" w:hAnsi="Times New Roman" w:cs="Times New Roman"/>
          <w:sz w:val="24"/>
          <w:szCs w:val="24"/>
        </w:rPr>
        <w:t xml:space="preserve">. </w:t>
      </w:r>
      <w:r w:rsidR="00C116A2" w:rsidRPr="008F3998">
        <w:rPr>
          <w:rFonts w:ascii="Times New Roman" w:hAnsi="Times New Roman" w:cs="Times New Roman"/>
          <w:sz w:val="24"/>
          <w:szCs w:val="24"/>
        </w:rPr>
        <w:t>S</w:t>
      </w:r>
      <w:r w:rsidR="00F45689" w:rsidRPr="008F3998">
        <w:rPr>
          <w:rFonts w:ascii="Times New Roman" w:hAnsi="Times New Roman" w:cs="Times New Roman"/>
          <w:sz w:val="24"/>
          <w:szCs w:val="24"/>
        </w:rPr>
        <w:t>tock market volatility is found to have negative and statistically significant effects on country risk in the baseline models (6).</w:t>
      </w:r>
      <w:r w:rsidR="00930D3A" w:rsidRPr="008F3998">
        <w:rPr>
          <w:rFonts w:ascii="Times New Roman" w:eastAsiaTheme="minorEastAsia" w:hAnsi="Times New Roman" w:cs="Times New Roman"/>
          <w:sz w:val="24"/>
          <w:szCs w:val="24"/>
        </w:rPr>
        <w:t xml:space="preserve"> The </w:t>
      </w:r>
      <m:oMath>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oMath>
      <w:r w:rsidR="00172C87" w:rsidRPr="008F3998">
        <w:rPr>
          <w:rFonts w:ascii="Times New Roman" w:eastAsiaTheme="minorEastAsia" w:hAnsi="Times New Roman" w:cs="Times New Roman"/>
          <w:sz w:val="24"/>
          <w:szCs w:val="24"/>
        </w:rPr>
        <w:t xml:space="preserve"> </w:t>
      </w:r>
      <w:r w:rsidR="00900327" w:rsidRPr="008F3998">
        <w:rPr>
          <w:rFonts w:ascii="Times New Roman" w:eastAsiaTheme="minorEastAsia" w:hAnsi="Times New Roman" w:cs="Times New Roman"/>
          <w:sz w:val="24"/>
          <w:szCs w:val="24"/>
        </w:rPr>
        <w:t xml:space="preserve">values </w:t>
      </w:r>
      <w:r w:rsidR="00172C87" w:rsidRPr="008F3998">
        <w:rPr>
          <w:rFonts w:ascii="Times New Roman" w:eastAsiaTheme="minorEastAsia" w:hAnsi="Times New Roman" w:cs="Times New Roman"/>
          <w:sz w:val="24"/>
          <w:szCs w:val="24"/>
        </w:rPr>
        <w:t>indicate that baseline models explain between 4</w:t>
      </w:r>
      <w:r w:rsidR="00F45689" w:rsidRPr="008F3998">
        <w:rPr>
          <w:rFonts w:ascii="Times New Roman" w:eastAsiaTheme="minorEastAsia" w:hAnsi="Times New Roman" w:cs="Times New Roman"/>
          <w:sz w:val="24"/>
          <w:szCs w:val="24"/>
        </w:rPr>
        <w:t>0</w:t>
      </w:r>
      <w:r w:rsidR="00172C87" w:rsidRPr="008F3998">
        <w:rPr>
          <w:rFonts w:ascii="Times New Roman" w:eastAsiaTheme="minorEastAsia" w:hAnsi="Times New Roman" w:cs="Times New Roman"/>
          <w:sz w:val="24"/>
          <w:szCs w:val="24"/>
        </w:rPr>
        <w:t>.</w:t>
      </w:r>
      <w:r w:rsidR="00F45689" w:rsidRPr="008F3998">
        <w:rPr>
          <w:rFonts w:ascii="Times New Roman" w:eastAsiaTheme="minorEastAsia" w:hAnsi="Times New Roman" w:cs="Times New Roman"/>
          <w:sz w:val="24"/>
          <w:szCs w:val="24"/>
        </w:rPr>
        <w:t>1</w:t>
      </w:r>
      <w:r w:rsidR="00172C87" w:rsidRPr="008F3998">
        <w:rPr>
          <w:rFonts w:ascii="Times New Roman" w:eastAsiaTheme="minorEastAsia" w:hAnsi="Times New Roman" w:cs="Times New Roman"/>
          <w:sz w:val="24"/>
          <w:szCs w:val="24"/>
        </w:rPr>
        <w:t>% and 4</w:t>
      </w:r>
      <w:r w:rsidR="00F45689" w:rsidRPr="008F3998">
        <w:rPr>
          <w:rFonts w:ascii="Times New Roman" w:eastAsiaTheme="minorEastAsia" w:hAnsi="Times New Roman" w:cs="Times New Roman"/>
          <w:sz w:val="24"/>
          <w:szCs w:val="24"/>
        </w:rPr>
        <w:t>4</w:t>
      </w:r>
      <w:r w:rsidR="00172C87" w:rsidRPr="008F3998">
        <w:rPr>
          <w:rFonts w:ascii="Times New Roman" w:eastAsiaTheme="minorEastAsia" w:hAnsi="Times New Roman" w:cs="Times New Roman"/>
          <w:sz w:val="24"/>
          <w:szCs w:val="24"/>
        </w:rPr>
        <w:t>.</w:t>
      </w:r>
      <w:r w:rsidR="00F45689" w:rsidRPr="008F3998">
        <w:rPr>
          <w:rFonts w:ascii="Times New Roman" w:eastAsiaTheme="minorEastAsia" w:hAnsi="Times New Roman" w:cs="Times New Roman"/>
          <w:sz w:val="24"/>
          <w:szCs w:val="24"/>
        </w:rPr>
        <w:t>6</w:t>
      </w:r>
      <w:r w:rsidR="008F32E4" w:rsidRPr="008F3998">
        <w:rPr>
          <w:rFonts w:ascii="Times New Roman" w:eastAsiaTheme="minorEastAsia" w:hAnsi="Times New Roman" w:cs="Times New Roman"/>
          <w:sz w:val="24"/>
          <w:szCs w:val="24"/>
        </w:rPr>
        <w:t>% of the variations in the country</w:t>
      </w:r>
      <w:r w:rsidR="00F45689" w:rsidRPr="008F3998">
        <w:rPr>
          <w:rFonts w:ascii="Times New Roman" w:eastAsiaTheme="minorEastAsia" w:hAnsi="Times New Roman" w:cs="Times New Roman"/>
          <w:sz w:val="24"/>
          <w:szCs w:val="24"/>
        </w:rPr>
        <w:t xml:space="preserve"> financial</w:t>
      </w:r>
      <w:r w:rsidR="008F32E4" w:rsidRPr="008F3998">
        <w:rPr>
          <w:rFonts w:ascii="Times New Roman" w:eastAsiaTheme="minorEastAsia" w:hAnsi="Times New Roman" w:cs="Times New Roman"/>
          <w:sz w:val="24"/>
          <w:szCs w:val="24"/>
        </w:rPr>
        <w:t xml:space="preserve"> risk measures.</w:t>
      </w:r>
      <w:r w:rsidR="00E87A20" w:rsidRPr="008F3998">
        <w:rPr>
          <w:rFonts w:ascii="Times New Roman" w:eastAsiaTheme="minorEastAsia" w:hAnsi="Times New Roman" w:cs="Times New Roman"/>
          <w:sz w:val="24"/>
          <w:szCs w:val="24"/>
        </w:rPr>
        <w:t xml:space="preserve"> </w:t>
      </w:r>
      <w:r w:rsidR="00F45689" w:rsidRPr="008F3998">
        <w:rPr>
          <w:rFonts w:ascii="Times New Roman" w:hAnsi="Times New Roman" w:cs="Times New Roman"/>
          <w:sz w:val="24"/>
          <w:szCs w:val="24"/>
        </w:rPr>
        <w:t>After augmenting the baseline models with international liquidity measure (</w:t>
      </w:r>
      <w:r w:rsidR="00F45689" w:rsidRPr="008F3998">
        <w:rPr>
          <w:rFonts w:ascii="Times New Roman" w:hAnsi="Times New Roman" w:cs="Times New Roman"/>
          <w:i/>
          <w:iCs/>
          <w:sz w:val="24"/>
          <w:szCs w:val="24"/>
        </w:rPr>
        <w:t>reserves</w:t>
      </w:r>
      <w:r w:rsidR="00845548" w:rsidRPr="008F3998">
        <w:rPr>
          <w:rFonts w:ascii="Times New Roman" w:hAnsi="Times New Roman" w:cs="Times New Roman"/>
          <w:sz w:val="24"/>
          <w:szCs w:val="24"/>
        </w:rPr>
        <w:t>), the impact of carbon emissions on the risk measures appear to increase in magnitude (columns 3 &amp;</w:t>
      </w:r>
      <w:r w:rsidR="00F45689" w:rsidRPr="008F3998">
        <w:rPr>
          <w:rFonts w:ascii="Times New Roman" w:hAnsi="Times New Roman" w:cs="Times New Roman"/>
          <w:sz w:val="24"/>
          <w:szCs w:val="24"/>
        </w:rPr>
        <w:t xml:space="preserve"> </w:t>
      </w:r>
      <w:r w:rsidR="00F45689" w:rsidRPr="008F3998" w:rsidDel="00A800CE">
        <w:rPr>
          <w:rFonts w:ascii="Times New Roman" w:hAnsi="Times New Roman" w:cs="Times New Roman"/>
          <w:sz w:val="24"/>
          <w:szCs w:val="24"/>
        </w:rPr>
        <w:t xml:space="preserve">4, Table </w:t>
      </w:r>
      <w:r w:rsidR="00F45689" w:rsidRPr="008F3998">
        <w:rPr>
          <w:rFonts w:ascii="Times New Roman" w:hAnsi="Times New Roman" w:cs="Times New Roman"/>
          <w:sz w:val="24"/>
          <w:szCs w:val="24"/>
        </w:rPr>
        <w:t>2</w:t>
      </w:r>
      <w:r w:rsidR="003B1075" w:rsidRPr="008F3998">
        <w:rPr>
          <w:rFonts w:ascii="Times New Roman" w:hAnsi="Times New Roman" w:cs="Times New Roman"/>
          <w:sz w:val="24"/>
          <w:szCs w:val="24"/>
        </w:rPr>
        <w:t>). Similar to the baseline models, the coefficient on CO</w:t>
      </w:r>
      <w:r w:rsidR="00172C87" w:rsidRPr="008F3998">
        <w:rPr>
          <w:rFonts w:ascii="Times New Roman" w:hAnsi="Times New Roman" w:cs="Times New Roman"/>
          <w:sz w:val="24"/>
          <w:szCs w:val="24"/>
          <w:vertAlign w:val="subscript"/>
        </w:rPr>
        <w:t>2</w:t>
      </w:r>
      <w:r w:rsidR="003B1075" w:rsidRPr="008F3998">
        <w:rPr>
          <w:rFonts w:ascii="Times New Roman" w:hAnsi="Times New Roman" w:cs="Times New Roman"/>
          <w:sz w:val="24"/>
          <w:szCs w:val="24"/>
        </w:rPr>
        <w:t>, estimated using equation (7),</w:t>
      </w:r>
      <w:r w:rsidR="00172C87" w:rsidRPr="008F3998">
        <w:rPr>
          <w:rFonts w:ascii="Times New Roman" w:hAnsi="Times New Roman" w:cs="Times New Roman"/>
          <w:sz w:val="24"/>
          <w:szCs w:val="24"/>
        </w:rPr>
        <w:t xml:space="preserve"> is greater for </w:t>
      </w:r>
      <w:r w:rsidR="00172C87" w:rsidRPr="008F3998">
        <w:rPr>
          <w:rFonts w:ascii="Times New Roman" w:hAnsi="Times New Roman" w:cs="Times New Roman"/>
          <w:i/>
          <w:iCs/>
          <w:sz w:val="24"/>
          <w:szCs w:val="24"/>
        </w:rPr>
        <w:t>expected shortfall</w:t>
      </w:r>
      <w:r w:rsidR="00172C87" w:rsidRPr="008F3998">
        <w:rPr>
          <w:rFonts w:ascii="Times New Roman" w:hAnsi="Times New Roman" w:cs="Times New Roman"/>
          <w:sz w:val="24"/>
          <w:szCs w:val="24"/>
        </w:rPr>
        <w:t xml:space="preserve"> than for </w:t>
      </w:r>
      <w:r w:rsidR="00172C87" w:rsidRPr="008F3998">
        <w:rPr>
          <w:rFonts w:ascii="Times New Roman" w:hAnsi="Times New Roman" w:cs="Times New Roman"/>
          <w:i/>
          <w:iCs/>
          <w:sz w:val="24"/>
          <w:szCs w:val="24"/>
        </w:rPr>
        <w:t>tail quantile</w:t>
      </w:r>
      <w:r w:rsidR="003F5736" w:rsidRPr="008F3998">
        <w:rPr>
          <w:rFonts w:ascii="Times New Roman" w:hAnsi="Times New Roman" w:cs="Times New Roman"/>
          <w:sz w:val="24"/>
          <w:szCs w:val="24"/>
        </w:rPr>
        <w:t>.</w:t>
      </w:r>
      <w:r w:rsidR="0074585F" w:rsidRPr="008F3998">
        <w:rPr>
          <w:rFonts w:ascii="Times New Roman" w:hAnsi="Times New Roman" w:cs="Times New Roman"/>
          <w:sz w:val="24"/>
          <w:szCs w:val="24"/>
        </w:rPr>
        <w:t xml:space="preserve"> Here, the stock market volatility is also found to </w:t>
      </w:r>
      <w:r w:rsidR="003B1075" w:rsidRPr="008F3998">
        <w:rPr>
          <w:rFonts w:ascii="Times New Roman" w:hAnsi="Times New Roman" w:cs="Times New Roman"/>
          <w:sz w:val="24"/>
          <w:szCs w:val="24"/>
        </w:rPr>
        <w:t>have negative statistically significant coefficients.</w:t>
      </w:r>
      <w:r w:rsidR="00172C87" w:rsidRPr="008F3998">
        <w:rPr>
          <w:rFonts w:ascii="Times New Roman" w:hAnsi="Times New Roman" w:cs="Times New Roman"/>
          <w:sz w:val="24"/>
          <w:szCs w:val="24"/>
        </w:rPr>
        <w:t xml:space="preserve"> </w:t>
      </w:r>
      <w:r w:rsidR="003B1075" w:rsidRPr="008F3998">
        <w:rPr>
          <w:rFonts w:ascii="Times New Roman" w:hAnsi="Times New Roman" w:cs="Times New Roman"/>
          <w:sz w:val="24"/>
          <w:szCs w:val="24"/>
        </w:rPr>
        <w:t>These</w:t>
      </w:r>
      <w:r w:rsidR="00172C87" w:rsidRPr="008F3998">
        <w:rPr>
          <w:rFonts w:ascii="Times New Roman" w:hAnsi="Times New Roman" w:cs="Times New Roman"/>
          <w:sz w:val="24"/>
          <w:szCs w:val="24"/>
        </w:rPr>
        <w:t xml:space="preserve"> two variants of equation (7) also indicate an improvement in goodness of fit: explaining 45.7% and 40.2% of the variations in the </w:t>
      </w:r>
      <w:r w:rsidR="00172C87" w:rsidRPr="008F3998">
        <w:rPr>
          <w:rFonts w:ascii="Times New Roman" w:hAnsi="Times New Roman" w:cs="Times New Roman"/>
          <w:i/>
          <w:iCs/>
          <w:sz w:val="24"/>
          <w:szCs w:val="24"/>
        </w:rPr>
        <w:t>tail quantile</w:t>
      </w:r>
      <w:r w:rsidR="00172C87" w:rsidRPr="008F3998">
        <w:rPr>
          <w:rFonts w:ascii="Times New Roman" w:hAnsi="Times New Roman" w:cs="Times New Roman"/>
          <w:sz w:val="24"/>
          <w:szCs w:val="24"/>
        </w:rPr>
        <w:t xml:space="preserve"> and </w:t>
      </w:r>
      <w:r w:rsidR="00172C87" w:rsidRPr="008F3998">
        <w:rPr>
          <w:rFonts w:ascii="Times New Roman" w:hAnsi="Times New Roman" w:cs="Times New Roman"/>
          <w:i/>
          <w:iCs/>
          <w:sz w:val="24"/>
          <w:szCs w:val="24"/>
        </w:rPr>
        <w:t>expected shortfall</w:t>
      </w:r>
      <w:r w:rsidR="14AD0288" w:rsidRPr="008F3998">
        <w:rPr>
          <w:rFonts w:ascii="Times New Roman" w:hAnsi="Times New Roman" w:cs="Times New Roman"/>
          <w:sz w:val="24"/>
          <w:szCs w:val="24"/>
        </w:rPr>
        <w:t xml:space="preserve"> values, respectively.</w:t>
      </w:r>
    </w:p>
    <w:p w14:paraId="48B976A2" w14:textId="262C077E" w:rsidR="00845548" w:rsidRPr="008F3998" w:rsidRDefault="14AD0288" w:rsidP="14AD0288">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Columns (5) &amp; (6) of Table 2 provide the results from estimating model (8) using the </w:t>
      </w:r>
      <w:r w:rsidRPr="008F3998">
        <w:rPr>
          <w:rFonts w:ascii="Times New Roman" w:hAnsi="Times New Roman" w:cs="Times New Roman"/>
          <w:i/>
          <w:iCs/>
          <w:sz w:val="24"/>
          <w:szCs w:val="24"/>
        </w:rPr>
        <w:t>tail quantile</w:t>
      </w:r>
      <w:r w:rsidRPr="008F3998">
        <w:rPr>
          <w:rFonts w:ascii="Times New Roman" w:hAnsi="Times New Roman" w:cs="Times New Roman"/>
          <w:sz w:val="24"/>
          <w:szCs w:val="24"/>
        </w:rPr>
        <w:t xml:space="preserve"> and (tail) </w:t>
      </w:r>
      <w:r w:rsidRPr="008F3998">
        <w:rPr>
          <w:rFonts w:ascii="Times New Roman" w:hAnsi="Times New Roman" w:cs="Times New Roman"/>
          <w:i/>
          <w:iCs/>
          <w:sz w:val="24"/>
          <w:szCs w:val="24"/>
        </w:rPr>
        <w:t>expected shortfall</w:t>
      </w:r>
      <w:r w:rsidRPr="008F3998">
        <w:rPr>
          <w:rFonts w:ascii="Times New Roman" w:hAnsi="Times New Roman" w:cs="Times New Roman"/>
          <w:sz w:val="24"/>
          <w:szCs w:val="24"/>
        </w:rPr>
        <w:t xml:space="preserve"> measures. Equation (8) augments equation (7) by accounting for local and global financial shocks as well as incorporating the yield spreads of two groups (differentiated by their credit rating) of corporations. The coefficients on CO</w:t>
      </w:r>
      <w:r w:rsidRPr="008F3998">
        <w:rPr>
          <w:rFonts w:ascii="Times New Roman" w:hAnsi="Times New Roman" w:cs="Times New Roman"/>
          <w:sz w:val="24"/>
          <w:szCs w:val="24"/>
          <w:vertAlign w:val="subscript"/>
        </w:rPr>
        <w:t>2</w:t>
      </w:r>
      <w:r w:rsidRPr="008F3998">
        <w:rPr>
          <w:rFonts w:ascii="Times New Roman" w:hAnsi="Times New Roman" w:cs="Times New Roman"/>
          <w:sz w:val="24"/>
          <w:szCs w:val="24"/>
        </w:rPr>
        <w:t xml:space="preserve"> can be found to be positive and statistically significant, at the 10% and 1% levels of significance </w:t>
      </w:r>
      <w:r w:rsidRPr="008F3998">
        <w:rPr>
          <w:rFonts w:ascii="Times New Roman" w:eastAsia="Times New Roman" w:hAnsi="Times New Roman" w:cs="Times New Roman"/>
          <w:sz w:val="24"/>
          <w:szCs w:val="24"/>
        </w:rPr>
        <w:t>(related studies on CO</w:t>
      </w:r>
      <w:r w:rsidRPr="008F3998">
        <w:rPr>
          <w:rFonts w:ascii="Times New Roman" w:eastAsia="Times New Roman" w:hAnsi="Times New Roman" w:cs="Times New Roman"/>
          <w:sz w:val="24"/>
          <w:szCs w:val="24"/>
          <w:vertAlign w:val="subscript"/>
        </w:rPr>
        <w:t>2</w:t>
      </w:r>
      <w:r w:rsidRPr="008F3998">
        <w:rPr>
          <w:rFonts w:ascii="Times New Roman" w:eastAsia="Times New Roman" w:hAnsi="Times New Roman" w:cs="Times New Roman"/>
          <w:sz w:val="24"/>
          <w:szCs w:val="24"/>
        </w:rPr>
        <w:t xml:space="preserve"> emission, economic growth and financial investment are examined by Chiu and Chang, 2009; </w:t>
      </w:r>
      <w:proofErr w:type="spellStart"/>
      <w:r w:rsidRPr="008F3998">
        <w:rPr>
          <w:rFonts w:ascii="Times New Roman" w:eastAsia="Times New Roman" w:hAnsi="Times New Roman" w:cs="Times New Roman"/>
          <w:sz w:val="24"/>
          <w:szCs w:val="24"/>
        </w:rPr>
        <w:t>Apergis</w:t>
      </w:r>
      <w:proofErr w:type="spellEnd"/>
      <w:r w:rsidRPr="008F3998">
        <w:rPr>
          <w:rFonts w:ascii="Times New Roman" w:eastAsia="Times New Roman" w:hAnsi="Times New Roman" w:cs="Times New Roman"/>
          <w:sz w:val="24"/>
          <w:szCs w:val="24"/>
        </w:rPr>
        <w:t xml:space="preserve"> and Payne, 2010; </w:t>
      </w:r>
      <w:proofErr w:type="spellStart"/>
      <w:r w:rsidRPr="008F3998">
        <w:rPr>
          <w:rFonts w:ascii="Times New Roman" w:eastAsia="Times New Roman" w:hAnsi="Times New Roman" w:cs="Times New Roman"/>
          <w:sz w:val="24"/>
          <w:szCs w:val="24"/>
        </w:rPr>
        <w:t>Menyah</w:t>
      </w:r>
      <w:proofErr w:type="spellEnd"/>
      <w:r w:rsidRPr="008F3998">
        <w:rPr>
          <w:rFonts w:ascii="Times New Roman" w:eastAsia="Times New Roman" w:hAnsi="Times New Roman" w:cs="Times New Roman"/>
          <w:sz w:val="24"/>
          <w:szCs w:val="24"/>
        </w:rPr>
        <w:t xml:space="preserve"> and </w:t>
      </w:r>
      <w:proofErr w:type="spellStart"/>
      <w:r w:rsidRPr="008F3998">
        <w:rPr>
          <w:rFonts w:ascii="Times New Roman" w:eastAsia="Times New Roman" w:hAnsi="Times New Roman" w:cs="Times New Roman"/>
          <w:sz w:val="24"/>
          <w:szCs w:val="24"/>
        </w:rPr>
        <w:t>Wolde-Rufael</w:t>
      </w:r>
      <w:proofErr w:type="spellEnd"/>
      <w:r w:rsidRPr="008F3998">
        <w:rPr>
          <w:rFonts w:ascii="Times New Roman" w:eastAsia="Times New Roman" w:hAnsi="Times New Roman" w:cs="Times New Roman"/>
          <w:sz w:val="24"/>
          <w:szCs w:val="24"/>
        </w:rPr>
        <w:t>, 2010; Zhu et al., 2016</w:t>
      </w:r>
      <w:r w:rsidR="00A357FD" w:rsidRPr="008F3998">
        <w:rPr>
          <w:rFonts w:ascii="Times New Roman" w:eastAsia="Times New Roman" w:hAnsi="Times New Roman" w:cs="Times New Roman"/>
          <w:sz w:val="24"/>
          <w:szCs w:val="24"/>
        </w:rPr>
        <w:t>;</w:t>
      </w:r>
      <w:r w:rsidRPr="008F3998">
        <w:rPr>
          <w:rFonts w:ascii="Times New Roman" w:eastAsia="Times New Roman" w:hAnsi="Times New Roman" w:cs="Times New Roman"/>
          <w:sz w:val="24"/>
          <w:szCs w:val="24"/>
        </w:rPr>
        <w:t xml:space="preserve"> and </w:t>
      </w:r>
      <w:proofErr w:type="spellStart"/>
      <w:r w:rsidRPr="008F3998">
        <w:rPr>
          <w:rFonts w:ascii="Times New Roman" w:eastAsia="Times New Roman" w:hAnsi="Times New Roman" w:cs="Times New Roman"/>
          <w:sz w:val="24"/>
          <w:szCs w:val="24"/>
        </w:rPr>
        <w:t>Hakimi</w:t>
      </w:r>
      <w:proofErr w:type="spellEnd"/>
      <w:r w:rsidRPr="008F3998">
        <w:rPr>
          <w:rFonts w:ascii="Times New Roman" w:eastAsia="Times New Roman" w:hAnsi="Times New Roman" w:cs="Times New Roman"/>
          <w:sz w:val="24"/>
          <w:szCs w:val="24"/>
        </w:rPr>
        <w:t xml:space="preserve"> and </w:t>
      </w:r>
      <w:proofErr w:type="spellStart"/>
      <w:r w:rsidRPr="008F3998">
        <w:rPr>
          <w:rFonts w:ascii="Times New Roman" w:eastAsia="Times New Roman" w:hAnsi="Times New Roman" w:cs="Times New Roman"/>
          <w:sz w:val="24"/>
          <w:szCs w:val="24"/>
        </w:rPr>
        <w:t>Hamdi</w:t>
      </w:r>
      <w:proofErr w:type="spellEnd"/>
      <w:r w:rsidRPr="008F3998">
        <w:rPr>
          <w:rFonts w:ascii="Times New Roman" w:eastAsia="Times New Roman" w:hAnsi="Times New Roman" w:cs="Times New Roman"/>
          <w:sz w:val="24"/>
          <w:szCs w:val="24"/>
        </w:rPr>
        <w:t>, 2016</w:t>
      </w:r>
      <w:r w:rsidR="00A357FD" w:rsidRPr="008F3998">
        <w:rPr>
          <w:rFonts w:ascii="Times New Roman" w:eastAsia="Times New Roman" w:hAnsi="Times New Roman" w:cs="Times New Roman"/>
          <w:sz w:val="24"/>
          <w:szCs w:val="24"/>
        </w:rPr>
        <w:t>, inter alia</w:t>
      </w:r>
      <w:r w:rsidRPr="008F3998">
        <w:rPr>
          <w:rFonts w:ascii="Times New Roman" w:eastAsia="Times New Roman" w:hAnsi="Times New Roman" w:cs="Times New Roman"/>
          <w:sz w:val="24"/>
          <w:szCs w:val="24"/>
        </w:rPr>
        <w:t>).</w:t>
      </w:r>
      <w:r w:rsidRPr="008F3998">
        <w:rPr>
          <w:rFonts w:ascii="Times New Roman" w:hAnsi="Times New Roman" w:cs="Times New Roman"/>
          <w:sz w:val="24"/>
          <w:szCs w:val="24"/>
        </w:rPr>
        <w:t xml:space="preserve"> However, the coefficient magnitudes are smaller than that of both the baseline model (6) and international liquidity augmented model (7). In addition, the effect of carbon emissions on </w:t>
      </w:r>
      <w:r w:rsidRPr="008F3998">
        <w:rPr>
          <w:rFonts w:ascii="Times New Roman" w:hAnsi="Times New Roman" w:cs="Times New Roman"/>
          <w:i/>
          <w:iCs/>
          <w:sz w:val="24"/>
          <w:szCs w:val="24"/>
        </w:rPr>
        <w:t>expected shortfall</w:t>
      </w:r>
      <w:r w:rsidRPr="008F3998">
        <w:rPr>
          <w:rFonts w:ascii="Times New Roman" w:hAnsi="Times New Roman" w:cs="Times New Roman"/>
          <w:sz w:val="24"/>
          <w:szCs w:val="24"/>
        </w:rPr>
        <w:t xml:space="preserve"> is larger in value than on </w:t>
      </w:r>
      <w:r w:rsidRPr="008F3998">
        <w:rPr>
          <w:rFonts w:ascii="Times New Roman" w:hAnsi="Times New Roman" w:cs="Times New Roman"/>
          <w:i/>
          <w:iCs/>
          <w:sz w:val="24"/>
          <w:szCs w:val="24"/>
        </w:rPr>
        <w:t>tail quantile</w:t>
      </w:r>
      <w:r w:rsidRPr="008F3998">
        <w:rPr>
          <w:rFonts w:ascii="Times New Roman" w:hAnsi="Times New Roman" w:cs="Times New Roman"/>
          <w:sz w:val="24"/>
          <w:szCs w:val="24"/>
        </w:rPr>
        <w:t xml:space="preserve">. Stock market volatility no longer has statistically significant coefficient. Turning to the other </w:t>
      </w:r>
      <w:proofErr w:type="spellStart"/>
      <w:r w:rsidRPr="008F3998">
        <w:rPr>
          <w:rFonts w:ascii="Times New Roman" w:hAnsi="Times New Roman" w:cs="Times New Roman"/>
          <w:sz w:val="24"/>
          <w:szCs w:val="24"/>
        </w:rPr>
        <w:t>regressors</w:t>
      </w:r>
      <w:proofErr w:type="spellEnd"/>
      <w:r w:rsidRPr="008F3998">
        <w:rPr>
          <w:rFonts w:ascii="Times New Roman" w:hAnsi="Times New Roman" w:cs="Times New Roman"/>
          <w:sz w:val="24"/>
          <w:szCs w:val="24"/>
        </w:rPr>
        <w:t xml:space="preserve">, </w:t>
      </w:r>
      <w:r w:rsidRPr="008F3998">
        <w:rPr>
          <w:rFonts w:ascii="Times New Roman" w:hAnsi="Times New Roman" w:cs="Times New Roman"/>
          <w:i/>
          <w:iCs/>
          <w:sz w:val="24"/>
          <w:szCs w:val="24"/>
        </w:rPr>
        <w:t>stoxx50</w:t>
      </w:r>
      <w:r w:rsidRPr="008F3998">
        <w:rPr>
          <w:rFonts w:ascii="Times New Roman" w:hAnsi="Times New Roman" w:cs="Times New Roman"/>
          <w:sz w:val="24"/>
          <w:szCs w:val="24"/>
        </w:rPr>
        <w:t xml:space="preserve"> has positive and significant coefficients, at 10% level of significance, in both variants of model (8). In addition, </w:t>
      </w:r>
      <w:proofErr w:type="spellStart"/>
      <w:r w:rsidRPr="008F3998">
        <w:rPr>
          <w:rFonts w:ascii="Times New Roman" w:hAnsi="Times New Roman" w:cs="Times New Roman"/>
          <w:i/>
          <w:iCs/>
          <w:sz w:val="24"/>
          <w:szCs w:val="24"/>
        </w:rPr>
        <w:t>hyyield</w:t>
      </w:r>
      <w:proofErr w:type="spellEnd"/>
      <w:r w:rsidRPr="008F3998">
        <w:rPr>
          <w:rFonts w:ascii="Times New Roman" w:hAnsi="Times New Roman" w:cs="Times New Roman"/>
          <w:sz w:val="24"/>
          <w:szCs w:val="24"/>
        </w:rPr>
        <w:t xml:space="preserve"> has a positive and significant (at the 10% level) coefficient when equation (8) is estimated using </w:t>
      </w:r>
      <w:r w:rsidRPr="008F3998">
        <w:rPr>
          <w:rFonts w:ascii="Times New Roman" w:hAnsi="Times New Roman" w:cs="Times New Roman"/>
          <w:i/>
          <w:iCs/>
          <w:sz w:val="24"/>
          <w:szCs w:val="24"/>
        </w:rPr>
        <w:t>expected shortfall</w:t>
      </w:r>
      <w:r w:rsidRPr="008F3998">
        <w:rPr>
          <w:rFonts w:ascii="Times New Roman" w:hAnsi="Times New Roman" w:cs="Times New Roman"/>
          <w:sz w:val="24"/>
          <w:szCs w:val="24"/>
        </w:rPr>
        <w:t xml:space="preserve"> as the dependent variable. The adjusted-</w:t>
      </w:r>
      <w:r w:rsidRPr="008F3998">
        <w:rPr>
          <w:rFonts w:ascii="Times New Roman" w:hAnsi="Times New Roman" w:cs="Times New Roman"/>
          <w:i/>
          <w:iCs/>
          <w:sz w:val="24"/>
          <w:szCs w:val="24"/>
        </w:rPr>
        <w:t>R</w:t>
      </w:r>
      <w:r w:rsidRPr="008F3998">
        <w:rPr>
          <w:rFonts w:ascii="Times New Roman" w:hAnsi="Times New Roman" w:cs="Times New Roman"/>
          <w:sz w:val="24"/>
          <w:szCs w:val="24"/>
          <w:vertAlign w:val="superscript"/>
        </w:rPr>
        <w:t>2</w:t>
      </w:r>
      <w:r w:rsidRPr="008F3998">
        <w:rPr>
          <w:rFonts w:ascii="Times New Roman" w:hAnsi="Times New Roman" w:cs="Times New Roman"/>
          <w:sz w:val="24"/>
          <w:szCs w:val="24"/>
        </w:rPr>
        <w:t xml:space="preserve"> of both version of the model (8) can be found to improve substantially: explaining between 54.7% and 69.1% of the changes in the two measures for country financial risk. Consequently, carbon emissions can be found to increase financial risk in the G7 economies. The magnitude of results with expected shortfall as a risk measure is higher than the tail quantile as a risk measure. Expected shortfall is a superior risk measure as it </w:t>
      </w:r>
      <w:r w:rsidRPr="008F3998">
        <w:rPr>
          <w:rFonts w:ascii="Times New Roman" w:eastAsiaTheme="minorEastAsia" w:hAnsi="Times New Roman" w:cs="Times New Roman"/>
          <w:sz w:val="24"/>
          <w:szCs w:val="24"/>
        </w:rPr>
        <w:t xml:space="preserve">shows how bad things can go once loss exceeds the </w:t>
      </w:r>
      <w:proofErr w:type="spellStart"/>
      <w:r w:rsidRPr="008F3998">
        <w:rPr>
          <w:rFonts w:ascii="Times New Roman" w:eastAsiaTheme="minorEastAsia" w:hAnsi="Times New Roman" w:cs="Times New Roman"/>
          <w:sz w:val="24"/>
          <w:szCs w:val="24"/>
        </w:rPr>
        <w:t>VaR</w:t>
      </w:r>
      <w:proofErr w:type="spellEnd"/>
      <w:r w:rsidRPr="008F3998">
        <w:rPr>
          <w:rFonts w:ascii="Times New Roman" w:eastAsiaTheme="minorEastAsia" w:hAnsi="Times New Roman" w:cs="Times New Roman"/>
          <w:sz w:val="24"/>
          <w:szCs w:val="24"/>
        </w:rPr>
        <w:t xml:space="preserve"> (tail quantile in our case) boundary</w:t>
      </w:r>
      <w:r w:rsidRPr="008F3998">
        <w:rPr>
          <w:rFonts w:ascii="Times New Roman" w:hAnsi="Times New Roman" w:cs="Times New Roman"/>
          <w:sz w:val="24"/>
          <w:szCs w:val="24"/>
        </w:rPr>
        <w:t>. This reinforces our findings even more as we get higher positive and significant result with a superior risk measure.</w:t>
      </w:r>
    </w:p>
    <w:p w14:paraId="26255A76" w14:textId="02284139" w:rsidR="00E526FC" w:rsidRPr="008F3998" w:rsidRDefault="00E526FC" w:rsidP="005B795C">
      <w:pPr>
        <w:spacing w:after="0"/>
        <w:jc w:val="both"/>
        <w:rPr>
          <w:rFonts w:ascii="Times New Roman" w:hAnsi="Times New Roman" w:cs="Times New Roman"/>
          <w:b/>
          <w:sz w:val="24"/>
          <w:szCs w:val="24"/>
        </w:rPr>
      </w:pPr>
      <w:r w:rsidRPr="008F3998">
        <w:rPr>
          <w:rFonts w:ascii="Times New Roman" w:hAnsi="Times New Roman" w:cs="Times New Roman"/>
          <w:b/>
          <w:sz w:val="24"/>
          <w:szCs w:val="24"/>
        </w:rPr>
        <w:t xml:space="preserve">Table </w:t>
      </w:r>
      <w:r w:rsidR="00F84DFB" w:rsidRPr="008F3998">
        <w:rPr>
          <w:rFonts w:ascii="Times New Roman" w:hAnsi="Times New Roman" w:cs="Times New Roman"/>
          <w:b/>
          <w:sz w:val="24"/>
          <w:szCs w:val="24"/>
        </w:rPr>
        <w:t>2</w:t>
      </w:r>
      <w:r w:rsidR="00E5643A" w:rsidRPr="008F3998">
        <w:rPr>
          <w:rFonts w:ascii="Times New Roman" w:hAnsi="Times New Roman" w:cs="Times New Roman"/>
          <w:b/>
          <w:sz w:val="24"/>
          <w:szCs w:val="24"/>
        </w:rPr>
        <w:t>:</w:t>
      </w:r>
      <w:r w:rsidRPr="008F3998">
        <w:rPr>
          <w:rFonts w:ascii="Times New Roman" w:hAnsi="Times New Roman" w:cs="Times New Roman"/>
          <w:b/>
          <w:sz w:val="24"/>
          <w:szCs w:val="24"/>
        </w:rPr>
        <w:t xml:space="preserve"> </w:t>
      </w:r>
      <w:r w:rsidR="00214962" w:rsidRPr="008F3998">
        <w:rPr>
          <w:rFonts w:ascii="Times New Roman" w:hAnsi="Times New Roman" w:cs="Times New Roman"/>
          <w:b/>
          <w:sz w:val="24"/>
          <w:szCs w:val="24"/>
        </w:rPr>
        <w:t>Model</w:t>
      </w:r>
      <w:r w:rsidR="00FF7F9F" w:rsidRPr="008F3998">
        <w:rPr>
          <w:rFonts w:ascii="Times New Roman" w:hAnsi="Times New Roman" w:cs="Times New Roman"/>
          <w:b/>
          <w:sz w:val="24"/>
          <w:szCs w:val="24"/>
        </w:rPr>
        <w:t>s (6)-(8)</w:t>
      </w:r>
      <w:r w:rsidR="00214962" w:rsidRPr="008F3998">
        <w:rPr>
          <w:rFonts w:ascii="Times New Roman" w:hAnsi="Times New Roman" w:cs="Times New Roman"/>
          <w:b/>
          <w:sz w:val="24"/>
          <w:szCs w:val="24"/>
        </w:rPr>
        <w:t xml:space="preserve"> estimat</w:t>
      </w:r>
      <w:r w:rsidR="009D2027" w:rsidRPr="008F3998">
        <w:rPr>
          <w:rFonts w:ascii="Times New Roman" w:hAnsi="Times New Roman" w:cs="Times New Roman"/>
          <w:b/>
          <w:sz w:val="24"/>
          <w:szCs w:val="24"/>
        </w:rPr>
        <w:t>ion</w:t>
      </w:r>
      <w:r w:rsidR="00214962" w:rsidRPr="008F3998">
        <w:rPr>
          <w:rFonts w:ascii="Times New Roman" w:hAnsi="Times New Roman" w:cs="Times New Roman"/>
          <w:b/>
          <w:sz w:val="24"/>
          <w:szCs w:val="24"/>
        </w:rPr>
        <w:t>,</w:t>
      </w:r>
      <w:r w:rsidRPr="008F3998">
        <w:rPr>
          <w:rFonts w:ascii="Times New Roman" w:hAnsi="Times New Roman" w:cs="Times New Roman"/>
          <w:b/>
          <w:sz w:val="24"/>
          <w:szCs w:val="24"/>
        </w:rPr>
        <w:t xml:space="preserve"> </w:t>
      </w:r>
      <w:r w:rsidR="00214962" w:rsidRPr="008F3998">
        <w:rPr>
          <w:rFonts w:ascii="Times New Roman" w:hAnsi="Times New Roman" w:cs="Times New Roman"/>
          <w:b/>
          <w:sz w:val="24"/>
          <w:szCs w:val="24"/>
        </w:rPr>
        <w:t>National</w:t>
      </w:r>
      <w:r w:rsidRPr="008F3998">
        <w:rPr>
          <w:rFonts w:ascii="Times New Roman" w:hAnsi="Times New Roman" w:cs="Times New Roman"/>
          <w:b/>
          <w:shd w:val="clear" w:color="auto" w:fill="FFFFFF"/>
        </w:rPr>
        <w:t xml:space="preserve"> </w:t>
      </w:r>
      <w:r w:rsidR="00214962" w:rsidRPr="008F3998">
        <w:rPr>
          <w:rFonts w:ascii="Times New Roman" w:hAnsi="Times New Roman" w:cs="Times New Roman"/>
          <w:b/>
          <w:sz w:val="24"/>
          <w:szCs w:val="24"/>
        </w:rPr>
        <w:t>level</w:t>
      </w:r>
    </w:p>
    <w:tbl>
      <w:tblPr>
        <w:tblW w:w="5000" w:type="pct"/>
        <w:jc w:val="center"/>
        <w:tblCellMar>
          <w:left w:w="75" w:type="dxa"/>
          <w:right w:w="75" w:type="dxa"/>
        </w:tblCellMar>
        <w:tblLook w:val="0000" w:firstRow="0" w:lastRow="0" w:firstColumn="0" w:lastColumn="0" w:noHBand="0" w:noVBand="0"/>
      </w:tblPr>
      <w:tblGrid>
        <w:gridCol w:w="2666"/>
        <w:gridCol w:w="1154"/>
        <w:gridCol w:w="1154"/>
        <w:gridCol w:w="1154"/>
        <w:gridCol w:w="1154"/>
        <w:gridCol w:w="1234"/>
        <w:gridCol w:w="1230"/>
      </w:tblGrid>
      <w:tr w:rsidR="008F3998" w:rsidRPr="008F3998" w14:paraId="0A5D8D60" w14:textId="77777777" w:rsidTr="00A7457D">
        <w:trPr>
          <w:jc w:val="center"/>
        </w:trPr>
        <w:tc>
          <w:tcPr>
            <w:tcW w:w="1368" w:type="pct"/>
            <w:tcBorders>
              <w:top w:val="single" w:sz="6" w:space="0" w:color="auto"/>
              <w:left w:val="nil"/>
              <w:right w:val="nil"/>
            </w:tcBorders>
          </w:tcPr>
          <w:p w14:paraId="715F55B8" w14:textId="77777777" w:rsidR="004F41A3" w:rsidRPr="008F3998" w:rsidRDefault="004F41A3" w:rsidP="003E06D0">
            <w:pPr>
              <w:widowControl w:val="0"/>
              <w:autoSpaceDE w:val="0"/>
              <w:autoSpaceDN w:val="0"/>
              <w:adjustRightInd w:val="0"/>
              <w:spacing w:after="0" w:line="240" w:lineRule="auto"/>
              <w:jc w:val="both"/>
              <w:rPr>
                <w:rFonts w:ascii="Times New Roman" w:hAnsi="Times New Roman" w:cs="Times New Roman"/>
                <w:sz w:val="20"/>
                <w:szCs w:val="20"/>
              </w:rPr>
            </w:pPr>
          </w:p>
        </w:tc>
        <w:tc>
          <w:tcPr>
            <w:tcW w:w="3632" w:type="pct"/>
            <w:gridSpan w:val="6"/>
            <w:tcBorders>
              <w:top w:val="single" w:sz="6" w:space="0" w:color="auto"/>
              <w:left w:val="nil"/>
              <w:bottom w:val="nil"/>
              <w:right w:val="nil"/>
            </w:tcBorders>
          </w:tcPr>
          <w:p w14:paraId="08E9BF53" w14:textId="7053C919" w:rsidR="004F41A3" w:rsidRPr="008F3998" w:rsidRDefault="004F41A3" w:rsidP="004F41A3">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Dependent variable</w:t>
            </w:r>
          </w:p>
        </w:tc>
      </w:tr>
      <w:tr w:rsidR="008F3998" w:rsidRPr="008F3998" w14:paraId="3E11EE62" w14:textId="77777777" w:rsidTr="000A1D8B">
        <w:trPr>
          <w:jc w:val="center"/>
        </w:trPr>
        <w:tc>
          <w:tcPr>
            <w:tcW w:w="1368" w:type="pct"/>
            <w:tcBorders>
              <w:left w:val="nil"/>
              <w:bottom w:val="nil"/>
              <w:right w:val="nil"/>
            </w:tcBorders>
          </w:tcPr>
          <w:p w14:paraId="020C188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single" w:sz="6" w:space="0" w:color="auto"/>
              <w:left w:val="nil"/>
              <w:bottom w:val="nil"/>
              <w:right w:val="nil"/>
            </w:tcBorders>
            <w:vAlign w:val="center"/>
          </w:tcPr>
          <w:p w14:paraId="25163E66" w14:textId="08DDE6BE" w:rsidR="004F41A3" w:rsidRPr="008F3998" w:rsidRDefault="004F41A3" w:rsidP="000A1D8B">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592" w:type="pct"/>
            <w:tcBorders>
              <w:top w:val="single" w:sz="6" w:space="0" w:color="auto"/>
              <w:left w:val="nil"/>
              <w:bottom w:val="nil"/>
              <w:right w:val="nil"/>
            </w:tcBorders>
            <w:vAlign w:val="center"/>
          </w:tcPr>
          <w:p w14:paraId="6164A7D8" w14:textId="79E0C3F1" w:rsidR="004F41A3" w:rsidRPr="008F3998" w:rsidRDefault="004F41A3" w:rsidP="000A1D8B">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Expected Shortfall</w:t>
            </w:r>
          </w:p>
        </w:tc>
        <w:tc>
          <w:tcPr>
            <w:tcW w:w="592" w:type="pct"/>
            <w:tcBorders>
              <w:top w:val="single" w:sz="6" w:space="0" w:color="auto"/>
              <w:left w:val="nil"/>
              <w:bottom w:val="nil"/>
              <w:right w:val="nil"/>
            </w:tcBorders>
            <w:vAlign w:val="center"/>
          </w:tcPr>
          <w:p w14:paraId="6D8803AD" w14:textId="65BC567A" w:rsidR="004F41A3" w:rsidRPr="008F3998" w:rsidRDefault="004F41A3" w:rsidP="000A1D8B">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592" w:type="pct"/>
            <w:tcBorders>
              <w:top w:val="single" w:sz="6" w:space="0" w:color="auto"/>
              <w:left w:val="nil"/>
              <w:bottom w:val="nil"/>
              <w:right w:val="nil"/>
            </w:tcBorders>
            <w:vAlign w:val="center"/>
          </w:tcPr>
          <w:p w14:paraId="1601E781" w14:textId="2EEAC71B" w:rsidR="004F41A3" w:rsidRPr="008F3998" w:rsidRDefault="004F41A3" w:rsidP="000A1D8B">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Expected Shortfall</w:t>
            </w:r>
          </w:p>
        </w:tc>
        <w:tc>
          <w:tcPr>
            <w:tcW w:w="633" w:type="pct"/>
            <w:tcBorders>
              <w:top w:val="single" w:sz="6" w:space="0" w:color="auto"/>
              <w:left w:val="nil"/>
              <w:bottom w:val="nil"/>
              <w:right w:val="nil"/>
            </w:tcBorders>
            <w:vAlign w:val="center"/>
          </w:tcPr>
          <w:p w14:paraId="621B09D1" w14:textId="14071ED2" w:rsidR="004F41A3" w:rsidRPr="008F3998" w:rsidRDefault="004F41A3" w:rsidP="000A1D8B">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631" w:type="pct"/>
            <w:tcBorders>
              <w:top w:val="single" w:sz="6" w:space="0" w:color="auto"/>
              <w:left w:val="nil"/>
              <w:bottom w:val="nil"/>
              <w:right w:val="nil"/>
            </w:tcBorders>
            <w:vAlign w:val="center"/>
          </w:tcPr>
          <w:p w14:paraId="42547B7B" w14:textId="6503E17F" w:rsidR="004F41A3" w:rsidRPr="008F3998" w:rsidRDefault="004F41A3" w:rsidP="000A1D8B">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Expected Shortfall</w:t>
            </w:r>
          </w:p>
        </w:tc>
      </w:tr>
      <w:tr w:rsidR="008F3998" w:rsidRPr="008F3998" w14:paraId="4B80FC5D" w14:textId="77777777" w:rsidTr="00343F5B">
        <w:trPr>
          <w:jc w:val="center"/>
        </w:trPr>
        <w:tc>
          <w:tcPr>
            <w:tcW w:w="1368" w:type="pct"/>
            <w:tcBorders>
              <w:top w:val="nil"/>
              <w:left w:val="nil"/>
              <w:bottom w:val="single" w:sz="6" w:space="0" w:color="auto"/>
              <w:right w:val="nil"/>
            </w:tcBorders>
          </w:tcPr>
          <w:p w14:paraId="50F2F121" w14:textId="68C2A4D9"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Independent variables</w:t>
            </w:r>
          </w:p>
        </w:tc>
        <w:tc>
          <w:tcPr>
            <w:tcW w:w="592" w:type="pct"/>
            <w:tcBorders>
              <w:top w:val="nil"/>
              <w:left w:val="nil"/>
              <w:bottom w:val="single" w:sz="6" w:space="0" w:color="auto"/>
              <w:right w:val="nil"/>
            </w:tcBorders>
            <w:vAlign w:val="bottom"/>
          </w:tcPr>
          <w:p w14:paraId="13195C6D" w14:textId="203CEF7F"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w:t>
            </w:r>
          </w:p>
        </w:tc>
        <w:tc>
          <w:tcPr>
            <w:tcW w:w="592" w:type="pct"/>
            <w:tcBorders>
              <w:top w:val="nil"/>
              <w:left w:val="nil"/>
              <w:bottom w:val="single" w:sz="6" w:space="0" w:color="auto"/>
              <w:right w:val="nil"/>
            </w:tcBorders>
            <w:vAlign w:val="bottom"/>
          </w:tcPr>
          <w:p w14:paraId="4EFB887B" w14:textId="49110AB3"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w:t>
            </w:r>
          </w:p>
        </w:tc>
        <w:tc>
          <w:tcPr>
            <w:tcW w:w="592" w:type="pct"/>
            <w:tcBorders>
              <w:top w:val="nil"/>
              <w:left w:val="nil"/>
              <w:bottom w:val="single" w:sz="6" w:space="0" w:color="auto"/>
              <w:right w:val="nil"/>
            </w:tcBorders>
            <w:vAlign w:val="bottom"/>
          </w:tcPr>
          <w:p w14:paraId="22AFAA15" w14:textId="42EB62F4"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w:t>
            </w:r>
          </w:p>
        </w:tc>
        <w:tc>
          <w:tcPr>
            <w:tcW w:w="592" w:type="pct"/>
            <w:tcBorders>
              <w:top w:val="nil"/>
              <w:left w:val="nil"/>
              <w:bottom w:val="single" w:sz="6" w:space="0" w:color="auto"/>
              <w:right w:val="nil"/>
            </w:tcBorders>
            <w:vAlign w:val="bottom"/>
          </w:tcPr>
          <w:p w14:paraId="481CA179" w14:textId="40BF6274"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w:t>
            </w:r>
          </w:p>
        </w:tc>
        <w:tc>
          <w:tcPr>
            <w:tcW w:w="633" w:type="pct"/>
            <w:tcBorders>
              <w:top w:val="nil"/>
              <w:left w:val="nil"/>
              <w:bottom w:val="single" w:sz="6" w:space="0" w:color="auto"/>
              <w:right w:val="nil"/>
            </w:tcBorders>
            <w:vAlign w:val="bottom"/>
          </w:tcPr>
          <w:p w14:paraId="0D6B817E" w14:textId="2FD043E7"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w:t>
            </w:r>
          </w:p>
        </w:tc>
        <w:tc>
          <w:tcPr>
            <w:tcW w:w="631" w:type="pct"/>
            <w:tcBorders>
              <w:top w:val="nil"/>
              <w:left w:val="nil"/>
              <w:bottom w:val="single" w:sz="6" w:space="0" w:color="auto"/>
              <w:right w:val="nil"/>
            </w:tcBorders>
            <w:vAlign w:val="bottom"/>
          </w:tcPr>
          <w:p w14:paraId="70536CC7" w14:textId="4DF9F213"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(6)</w:t>
            </w:r>
          </w:p>
        </w:tc>
      </w:tr>
      <w:tr w:rsidR="008F3998" w:rsidRPr="008F3998" w14:paraId="01C42712" w14:textId="77777777" w:rsidTr="00343F5B">
        <w:trPr>
          <w:jc w:val="center"/>
        </w:trPr>
        <w:tc>
          <w:tcPr>
            <w:tcW w:w="1368" w:type="pct"/>
            <w:tcBorders>
              <w:top w:val="nil"/>
              <w:left w:val="nil"/>
              <w:bottom w:val="nil"/>
              <w:right w:val="nil"/>
            </w:tcBorders>
          </w:tcPr>
          <w:p w14:paraId="6D6EBCCD" w14:textId="1AA17EBA" w:rsidR="004F41A3" w:rsidRPr="008F3998" w:rsidRDefault="00A7457D"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w:t>
            </w:r>
            <w:r w:rsidR="004F41A3" w:rsidRPr="008F3998">
              <w:rPr>
                <w:rFonts w:ascii="Times New Roman" w:hAnsi="Times New Roman" w:cs="Times New Roman"/>
                <w:sz w:val="20"/>
                <w:szCs w:val="20"/>
                <w:vertAlign w:val="subscript"/>
              </w:rPr>
              <w:t>2</w:t>
            </w:r>
          </w:p>
        </w:tc>
        <w:tc>
          <w:tcPr>
            <w:tcW w:w="592" w:type="pct"/>
            <w:tcBorders>
              <w:top w:val="nil"/>
              <w:left w:val="nil"/>
              <w:bottom w:val="nil"/>
              <w:right w:val="nil"/>
            </w:tcBorders>
          </w:tcPr>
          <w:p w14:paraId="4C4DFA1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1.962***</w:t>
            </w:r>
          </w:p>
        </w:tc>
        <w:tc>
          <w:tcPr>
            <w:tcW w:w="592" w:type="pct"/>
            <w:tcBorders>
              <w:top w:val="nil"/>
              <w:left w:val="nil"/>
              <w:bottom w:val="nil"/>
              <w:right w:val="nil"/>
            </w:tcBorders>
          </w:tcPr>
          <w:p w14:paraId="6680E4E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2.475***</w:t>
            </w:r>
          </w:p>
        </w:tc>
        <w:tc>
          <w:tcPr>
            <w:tcW w:w="592" w:type="pct"/>
            <w:tcBorders>
              <w:top w:val="nil"/>
              <w:left w:val="nil"/>
              <w:bottom w:val="nil"/>
              <w:right w:val="nil"/>
            </w:tcBorders>
          </w:tcPr>
          <w:p w14:paraId="79DA5ED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2.313***</w:t>
            </w:r>
          </w:p>
        </w:tc>
        <w:tc>
          <w:tcPr>
            <w:tcW w:w="592" w:type="pct"/>
            <w:tcBorders>
              <w:top w:val="nil"/>
              <w:left w:val="nil"/>
              <w:bottom w:val="nil"/>
              <w:right w:val="nil"/>
            </w:tcBorders>
          </w:tcPr>
          <w:p w14:paraId="4976222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2.618***</w:t>
            </w:r>
          </w:p>
        </w:tc>
        <w:tc>
          <w:tcPr>
            <w:tcW w:w="633" w:type="pct"/>
            <w:tcBorders>
              <w:top w:val="nil"/>
              <w:left w:val="nil"/>
              <w:bottom w:val="nil"/>
              <w:right w:val="nil"/>
            </w:tcBorders>
          </w:tcPr>
          <w:p w14:paraId="5409BC6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0.824*</w:t>
            </w:r>
          </w:p>
        </w:tc>
        <w:tc>
          <w:tcPr>
            <w:tcW w:w="631" w:type="pct"/>
            <w:tcBorders>
              <w:top w:val="nil"/>
              <w:left w:val="nil"/>
              <w:bottom w:val="nil"/>
              <w:right w:val="nil"/>
            </w:tcBorders>
          </w:tcPr>
          <w:p w14:paraId="148D09F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2.189**</w:t>
            </w:r>
          </w:p>
        </w:tc>
      </w:tr>
      <w:tr w:rsidR="008F3998" w:rsidRPr="008F3998" w14:paraId="42B9CA64" w14:textId="77777777" w:rsidTr="00343F5B">
        <w:trPr>
          <w:jc w:val="center"/>
        </w:trPr>
        <w:tc>
          <w:tcPr>
            <w:tcW w:w="1368" w:type="pct"/>
            <w:tcBorders>
              <w:top w:val="nil"/>
              <w:left w:val="nil"/>
              <w:bottom w:val="nil"/>
              <w:right w:val="nil"/>
            </w:tcBorders>
          </w:tcPr>
          <w:p w14:paraId="5D1B84F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3C84CF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(0.385)</w:t>
            </w:r>
          </w:p>
        </w:tc>
        <w:tc>
          <w:tcPr>
            <w:tcW w:w="592" w:type="pct"/>
            <w:tcBorders>
              <w:top w:val="nil"/>
              <w:left w:val="nil"/>
              <w:bottom w:val="nil"/>
              <w:right w:val="nil"/>
            </w:tcBorders>
          </w:tcPr>
          <w:p w14:paraId="363CDB9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(0.459)</w:t>
            </w:r>
          </w:p>
        </w:tc>
        <w:tc>
          <w:tcPr>
            <w:tcW w:w="592" w:type="pct"/>
            <w:tcBorders>
              <w:top w:val="nil"/>
              <w:left w:val="nil"/>
              <w:bottom w:val="nil"/>
              <w:right w:val="nil"/>
            </w:tcBorders>
          </w:tcPr>
          <w:p w14:paraId="57C2385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(0.571)</w:t>
            </w:r>
          </w:p>
        </w:tc>
        <w:tc>
          <w:tcPr>
            <w:tcW w:w="592" w:type="pct"/>
            <w:tcBorders>
              <w:top w:val="nil"/>
              <w:left w:val="nil"/>
              <w:bottom w:val="nil"/>
              <w:right w:val="nil"/>
            </w:tcBorders>
          </w:tcPr>
          <w:p w14:paraId="50F7D8F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(0.702)</w:t>
            </w:r>
          </w:p>
        </w:tc>
        <w:tc>
          <w:tcPr>
            <w:tcW w:w="633" w:type="pct"/>
            <w:tcBorders>
              <w:top w:val="nil"/>
              <w:left w:val="nil"/>
              <w:bottom w:val="nil"/>
              <w:right w:val="nil"/>
            </w:tcBorders>
          </w:tcPr>
          <w:p w14:paraId="4F4C400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(0.384)</w:t>
            </w:r>
          </w:p>
        </w:tc>
        <w:tc>
          <w:tcPr>
            <w:tcW w:w="631" w:type="pct"/>
            <w:tcBorders>
              <w:top w:val="nil"/>
              <w:left w:val="nil"/>
              <w:bottom w:val="nil"/>
              <w:right w:val="nil"/>
            </w:tcBorders>
          </w:tcPr>
          <w:p w14:paraId="3B40DF0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(0.884)</w:t>
            </w:r>
          </w:p>
        </w:tc>
      </w:tr>
      <w:tr w:rsidR="008F3998" w:rsidRPr="008F3998" w14:paraId="340DDDF0" w14:textId="77777777" w:rsidTr="00343F5B">
        <w:trPr>
          <w:jc w:val="center"/>
        </w:trPr>
        <w:tc>
          <w:tcPr>
            <w:tcW w:w="1368" w:type="pct"/>
            <w:tcBorders>
              <w:top w:val="nil"/>
              <w:left w:val="nil"/>
              <w:bottom w:val="nil"/>
              <w:right w:val="nil"/>
            </w:tcBorders>
          </w:tcPr>
          <w:p w14:paraId="6C9641E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debtgdp</w:t>
            </w:r>
            <w:proofErr w:type="spellEnd"/>
          </w:p>
        </w:tc>
        <w:tc>
          <w:tcPr>
            <w:tcW w:w="592" w:type="pct"/>
            <w:tcBorders>
              <w:top w:val="nil"/>
              <w:left w:val="nil"/>
              <w:bottom w:val="nil"/>
              <w:right w:val="nil"/>
            </w:tcBorders>
          </w:tcPr>
          <w:p w14:paraId="5B6B4A7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-0.0133</w:t>
            </w:r>
          </w:p>
        </w:tc>
        <w:tc>
          <w:tcPr>
            <w:tcW w:w="592" w:type="pct"/>
            <w:tcBorders>
              <w:top w:val="nil"/>
              <w:left w:val="nil"/>
              <w:bottom w:val="nil"/>
              <w:right w:val="nil"/>
            </w:tcBorders>
          </w:tcPr>
          <w:p w14:paraId="3E152B6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-0.0241</w:t>
            </w:r>
          </w:p>
        </w:tc>
        <w:tc>
          <w:tcPr>
            <w:tcW w:w="592" w:type="pct"/>
            <w:tcBorders>
              <w:top w:val="nil"/>
              <w:left w:val="nil"/>
              <w:bottom w:val="nil"/>
              <w:right w:val="nil"/>
            </w:tcBorders>
          </w:tcPr>
          <w:p w14:paraId="4D2FA6C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0.0208</w:t>
            </w:r>
          </w:p>
        </w:tc>
        <w:tc>
          <w:tcPr>
            <w:tcW w:w="592" w:type="pct"/>
            <w:tcBorders>
              <w:top w:val="nil"/>
              <w:left w:val="nil"/>
              <w:bottom w:val="nil"/>
              <w:right w:val="nil"/>
            </w:tcBorders>
          </w:tcPr>
          <w:p w14:paraId="381ED4C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-0.0102</w:t>
            </w:r>
          </w:p>
        </w:tc>
        <w:tc>
          <w:tcPr>
            <w:tcW w:w="633" w:type="pct"/>
            <w:tcBorders>
              <w:top w:val="nil"/>
              <w:left w:val="nil"/>
              <w:bottom w:val="nil"/>
              <w:right w:val="nil"/>
            </w:tcBorders>
          </w:tcPr>
          <w:p w14:paraId="11D582A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-0.0651</w:t>
            </w:r>
          </w:p>
        </w:tc>
        <w:tc>
          <w:tcPr>
            <w:tcW w:w="631" w:type="pct"/>
            <w:tcBorders>
              <w:top w:val="nil"/>
              <w:left w:val="nil"/>
              <w:bottom w:val="nil"/>
              <w:right w:val="nil"/>
            </w:tcBorders>
          </w:tcPr>
          <w:p w14:paraId="4702088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-0.0739</w:t>
            </w:r>
          </w:p>
        </w:tc>
      </w:tr>
      <w:tr w:rsidR="008F3998" w:rsidRPr="008F3998" w14:paraId="79816475" w14:textId="77777777" w:rsidTr="00343F5B">
        <w:trPr>
          <w:jc w:val="center"/>
        </w:trPr>
        <w:tc>
          <w:tcPr>
            <w:tcW w:w="1368" w:type="pct"/>
            <w:tcBorders>
              <w:top w:val="nil"/>
              <w:left w:val="nil"/>
              <w:bottom w:val="nil"/>
              <w:right w:val="nil"/>
            </w:tcBorders>
          </w:tcPr>
          <w:p w14:paraId="1308113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7881F7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(0.0173)</w:t>
            </w:r>
          </w:p>
        </w:tc>
        <w:tc>
          <w:tcPr>
            <w:tcW w:w="592" w:type="pct"/>
            <w:tcBorders>
              <w:top w:val="nil"/>
              <w:left w:val="nil"/>
              <w:bottom w:val="nil"/>
              <w:right w:val="nil"/>
            </w:tcBorders>
          </w:tcPr>
          <w:p w14:paraId="7C2C584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(0.0154)</w:t>
            </w:r>
          </w:p>
        </w:tc>
        <w:tc>
          <w:tcPr>
            <w:tcW w:w="592" w:type="pct"/>
            <w:tcBorders>
              <w:top w:val="nil"/>
              <w:left w:val="nil"/>
              <w:bottom w:val="nil"/>
              <w:right w:val="nil"/>
            </w:tcBorders>
          </w:tcPr>
          <w:p w14:paraId="4C433DC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(0.0467)</w:t>
            </w:r>
          </w:p>
        </w:tc>
        <w:tc>
          <w:tcPr>
            <w:tcW w:w="592" w:type="pct"/>
            <w:tcBorders>
              <w:top w:val="nil"/>
              <w:left w:val="nil"/>
              <w:bottom w:val="nil"/>
              <w:right w:val="nil"/>
            </w:tcBorders>
          </w:tcPr>
          <w:p w14:paraId="4AA71A0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(0.0508)</w:t>
            </w:r>
          </w:p>
        </w:tc>
        <w:tc>
          <w:tcPr>
            <w:tcW w:w="633" w:type="pct"/>
            <w:tcBorders>
              <w:top w:val="nil"/>
              <w:left w:val="nil"/>
              <w:bottom w:val="nil"/>
              <w:right w:val="nil"/>
            </w:tcBorders>
          </w:tcPr>
          <w:p w14:paraId="079E1A4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(0.0414)</w:t>
            </w:r>
          </w:p>
        </w:tc>
        <w:tc>
          <w:tcPr>
            <w:tcW w:w="631" w:type="pct"/>
            <w:tcBorders>
              <w:top w:val="nil"/>
              <w:left w:val="nil"/>
              <w:bottom w:val="nil"/>
              <w:right w:val="nil"/>
            </w:tcBorders>
          </w:tcPr>
          <w:p w14:paraId="5762847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(0.0597)</w:t>
            </w:r>
          </w:p>
        </w:tc>
      </w:tr>
      <w:tr w:rsidR="008F3998" w:rsidRPr="008F3998" w14:paraId="1324C3E5" w14:textId="77777777" w:rsidTr="00343F5B">
        <w:trPr>
          <w:jc w:val="center"/>
        </w:trPr>
        <w:tc>
          <w:tcPr>
            <w:tcW w:w="1368" w:type="pct"/>
            <w:tcBorders>
              <w:top w:val="nil"/>
              <w:left w:val="nil"/>
              <w:bottom w:val="nil"/>
              <w:right w:val="nil"/>
            </w:tcBorders>
          </w:tcPr>
          <w:p w14:paraId="73F7CD6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totvol</w:t>
            </w:r>
            <w:proofErr w:type="spellEnd"/>
          </w:p>
        </w:tc>
        <w:tc>
          <w:tcPr>
            <w:tcW w:w="592" w:type="pct"/>
            <w:tcBorders>
              <w:top w:val="nil"/>
              <w:left w:val="nil"/>
              <w:bottom w:val="nil"/>
              <w:right w:val="nil"/>
            </w:tcBorders>
          </w:tcPr>
          <w:p w14:paraId="049077E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-0.185</w:t>
            </w:r>
          </w:p>
        </w:tc>
        <w:tc>
          <w:tcPr>
            <w:tcW w:w="592" w:type="pct"/>
            <w:tcBorders>
              <w:top w:val="nil"/>
              <w:left w:val="nil"/>
              <w:bottom w:val="nil"/>
              <w:right w:val="nil"/>
            </w:tcBorders>
          </w:tcPr>
          <w:p w14:paraId="3553F63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-0.291</w:t>
            </w:r>
          </w:p>
        </w:tc>
        <w:tc>
          <w:tcPr>
            <w:tcW w:w="592" w:type="pct"/>
            <w:tcBorders>
              <w:top w:val="nil"/>
              <w:left w:val="nil"/>
              <w:bottom w:val="nil"/>
              <w:right w:val="nil"/>
            </w:tcBorders>
          </w:tcPr>
          <w:p w14:paraId="711A538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-0.118</w:t>
            </w:r>
          </w:p>
        </w:tc>
        <w:tc>
          <w:tcPr>
            <w:tcW w:w="592" w:type="pct"/>
            <w:tcBorders>
              <w:top w:val="nil"/>
              <w:left w:val="nil"/>
              <w:bottom w:val="nil"/>
              <w:right w:val="nil"/>
            </w:tcBorders>
          </w:tcPr>
          <w:p w14:paraId="1A036C4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-0.263</w:t>
            </w:r>
          </w:p>
        </w:tc>
        <w:tc>
          <w:tcPr>
            <w:tcW w:w="633" w:type="pct"/>
            <w:tcBorders>
              <w:top w:val="nil"/>
              <w:left w:val="nil"/>
              <w:bottom w:val="nil"/>
              <w:right w:val="nil"/>
            </w:tcBorders>
          </w:tcPr>
          <w:p w14:paraId="105E0B4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0.0717</w:t>
            </w:r>
          </w:p>
        </w:tc>
        <w:tc>
          <w:tcPr>
            <w:tcW w:w="631" w:type="pct"/>
            <w:tcBorders>
              <w:top w:val="nil"/>
              <w:left w:val="nil"/>
              <w:bottom w:val="nil"/>
              <w:right w:val="nil"/>
            </w:tcBorders>
          </w:tcPr>
          <w:p w14:paraId="02E4809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0.135</w:t>
            </w:r>
          </w:p>
        </w:tc>
      </w:tr>
      <w:tr w:rsidR="008F3998" w:rsidRPr="008F3998" w14:paraId="199AFC8B" w14:textId="77777777" w:rsidTr="00343F5B">
        <w:trPr>
          <w:jc w:val="center"/>
        </w:trPr>
        <w:tc>
          <w:tcPr>
            <w:tcW w:w="1368" w:type="pct"/>
            <w:tcBorders>
              <w:top w:val="nil"/>
              <w:left w:val="nil"/>
              <w:bottom w:val="nil"/>
              <w:right w:val="nil"/>
            </w:tcBorders>
          </w:tcPr>
          <w:p w14:paraId="047BE8C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209E212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(0.168)</w:t>
            </w:r>
          </w:p>
        </w:tc>
        <w:tc>
          <w:tcPr>
            <w:tcW w:w="592" w:type="pct"/>
            <w:tcBorders>
              <w:top w:val="nil"/>
              <w:left w:val="nil"/>
              <w:bottom w:val="nil"/>
              <w:right w:val="nil"/>
            </w:tcBorders>
          </w:tcPr>
          <w:p w14:paraId="6D6B204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(0.205)</w:t>
            </w:r>
          </w:p>
        </w:tc>
        <w:tc>
          <w:tcPr>
            <w:tcW w:w="592" w:type="pct"/>
            <w:tcBorders>
              <w:top w:val="nil"/>
              <w:left w:val="nil"/>
              <w:bottom w:val="nil"/>
              <w:right w:val="nil"/>
            </w:tcBorders>
          </w:tcPr>
          <w:p w14:paraId="41C2EDD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(0.198)</w:t>
            </w:r>
          </w:p>
        </w:tc>
        <w:tc>
          <w:tcPr>
            <w:tcW w:w="592" w:type="pct"/>
            <w:tcBorders>
              <w:top w:val="nil"/>
              <w:left w:val="nil"/>
              <w:bottom w:val="nil"/>
              <w:right w:val="nil"/>
            </w:tcBorders>
          </w:tcPr>
          <w:p w14:paraId="6E2BDA4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(0.237)</w:t>
            </w:r>
          </w:p>
        </w:tc>
        <w:tc>
          <w:tcPr>
            <w:tcW w:w="633" w:type="pct"/>
            <w:tcBorders>
              <w:top w:val="nil"/>
              <w:left w:val="nil"/>
              <w:bottom w:val="nil"/>
              <w:right w:val="nil"/>
            </w:tcBorders>
          </w:tcPr>
          <w:p w14:paraId="2361A8F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(0.197)</w:t>
            </w:r>
          </w:p>
        </w:tc>
        <w:tc>
          <w:tcPr>
            <w:tcW w:w="631" w:type="pct"/>
            <w:tcBorders>
              <w:top w:val="nil"/>
              <w:left w:val="nil"/>
              <w:bottom w:val="nil"/>
              <w:right w:val="nil"/>
            </w:tcBorders>
          </w:tcPr>
          <w:p w14:paraId="749BD72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(0.341)</w:t>
            </w:r>
          </w:p>
        </w:tc>
      </w:tr>
      <w:tr w:rsidR="008F3998" w:rsidRPr="008F3998" w14:paraId="7338F2E6" w14:textId="77777777" w:rsidTr="00343F5B">
        <w:trPr>
          <w:jc w:val="center"/>
        </w:trPr>
        <w:tc>
          <w:tcPr>
            <w:tcW w:w="1368" w:type="pct"/>
            <w:tcBorders>
              <w:top w:val="nil"/>
              <w:left w:val="nil"/>
              <w:bottom w:val="nil"/>
              <w:right w:val="nil"/>
            </w:tcBorders>
          </w:tcPr>
          <w:p w14:paraId="69D72BA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exr</w:t>
            </w:r>
            <w:proofErr w:type="spellEnd"/>
          </w:p>
        </w:tc>
        <w:tc>
          <w:tcPr>
            <w:tcW w:w="592" w:type="pct"/>
            <w:tcBorders>
              <w:top w:val="nil"/>
              <w:left w:val="nil"/>
              <w:bottom w:val="nil"/>
              <w:right w:val="nil"/>
            </w:tcBorders>
          </w:tcPr>
          <w:p w14:paraId="7EB2604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0.0483</w:t>
            </w:r>
          </w:p>
        </w:tc>
        <w:tc>
          <w:tcPr>
            <w:tcW w:w="592" w:type="pct"/>
            <w:tcBorders>
              <w:top w:val="nil"/>
              <w:left w:val="nil"/>
              <w:bottom w:val="nil"/>
              <w:right w:val="nil"/>
            </w:tcBorders>
          </w:tcPr>
          <w:p w14:paraId="1C23C5D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0.0650</w:t>
            </w:r>
          </w:p>
        </w:tc>
        <w:tc>
          <w:tcPr>
            <w:tcW w:w="592" w:type="pct"/>
            <w:tcBorders>
              <w:top w:val="nil"/>
              <w:left w:val="nil"/>
              <w:bottom w:val="nil"/>
              <w:right w:val="nil"/>
            </w:tcBorders>
          </w:tcPr>
          <w:p w14:paraId="2369279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0.0150</w:t>
            </w:r>
          </w:p>
        </w:tc>
        <w:tc>
          <w:tcPr>
            <w:tcW w:w="592" w:type="pct"/>
            <w:tcBorders>
              <w:top w:val="nil"/>
              <w:left w:val="nil"/>
              <w:bottom w:val="nil"/>
              <w:right w:val="nil"/>
            </w:tcBorders>
          </w:tcPr>
          <w:p w14:paraId="1421847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0.0514</w:t>
            </w:r>
          </w:p>
        </w:tc>
        <w:tc>
          <w:tcPr>
            <w:tcW w:w="633" w:type="pct"/>
            <w:tcBorders>
              <w:top w:val="nil"/>
              <w:left w:val="nil"/>
              <w:bottom w:val="nil"/>
              <w:right w:val="nil"/>
            </w:tcBorders>
          </w:tcPr>
          <w:p w14:paraId="64E34ED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0.0185</w:t>
            </w:r>
          </w:p>
        </w:tc>
        <w:tc>
          <w:tcPr>
            <w:tcW w:w="631" w:type="pct"/>
            <w:tcBorders>
              <w:top w:val="nil"/>
              <w:left w:val="nil"/>
              <w:bottom w:val="nil"/>
              <w:right w:val="nil"/>
            </w:tcBorders>
          </w:tcPr>
          <w:p w14:paraId="7F54CC9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0.0537</w:t>
            </w:r>
          </w:p>
        </w:tc>
      </w:tr>
      <w:tr w:rsidR="008F3998" w:rsidRPr="008F3998" w14:paraId="7393284C" w14:textId="77777777" w:rsidTr="00343F5B">
        <w:trPr>
          <w:jc w:val="center"/>
        </w:trPr>
        <w:tc>
          <w:tcPr>
            <w:tcW w:w="1368" w:type="pct"/>
            <w:tcBorders>
              <w:top w:val="nil"/>
              <w:left w:val="nil"/>
              <w:bottom w:val="nil"/>
              <w:right w:val="nil"/>
            </w:tcBorders>
          </w:tcPr>
          <w:p w14:paraId="6ACB571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5D9F39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(0.0322)</w:t>
            </w:r>
          </w:p>
        </w:tc>
        <w:tc>
          <w:tcPr>
            <w:tcW w:w="592" w:type="pct"/>
            <w:tcBorders>
              <w:top w:val="nil"/>
              <w:left w:val="nil"/>
              <w:bottom w:val="nil"/>
              <w:right w:val="nil"/>
            </w:tcBorders>
          </w:tcPr>
          <w:p w14:paraId="6562ABA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(0.0339)</w:t>
            </w:r>
          </w:p>
        </w:tc>
        <w:tc>
          <w:tcPr>
            <w:tcW w:w="592" w:type="pct"/>
            <w:tcBorders>
              <w:top w:val="nil"/>
              <w:left w:val="nil"/>
              <w:bottom w:val="nil"/>
              <w:right w:val="nil"/>
            </w:tcBorders>
          </w:tcPr>
          <w:p w14:paraId="1560815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(0.0245)</w:t>
            </w:r>
          </w:p>
        </w:tc>
        <w:tc>
          <w:tcPr>
            <w:tcW w:w="592" w:type="pct"/>
            <w:tcBorders>
              <w:top w:val="nil"/>
              <w:left w:val="nil"/>
              <w:bottom w:val="nil"/>
              <w:right w:val="nil"/>
            </w:tcBorders>
          </w:tcPr>
          <w:p w14:paraId="324F6FC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(0.0272)</w:t>
            </w:r>
          </w:p>
        </w:tc>
        <w:tc>
          <w:tcPr>
            <w:tcW w:w="633" w:type="pct"/>
            <w:tcBorders>
              <w:top w:val="nil"/>
              <w:left w:val="nil"/>
              <w:bottom w:val="nil"/>
              <w:right w:val="nil"/>
            </w:tcBorders>
          </w:tcPr>
          <w:p w14:paraId="2C7FF87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(0.0283)</w:t>
            </w:r>
          </w:p>
        </w:tc>
        <w:tc>
          <w:tcPr>
            <w:tcW w:w="631" w:type="pct"/>
            <w:tcBorders>
              <w:top w:val="nil"/>
              <w:left w:val="nil"/>
              <w:bottom w:val="nil"/>
              <w:right w:val="nil"/>
            </w:tcBorders>
          </w:tcPr>
          <w:p w14:paraId="446BB88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(0.0544)</w:t>
            </w:r>
          </w:p>
        </w:tc>
      </w:tr>
      <w:tr w:rsidR="008F3998" w:rsidRPr="008F3998" w14:paraId="0FB9E7B4" w14:textId="77777777" w:rsidTr="00343F5B">
        <w:trPr>
          <w:jc w:val="center"/>
        </w:trPr>
        <w:tc>
          <w:tcPr>
            <w:tcW w:w="1368" w:type="pct"/>
            <w:tcBorders>
              <w:top w:val="nil"/>
              <w:left w:val="nil"/>
              <w:bottom w:val="nil"/>
              <w:right w:val="nil"/>
            </w:tcBorders>
          </w:tcPr>
          <w:p w14:paraId="6F7DE53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reserves</w:t>
            </w:r>
          </w:p>
        </w:tc>
        <w:tc>
          <w:tcPr>
            <w:tcW w:w="592" w:type="pct"/>
            <w:tcBorders>
              <w:top w:val="nil"/>
              <w:left w:val="nil"/>
              <w:bottom w:val="nil"/>
              <w:right w:val="nil"/>
            </w:tcBorders>
          </w:tcPr>
          <w:p w14:paraId="4BCF67B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EC9BCC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C5B0E95" w14:textId="79096AD3"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5.32e-12</w:t>
            </w:r>
          </w:p>
        </w:tc>
        <w:tc>
          <w:tcPr>
            <w:tcW w:w="592" w:type="pct"/>
            <w:tcBorders>
              <w:top w:val="nil"/>
              <w:left w:val="nil"/>
              <w:bottom w:val="nil"/>
              <w:right w:val="nil"/>
            </w:tcBorders>
          </w:tcPr>
          <w:p w14:paraId="5C4B3548" w14:textId="107747A1"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2.17e-12</w:t>
            </w:r>
          </w:p>
        </w:tc>
        <w:tc>
          <w:tcPr>
            <w:tcW w:w="633" w:type="pct"/>
            <w:tcBorders>
              <w:top w:val="nil"/>
              <w:left w:val="nil"/>
              <w:bottom w:val="nil"/>
              <w:right w:val="nil"/>
            </w:tcBorders>
          </w:tcPr>
          <w:p w14:paraId="4C47EC1D" w14:textId="6B77E55C" w:rsidR="004F41A3" w:rsidRPr="008F3998" w:rsidRDefault="00E334A6"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8.50e-13</w:t>
            </w:r>
          </w:p>
        </w:tc>
        <w:tc>
          <w:tcPr>
            <w:tcW w:w="631" w:type="pct"/>
            <w:tcBorders>
              <w:top w:val="nil"/>
              <w:left w:val="nil"/>
              <w:bottom w:val="nil"/>
              <w:right w:val="nil"/>
            </w:tcBorders>
          </w:tcPr>
          <w:p w14:paraId="7E39F005" w14:textId="00AAAE3D"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8.59e-14</w:t>
            </w:r>
          </w:p>
        </w:tc>
      </w:tr>
      <w:tr w:rsidR="008F3998" w:rsidRPr="008F3998" w14:paraId="30FA0BC1" w14:textId="77777777" w:rsidTr="00343F5B">
        <w:trPr>
          <w:jc w:val="center"/>
        </w:trPr>
        <w:tc>
          <w:tcPr>
            <w:tcW w:w="1368" w:type="pct"/>
            <w:tcBorders>
              <w:top w:val="nil"/>
              <w:left w:val="nil"/>
              <w:bottom w:val="nil"/>
              <w:right w:val="nil"/>
            </w:tcBorders>
          </w:tcPr>
          <w:p w14:paraId="69FAAFD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5138C7E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A5B0D3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215E3D2" w14:textId="697E484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5.47e-12</w:t>
            </w:r>
            <w:r w:rsidRPr="008F3998">
              <w:rPr>
                <w:rFonts w:ascii="Times New Roman" w:hAnsi="Times New Roman" w:cs="Times New Roman"/>
                <w:sz w:val="20"/>
                <w:szCs w:val="20"/>
              </w:rPr>
              <w:t>)</w:t>
            </w:r>
          </w:p>
        </w:tc>
        <w:tc>
          <w:tcPr>
            <w:tcW w:w="592" w:type="pct"/>
            <w:tcBorders>
              <w:top w:val="nil"/>
              <w:left w:val="nil"/>
              <w:bottom w:val="nil"/>
              <w:right w:val="nil"/>
            </w:tcBorders>
          </w:tcPr>
          <w:p w14:paraId="7CD1D304" w14:textId="5C80A8D9"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5.82e-12</w:t>
            </w:r>
            <w:r w:rsidRPr="008F3998">
              <w:rPr>
                <w:rFonts w:ascii="Times New Roman" w:hAnsi="Times New Roman" w:cs="Times New Roman"/>
                <w:sz w:val="20"/>
                <w:szCs w:val="20"/>
              </w:rPr>
              <w:t>)</w:t>
            </w:r>
          </w:p>
        </w:tc>
        <w:tc>
          <w:tcPr>
            <w:tcW w:w="633" w:type="pct"/>
            <w:tcBorders>
              <w:top w:val="nil"/>
              <w:left w:val="nil"/>
              <w:bottom w:val="nil"/>
              <w:right w:val="nil"/>
            </w:tcBorders>
          </w:tcPr>
          <w:p w14:paraId="18993798" w14:textId="6DAE78BB"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3.30e-12</w:t>
            </w:r>
            <w:r w:rsidRPr="008F3998">
              <w:rPr>
                <w:rFonts w:ascii="Times New Roman" w:hAnsi="Times New Roman" w:cs="Times New Roman"/>
                <w:sz w:val="20"/>
                <w:szCs w:val="20"/>
              </w:rPr>
              <w:t>)</w:t>
            </w:r>
          </w:p>
        </w:tc>
        <w:tc>
          <w:tcPr>
            <w:tcW w:w="631" w:type="pct"/>
            <w:tcBorders>
              <w:top w:val="nil"/>
              <w:left w:val="nil"/>
              <w:bottom w:val="nil"/>
              <w:right w:val="nil"/>
            </w:tcBorders>
          </w:tcPr>
          <w:p w14:paraId="48F66E80" w14:textId="2DF98425"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4.71e-12</w:t>
            </w:r>
            <w:r w:rsidRPr="008F3998">
              <w:rPr>
                <w:rFonts w:ascii="Times New Roman" w:hAnsi="Times New Roman" w:cs="Times New Roman"/>
                <w:sz w:val="20"/>
                <w:szCs w:val="20"/>
              </w:rPr>
              <w:t>)</w:t>
            </w:r>
          </w:p>
        </w:tc>
      </w:tr>
      <w:tr w:rsidR="008F3998" w:rsidRPr="008F3998" w14:paraId="0B3E7A1B" w14:textId="77777777" w:rsidTr="00343F5B">
        <w:trPr>
          <w:jc w:val="center"/>
        </w:trPr>
        <w:tc>
          <w:tcPr>
            <w:tcW w:w="1368" w:type="pct"/>
            <w:tcBorders>
              <w:top w:val="nil"/>
              <w:left w:val="nil"/>
              <w:bottom w:val="nil"/>
              <w:right w:val="nil"/>
            </w:tcBorders>
          </w:tcPr>
          <w:p w14:paraId="03A1AA2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locfin</w:t>
            </w:r>
            <w:proofErr w:type="spellEnd"/>
          </w:p>
        </w:tc>
        <w:tc>
          <w:tcPr>
            <w:tcW w:w="592" w:type="pct"/>
            <w:tcBorders>
              <w:top w:val="nil"/>
              <w:left w:val="nil"/>
              <w:bottom w:val="nil"/>
              <w:right w:val="nil"/>
            </w:tcBorders>
          </w:tcPr>
          <w:p w14:paraId="6C08849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DD43F9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2988BD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139F7A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07DF546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-0.815</w:t>
            </w:r>
          </w:p>
        </w:tc>
        <w:tc>
          <w:tcPr>
            <w:tcW w:w="631" w:type="pct"/>
            <w:tcBorders>
              <w:top w:val="nil"/>
              <w:left w:val="nil"/>
              <w:bottom w:val="nil"/>
              <w:right w:val="nil"/>
            </w:tcBorders>
          </w:tcPr>
          <w:p w14:paraId="1DB6DCB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-1.135</w:t>
            </w:r>
          </w:p>
        </w:tc>
      </w:tr>
      <w:tr w:rsidR="008F3998" w:rsidRPr="008F3998" w14:paraId="5B29CF38" w14:textId="77777777" w:rsidTr="00343F5B">
        <w:trPr>
          <w:jc w:val="center"/>
        </w:trPr>
        <w:tc>
          <w:tcPr>
            <w:tcW w:w="1368" w:type="pct"/>
            <w:tcBorders>
              <w:top w:val="nil"/>
              <w:left w:val="nil"/>
              <w:bottom w:val="nil"/>
              <w:right w:val="nil"/>
            </w:tcBorders>
          </w:tcPr>
          <w:p w14:paraId="76DF099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57EDC8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EDE698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583350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55958D2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6555F66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(1.488)</w:t>
            </w:r>
          </w:p>
        </w:tc>
        <w:tc>
          <w:tcPr>
            <w:tcW w:w="631" w:type="pct"/>
            <w:tcBorders>
              <w:top w:val="nil"/>
              <w:left w:val="nil"/>
              <w:bottom w:val="nil"/>
              <w:right w:val="nil"/>
            </w:tcBorders>
          </w:tcPr>
          <w:p w14:paraId="2DDB8FD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(3.594)</w:t>
            </w:r>
          </w:p>
        </w:tc>
      </w:tr>
      <w:tr w:rsidR="008F3998" w:rsidRPr="008F3998" w14:paraId="08374AF3" w14:textId="77777777" w:rsidTr="00343F5B">
        <w:trPr>
          <w:jc w:val="center"/>
        </w:trPr>
        <w:tc>
          <w:tcPr>
            <w:tcW w:w="1368" w:type="pct"/>
            <w:tcBorders>
              <w:top w:val="nil"/>
              <w:left w:val="nil"/>
              <w:bottom w:val="nil"/>
              <w:right w:val="nil"/>
            </w:tcBorders>
          </w:tcPr>
          <w:p w14:paraId="6DFF864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stmvol</w:t>
            </w:r>
            <w:proofErr w:type="spellEnd"/>
          </w:p>
        </w:tc>
        <w:tc>
          <w:tcPr>
            <w:tcW w:w="592" w:type="pct"/>
            <w:tcBorders>
              <w:top w:val="nil"/>
              <w:left w:val="nil"/>
              <w:bottom w:val="nil"/>
              <w:right w:val="nil"/>
            </w:tcBorders>
          </w:tcPr>
          <w:p w14:paraId="7ED0854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-0.0290**</w:t>
            </w:r>
          </w:p>
        </w:tc>
        <w:tc>
          <w:tcPr>
            <w:tcW w:w="592" w:type="pct"/>
            <w:tcBorders>
              <w:top w:val="nil"/>
              <w:left w:val="nil"/>
              <w:bottom w:val="nil"/>
              <w:right w:val="nil"/>
            </w:tcBorders>
          </w:tcPr>
          <w:p w14:paraId="2095C2F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-0.0442**</w:t>
            </w:r>
          </w:p>
        </w:tc>
        <w:tc>
          <w:tcPr>
            <w:tcW w:w="592" w:type="pct"/>
            <w:tcBorders>
              <w:top w:val="nil"/>
              <w:left w:val="nil"/>
              <w:bottom w:val="nil"/>
              <w:right w:val="nil"/>
            </w:tcBorders>
          </w:tcPr>
          <w:p w14:paraId="2C6482C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-0.0280**</w:t>
            </w:r>
          </w:p>
        </w:tc>
        <w:tc>
          <w:tcPr>
            <w:tcW w:w="592" w:type="pct"/>
            <w:tcBorders>
              <w:top w:val="nil"/>
              <w:left w:val="nil"/>
              <w:bottom w:val="nil"/>
              <w:right w:val="nil"/>
            </w:tcBorders>
          </w:tcPr>
          <w:p w14:paraId="26F9BD0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-0.0438**</w:t>
            </w:r>
          </w:p>
        </w:tc>
        <w:tc>
          <w:tcPr>
            <w:tcW w:w="633" w:type="pct"/>
            <w:tcBorders>
              <w:top w:val="nil"/>
              <w:left w:val="nil"/>
              <w:bottom w:val="nil"/>
              <w:right w:val="nil"/>
            </w:tcBorders>
          </w:tcPr>
          <w:p w14:paraId="55D45F0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-0.00772</w:t>
            </w:r>
          </w:p>
        </w:tc>
        <w:tc>
          <w:tcPr>
            <w:tcW w:w="631" w:type="pct"/>
            <w:tcBorders>
              <w:top w:val="nil"/>
              <w:left w:val="nil"/>
              <w:bottom w:val="nil"/>
              <w:right w:val="nil"/>
            </w:tcBorders>
          </w:tcPr>
          <w:p w14:paraId="4F4E419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-0.00449</w:t>
            </w:r>
          </w:p>
        </w:tc>
      </w:tr>
      <w:tr w:rsidR="008F3998" w:rsidRPr="008F3998" w14:paraId="77C6D915" w14:textId="77777777" w:rsidTr="00343F5B">
        <w:trPr>
          <w:jc w:val="center"/>
        </w:trPr>
        <w:tc>
          <w:tcPr>
            <w:tcW w:w="1368" w:type="pct"/>
            <w:tcBorders>
              <w:top w:val="nil"/>
              <w:left w:val="nil"/>
              <w:bottom w:val="nil"/>
              <w:right w:val="nil"/>
            </w:tcBorders>
          </w:tcPr>
          <w:p w14:paraId="4C4300E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1857ED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(0.0110)</w:t>
            </w:r>
          </w:p>
        </w:tc>
        <w:tc>
          <w:tcPr>
            <w:tcW w:w="592" w:type="pct"/>
            <w:tcBorders>
              <w:top w:val="nil"/>
              <w:left w:val="nil"/>
              <w:bottom w:val="nil"/>
              <w:right w:val="nil"/>
            </w:tcBorders>
          </w:tcPr>
          <w:p w14:paraId="39600CC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(0.0165)</w:t>
            </w:r>
          </w:p>
        </w:tc>
        <w:tc>
          <w:tcPr>
            <w:tcW w:w="592" w:type="pct"/>
            <w:tcBorders>
              <w:top w:val="nil"/>
              <w:left w:val="nil"/>
              <w:bottom w:val="nil"/>
              <w:right w:val="nil"/>
            </w:tcBorders>
          </w:tcPr>
          <w:p w14:paraId="34D6B56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(0.0111)</w:t>
            </w:r>
          </w:p>
        </w:tc>
        <w:tc>
          <w:tcPr>
            <w:tcW w:w="592" w:type="pct"/>
            <w:tcBorders>
              <w:top w:val="nil"/>
              <w:left w:val="nil"/>
              <w:bottom w:val="nil"/>
              <w:right w:val="nil"/>
            </w:tcBorders>
          </w:tcPr>
          <w:p w14:paraId="2BFA60C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(0.0167)</w:t>
            </w:r>
          </w:p>
        </w:tc>
        <w:tc>
          <w:tcPr>
            <w:tcW w:w="633" w:type="pct"/>
            <w:tcBorders>
              <w:top w:val="nil"/>
              <w:left w:val="nil"/>
              <w:bottom w:val="nil"/>
              <w:right w:val="nil"/>
            </w:tcBorders>
          </w:tcPr>
          <w:p w14:paraId="3F60624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(0.00924)</w:t>
            </w:r>
          </w:p>
        </w:tc>
        <w:tc>
          <w:tcPr>
            <w:tcW w:w="631" w:type="pct"/>
            <w:tcBorders>
              <w:top w:val="nil"/>
              <w:left w:val="nil"/>
              <w:bottom w:val="nil"/>
              <w:right w:val="nil"/>
            </w:tcBorders>
          </w:tcPr>
          <w:p w14:paraId="6FA7146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(0.0188)</w:t>
            </w:r>
          </w:p>
        </w:tc>
      </w:tr>
      <w:tr w:rsidR="008F3998" w:rsidRPr="008F3998" w14:paraId="786C2369" w14:textId="77777777" w:rsidTr="00343F5B">
        <w:trPr>
          <w:jc w:val="center"/>
        </w:trPr>
        <w:tc>
          <w:tcPr>
            <w:tcW w:w="1368" w:type="pct"/>
            <w:tcBorders>
              <w:top w:val="nil"/>
              <w:left w:val="nil"/>
              <w:bottom w:val="nil"/>
              <w:right w:val="nil"/>
            </w:tcBorders>
          </w:tcPr>
          <w:p w14:paraId="2282EBD9" w14:textId="49EDBB4D"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finmar</w:t>
            </w:r>
            <w:proofErr w:type="spellEnd"/>
          </w:p>
        </w:tc>
        <w:tc>
          <w:tcPr>
            <w:tcW w:w="592" w:type="pct"/>
            <w:tcBorders>
              <w:top w:val="nil"/>
              <w:left w:val="nil"/>
              <w:bottom w:val="nil"/>
              <w:right w:val="nil"/>
            </w:tcBorders>
          </w:tcPr>
          <w:p w14:paraId="139EA8F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8C5E4D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AE94B1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2F2D80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09552A4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0.0112</w:t>
            </w:r>
          </w:p>
        </w:tc>
        <w:tc>
          <w:tcPr>
            <w:tcW w:w="631" w:type="pct"/>
            <w:tcBorders>
              <w:top w:val="nil"/>
              <w:left w:val="nil"/>
              <w:bottom w:val="nil"/>
              <w:right w:val="nil"/>
            </w:tcBorders>
          </w:tcPr>
          <w:p w14:paraId="2343BB1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0.00442</w:t>
            </w:r>
          </w:p>
        </w:tc>
      </w:tr>
      <w:tr w:rsidR="008F3998" w:rsidRPr="008F3998" w14:paraId="1C143DA7" w14:textId="77777777" w:rsidTr="00343F5B">
        <w:trPr>
          <w:jc w:val="center"/>
        </w:trPr>
        <w:tc>
          <w:tcPr>
            <w:tcW w:w="1368" w:type="pct"/>
            <w:tcBorders>
              <w:top w:val="nil"/>
              <w:left w:val="nil"/>
              <w:bottom w:val="nil"/>
              <w:right w:val="nil"/>
            </w:tcBorders>
          </w:tcPr>
          <w:p w14:paraId="679761B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58D6D6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DAA9E7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58D64B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C5C95A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06E5AF6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(0.00721)</w:t>
            </w:r>
          </w:p>
        </w:tc>
        <w:tc>
          <w:tcPr>
            <w:tcW w:w="631" w:type="pct"/>
            <w:tcBorders>
              <w:top w:val="nil"/>
              <w:left w:val="nil"/>
              <w:bottom w:val="nil"/>
              <w:right w:val="nil"/>
            </w:tcBorders>
          </w:tcPr>
          <w:p w14:paraId="348637B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(0.0145)</w:t>
            </w:r>
          </w:p>
        </w:tc>
      </w:tr>
      <w:tr w:rsidR="008F3998" w:rsidRPr="008F3998" w14:paraId="15E576CB" w14:textId="77777777" w:rsidTr="00343F5B">
        <w:trPr>
          <w:jc w:val="center"/>
        </w:trPr>
        <w:tc>
          <w:tcPr>
            <w:tcW w:w="1368" w:type="pct"/>
            <w:tcBorders>
              <w:top w:val="nil"/>
              <w:left w:val="nil"/>
              <w:bottom w:val="nil"/>
              <w:right w:val="nil"/>
            </w:tcBorders>
          </w:tcPr>
          <w:p w14:paraId="4F8DDECC" w14:textId="7A56E04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marmsci</w:t>
            </w:r>
            <w:proofErr w:type="spellEnd"/>
          </w:p>
        </w:tc>
        <w:tc>
          <w:tcPr>
            <w:tcW w:w="592" w:type="pct"/>
            <w:tcBorders>
              <w:top w:val="nil"/>
              <w:left w:val="nil"/>
              <w:bottom w:val="nil"/>
              <w:right w:val="nil"/>
            </w:tcBorders>
          </w:tcPr>
          <w:p w14:paraId="10A91B9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295384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19C678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83DD78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178141C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6.87e-05</w:t>
            </w:r>
          </w:p>
        </w:tc>
        <w:tc>
          <w:tcPr>
            <w:tcW w:w="631" w:type="pct"/>
            <w:tcBorders>
              <w:top w:val="nil"/>
              <w:left w:val="nil"/>
              <w:bottom w:val="nil"/>
              <w:right w:val="nil"/>
            </w:tcBorders>
          </w:tcPr>
          <w:p w14:paraId="54C49DC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7.77e-06</w:t>
            </w:r>
          </w:p>
        </w:tc>
      </w:tr>
      <w:tr w:rsidR="008F3998" w:rsidRPr="008F3998" w14:paraId="6D3D8703" w14:textId="77777777" w:rsidTr="00343F5B">
        <w:trPr>
          <w:jc w:val="center"/>
        </w:trPr>
        <w:tc>
          <w:tcPr>
            <w:tcW w:w="1368" w:type="pct"/>
            <w:tcBorders>
              <w:top w:val="nil"/>
              <w:left w:val="nil"/>
              <w:bottom w:val="nil"/>
              <w:right w:val="nil"/>
            </w:tcBorders>
          </w:tcPr>
          <w:p w14:paraId="1F0B16A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76FB98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42DAC9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741EA7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6CC2B5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21A6D80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(7.24e-05)</w:t>
            </w:r>
          </w:p>
        </w:tc>
        <w:tc>
          <w:tcPr>
            <w:tcW w:w="631" w:type="pct"/>
            <w:tcBorders>
              <w:top w:val="nil"/>
              <w:left w:val="nil"/>
              <w:bottom w:val="nil"/>
              <w:right w:val="nil"/>
            </w:tcBorders>
          </w:tcPr>
          <w:p w14:paraId="18BB872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(9.11e-05)</w:t>
            </w:r>
          </w:p>
        </w:tc>
      </w:tr>
      <w:tr w:rsidR="008F3998" w:rsidRPr="008F3998" w14:paraId="254D24D8" w14:textId="77777777" w:rsidTr="00343F5B">
        <w:trPr>
          <w:jc w:val="center"/>
        </w:trPr>
        <w:tc>
          <w:tcPr>
            <w:tcW w:w="1368" w:type="pct"/>
            <w:tcBorders>
              <w:top w:val="nil"/>
              <w:left w:val="nil"/>
              <w:bottom w:val="nil"/>
              <w:right w:val="nil"/>
            </w:tcBorders>
          </w:tcPr>
          <w:p w14:paraId="6C716AB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marcap</w:t>
            </w:r>
            <w:proofErr w:type="spellEnd"/>
          </w:p>
        </w:tc>
        <w:tc>
          <w:tcPr>
            <w:tcW w:w="592" w:type="pct"/>
            <w:tcBorders>
              <w:top w:val="nil"/>
              <w:left w:val="nil"/>
              <w:bottom w:val="nil"/>
              <w:right w:val="nil"/>
            </w:tcBorders>
          </w:tcPr>
          <w:p w14:paraId="561896D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85EDF1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AA239C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C900DE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3D72BCCC" w14:textId="394FEAFD" w:rsidR="004F41A3" w:rsidRPr="008F3998" w:rsidRDefault="00E334A6"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1.22e-13</w:t>
            </w:r>
          </w:p>
        </w:tc>
        <w:tc>
          <w:tcPr>
            <w:tcW w:w="631" w:type="pct"/>
            <w:tcBorders>
              <w:top w:val="nil"/>
              <w:left w:val="nil"/>
              <w:bottom w:val="nil"/>
              <w:right w:val="nil"/>
            </w:tcBorders>
          </w:tcPr>
          <w:p w14:paraId="75C1C26F" w14:textId="2C47CC55" w:rsidR="004F41A3" w:rsidRPr="008F3998" w:rsidRDefault="00E334A6"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8.26e-14</w:t>
            </w:r>
          </w:p>
        </w:tc>
      </w:tr>
      <w:tr w:rsidR="008F3998" w:rsidRPr="008F3998" w14:paraId="4C38049F" w14:textId="77777777" w:rsidTr="00343F5B">
        <w:trPr>
          <w:jc w:val="center"/>
        </w:trPr>
        <w:tc>
          <w:tcPr>
            <w:tcW w:w="1368" w:type="pct"/>
            <w:tcBorders>
              <w:top w:val="nil"/>
              <w:left w:val="nil"/>
              <w:bottom w:val="nil"/>
              <w:right w:val="nil"/>
            </w:tcBorders>
          </w:tcPr>
          <w:p w14:paraId="1B8B4A8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9B6477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0E0DC8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D78EC4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230D335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4C775876" w14:textId="2B7F2DF8"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9.82e-14</w:t>
            </w:r>
            <w:r w:rsidRPr="008F3998">
              <w:rPr>
                <w:rFonts w:ascii="Times New Roman" w:hAnsi="Times New Roman" w:cs="Times New Roman"/>
                <w:sz w:val="20"/>
                <w:szCs w:val="20"/>
              </w:rPr>
              <w:t>)</w:t>
            </w:r>
          </w:p>
        </w:tc>
        <w:tc>
          <w:tcPr>
            <w:tcW w:w="631" w:type="pct"/>
            <w:tcBorders>
              <w:top w:val="nil"/>
              <w:left w:val="nil"/>
              <w:bottom w:val="nil"/>
              <w:right w:val="nil"/>
            </w:tcBorders>
          </w:tcPr>
          <w:p w14:paraId="19898820" w14:textId="70D7E812"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E334A6" w:rsidRPr="008F3998">
              <w:rPr>
                <w:rFonts w:ascii="Times New Roman" w:hAnsi="Times New Roman" w:cs="Times New Roman"/>
                <w:sz w:val="20"/>
                <w:szCs w:val="20"/>
              </w:rPr>
              <w:t>2.48e-13</w:t>
            </w:r>
            <w:r w:rsidRPr="008F3998">
              <w:rPr>
                <w:rFonts w:ascii="Times New Roman" w:hAnsi="Times New Roman" w:cs="Times New Roman"/>
                <w:sz w:val="20"/>
                <w:szCs w:val="20"/>
              </w:rPr>
              <w:t>)</w:t>
            </w:r>
          </w:p>
        </w:tc>
      </w:tr>
      <w:tr w:rsidR="008F3998" w:rsidRPr="008F3998" w14:paraId="0534B820" w14:textId="77777777" w:rsidTr="00343F5B">
        <w:trPr>
          <w:jc w:val="center"/>
        </w:trPr>
        <w:tc>
          <w:tcPr>
            <w:tcW w:w="1368" w:type="pct"/>
            <w:tcBorders>
              <w:top w:val="nil"/>
              <w:left w:val="nil"/>
              <w:bottom w:val="nil"/>
              <w:right w:val="nil"/>
            </w:tcBorders>
          </w:tcPr>
          <w:p w14:paraId="1C162F2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finmsci</w:t>
            </w:r>
            <w:proofErr w:type="spellEnd"/>
          </w:p>
        </w:tc>
        <w:tc>
          <w:tcPr>
            <w:tcW w:w="592" w:type="pct"/>
            <w:tcBorders>
              <w:top w:val="nil"/>
              <w:left w:val="nil"/>
              <w:bottom w:val="nil"/>
              <w:right w:val="nil"/>
            </w:tcBorders>
          </w:tcPr>
          <w:p w14:paraId="1A1C2B3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5B27EF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BBEE84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5E2F93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3F7F76A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-0.00847</w:t>
            </w:r>
          </w:p>
        </w:tc>
        <w:tc>
          <w:tcPr>
            <w:tcW w:w="631" w:type="pct"/>
            <w:tcBorders>
              <w:top w:val="nil"/>
              <w:left w:val="nil"/>
              <w:bottom w:val="nil"/>
              <w:right w:val="nil"/>
            </w:tcBorders>
          </w:tcPr>
          <w:p w14:paraId="17F74C3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0.000399</w:t>
            </w:r>
          </w:p>
        </w:tc>
      </w:tr>
      <w:tr w:rsidR="008F3998" w:rsidRPr="008F3998" w14:paraId="61F07926" w14:textId="77777777" w:rsidTr="00343F5B">
        <w:trPr>
          <w:jc w:val="center"/>
        </w:trPr>
        <w:tc>
          <w:tcPr>
            <w:tcW w:w="1368" w:type="pct"/>
            <w:tcBorders>
              <w:top w:val="nil"/>
              <w:left w:val="nil"/>
              <w:bottom w:val="nil"/>
              <w:right w:val="nil"/>
            </w:tcBorders>
          </w:tcPr>
          <w:p w14:paraId="52884FA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5265BEE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245A2F1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2CE3B0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2CBB976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33ABD05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(0.00559)</w:t>
            </w:r>
          </w:p>
        </w:tc>
        <w:tc>
          <w:tcPr>
            <w:tcW w:w="631" w:type="pct"/>
            <w:tcBorders>
              <w:top w:val="nil"/>
              <w:left w:val="nil"/>
              <w:bottom w:val="nil"/>
              <w:right w:val="nil"/>
            </w:tcBorders>
          </w:tcPr>
          <w:p w14:paraId="61645A7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(0.00730)</w:t>
            </w:r>
          </w:p>
        </w:tc>
      </w:tr>
      <w:tr w:rsidR="008F3998" w:rsidRPr="008F3998" w14:paraId="367517C4" w14:textId="77777777" w:rsidTr="00343F5B">
        <w:trPr>
          <w:jc w:val="center"/>
        </w:trPr>
        <w:tc>
          <w:tcPr>
            <w:tcW w:w="1368" w:type="pct"/>
            <w:tcBorders>
              <w:top w:val="nil"/>
              <w:left w:val="nil"/>
              <w:bottom w:val="nil"/>
              <w:right w:val="nil"/>
            </w:tcBorders>
          </w:tcPr>
          <w:p w14:paraId="61649DCA" w14:textId="46F5BAEF"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stoxx50</w:t>
            </w:r>
          </w:p>
        </w:tc>
        <w:tc>
          <w:tcPr>
            <w:tcW w:w="592" w:type="pct"/>
            <w:tcBorders>
              <w:top w:val="nil"/>
              <w:left w:val="nil"/>
              <w:bottom w:val="nil"/>
              <w:right w:val="nil"/>
            </w:tcBorders>
          </w:tcPr>
          <w:p w14:paraId="6C06394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5D146E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89985D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4B0BAB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0AF6B82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0.000551*</w:t>
            </w:r>
          </w:p>
        </w:tc>
        <w:tc>
          <w:tcPr>
            <w:tcW w:w="631" w:type="pct"/>
            <w:tcBorders>
              <w:top w:val="nil"/>
              <w:left w:val="nil"/>
              <w:bottom w:val="nil"/>
              <w:right w:val="nil"/>
            </w:tcBorders>
          </w:tcPr>
          <w:p w14:paraId="360344D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0.00120*</w:t>
            </w:r>
          </w:p>
        </w:tc>
      </w:tr>
      <w:tr w:rsidR="008F3998" w:rsidRPr="008F3998" w14:paraId="3FE5ACD9" w14:textId="77777777" w:rsidTr="00343F5B">
        <w:trPr>
          <w:jc w:val="center"/>
        </w:trPr>
        <w:tc>
          <w:tcPr>
            <w:tcW w:w="1368" w:type="pct"/>
            <w:tcBorders>
              <w:top w:val="nil"/>
              <w:left w:val="nil"/>
              <w:bottom w:val="nil"/>
              <w:right w:val="nil"/>
            </w:tcBorders>
          </w:tcPr>
          <w:p w14:paraId="451D995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B91527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11646C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EA4F63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598653E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114CA58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(0.000227)</w:t>
            </w:r>
          </w:p>
        </w:tc>
        <w:tc>
          <w:tcPr>
            <w:tcW w:w="631" w:type="pct"/>
            <w:tcBorders>
              <w:top w:val="nil"/>
              <w:left w:val="nil"/>
              <w:bottom w:val="nil"/>
              <w:right w:val="nil"/>
            </w:tcBorders>
          </w:tcPr>
          <w:p w14:paraId="4477B84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(0.000542)</w:t>
            </w:r>
          </w:p>
        </w:tc>
      </w:tr>
      <w:tr w:rsidR="008F3998" w:rsidRPr="008F3998" w14:paraId="4A8F3C00" w14:textId="77777777" w:rsidTr="00343F5B">
        <w:trPr>
          <w:jc w:val="center"/>
        </w:trPr>
        <w:tc>
          <w:tcPr>
            <w:tcW w:w="1368" w:type="pct"/>
            <w:tcBorders>
              <w:top w:val="nil"/>
              <w:left w:val="nil"/>
              <w:bottom w:val="nil"/>
              <w:right w:val="nil"/>
            </w:tcBorders>
          </w:tcPr>
          <w:p w14:paraId="6924E2F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hyyield</w:t>
            </w:r>
            <w:proofErr w:type="spellEnd"/>
          </w:p>
        </w:tc>
        <w:tc>
          <w:tcPr>
            <w:tcW w:w="592" w:type="pct"/>
            <w:tcBorders>
              <w:top w:val="nil"/>
              <w:left w:val="nil"/>
              <w:bottom w:val="nil"/>
              <w:right w:val="nil"/>
            </w:tcBorders>
          </w:tcPr>
          <w:p w14:paraId="4724DBC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C1123C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896A77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6A36B26"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765298B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-0.00243</w:t>
            </w:r>
          </w:p>
        </w:tc>
        <w:tc>
          <w:tcPr>
            <w:tcW w:w="631" w:type="pct"/>
            <w:tcBorders>
              <w:top w:val="nil"/>
              <w:left w:val="nil"/>
              <w:bottom w:val="nil"/>
              <w:right w:val="nil"/>
            </w:tcBorders>
          </w:tcPr>
          <w:p w14:paraId="59B9DE3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0.0104*</w:t>
            </w:r>
          </w:p>
        </w:tc>
      </w:tr>
      <w:tr w:rsidR="008F3998" w:rsidRPr="008F3998" w14:paraId="39793BF2" w14:textId="77777777" w:rsidTr="00343F5B">
        <w:trPr>
          <w:jc w:val="center"/>
        </w:trPr>
        <w:tc>
          <w:tcPr>
            <w:tcW w:w="1368" w:type="pct"/>
            <w:tcBorders>
              <w:top w:val="nil"/>
              <w:left w:val="nil"/>
              <w:bottom w:val="nil"/>
              <w:right w:val="nil"/>
            </w:tcBorders>
          </w:tcPr>
          <w:p w14:paraId="73FD992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62EA30A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D58963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5A885E6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3C9A70C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0BE4861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(0.00236)</w:t>
            </w:r>
          </w:p>
        </w:tc>
        <w:tc>
          <w:tcPr>
            <w:tcW w:w="631" w:type="pct"/>
            <w:tcBorders>
              <w:top w:val="nil"/>
              <w:left w:val="nil"/>
              <w:bottom w:val="nil"/>
              <w:right w:val="nil"/>
            </w:tcBorders>
          </w:tcPr>
          <w:p w14:paraId="58F7E78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(0.00528)</w:t>
            </w:r>
          </w:p>
        </w:tc>
      </w:tr>
      <w:tr w:rsidR="008F3998" w:rsidRPr="008F3998" w14:paraId="11BB656C" w14:textId="77777777" w:rsidTr="00343F5B">
        <w:trPr>
          <w:jc w:val="center"/>
        </w:trPr>
        <w:tc>
          <w:tcPr>
            <w:tcW w:w="1368" w:type="pct"/>
            <w:tcBorders>
              <w:top w:val="nil"/>
              <w:left w:val="nil"/>
              <w:bottom w:val="nil"/>
              <w:right w:val="nil"/>
            </w:tcBorders>
          </w:tcPr>
          <w:p w14:paraId="7AFD84F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igyield</w:t>
            </w:r>
            <w:proofErr w:type="spellEnd"/>
          </w:p>
        </w:tc>
        <w:tc>
          <w:tcPr>
            <w:tcW w:w="592" w:type="pct"/>
            <w:tcBorders>
              <w:top w:val="nil"/>
              <w:left w:val="nil"/>
              <w:bottom w:val="nil"/>
              <w:right w:val="nil"/>
            </w:tcBorders>
          </w:tcPr>
          <w:p w14:paraId="6AE2A73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43688E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0B2FEE1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48CE148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24F6DBB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-0.00255</w:t>
            </w:r>
          </w:p>
        </w:tc>
        <w:tc>
          <w:tcPr>
            <w:tcW w:w="631" w:type="pct"/>
            <w:tcBorders>
              <w:top w:val="nil"/>
              <w:left w:val="nil"/>
              <w:bottom w:val="nil"/>
              <w:right w:val="nil"/>
            </w:tcBorders>
          </w:tcPr>
          <w:p w14:paraId="2D5785F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0.00211</w:t>
            </w:r>
          </w:p>
        </w:tc>
      </w:tr>
      <w:tr w:rsidR="008F3998" w:rsidRPr="008F3998" w14:paraId="0C743234" w14:textId="77777777" w:rsidTr="00343F5B">
        <w:trPr>
          <w:jc w:val="center"/>
        </w:trPr>
        <w:tc>
          <w:tcPr>
            <w:tcW w:w="1368" w:type="pct"/>
            <w:tcBorders>
              <w:top w:val="nil"/>
              <w:left w:val="nil"/>
              <w:bottom w:val="nil"/>
              <w:right w:val="nil"/>
            </w:tcBorders>
          </w:tcPr>
          <w:p w14:paraId="5D2E8A0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5D72AF7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13C288E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2909E40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nil"/>
              <w:right w:val="nil"/>
            </w:tcBorders>
          </w:tcPr>
          <w:p w14:paraId="7B7C99A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nil"/>
              <w:left w:val="nil"/>
              <w:bottom w:val="nil"/>
              <w:right w:val="nil"/>
            </w:tcBorders>
          </w:tcPr>
          <w:p w14:paraId="7620A59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(0.00225)</w:t>
            </w:r>
          </w:p>
        </w:tc>
        <w:tc>
          <w:tcPr>
            <w:tcW w:w="631" w:type="pct"/>
            <w:tcBorders>
              <w:top w:val="nil"/>
              <w:left w:val="nil"/>
              <w:bottom w:val="nil"/>
              <w:right w:val="nil"/>
            </w:tcBorders>
          </w:tcPr>
          <w:p w14:paraId="5D7C812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(0.00588)</w:t>
            </w:r>
          </w:p>
        </w:tc>
      </w:tr>
      <w:tr w:rsidR="008F3998" w:rsidRPr="008F3998" w14:paraId="7F715838" w14:textId="77777777" w:rsidTr="00343F5B">
        <w:trPr>
          <w:jc w:val="center"/>
        </w:trPr>
        <w:tc>
          <w:tcPr>
            <w:tcW w:w="1368" w:type="pct"/>
            <w:tcBorders>
              <w:top w:val="nil"/>
              <w:left w:val="nil"/>
              <w:right w:val="nil"/>
            </w:tcBorders>
          </w:tcPr>
          <w:p w14:paraId="60B6B7BA"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Constant</w:t>
            </w:r>
          </w:p>
        </w:tc>
        <w:tc>
          <w:tcPr>
            <w:tcW w:w="592" w:type="pct"/>
            <w:tcBorders>
              <w:top w:val="nil"/>
              <w:left w:val="nil"/>
              <w:right w:val="nil"/>
            </w:tcBorders>
          </w:tcPr>
          <w:p w14:paraId="5CB3354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-11.97*</w:t>
            </w:r>
          </w:p>
        </w:tc>
        <w:tc>
          <w:tcPr>
            <w:tcW w:w="592" w:type="pct"/>
            <w:tcBorders>
              <w:top w:val="nil"/>
              <w:left w:val="nil"/>
              <w:right w:val="nil"/>
            </w:tcBorders>
          </w:tcPr>
          <w:p w14:paraId="6210F04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-16.60**</w:t>
            </w:r>
          </w:p>
        </w:tc>
        <w:tc>
          <w:tcPr>
            <w:tcW w:w="592" w:type="pct"/>
            <w:tcBorders>
              <w:top w:val="nil"/>
              <w:left w:val="nil"/>
              <w:right w:val="nil"/>
            </w:tcBorders>
          </w:tcPr>
          <w:p w14:paraId="3EDE2F0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-17.62*</w:t>
            </w:r>
          </w:p>
        </w:tc>
        <w:tc>
          <w:tcPr>
            <w:tcW w:w="592" w:type="pct"/>
            <w:tcBorders>
              <w:top w:val="nil"/>
              <w:left w:val="nil"/>
              <w:right w:val="nil"/>
            </w:tcBorders>
          </w:tcPr>
          <w:p w14:paraId="6CBE0C1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-18.91</w:t>
            </w:r>
          </w:p>
        </w:tc>
        <w:tc>
          <w:tcPr>
            <w:tcW w:w="633" w:type="pct"/>
            <w:tcBorders>
              <w:top w:val="nil"/>
              <w:left w:val="nil"/>
              <w:right w:val="nil"/>
            </w:tcBorders>
          </w:tcPr>
          <w:p w14:paraId="51E26FD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2.802</w:t>
            </w:r>
          </w:p>
        </w:tc>
        <w:tc>
          <w:tcPr>
            <w:tcW w:w="631" w:type="pct"/>
            <w:tcBorders>
              <w:top w:val="nil"/>
              <w:left w:val="nil"/>
              <w:right w:val="nil"/>
            </w:tcBorders>
          </w:tcPr>
          <w:p w14:paraId="76E9B92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-13.88</w:t>
            </w:r>
          </w:p>
        </w:tc>
      </w:tr>
      <w:tr w:rsidR="008F3998" w:rsidRPr="008F3998" w14:paraId="422C2F34" w14:textId="77777777" w:rsidTr="00343F5B">
        <w:trPr>
          <w:jc w:val="center"/>
        </w:trPr>
        <w:tc>
          <w:tcPr>
            <w:tcW w:w="1368" w:type="pct"/>
            <w:tcBorders>
              <w:top w:val="nil"/>
              <w:left w:val="nil"/>
              <w:bottom w:val="single" w:sz="4" w:space="0" w:color="auto"/>
              <w:right w:val="nil"/>
            </w:tcBorders>
          </w:tcPr>
          <w:p w14:paraId="3A52662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nil"/>
              <w:left w:val="nil"/>
              <w:bottom w:val="single" w:sz="4" w:space="0" w:color="auto"/>
              <w:right w:val="nil"/>
            </w:tcBorders>
          </w:tcPr>
          <w:p w14:paraId="0625280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(5.280)</w:t>
            </w:r>
          </w:p>
        </w:tc>
        <w:tc>
          <w:tcPr>
            <w:tcW w:w="592" w:type="pct"/>
            <w:tcBorders>
              <w:top w:val="nil"/>
              <w:left w:val="nil"/>
              <w:bottom w:val="single" w:sz="4" w:space="0" w:color="auto"/>
              <w:right w:val="nil"/>
            </w:tcBorders>
          </w:tcPr>
          <w:p w14:paraId="5A7E64AC"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(5.857)</w:t>
            </w:r>
          </w:p>
        </w:tc>
        <w:tc>
          <w:tcPr>
            <w:tcW w:w="592" w:type="pct"/>
            <w:tcBorders>
              <w:top w:val="nil"/>
              <w:left w:val="nil"/>
              <w:bottom w:val="single" w:sz="4" w:space="0" w:color="auto"/>
              <w:right w:val="nil"/>
            </w:tcBorders>
          </w:tcPr>
          <w:p w14:paraId="3DE8EE2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(8.737)</w:t>
            </w:r>
          </w:p>
        </w:tc>
        <w:tc>
          <w:tcPr>
            <w:tcW w:w="592" w:type="pct"/>
            <w:tcBorders>
              <w:top w:val="nil"/>
              <w:left w:val="nil"/>
              <w:bottom w:val="single" w:sz="4" w:space="0" w:color="auto"/>
              <w:right w:val="nil"/>
            </w:tcBorders>
          </w:tcPr>
          <w:p w14:paraId="2C06306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(10.76)</w:t>
            </w:r>
          </w:p>
        </w:tc>
        <w:tc>
          <w:tcPr>
            <w:tcW w:w="633" w:type="pct"/>
            <w:tcBorders>
              <w:top w:val="nil"/>
              <w:left w:val="nil"/>
              <w:bottom w:val="single" w:sz="4" w:space="0" w:color="auto"/>
              <w:right w:val="nil"/>
            </w:tcBorders>
          </w:tcPr>
          <w:p w14:paraId="047CBE0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(7.409)</w:t>
            </w:r>
          </w:p>
        </w:tc>
        <w:tc>
          <w:tcPr>
            <w:tcW w:w="631" w:type="pct"/>
            <w:tcBorders>
              <w:top w:val="nil"/>
              <w:left w:val="nil"/>
              <w:bottom w:val="single" w:sz="4" w:space="0" w:color="auto"/>
              <w:right w:val="nil"/>
            </w:tcBorders>
          </w:tcPr>
          <w:p w14:paraId="40922898"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(13.94)</w:t>
            </w:r>
          </w:p>
        </w:tc>
      </w:tr>
      <w:tr w:rsidR="008F3998" w:rsidRPr="008F3998" w14:paraId="3370BA27" w14:textId="77777777" w:rsidTr="00343F5B">
        <w:trPr>
          <w:jc w:val="center"/>
        </w:trPr>
        <w:tc>
          <w:tcPr>
            <w:tcW w:w="1368" w:type="pct"/>
            <w:tcBorders>
              <w:top w:val="single" w:sz="4" w:space="0" w:color="auto"/>
              <w:left w:val="nil"/>
              <w:bottom w:val="single" w:sz="4" w:space="0" w:color="auto"/>
              <w:right w:val="nil"/>
            </w:tcBorders>
          </w:tcPr>
          <w:p w14:paraId="341BAB84" w14:textId="5630E97F" w:rsidR="004F41A3" w:rsidRPr="008F3998" w:rsidRDefault="0070560F"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Diagnostics</w:t>
            </w:r>
          </w:p>
        </w:tc>
        <w:tc>
          <w:tcPr>
            <w:tcW w:w="592" w:type="pct"/>
            <w:tcBorders>
              <w:top w:val="single" w:sz="4" w:space="0" w:color="auto"/>
              <w:left w:val="nil"/>
              <w:bottom w:val="single" w:sz="4" w:space="0" w:color="auto"/>
              <w:right w:val="nil"/>
            </w:tcBorders>
          </w:tcPr>
          <w:p w14:paraId="248FC7B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single" w:sz="4" w:space="0" w:color="auto"/>
              <w:left w:val="nil"/>
              <w:bottom w:val="single" w:sz="4" w:space="0" w:color="auto"/>
              <w:right w:val="nil"/>
            </w:tcBorders>
          </w:tcPr>
          <w:p w14:paraId="3AEC718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single" w:sz="4" w:space="0" w:color="auto"/>
              <w:left w:val="nil"/>
              <w:bottom w:val="single" w:sz="4" w:space="0" w:color="auto"/>
              <w:right w:val="nil"/>
            </w:tcBorders>
          </w:tcPr>
          <w:p w14:paraId="1BCBD93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592" w:type="pct"/>
            <w:tcBorders>
              <w:top w:val="single" w:sz="4" w:space="0" w:color="auto"/>
              <w:left w:val="nil"/>
              <w:bottom w:val="single" w:sz="4" w:space="0" w:color="auto"/>
              <w:right w:val="nil"/>
            </w:tcBorders>
          </w:tcPr>
          <w:p w14:paraId="76586A3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3" w:type="pct"/>
            <w:tcBorders>
              <w:top w:val="single" w:sz="4" w:space="0" w:color="auto"/>
              <w:left w:val="nil"/>
              <w:bottom w:val="single" w:sz="4" w:space="0" w:color="auto"/>
              <w:right w:val="nil"/>
            </w:tcBorders>
          </w:tcPr>
          <w:p w14:paraId="38EFC76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631" w:type="pct"/>
            <w:tcBorders>
              <w:top w:val="single" w:sz="4" w:space="0" w:color="auto"/>
              <w:left w:val="nil"/>
              <w:bottom w:val="single" w:sz="4" w:space="0" w:color="auto"/>
              <w:right w:val="nil"/>
            </w:tcBorders>
          </w:tcPr>
          <w:p w14:paraId="61C0906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r>
      <w:tr w:rsidR="008F3998" w:rsidRPr="008F3998" w14:paraId="566AE841" w14:textId="77777777" w:rsidTr="00343F5B">
        <w:trPr>
          <w:jc w:val="center"/>
        </w:trPr>
        <w:tc>
          <w:tcPr>
            <w:tcW w:w="1368" w:type="pct"/>
            <w:tcBorders>
              <w:top w:val="single" w:sz="4" w:space="0" w:color="auto"/>
              <w:left w:val="nil"/>
              <w:bottom w:val="nil"/>
              <w:right w:val="nil"/>
            </w:tcBorders>
          </w:tcPr>
          <w:p w14:paraId="06A231E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Observations</w:t>
            </w:r>
          </w:p>
        </w:tc>
        <w:tc>
          <w:tcPr>
            <w:tcW w:w="592" w:type="pct"/>
            <w:tcBorders>
              <w:top w:val="single" w:sz="4" w:space="0" w:color="auto"/>
              <w:left w:val="nil"/>
              <w:bottom w:val="nil"/>
              <w:right w:val="nil"/>
            </w:tcBorders>
          </w:tcPr>
          <w:p w14:paraId="176031B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133</w:t>
            </w:r>
          </w:p>
        </w:tc>
        <w:tc>
          <w:tcPr>
            <w:tcW w:w="592" w:type="pct"/>
            <w:tcBorders>
              <w:top w:val="single" w:sz="4" w:space="0" w:color="auto"/>
              <w:left w:val="nil"/>
              <w:bottom w:val="nil"/>
              <w:right w:val="nil"/>
            </w:tcBorders>
          </w:tcPr>
          <w:p w14:paraId="605F52E7"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133</w:t>
            </w:r>
          </w:p>
        </w:tc>
        <w:tc>
          <w:tcPr>
            <w:tcW w:w="592" w:type="pct"/>
            <w:tcBorders>
              <w:top w:val="single" w:sz="4" w:space="0" w:color="auto"/>
              <w:left w:val="nil"/>
              <w:bottom w:val="nil"/>
              <w:right w:val="nil"/>
            </w:tcBorders>
          </w:tcPr>
          <w:p w14:paraId="43FC4E92"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133</w:t>
            </w:r>
          </w:p>
        </w:tc>
        <w:tc>
          <w:tcPr>
            <w:tcW w:w="592" w:type="pct"/>
            <w:tcBorders>
              <w:top w:val="single" w:sz="4" w:space="0" w:color="auto"/>
              <w:left w:val="nil"/>
              <w:bottom w:val="nil"/>
              <w:right w:val="nil"/>
            </w:tcBorders>
          </w:tcPr>
          <w:p w14:paraId="415F0B0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133</w:t>
            </w:r>
          </w:p>
        </w:tc>
        <w:tc>
          <w:tcPr>
            <w:tcW w:w="633" w:type="pct"/>
            <w:tcBorders>
              <w:top w:val="single" w:sz="4" w:space="0" w:color="auto"/>
              <w:left w:val="nil"/>
              <w:bottom w:val="nil"/>
              <w:right w:val="nil"/>
            </w:tcBorders>
          </w:tcPr>
          <w:p w14:paraId="7637237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73</w:t>
            </w:r>
          </w:p>
        </w:tc>
        <w:tc>
          <w:tcPr>
            <w:tcW w:w="631" w:type="pct"/>
            <w:tcBorders>
              <w:top w:val="single" w:sz="4" w:space="0" w:color="auto"/>
              <w:left w:val="nil"/>
              <w:bottom w:val="nil"/>
              <w:right w:val="nil"/>
            </w:tcBorders>
          </w:tcPr>
          <w:p w14:paraId="3C59A71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73</w:t>
            </w:r>
          </w:p>
        </w:tc>
      </w:tr>
      <w:tr w:rsidR="008F3998" w:rsidRPr="008F3998" w14:paraId="3EB785EC" w14:textId="77777777" w:rsidTr="00343F5B">
        <w:trPr>
          <w:jc w:val="center"/>
        </w:trPr>
        <w:tc>
          <w:tcPr>
            <w:tcW w:w="1368" w:type="pct"/>
            <w:tcBorders>
              <w:top w:val="nil"/>
              <w:left w:val="nil"/>
              <w:bottom w:val="nil"/>
              <w:right w:val="nil"/>
            </w:tcBorders>
          </w:tcPr>
          <w:p w14:paraId="5E5CDE7A" w14:textId="08FC712B" w:rsidR="004F41A3" w:rsidRPr="008F3998" w:rsidRDefault="008F3998" w:rsidP="004F41A3">
            <w:pPr>
              <w:widowControl w:val="0"/>
              <w:autoSpaceDE w:val="0"/>
              <w:autoSpaceDN w:val="0"/>
              <w:adjustRightInd w:val="0"/>
              <w:spacing w:after="0" w:line="240" w:lineRule="auto"/>
              <w:jc w:val="both"/>
              <w:rPr>
                <w:rFonts w:ascii="Times New Roman" w:hAnsi="Times New Roman" w:cs="Times New Roman"/>
                <w:sz w:val="20"/>
                <w:szCs w:val="20"/>
              </w:rPr>
            </w:pP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p>
                  <m:r>
                    <w:rPr>
                      <w:rFonts w:ascii="Cambria Math" w:hAnsi="Cambria Math" w:cs="Times New Roman"/>
                      <w:sz w:val="20"/>
                      <w:szCs w:val="20"/>
                    </w:rPr>
                    <m:t>2</m:t>
                  </m:r>
                </m:sup>
              </m:sSup>
            </m:oMath>
            <w:r w:rsidR="00343F5B" w:rsidRPr="008F3998">
              <w:rPr>
                <w:rFonts w:ascii="Times New Roman" w:eastAsiaTheme="minorEastAsia" w:hAnsi="Times New Roman" w:cs="Times New Roman"/>
                <w:sz w:val="20"/>
                <w:szCs w:val="20"/>
              </w:rPr>
              <w:t xml:space="preserve"> (within)</w:t>
            </w:r>
          </w:p>
        </w:tc>
        <w:tc>
          <w:tcPr>
            <w:tcW w:w="592" w:type="pct"/>
            <w:tcBorders>
              <w:top w:val="nil"/>
              <w:left w:val="nil"/>
              <w:bottom w:val="nil"/>
              <w:right w:val="nil"/>
            </w:tcBorders>
          </w:tcPr>
          <w:p w14:paraId="2BCFD87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0.446</w:t>
            </w:r>
          </w:p>
        </w:tc>
        <w:tc>
          <w:tcPr>
            <w:tcW w:w="592" w:type="pct"/>
            <w:tcBorders>
              <w:top w:val="nil"/>
              <w:left w:val="nil"/>
              <w:bottom w:val="nil"/>
              <w:right w:val="nil"/>
            </w:tcBorders>
          </w:tcPr>
          <w:p w14:paraId="5FB1425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0.401</w:t>
            </w:r>
          </w:p>
        </w:tc>
        <w:tc>
          <w:tcPr>
            <w:tcW w:w="592" w:type="pct"/>
            <w:tcBorders>
              <w:top w:val="nil"/>
              <w:left w:val="nil"/>
              <w:bottom w:val="nil"/>
              <w:right w:val="nil"/>
            </w:tcBorders>
          </w:tcPr>
          <w:p w14:paraId="2E4C263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0.457</w:t>
            </w:r>
          </w:p>
        </w:tc>
        <w:tc>
          <w:tcPr>
            <w:tcW w:w="592" w:type="pct"/>
            <w:tcBorders>
              <w:top w:val="nil"/>
              <w:left w:val="nil"/>
              <w:bottom w:val="nil"/>
              <w:right w:val="nil"/>
            </w:tcBorders>
          </w:tcPr>
          <w:p w14:paraId="3A63789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0.402</w:t>
            </w:r>
          </w:p>
        </w:tc>
        <w:tc>
          <w:tcPr>
            <w:tcW w:w="633" w:type="pct"/>
            <w:tcBorders>
              <w:top w:val="nil"/>
              <w:left w:val="nil"/>
              <w:bottom w:val="nil"/>
              <w:right w:val="nil"/>
            </w:tcBorders>
          </w:tcPr>
          <w:p w14:paraId="15169D9D"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0.691</w:t>
            </w:r>
          </w:p>
        </w:tc>
        <w:tc>
          <w:tcPr>
            <w:tcW w:w="631" w:type="pct"/>
            <w:tcBorders>
              <w:top w:val="nil"/>
              <w:left w:val="nil"/>
              <w:bottom w:val="nil"/>
              <w:right w:val="nil"/>
            </w:tcBorders>
          </w:tcPr>
          <w:p w14:paraId="1FA9589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0.547</w:t>
            </w:r>
          </w:p>
        </w:tc>
      </w:tr>
      <w:tr w:rsidR="008F3998" w:rsidRPr="008F3998" w14:paraId="33FE853B" w14:textId="77777777" w:rsidTr="008152B4">
        <w:trPr>
          <w:jc w:val="center"/>
        </w:trPr>
        <w:tc>
          <w:tcPr>
            <w:tcW w:w="1368" w:type="pct"/>
            <w:tcBorders>
              <w:top w:val="nil"/>
              <w:left w:val="nil"/>
              <w:right w:val="nil"/>
            </w:tcBorders>
          </w:tcPr>
          <w:p w14:paraId="21998102" w14:textId="640510BE"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Number of countr</w:t>
            </w:r>
            <w:r w:rsidR="006B4496" w:rsidRPr="008F3998">
              <w:rPr>
                <w:rFonts w:ascii="Times New Roman" w:hAnsi="Times New Roman" w:cs="Times New Roman"/>
                <w:sz w:val="20"/>
                <w:szCs w:val="20"/>
              </w:rPr>
              <w:t>ies</w:t>
            </w:r>
          </w:p>
        </w:tc>
        <w:tc>
          <w:tcPr>
            <w:tcW w:w="592" w:type="pct"/>
            <w:tcBorders>
              <w:top w:val="nil"/>
              <w:left w:val="nil"/>
              <w:right w:val="nil"/>
            </w:tcBorders>
          </w:tcPr>
          <w:p w14:paraId="18F6EE24"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592" w:type="pct"/>
            <w:tcBorders>
              <w:top w:val="nil"/>
              <w:left w:val="nil"/>
              <w:right w:val="nil"/>
            </w:tcBorders>
          </w:tcPr>
          <w:p w14:paraId="541A8855"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592" w:type="pct"/>
            <w:tcBorders>
              <w:top w:val="nil"/>
              <w:left w:val="nil"/>
              <w:right w:val="nil"/>
            </w:tcBorders>
          </w:tcPr>
          <w:p w14:paraId="18ED19FF"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592" w:type="pct"/>
            <w:tcBorders>
              <w:top w:val="nil"/>
              <w:left w:val="nil"/>
              <w:right w:val="nil"/>
            </w:tcBorders>
          </w:tcPr>
          <w:p w14:paraId="5B0AFB71"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633" w:type="pct"/>
            <w:tcBorders>
              <w:top w:val="nil"/>
              <w:left w:val="nil"/>
              <w:right w:val="nil"/>
            </w:tcBorders>
          </w:tcPr>
          <w:p w14:paraId="4F5CF38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631" w:type="pct"/>
            <w:tcBorders>
              <w:top w:val="nil"/>
              <w:left w:val="nil"/>
              <w:right w:val="nil"/>
            </w:tcBorders>
          </w:tcPr>
          <w:p w14:paraId="3BF7FF0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r>
      <w:tr w:rsidR="008F3998" w:rsidRPr="008F3998" w14:paraId="72D0447F" w14:textId="77777777" w:rsidTr="008152B4">
        <w:tblPrEx>
          <w:tblBorders>
            <w:bottom w:val="single" w:sz="6" w:space="0" w:color="auto"/>
          </w:tblBorders>
        </w:tblPrEx>
        <w:trPr>
          <w:jc w:val="center"/>
        </w:trPr>
        <w:tc>
          <w:tcPr>
            <w:tcW w:w="1368" w:type="pct"/>
            <w:tcBorders>
              <w:top w:val="nil"/>
              <w:left w:val="nil"/>
              <w:bottom w:val="single" w:sz="4" w:space="0" w:color="auto"/>
              <w:right w:val="nil"/>
            </w:tcBorders>
          </w:tcPr>
          <w:p w14:paraId="464A074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Country FE</w:t>
            </w:r>
          </w:p>
        </w:tc>
        <w:tc>
          <w:tcPr>
            <w:tcW w:w="592" w:type="pct"/>
            <w:tcBorders>
              <w:top w:val="nil"/>
              <w:left w:val="nil"/>
              <w:bottom w:val="single" w:sz="4" w:space="0" w:color="auto"/>
              <w:right w:val="nil"/>
            </w:tcBorders>
          </w:tcPr>
          <w:p w14:paraId="2106A070"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592" w:type="pct"/>
            <w:tcBorders>
              <w:top w:val="nil"/>
              <w:left w:val="nil"/>
              <w:bottom w:val="single" w:sz="4" w:space="0" w:color="auto"/>
              <w:right w:val="nil"/>
            </w:tcBorders>
          </w:tcPr>
          <w:p w14:paraId="1645BA8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592" w:type="pct"/>
            <w:tcBorders>
              <w:top w:val="nil"/>
              <w:left w:val="nil"/>
              <w:bottom w:val="single" w:sz="4" w:space="0" w:color="auto"/>
              <w:right w:val="nil"/>
            </w:tcBorders>
          </w:tcPr>
          <w:p w14:paraId="0C10F48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592" w:type="pct"/>
            <w:tcBorders>
              <w:top w:val="nil"/>
              <w:left w:val="nil"/>
              <w:bottom w:val="single" w:sz="4" w:space="0" w:color="auto"/>
              <w:right w:val="nil"/>
            </w:tcBorders>
          </w:tcPr>
          <w:p w14:paraId="0182B193"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633" w:type="pct"/>
            <w:tcBorders>
              <w:top w:val="nil"/>
              <w:left w:val="nil"/>
              <w:bottom w:val="single" w:sz="4" w:space="0" w:color="auto"/>
              <w:right w:val="nil"/>
            </w:tcBorders>
          </w:tcPr>
          <w:p w14:paraId="0DE2FA8B"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631" w:type="pct"/>
            <w:tcBorders>
              <w:top w:val="nil"/>
              <w:left w:val="nil"/>
              <w:bottom w:val="single" w:sz="4" w:space="0" w:color="auto"/>
              <w:right w:val="nil"/>
            </w:tcBorders>
          </w:tcPr>
          <w:p w14:paraId="57B26B6E"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r>
    </w:tbl>
    <w:p w14:paraId="089202C6" w14:textId="076B4A15" w:rsidR="00E526FC" w:rsidRPr="008F3998" w:rsidRDefault="00A7457D" w:rsidP="00E526FC">
      <w:pPr>
        <w:jc w:val="both"/>
        <w:rPr>
          <w:rFonts w:ascii="Times New Roman" w:hAnsi="Times New Roman" w:cs="Times New Roman"/>
          <w:sz w:val="18"/>
          <w:szCs w:val="18"/>
        </w:rPr>
      </w:pPr>
      <w:r w:rsidRPr="008F3998">
        <w:rPr>
          <w:rFonts w:ascii="Times New Roman" w:hAnsi="Times New Roman" w:cs="Times New Roman"/>
          <w:b/>
          <w:sz w:val="20"/>
        </w:rPr>
        <w:t>Notes:</w:t>
      </w:r>
      <w:r w:rsidRPr="008F3998">
        <w:rPr>
          <w:rFonts w:ascii="Times New Roman" w:hAnsi="Times New Roman" w:cs="Times New Roman"/>
          <w:sz w:val="20"/>
        </w:rPr>
        <w:t xml:space="preserve"> Parentheses provide robust standard errors. ***, **, &amp; * denote</w:t>
      </w:r>
      <w:r w:rsidR="005A76B3" w:rsidRPr="008F3998">
        <w:t xml:space="preserve"> </w:t>
      </w:r>
      <w:r w:rsidR="005A76B3" w:rsidRPr="008F3998">
        <w:rPr>
          <w:rFonts w:ascii="Times New Roman" w:hAnsi="Times New Roman" w:cs="Times New Roman"/>
          <w:sz w:val="20"/>
        </w:rPr>
        <w:t>statistical</w:t>
      </w:r>
      <w:r w:rsidRPr="008F3998">
        <w:rPr>
          <w:rFonts w:ascii="Times New Roman" w:hAnsi="Times New Roman" w:cs="Times New Roman"/>
          <w:sz w:val="20"/>
        </w:rPr>
        <w:t xml:space="preserve"> significance at 1%, 5%, &amp; 10% levels of significance (</w:t>
      </w:r>
      <m:oMath>
        <m:r>
          <w:rPr>
            <w:rFonts w:ascii="Cambria Math" w:hAnsi="Cambria Math" w:cs="Times New Roman"/>
            <w:sz w:val="20"/>
          </w:rPr>
          <m:t>α</m:t>
        </m:r>
      </m:oMath>
      <w:r w:rsidRPr="008F3998">
        <w:rPr>
          <w:rFonts w:ascii="Times New Roman" w:hAnsi="Times New Roman" w:cs="Times New Roman"/>
          <w:sz w:val="20"/>
        </w:rPr>
        <w:t>)</w:t>
      </w:r>
      <w:r w:rsidR="006B4496" w:rsidRPr="008F3998">
        <w:rPr>
          <w:rFonts w:ascii="Times New Roman" w:hAnsi="Times New Roman" w:cs="Times New Roman"/>
          <w:sz w:val="20"/>
        </w:rPr>
        <w:t>, respectively</w:t>
      </w:r>
      <w:r w:rsidRPr="008F3998">
        <w:rPr>
          <w:rFonts w:ascii="Times New Roman" w:hAnsi="Times New Roman" w:cs="Times New Roman"/>
          <w:sz w:val="20"/>
        </w:rPr>
        <w:t>.</w:t>
      </w:r>
    </w:p>
    <w:p w14:paraId="648120BF" w14:textId="5F5738F2" w:rsidR="00E526FC" w:rsidRPr="008F3998" w:rsidRDefault="00235FA9" w:rsidP="00A7457D">
      <w:pPr>
        <w:spacing w:line="360" w:lineRule="auto"/>
        <w:ind w:firstLine="720"/>
        <w:jc w:val="both"/>
        <w:rPr>
          <w:rFonts w:ascii="Times New Roman" w:hAnsi="Times New Roman" w:cs="Times New Roman"/>
          <w:sz w:val="24"/>
          <w:szCs w:val="24"/>
        </w:rPr>
      </w:pPr>
      <w:r w:rsidRPr="008F3998">
        <w:rPr>
          <w:rFonts w:ascii="Times New Roman" w:hAnsi="Times New Roman" w:cs="Times New Roman"/>
          <w:sz w:val="24"/>
          <w:szCs w:val="24"/>
        </w:rPr>
        <w:t xml:space="preserve">Table </w:t>
      </w:r>
      <w:r w:rsidR="00F84DFB" w:rsidRPr="008F3998">
        <w:rPr>
          <w:rFonts w:ascii="Times New Roman" w:hAnsi="Times New Roman" w:cs="Times New Roman"/>
          <w:sz w:val="24"/>
          <w:szCs w:val="24"/>
        </w:rPr>
        <w:t xml:space="preserve">3 </w:t>
      </w:r>
      <w:r w:rsidRPr="008F3998">
        <w:rPr>
          <w:rFonts w:ascii="Times New Roman" w:hAnsi="Times New Roman" w:cs="Times New Roman"/>
          <w:sz w:val="24"/>
          <w:szCs w:val="24"/>
        </w:rPr>
        <w:t>presents the model selection tests performed on</w:t>
      </w:r>
      <w:r w:rsidR="008F32E4" w:rsidRPr="008F3998">
        <w:rPr>
          <w:rFonts w:ascii="Times New Roman" w:hAnsi="Times New Roman" w:cs="Times New Roman"/>
          <w:sz w:val="24"/>
          <w:szCs w:val="24"/>
        </w:rPr>
        <w:t xml:space="preserve"> the variants of</w:t>
      </w:r>
      <w:r w:rsidRPr="008F3998">
        <w:rPr>
          <w:rFonts w:ascii="Times New Roman" w:hAnsi="Times New Roman" w:cs="Times New Roman"/>
          <w:sz w:val="24"/>
          <w:szCs w:val="24"/>
        </w:rPr>
        <w:t xml:space="preserve"> equations (6)-(8)</w:t>
      </w:r>
      <w:r w:rsidR="00A66411" w:rsidRPr="008F3998">
        <w:rPr>
          <w:rFonts w:ascii="Times New Roman" w:hAnsi="Times New Roman" w:cs="Times New Roman"/>
          <w:sz w:val="24"/>
          <w:szCs w:val="24"/>
        </w:rPr>
        <w:t>. The</w:t>
      </w:r>
      <w:r w:rsidR="00E23B1A" w:rsidRPr="008F3998">
        <w:rPr>
          <w:rFonts w:ascii="Times New Roman" w:hAnsi="Times New Roman" w:cs="Times New Roman"/>
          <w:sz w:val="24"/>
          <w:szCs w:val="24"/>
        </w:rPr>
        <w:t xml:space="preserve"> first</w:t>
      </w:r>
      <w:r w:rsidR="00A66411" w:rsidRPr="008F3998">
        <w:rPr>
          <w:rFonts w:ascii="Times New Roman" w:hAnsi="Times New Roman" w:cs="Times New Roman"/>
          <w:sz w:val="24"/>
          <w:szCs w:val="24"/>
        </w:rPr>
        <w:t xml:space="preserve"> model selection test i</w:t>
      </w:r>
      <w:r w:rsidR="00E23B1A" w:rsidRPr="008F3998">
        <w:rPr>
          <w:rFonts w:ascii="Times New Roman" w:hAnsi="Times New Roman" w:cs="Times New Roman"/>
          <w:sz w:val="24"/>
          <w:szCs w:val="24"/>
        </w:rPr>
        <w:t>s</w:t>
      </w:r>
      <w:r w:rsidRPr="008F3998">
        <w:rPr>
          <w:rFonts w:ascii="Times New Roman" w:hAnsi="Times New Roman" w:cs="Times New Roman"/>
          <w:sz w:val="24"/>
          <w:szCs w:val="24"/>
        </w:rPr>
        <w:t xml:space="preserve"> the </w:t>
      </w:r>
      <w:proofErr w:type="spellStart"/>
      <w:r w:rsidRPr="008F3998">
        <w:rPr>
          <w:rFonts w:ascii="Times New Roman" w:hAnsi="Times New Roman" w:cs="Times New Roman"/>
          <w:sz w:val="24"/>
          <w:szCs w:val="24"/>
        </w:rPr>
        <w:t>Hausman</w:t>
      </w:r>
      <w:proofErr w:type="spellEnd"/>
      <w:r w:rsidR="009F122F" w:rsidRPr="008F3998">
        <w:rPr>
          <w:rFonts w:ascii="Times New Roman" w:hAnsi="Times New Roman" w:cs="Times New Roman"/>
          <w:sz w:val="24"/>
          <w:szCs w:val="24"/>
        </w:rPr>
        <w:t xml:space="preserve"> (1978)</w:t>
      </w:r>
      <w:r w:rsidRPr="008F3998">
        <w:rPr>
          <w:rFonts w:ascii="Times New Roman" w:hAnsi="Times New Roman" w:cs="Times New Roman"/>
          <w:sz w:val="24"/>
          <w:szCs w:val="24"/>
        </w:rPr>
        <w:t xml:space="preserve"> test for</w:t>
      </w:r>
      <w:r w:rsidR="008F32E4" w:rsidRPr="008F3998">
        <w:rPr>
          <w:rFonts w:ascii="Times New Roman" w:hAnsi="Times New Roman" w:cs="Times New Roman"/>
          <w:sz w:val="24"/>
          <w:szCs w:val="24"/>
        </w:rPr>
        <w:t xml:space="preserve"> any</w:t>
      </w:r>
      <w:r w:rsidRPr="008F3998">
        <w:rPr>
          <w:rFonts w:ascii="Times New Roman" w:hAnsi="Times New Roman" w:cs="Times New Roman"/>
          <w:sz w:val="24"/>
          <w:szCs w:val="24"/>
        </w:rPr>
        <w:t xml:space="preserve"> systematic difference between panel fixed- and random-effects </w:t>
      </w:r>
      <w:r w:rsidR="00B30551" w:rsidRPr="008F3998">
        <w:rPr>
          <w:rFonts w:ascii="Times New Roman" w:hAnsi="Times New Roman" w:cs="Times New Roman"/>
          <w:sz w:val="24"/>
          <w:szCs w:val="24"/>
        </w:rPr>
        <w:t>regressions</w:t>
      </w:r>
      <w:r w:rsidRPr="008F3998">
        <w:rPr>
          <w:rFonts w:ascii="Times New Roman" w:hAnsi="Times New Roman" w:cs="Times New Roman"/>
          <w:sz w:val="24"/>
          <w:szCs w:val="24"/>
        </w:rPr>
        <w:t>.</w:t>
      </w:r>
      <w:r w:rsidR="008F32E4" w:rsidRPr="008F3998">
        <w:rPr>
          <w:rFonts w:ascii="Times New Roman" w:hAnsi="Times New Roman" w:cs="Times New Roman"/>
          <w:sz w:val="24"/>
          <w:szCs w:val="24"/>
        </w:rPr>
        <w:t xml:space="preserve"> As can be seen, null of no systematic difference in the fixed and random effects coefficients estimates </w:t>
      </w:r>
      <w:r w:rsidR="00A66411" w:rsidRPr="008F3998">
        <w:rPr>
          <w:rFonts w:ascii="Times New Roman" w:hAnsi="Times New Roman" w:cs="Times New Roman"/>
          <w:sz w:val="24"/>
          <w:szCs w:val="24"/>
        </w:rPr>
        <w:t>is</w:t>
      </w:r>
      <w:r w:rsidR="008F32E4" w:rsidRPr="008F3998">
        <w:rPr>
          <w:rFonts w:ascii="Times New Roman" w:hAnsi="Times New Roman" w:cs="Times New Roman"/>
          <w:sz w:val="24"/>
          <w:szCs w:val="24"/>
        </w:rPr>
        <w:t xml:space="preserve"> rejected</w:t>
      </w:r>
      <w:r w:rsidR="00E23B1A" w:rsidRPr="008F3998">
        <w:rPr>
          <w:rFonts w:ascii="Times New Roman" w:hAnsi="Times New Roman" w:cs="Times New Roman"/>
          <w:sz w:val="24"/>
          <w:szCs w:val="24"/>
        </w:rPr>
        <w:t xml:space="preserve"> by the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8F32E4" w:rsidRPr="008F3998">
        <w:rPr>
          <w:rFonts w:ascii="Times New Roman" w:hAnsi="Times New Roman" w:cs="Times New Roman"/>
          <w:sz w:val="24"/>
          <w:szCs w:val="24"/>
        </w:rPr>
        <w:t xml:space="preserve"> </w:t>
      </w:r>
      <w:r w:rsidR="00E23B1A" w:rsidRPr="008F3998">
        <w:rPr>
          <w:rFonts w:ascii="Times New Roman" w:hAnsi="Times New Roman" w:cs="Times New Roman"/>
          <w:sz w:val="24"/>
          <w:szCs w:val="24"/>
        </w:rPr>
        <w:t xml:space="preserve">test statistics </w:t>
      </w:r>
      <w:r w:rsidR="008F32E4" w:rsidRPr="008F3998">
        <w:rPr>
          <w:rFonts w:ascii="Times New Roman" w:hAnsi="Times New Roman" w:cs="Times New Roman"/>
          <w:sz w:val="24"/>
          <w:szCs w:val="24"/>
        </w:rPr>
        <w:t xml:space="preserve">for </w:t>
      </w:r>
      <w:r w:rsidR="00D905DD" w:rsidRPr="008F3998">
        <w:rPr>
          <w:rFonts w:ascii="Times New Roman" w:hAnsi="Times New Roman" w:cs="Times New Roman"/>
          <w:sz w:val="24"/>
          <w:szCs w:val="24"/>
        </w:rPr>
        <w:t>all three models–</w:t>
      </w:r>
      <w:r w:rsidR="008F32E4" w:rsidRPr="008F3998">
        <w:rPr>
          <w:rFonts w:ascii="Times New Roman" w:hAnsi="Times New Roman" w:cs="Times New Roman"/>
          <w:sz w:val="24"/>
          <w:szCs w:val="24"/>
        </w:rPr>
        <w:t>equation</w:t>
      </w:r>
      <w:r w:rsidR="00D905DD" w:rsidRPr="008F3998">
        <w:rPr>
          <w:rFonts w:ascii="Times New Roman" w:hAnsi="Times New Roman" w:cs="Times New Roman"/>
          <w:sz w:val="24"/>
          <w:szCs w:val="24"/>
        </w:rPr>
        <w:t>s (6) to</w:t>
      </w:r>
      <w:r w:rsidR="008F32E4" w:rsidRPr="008F3998">
        <w:rPr>
          <w:rFonts w:ascii="Times New Roman" w:hAnsi="Times New Roman" w:cs="Times New Roman"/>
          <w:sz w:val="24"/>
          <w:szCs w:val="24"/>
        </w:rPr>
        <w:t xml:space="preserve"> (8)</w:t>
      </w:r>
      <w:r w:rsidR="00D905DD" w:rsidRPr="008F3998">
        <w:rPr>
          <w:rFonts w:ascii="Times New Roman" w:hAnsi="Times New Roman" w:cs="Times New Roman"/>
          <w:sz w:val="24"/>
          <w:szCs w:val="24"/>
        </w:rPr>
        <w:t>–</w:t>
      </w:r>
      <w:r w:rsidR="008F32E4" w:rsidRPr="008F3998">
        <w:rPr>
          <w:rFonts w:ascii="Times New Roman" w:hAnsi="Times New Roman" w:cs="Times New Roman"/>
          <w:sz w:val="24"/>
          <w:szCs w:val="24"/>
        </w:rPr>
        <w:t>at the 5% level of significance.</w:t>
      </w:r>
      <w:r w:rsidR="00C84139" w:rsidRPr="008F3998">
        <w:rPr>
          <w:rFonts w:ascii="Times New Roman" w:hAnsi="Times New Roman" w:cs="Times New Roman"/>
          <w:sz w:val="24"/>
          <w:szCs w:val="24"/>
        </w:rPr>
        <w:t xml:space="preserve"> Th</w:t>
      </w:r>
      <w:r w:rsidR="007716DC" w:rsidRPr="008F3998">
        <w:rPr>
          <w:rFonts w:ascii="Times New Roman" w:hAnsi="Times New Roman" w:cs="Times New Roman"/>
          <w:sz w:val="24"/>
          <w:szCs w:val="24"/>
        </w:rPr>
        <w:t xml:space="preserve">us, the </w:t>
      </w:r>
      <w:proofErr w:type="spellStart"/>
      <w:r w:rsidR="007716DC" w:rsidRPr="008F3998">
        <w:rPr>
          <w:rFonts w:ascii="Times New Roman" w:hAnsi="Times New Roman" w:cs="Times New Roman"/>
          <w:sz w:val="24"/>
          <w:szCs w:val="24"/>
        </w:rPr>
        <w:t>Hausman</w:t>
      </w:r>
      <w:proofErr w:type="spellEnd"/>
      <w:r w:rsidR="007716DC" w:rsidRPr="008F3998">
        <w:rPr>
          <w:rFonts w:ascii="Times New Roman" w:hAnsi="Times New Roman" w:cs="Times New Roman"/>
          <w:sz w:val="24"/>
          <w:szCs w:val="24"/>
        </w:rPr>
        <w:t xml:space="preserve"> (1978) tests point</w:t>
      </w:r>
      <w:r w:rsidR="00C84139" w:rsidRPr="008F3998">
        <w:rPr>
          <w:rFonts w:ascii="Times New Roman" w:hAnsi="Times New Roman" w:cs="Times New Roman"/>
          <w:sz w:val="24"/>
          <w:szCs w:val="24"/>
        </w:rPr>
        <w:t xml:space="preserve"> </w:t>
      </w:r>
      <w:r w:rsidR="001739D1" w:rsidRPr="008F3998">
        <w:rPr>
          <w:rFonts w:ascii="Times New Roman" w:hAnsi="Times New Roman" w:cs="Times New Roman"/>
          <w:sz w:val="24"/>
          <w:szCs w:val="24"/>
        </w:rPr>
        <w:t>in favour of</w:t>
      </w:r>
      <w:r w:rsidR="007716DC" w:rsidRPr="008F3998">
        <w:rPr>
          <w:rFonts w:ascii="Times New Roman" w:hAnsi="Times New Roman" w:cs="Times New Roman"/>
          <w:sz w:val="24"/>
          <w:szCs w:val="24"/>
        </w:rPr>
        <w:t xml:space="preserve"> fixed effects regression estimates providing better estimates compared to their random effects counterparts.</w:t>
      </w:r>
      <w:r w:rsidR="00D905DD" w:rsidRPr="008F3998">
        <w:rPr>
          <w:rFonts w:ascii="Times New Roman" w:hAnsi="Times New Roman" w:cs="Times New Roman"/>
          <w:sz w:val="24"/>
          <w:szCs w:val="24"/>
        </w:rPr>
        <w:t xml:space="preserve"> The</w:t>
      </w:r>
      <w:r w:rsidR="00E23B1A" w:rsidRPr="008F3998">
        <w:rPr>
          <w:rFonts w:ascii="Times New Roman" w:hAnsi="Times New Roman" w:cs="Times New Roman"/>
          <w:sz w:val="24"/>
          <w:szCs w:val="24"/>
        </w:rPr>
        <w:t xml:space="preserve"> second test for model selection ascertains the</w:t>
      </w:r>
      <w:r w:rsidR="00FC5B3C" w:rsidRPr="008F3998">
        <w:rPr>
          <w:rFonts w:ascii="Times New Roman" w:hAnsi="Times New Roman" w:cs="Times New Roman"/>
          <w:sz w:val="24"/>
          <w:szCs w:val="24"/>
        </w:rPr>
        <w:t xml:space="preserve"> necessity of</w:t>
      </w:r>
      <w:r w:rsidR="00D905DD" w:rsidRPr="008F3998">
        <w:rPr>
          <w:rFonts w:ascii="Times New Roman" w:hAnsi="Times New Roman" w:cs="Times New Roman"/>
          <w:sz w:val="24"/>
          <w:szCs w:val="24"/>
        </w:rPr>
        <w:t xml:space="preserve"> </w:t>
      </w:r>
      <w:r w:rsidR="00FC5B3C" w:rsidRPr="008F3998">
        <w:rPr>
          <w:rFonts w:ascii="Times New Roman" w:hAnsi="Times New Roman" w:cs="Times New Roman"/>
          <w:sz w:val="24"/>
          <w:szCs w:val="24"/>
        </w:rPr>
        <w:t>country fixed effects</w:t>
      </w:r>
      <w:r w:rsidR="00E23B1A" w:rsidRPr="008F3998">
        <w:rPr>
          <w:rFonts w:ascii="Times New Roman" w:hAnsi="Times New Roman" w:cs="Times New Roman"/>
          <w:sz w:val="24"/>
          <w:szCs w:val="24"/>
        </w:rPr>
        <w:t>. This is</w:t>
      </w:r>
      <w:r w:rsidR="00FC5B3C" w:rsidRPr="008F3998">
        <w:rPr>
          <w:rFonts w:ascii="Times New Roman" w:hAnsi="Times New Roman" w:cs="Times New Roman"/>
          <w:sz w:val="24"/>
          <w:szCs w:val="24"/>
        </w:rPr>
        <w:t xml:space="preserve"> </w:t>
      </w:r>
      <w:r w:rsidR="00E23B1A" w:rsidRPr="008F3998">
        <w:rPr>
          <w:rFonts w:ascii="Times New Roman" w:hAnsi="Times New Roman" w:cs="Times New Roman"/>
          <w:sz w:val="24"/>
          <w:szCs w:val="24"/>
        </w:rPr>
        <w:t>achieved</w:t>
      </w:r>
      <w:r w:rsidR="00FC5B3C" w:rsidRPr="008F3998">
        <w:rPr>
          <w:rFonts w:ascii="Times New Roman" w:hAnsi="Times New Roman" w:cs="Times New Roman"/>
          <w:sz w:val="24"/>
          <w:szCs w:val="24"/>
        </w:rPr>
        <w:t xml:space="preserve"> by</w:t>
      </w:r>
      <w:r w:rsidR="00E23B1A" w:rsidRPr="008F3998">
        <w:rPr>
          <w:rFonts w:ascii="Times New Roman" w:hAnsi="Times New Roman" w:cs="Times New Roman"/>
          <w:sz w:val="24"/>
          <w:szCs w:val="24"/>
        </w:rPr>
        <w:t xml:space="preserve"> allowing the</w:t>
      </w:r>
      <w:r w:rsidR="00FC5B3C" w:rsidRPr="008F3998">
        <w:rPr>
          <w:rFonts w:ascii="Times New Roman" w:hAnsi="Times New Roman" w:cs="Times New Roman"/>
          <w:sz w:val="24"/>
          <w:szCs w:val="24"/>
        </w:rPr>
        <w:t xml:space="preserve"> intercepts to vary across countries and testing them for joint significance.</w:t>
      </w:r>
      <w:r w:rsidR="00601C3B" w:rsidRPr="008F3998">
        <w:rPr>
          <w:rFonts w:ascii="Times New Roman" w:hAnsi="Times New Roman" w:cs="Times New Roman"/>
          <w:sz w:val="24"/>
          <w:szCs w:val="24"/>
        </w:rPr>
        <w:t xml:space="preserve"> As such,</w:t>
      </w:r>
      <w:r w:rsidR="00FC5B3C" w:rsidRPr="008F3998">
        <w:rPr>
          <w:rFonts w:ascii="Times New Roman" w:hAnsi="Times New Roman" w:cs="Times New Roman"/>
          <w:sz w:val="24"/>
          <w:szCs w:val="24"/>
        </w:rPr>
        <w:t xml:space="preserve"> we can determine whether pooled OLS estimates overlook unobserved heterogeneity–i.e.</w:t>
      </w:r>
      <w:r w:rsidR="00E23B1A" w:rsidRPr="008F3998">
        <w:rPr>
          <w:rFonts w:ascii="Times New Roman" w:hAnsi="Times New Roman" w:cs="Times New Roman"/>
          <w:sz w:val="24"/>
          <w:szCs w:val="24"/>
        </w:rPr>
        <w:t xml:space="preserve"> redundancy of</w:t>
      </w:r>
      <w:r w:rsidR="00CC4C3A" w:rsidRPr="008F3998">
        <w:rPr>
          <w:rFonts w:ascii="Times New Roman" w:hAnsi="Times New Roman" w:cs="Times New Roman"/>
          <w:sz w:val="24"/>
          <w:szCs w:val="24"/>
        </w:rPr>
        <w:t xml:space="preserve"> the </w:t>
      </w:r>
      <w:r w:rsidR="00FC5B3C" w:rsidRPr="008F3998">
        <w:rPr>
          <w:rFonts w:ascii="Times New Roman" w:hAnsi="Times New Roman" w:cs="Times New Roman"/>
          <w:sz w:val="24"/>
          <w:szCs w:val="24"/>
        </w:rPr>
        <w:t>fixed effects</w:t>
      </w:r>
      <w:r w:rsidR="00CC4C3A" w:rsidRPr="008F3998">
        <w:rPr>
          <w:rFonts w:ascii="Times New Roman" w:hAnsi="Times New Roman" w:cs="Times New Roman"/>
          <w:sz w:val="24"/>
          <w:szCs w:val="24"/>
        </w:rPr>
        <w:t xml:space="preserve"> estimates</w:t>
      </w:r>
      <w:r w:rsidR="00FC5B3C" w:rsidRPr="008F3998">
        <w:rPr>
          <w:rFonts w:ascii="Times New Roman" w:hAnsi="Times New Roman" w:cs="Times New Roman"/>
          <w:sz w:val="24"/>
          <w:szCs w:val="24"/>
        </w:rPr>
        <w:t xml:space="preserve">. </w:t>
      </w:r>
      <w:r w:rsidR="00CC4C3A" w:rsidRPr="008F3998">
        <w:rPr>
          <w:rFonts w:ascii="Times New Roman" w:hAnsi="Times New Roman" w:cs="Times New Roman"/>
          <w:sz w:val="24"/>
          <w:szCs w:val="24"/>
        </w:rPr>
        <w:t xml:space="preserve">The estimated </w:t>
      </w:r>
      <m:oMath>
        <m:r>
          <w:rPr>
            <w:rFonts w:ascii="Cambria Math" w:hAnsi="Cambria Math" w:cs="Times New Roman"/>
            <w:sz w:val="24"/>
            <w:szCs w:val="24"/>
          </w:rPr>
          <m:t>F</m:t>
        </m:r>
      </m:oMath>
      <w:r w:rsidR="00CC4C3A" w:rsidRPr="008F3998">
        <w:rPr>
          <w:rFonts w:ascii="Times New Roman" w:hAnsi="Times New Roman" w:cs="Times New Roman"/>
          <w:sz w:val="24"/>
          <w:szCs w:val="24"/>
        </w:rPr>
        <w:t>-statistics reject</w:t>
      </w:r>
      <w:r w:rsidR="00911CC2" w:rsidRPr="008F3998">
        <w:rPr>
          <w:rFonts w:ascii="Times New Roman" w:hAnsi="Times New Roman" w:cs="Times New Roman"/>
          <w:sz w:val="24"/>
          <w:szCs w:val="24"/>
        </w:rPr>
        <w:t>, at 5% level,</w:t>
      </w:r>
      <w:r w:rsidR="00CC4C3A" w:rsidRPr="008F3998">
        <w:rPr>
          <w:rFonts w:ascii="Times New Roman" w:hAnsi="Times New Roman" w:cs="Times New Roman"/>
          <w:sz w:val="24"/>
          <w:szCs w:val="24"/>
        </w:rPr>
        <w:t xml:space="preserve"> the null of joint insignificance of the fixed effects intercepts from all three specified models. This provides further evidence of unobserved heterogeneity </w:t>
      </w:r>
      <w:r w:rsidR="00E23D92" w:rsidRPr="008F3998">
        <w:rPr>
          <w:rFonts w:ascii="Times New Roman" w:hAnsi="Times New Roman" w:cs="Times New Roman"/>
          <w:sz w:val="24"/>
          <w:szCs w:val="24"/>
        </w:rPr>
        <w:t>in</w:t>
      </w:r>
      <w:r w:rsidR="00CC4C3A" w:rsidRPr="008F3998">
        <w:rPr>
          <w:rFonts w:ascii="Times New Roman" w:hAnsi="Times New Roman" w:cs="Times New Roman"/>
          <w:sz w:val="24"/>
          <w:szCs w:val="24"/>
        </w:rPr>
        <w:t xml:space="preserve"> </w:t>
      </w:r>
      <w:r w:rsidR="00E23B1A" w:rsidRPr="008F3998">
        <w:rPr>
          <w:rFonts w:ascii="Times New Roman" w:hAnsi="Times New Roman" w:cs="Times New Roman"/>
          <w:sz w:val="24"/>
          <w:szCs w:val="24"/>
        </w:rPr>
        <w:t>our G7 panel</w:t>
      </w:r>
      <w:r w:rsidR="00553AA5" w:rsidRPr="008F3998">
        <w:rPr>
          <w:rFonts w:ascii="Times New Roman" w:hAnsi="Times New Roman" w:cs="Times New Roman"/>
          <w:sz w:val="24"/>
          <w:szCs w:val="24"/>
        </w:rPr>
        <w:t>, and superiority of the fixed effects estimates over their pooled OLS counterparts</w:t>
      </w:r>
      <w:r w:rsidR="00E23B1A" w:rsidRPr="008F3998">
        <w:rPr>
          <w:rFonts w:ascii="Times New Roman" w:hAnsi="Times New Roman" w:cs="Times New Roman"/>
          <w:sz w:val="24"/>
          <w:szCs w:val="24"/>
        </w:rPr>
        <w:t>. Accordingly, the</w:t>
      </w:r>
      <w:r w:rsidR="00601C3B" w:rsidRPr="008F3998">
        <w:rPr>
          <w:rFonts w:ascii="Times New Roman" w:hAnsi="Times New Roman" w:cs="Times New Roman"/>
          <w:sz w:val="24"/>
          <w:szCs w:val="24"/>
        </w:rPr>
        <w:t xml:space="preserve"> use of the panel fixed effects regressions to estimate the country financial risk models (6)-(8) is appropriate.</w:t>
      </w:r>
    </w:p>
    <w:p w14:paraId="6FB523CA" w14:textId="60520A62" w:rsidR="007816A4" w:rsidRPr="008F3998" w:rsidRDefault="007816A4" w:rsidP="007816A4">
      <w:pPr>
        <w:spacing w:after="0"/>
        <w:jc w:val="both"/>
        <w:rPr>
          <w:rFonts w:ascii="Times New Roman" w:hAnsi="Times New Roman" w:cs="Times New Roman"/>
          <w:b/>
          <w:sz w:val="24"/>
          <w:szCs w:val="24"/>
        </w:rPr>
      </w:pPr>
      <w:bookmarkStart w:id="4" w:name="_Hlk31378610"/>
      <w:r w:rsidRPr="008F3998">
        <w:rPr>
          <w:rFonts w:ascii="Times New Roman" w:hAnsi="Times New Roman" w:cs="Times New Roman"/>
          <w:b/>
          <w:sz w:val="24"/>
          <w:szCs w:val="24"/>
        </w:rPr>
        <w:t xml:space="preserve">Table </w:t>
      </w:r>
      <w:r w:rsidR="00F84DFB" w:rsidRPr="008F3998">
        <w:rPr>
          <w:rFonts w:ascii="Times New Roman" w:hAnsi="Times New Roman" w:cs="Times New Roman"/>
          <w:b/>
          <w:sz w:val="24"/>
          <w:szCs w:val="24"/>
        </w:rPr>
        <w:t>3</w:t>
      </w:r>
      <w:r w:rsidRPr="008F3998">
        <w:rPr>
          <w:rFonts w:ascii="Times New Roman" w:hAnsi="Times New Roman" w:cs="Times New Roman"/>
          <w:b/>
          <w:sz w:val="24"/>
          <w:szCs w:val="24"/>
        </w:rPr>
        <w:t xml:space="preserve">: </w:t>
      </w:r>
      <w:r w:rsidR="00E23B1A" w:rsidRPr="008F3998">
        <w:rPr>
          <w:rFonts w:ascii="Times New Roman" w:hAnsi="Times New Roman" w:cs="Times New Roman"/>
          <w:b/>
          <w:sz w:val="24"/>
          <w:szCs w:val="24"/>
        </w:rPr>
        <w:t>Model selection</w:t>
      </w:r>
      <w:r w:rsidR="0070560F" w:rsidRPr="008F3998">
        <w:rPr>
          <w:rFonts w:ascii="Times New Roman" w:hAnsi="Times New Roman" w:cs="Times New Roman"/>
          <w:b/>
          <w:sz w:val="24"/>
          <w:szCs w:val="24"/>
        </w:rPr>
        <w:t xml:space="preserve"> </w:t>
      </w:r>
      <w:r w:rsidR="00E23B1A" w:rsidRPr="008F3998">
        <w:rPr>
          <w:rFonts w:ascii="Times New Roman" w:hAnsi="Times New Roman" w:cs="Times New Roman"/>
          <w:b/>
          <w:sz w:val="24"/>
          <w:szCs w:val="24"/>
        </w:rPr>
        <w:t>tests</w:t>
      </w:r>
      <w:r w:rsidRPr="008F3998">
        <w:rPr>
          <w:rFonts w:ascii="Times New Roman" w:hAnsi="Times New Roman" w:cs="Times New Roman"/>
          <w:b/>
          <w:sz w:val="24"/>
          <w:szCs w:val="24"/>
        </w:rPr>
        <w:t>, National</w:t>
      </w:r>
      <w:r w:rsidRPr="008F3998">
        <w:rPr>
          <w:rFonts w:ascii="Times New Roman" w:hAnsi="Times New Roman" w:cs="Times New Roman"/>
          <w:b/>
          <w:shd w:val="clear" w:color="auto" w:fill="FFFFFF"/>
        </w:rPr>
        <w:t xml:space="preserve"> </w:t>
      </w:r>
      <w:r w:rsidRPr="008F3998">
        <w:rPr>
          <w:rFonts w:ascii="Times New Roman" w:hAnsi="Times New Roman" w:cs="Times New Roman"/>
          <w:b/>
          <w:sz w:val="24"/>
          <w:szCs w:val="24"/>
        </w:rPr>
        <w:t>level</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446"/>
        <w:gridCol w:w="1234"/>
        <w:gridCol w:w="335"/>
        <w:gridCol w:w="2536"/>
        <w:gridCol w:w="1349"/>
      </w:tblGrid>
      <w:tr w:rsidR="008F3998" w:rsidRPr="008F3998" w14:paraId="1589A08D" w14:textId="442899D9" w:rsidTr="003C0A6E">
        <w:tc>
          <w:tcPr>
            <w:tcW w:w="947" w:type="pct"/>
            <w:tcBorders>
              <w:top w:val="single" w:sz="4" w:space="0" w:color="auto"/>
              <w:bottom w:val="nil"/>
            </w:tcBorders>
          </w:tcPr>
          <w:p w14:paraId="168BB759" w14:textId="77777777" w:rsidR="00A66411" w:rsidRPr="008F3998" w:rsidRDefault="00A66411" w:rsidP="007816A4">
            <w:pPr>
              <w:jc w:val="both"/>
              <w:rPr>
                <w:rFonts w:ascii="Times New Roman" w:hAnsi="Times New Roman" w:cs="Times New Roman"/>
                <w:sz w:val="20"/>
                <w:szCs w:val="20"/>
              </w:rPr>
            </w:pPr>
          </w:p>
        </w:tc>
        <w:tc>
          <w:tcPr>
            <w:tcW w:w="1888" w:type="pct"/>
            <w:gridSpan w:val="2"/>
            <w:tcBorders>
              <w:top w:val="single" w:sz="4" w:space="0" w:color="auto"/>
              <w:bottom w:val="single" w:sz="4" w:space="0" w:color="auto"/>
            </w:tcBorders>
          </w:tcPr>
          <w:p w14:paraId="3565981F" w14:textId="195C4C1E" w:rsidR="00A66411" w:rsidRPr="008F3998" w:rsidRDefault="00A66411" w:rsidP="003C0A6E">
            <w:pPr>
              <w:jc w:val="center"/>
              <w:rPr>
                <w:rFonts w:ascii="Times New Roman" w:hAnsi="Times New Roman" w:cs="Times New Roman"/>
                <w:i/>
                <w:sz w:val="20"/>
                <w:szCs w:val="20"/>
              </w:rPr>
            </w:pPr>
            <w:proofErr w:type="spellStart"/>
            <w:r w:rsidRPr="008F3998">
              <w:rPr>
                <w:rFonts w:ascii="Times New Roman" w:hAnsi="Times New Roman" w:cs="Times New Roman"/>
                <w:sz w:val="20"/>
                <w:szCs w:val="20"/>
              </w:rPr>
              <w:t>Hausman</w:t>
            </w:r>
            <w:proofErr w:type="spellEnd"/>
            <w:r w:rsidRPr="008F3998">
              <w:rPr>
                <w:rFonts w:ascii="Times New Roman" w:hAnsi="Times New Roman" w:cs="Times New Roman"/>
                <w:sz w:val="20"/>
                <w:szCs w:val="20"/>
              </w:rPr>
              <w:t xml:space="preserve"> (1978) test </w:t>
            </w:r>
            <w:r w:rsidRPr="008F3998">
              <w:rPr>
                <w:rFonts w:ascii="Times New Roman" w:hAnsi="Times New Roman" w:cs="Times New Roman"/>
                <w:sz w:val="20"/>
                <w:szCs w:val="20"/>
                <w:vertAlign w:val="superscript"/>
              </w:rPr>
              <w:t>a</w:t>
            </w:r>
          </w:p>
        </w:tc>
        <w:tc>
          <w:tcPr>
            <w:tcW w:w="172" w:type="pct"/>
            <w:tcBorders>
              <w:top w:val="single" w:sz="4" w:space="0" w:color="auto"/>
              <w:bottom w:val="nil"/>
            </w:tcBorders>
          </w:tcPr>
          <w:p w14:paraId="210588D6" w14:textId="77777777" w:rsidR="00A66411" w:rsidRPr="008F3998" w:rsidRDefault="00A66411" w:rsidP="007816A4">
            <w:pPr>
              <w:jc w:val="both"/>
              <w:rPr>
                <w:rFonts w:ascii="Times New Roman" w:hAnsi="Times New Roman" w:cs="Times New Roman"/>
                <w:i/>
                <w:sz w:val="20"/>
                <w:szCs w:val="20"/>
              </w:rPr>
            </w:pPr>
          </w:p>
        </w:tc>
        <w:tc>
          <w:tcPr>
            <w:tcW w:w="1993" w:type="pct"/>
            <w:gridSpan w:val="2"/>
            <w:tcBorders>
              <w:top w:val="single" w:sz="4" w:space="0" w:color="auto"/>
              <w:bottom w:val="single" w:sz="4" w:space="0" w:color="auto"/>
            </w:tcBorders>
          </w:tcPr>
          <w:p w14:paraId="64A2FA7D" w14:textId="43B2198E" w:rsidR="00A66411" w:rsidRPr="008F3998" w:rsidRDefault="00E23D92" w:rsidP="003C0A6E">
            <w:pPr>
              <w:jc w:val="center"/>
              <w:rPr>
                <w:rFonts w:ascii="Times New Roman" w:hAnsi="Times New Roman" w:cs="Times New Roman"/>
                <w:iCs/>
                <w:sz w:val="20"/>
                <w:szCs w:val="20"/>
              </w:rPr>
            </w:pPr>
            <w:r w:rsidRPr="008F3998">
              <w:rPr>
                <w:rFonts w:ascii="Times New Roman" w:hAnsi="Times New Roman" w:cs="Times New Roman"/>
                <w:iCs/>
                <w:sz w:val="20"/>
                <w:szCs w:val="20"/>
              </w:rPr>
              <w:t>F</w:t>
            </w:r>
            <w:r w:rsidR="00D05EA0" w:rsidRPr="008F3998">
              <w:rPr>
                <w:rFonts w:ascii="Times New Roman" w:hAnsi="Times New Roman" w:cs="Times New Roman"/>
                <w:iCs/>
                <w:sz w:val="20"/>
                <w:szCs w:val="20"/>
              </w:rPr>
              <w:t>ixed effects</w:t>
            </w:r>
            <w:r w:rsidRPr="008F3998">
              <w:rPr>
                <w:rFonts w:ascii="Times New Roman" w:hAnsi="Times New Roman" w:cs="Times New Roman"/>
                <w:iCs/>
                <w:sz w:val="20"/>
                <w:szCs w:val="20"/>
              </w:rPr>
              <w:t xml:space="preserve"> redundancy</w:t>
            </w:r>
            <w:r w:rsidR="00D05EA0" w:rsidRPr="008F3998">
              <w:rPr>
                <w:rFonts w:ascii="Times New Roman" w:hAnsi="Times New Roman" w:cs="Times New Roman"/>
                <w:iCs/>
                <w:sz w:val="20"/>
                <w:szCs w:val="20"/>
              </w:rPr>
              <w:t xml:space="preserve"> test</w:t>
            </w:r>
            <w:r w:rsidR="00A66411" w:rsidRPr="008F3998">
              <w:rPr>
                <w:rFonts w:ascii="Times New Roman" w:hAnsi="Times New Roman" w:cs="Times New Roman"/>
                <w:iCs/>
                <w:sz w:val="20"/>
                <w:szCs w:val="20"/>
              </w:rPr>
              <w:t xml:space="preserve"> </w:t>
            </w:r>
            <w:r w:rsidR="00A66411" w:rsidRPr="008F3998">
              <w:rPr>
                <w:rFonts w:ascii="Times New Roman" w:hAnsi="Times New Roman" w:cs="Times New Roman"/>
                <w:iCs/>
                <w:sz w:val="20"/>
                <w:szCs w:val="20"/>
                <w:vertAlign w:val="superscript"/>
              </w:rPr>
              <w:t>b</w:t>
            </w:r>
          </w:p>
        </w:tc>
      </w:tr>
      <w:tr w:rsidR="008F3998" w:rsidRPr="008F3998" w14:paraId="30875D87" w14:textId="5B707363" w:rsidTr="003C0A6E">
        <w:tc>
          <w:tcPr>
            <w:tcW w:w="947" w:type="pct"/>
            <w:tcBorders>
              <w:top w:val="nil"/>
              <w:bottom w:val="single" w:sz="4" w:space="0" w:color="auto"/>
            </w:tcBorders>
          </w:tcPr>
          <w:p w14:paraId="01258D39" w14:textId="436FD24A"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Model</w:t>
            </w:r>
          </w:p>
        </w:tc>
        <w:tc>
          <w:tcPr>
            <w:tcW w:w="1255" w:type="pct"/>
            <w:tcBorders>
              <w:top w:val="single" w:sz="4" w:space="0" w:color="auto"/>
              <w:bottom w:val="single" w:sz="4" w:space="0" w:color="auto"/>
            </w:tcBorders>
          </w:tcPr>
          <w:p w14:paraId="6A5AC5D7" w14:textId="7C475D14"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Test statistic (</w:t>
            </w:r>
            <m:oMath>
              <m:sSup>
                <m:sSupPr>
                  <m:ctrlPr>
                    <w:rPr>
                      <w:rFonts w:ascii="Cambria Math" w:hAnsi="Cambria Math" w:cs="Times New Roman"/>
                      <w:i/>
                      <w:sz w:val="20"/>
                      <w:szCs w:val="20"/>
                    </w:rPr>
                  </m:ctrlPr>
                </m:sSupPr>
                <m:e>
                  <m:r>
                    <w:rPr>
                      <w:rFonts w:ascii="Cambria Math" w:hAnsi="Cambria Math" w:cs="Times New Roman"/>
                      <w:sz w:val="20"/>
                      <w:szCs w:val="20"/>
                    </w:rPr>
                    <m:t>χ</m:t>
                  </m:r>
                </m:e>
                <m:sup>
                  <m:r>
                    <w:rPr>
                      <w:rFonts w:ascii="Cambria Math" w:hAnsi="Cambria Math" w:cs="Times New Roman"/>
                      <w:sz w:val="20"/>
                      <w:szCs w:val="20"/>
                    </w:rPr>
                    <m:t>2</m:t>
                  </m:r>
                </m:sup>
              </m:sSup>
            </m:oMath>
            <w:r w:rsidRPr="008F3998">
              <w:rPr>
                <w:rFonts w:ascii="Times New Roman" w:hAnsi="Times New Roman" w:cs="Times New Roman"/>
                <w:sz w:val="20"/>
                <w:szCs w:val="20"/>
              </w:rPr>
              <w:t>)</w:t>
            </w:r>
          </w:p>
        </w:tc>
        <w:tc>
          <w:tcPr>
            <w:tcW w:w="633" w:type="pct"/>
            <w:tcBorders>
              <w:top w:val="single" w:sz="4" w:space="0" w:color="auto"/>
              <w:bottom w:val="single" w:sz="4" w:space="0" w:color="auto"/>
            </w:tcBorders>
          </w:tcPr>
          <w:p w14:paraId="3764C932" w14:textId="22B4ABEF"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i/>
                <w:sz w:val="20"/>
                <w:szCs w:val="20"/>
              </w:rPr>
              <w:t>p</w:t>
            </w:r>
            <w:r w:rsidRPr="008F3998">
              <w:rPr>
                <w:rFonts w:ascii="Times New Roman" w:hAnsi="Times New Roman" w:cs="Times New Roman"/>
                <w:sz w:val="20"/>
                <w:szCs w:val="20"/>
              </w:rPr>
              <w:t>-value</w:t>
            </w:r>
          </w:p>
        </w:tc>
        <w:tc>
          <w:tcPr>
            <w:tcW w:w="172" w:type="pct"/>
            <w:tcBorders>
              <w:top w:val="nil"/>
              <w:bottom w:val="nil"/>
            </w:tcBorders>
          </w:tcPr>
          <w:p w14:paraId="19F4D36A" w14:textId="77777777" w:rsidR="00A66411" w:rsidRPr="008F3998" w:rsidRDefault="00A66411" w:rsidP="007816A4">
            <w:pPr>
              <w:jc w:val="both"/>
              <w:rPr>
                <w:rFonts w:ascii="Times New Roman" w:hAnsi="Times New Roman" w:cs="Times New Roman"/>
                <w:i/>
                <w:sz w:val="20"/>
                <w:szCs w:val="20"/>
              </w:rPr>
            </w:pPr>
          </w:p>
        </w:tc>
        <w:tc>
          <w:tcPr>
            <w:tcW w:w="1301" w:type="pct"/>
            <w:tcBorders>
              <w:top w:val="single" w:sz="4" w:space="0" w:color="auto"/>
              <w:bottom w:val="single" w:sz="4" w:space="0" w:color="auto"/>
            </w:tcBorders>
          </w:tcPr>
          <w:p w14:paraId="54F4AAA1" w14:textId="706417C8" w:rsidR="00A66411" w:rsidRPr="008F3998" w:rsidRDefault="00A66411" w:rsidP="007816A4">
            <w:pPr>
              <w:jc w:val="both"/>
              <w:rPr>
                <w:rFonts w:ascii="Times New Roman" w:hAnsi="Times New Roman" w:cs="Times New Roman"/>
                <w:i/>
                <w:sz w:val="20"/>
                <w:szCs w:val="20"/>
              </w:rPr>
            </w:pPr>
            <w:r w:rsidRPr="008F3998">
              <w:rPr>
                <w:rFonts w:ascii="Times New Roman" w:hAnsi="Times New Roman" w:cs="Times New Roman"/>
                <w:sz w:val="20"/>
                <w:szCs w:val="20"/>
              </w:rPr>
              <w:t>Test statistic (</w:t>
            </w:r>
            <m:oMath>
              <m:r>
                <w:rPr>
                  <w:rFonts w:ascii="Cambria Math" w:hAnsi="Cambria Math" w:cs="Times New Roman"/>
                  <w:sz w:val="20"/>
                  <w:szCs w:val="20"/>
                </w:rPr>
                <m:t>F</m:t>
              </m:r>
            </m:oMath>
            <w:r w:rsidRPr="008F3998">
              <w:rPr>
                <w:rFonts w:ascii="Times New Roman" w:hAnsi="Times New Roman" w:cs="Times New Roman"/>
                <w:sz w:val="20"/>
                <w:szCs w:val="20"/>
              </w:rPr>
              <w:t>)</w:t>
            </w:r>
          </w:p>
        </w:tc>
        <w:tc>
          <w:tcPr>
            <w:tcW w:w="692" w:type="pct"/>
            <w:tcBorders>
              <w:top w:val="single" w:sz="4" w:space="0" w:color="auto"/>
              <w:bottom w:val="single" w:sz="4" w:space="0" w:color="auto"/>
            </w:tcBorders>
          </w:tcPr>
          <w:p w14:paraId="04077EFA" w14:textId="4F586C12" w:rsidR="00A66411" w:rsidRPr="008F3998" w:rsidRDefault="00A66411" w:rsidP="007816A4">
            <w:pPr>
              <w:jc w:val="both"/>
              <w:rPr>
                <w:rFonts w:ascii="Times New Roman" w:hAnsi="Times New Roman" w:cs="Times New Roman"/>
                <w:i/>
                <w:sz w:val="20"/>
                <w:szCs w:val="20"/>
              </w:rPr>
            </w:pPr>
            <w:r w:rsidRPr="008F3998">
              <w:rPr>
                <w:rFonts w:ascii="Times New Roman" w:hAnsi="Times New Roman" w:cs="Times New Roman"/>
                <w:i/>
                <w:sz w:val="20"/>
                <w:szCs w:val="20"/>
              </w:rPr>
              <w:t>p</w:t>
            </w:r>
            <w:r w:rsidRPr="008F3998">
              <w:rPr>
                <w:rFonts w:ascii="Times New Roman" w:hAnsi="Times New Roman" w:cs="Times New Roman"/>
                <w:iCs/>
                <w:sz w:val="20"/>
                <w:szCs w:val="20"/>
              </w:rPr>
              <w:t>-value</w:t>
            </w:r>
          </w:p>
        </w:tc>
      </w:tr>
      <w:tr w:rsidR="008F3998" w:rsidRPr="008F3998" w14:paraId="25739F47" w14:textId="2E9EE06A" w:rsidTr="003C0A6E">
        <w:tc>
          <w:tcPr>
            <w:tcW w:w="947" w:type="pct"/>
            <w:tcBorders>
              <w:top w:val="single" w:sz="4" w:space="0" w:color="auto"/>
            </w:tcBorders>
          </w:tcPr>
          <w:p w14:paraId="541BE021" w14:textId="3AA97BE6"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Equation (6)</w:t>
            </w:r>
          </w:p>
        </w:tc>
        <w:tc>
          <w:tcPr>
            <w:tcW w:w="1255" w:type="pct"/>
            <w:tcBorders>
              <w:top w:val="single" w:sz="4" w:space="0" w:color="auto"/>
            </w:tcBorders>
          </w:tcPr>
          <w:p w14:paraId="5464060A" w14:textId="5D179E8E"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57.79**</w:t>
            </w:r>
          </w:p>
        </w:tc>
        <w:tc>
          <w:tcPr>
            <w:tcW w:w="633" w:type="pct"/>
            <w:tcBorders>
              <w:top w:val="single" w:sz="4" w:space="0" w:color="auto"/>
            </w:tcBorders>
          </w:tcPr>
          <w:p w14:paraId="1C48871A" w14:textId="7611D267"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0.0000</w:t>
            </w:r>
          </w:p>
        </w:tc>
        <w:tc>
          <w:tcPr>
            <w:tcW w:w="172" w:type="pct"/>
            <w:tcBorders>
              <w:top w:val="nil"/>
            </w:tcBorders>
          </w:tcPr>
          <w:p w14:paraId="446236CD" w14:textId="77777777" w:rsidR="00A66411" w:rsidRPr="008F3998" w:rsidRDefault="00A66411" w:rsidP="007816A4">
            <w:pPr>
              <w:jc w:val="both"/>
              <w:rPr>
                <w:rFonts w:ascii="Times New Roman" w:hAnsi="Times New Roman" w:cs="Times New Roman"/>
                <w:sz w:val="20"/>
                <w:szCs w:val="20"/>
              </w:rPr>
            </w:pPr>
          </w:p>
        </w:tc>
        <w:tc>
          <w:tcPr>
            <w:tcW w:w="1301" w:type="pct"/>
            <w:tcBorders>
              <w:top w:val="single" w:sz="4" w:space="0" w:color="auto"/>
            </w:tcBorders>
          </w:tcPr>
          <w:p w14:paraId="20FD6BA7" w14:textId="0C0829AA" w:rsidR="00A66411" w:rsidRPr="008F3998" w:rsidRDefault="00D05EA0" w:rsidP="007816A4">
            <w:pPr>
              <w:jc w:val="both"/>
              <w:rPr>
                <w:rFonts w:ascii="Times New Roman" w:hAnsi="Times New Roman" w:cs="Times New Roman"/>
                <w:sz w:val="20"/>
                <w:szCs w:val="20"/>
              </w:rPr>
            </w:pPr>
            <w:r w:rsidRPr="008F3998">
              <w:rPr>
                <w:rFonts w:ascii="Times New Roman" w:hAnsi="Times New Roman" w:cs="Times New Roman"/>
                <w:sz w:val="20"/>
                <w:szCs w:val="20"/>
              </w:rPr>
              <w:t>10.01**</w:t>
            </w:r>
          </w:p>
        </w:tc>
        <w:tc>
          <w:tcPr>
            <w:tcW w:w="692" w:type="pct"/>
            <w:tcBorders>
              <w:top w:val="single" w:sz="4" w:space="0" w:color="auto"/>
            </w:tcBorders>
          </w:tcPr>
          <w:p w14:paraId="201400B3" w14:textId="7317DF19" w:rsidR="00A66411" w:rsidRPr="008F3998" w:rsidRDefault="00D05EA0" w:rsidP="007816A4">
            <w:pPr>
              <w:jc w:val="both"/>
              <w:rPr>
                <w:rFonts w:ascii="Times New Roman" w:hAnsi="Times New Roman" w:cs="Times New Roman"/>
                <w:sz w:val="20"/>
                <w:szCs w:val="20"/>
              </w:rPr>
            </w:pPr>
            <w:r w:rsidRPr="008F3998">
              <w:rPr>
                <w:rFonts w:ascii="Times New Roman" w:hAnsi="Times New Roman" w:cs="Times New Roman"/>
                <w:sz w:val="20"/>
                <w:szCs w:val="20"/>
              </w:rPr>
              <w:t>0.0000</w:t>
            </w:r>
          </w:p>
        </w:tc>
      </w:tr>
      <w:tr w:rsidR="008F3998" w:rsidRPr="008F3998" w14:paraId="0E723E4F" w14:textId="69F0D332" w:rsidTr="003C0A6E">
        <w:tc>
          <w:tcPr>
            <w:tcW w:w="947" w:type="pct"/>
          </w:tcPr>
          <w:p w14:paraId="0257E8FC" w14:textId="6F6CB5C6"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Equation (7)</w:t>
            </w:r>
          </w:p>
        </w:tc>
        <w:tc>
          <w:tcPr>
            <w:tcW w:w="1255" w:type="pct"/>
          </w:tcPr>
          <w:p w14:paraId="4ED0380F" w14:textId="688D4C51"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45.69**</w:t>
            </w:r>
          </w:p>
        </w:tc>
        <w:tc>
          <w:tcPr>
            <w:tcW w:w="633" w:type="pct"/>
          </w:tcPr>
          <w:p w14:paraId="25036624" w14:textId="6A0BECD2"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0.0000</w:t>
            </w:r>
          </w:p>
        </w:tc>
        <w:tc>
          <w:tcPr>
            <w:tcW w:w="172" w:type="pct"/>
          </w:tcPr>
          <w:p w14:paraId="2831CF64" w14:textId="77777777" w:rsidR="00A66411" w:rsidRPr="008F3998" w:rsidRDefault="00A66411" w:rsidP="007816A4">
            <w:pPr>
              <w:jc w:val="both"/>
              <w:rPr>
                <w:rFonts w:ascii="Times New Roman" w:hAnsi="Times New Roman" w:cs="Times New Roman"/>
                <w:sz w:val="20"/>
                <w:szCs w:val="20"/>
              </w:rPr>
            </w:pPr>
          </w:p>
        </w:tc>
        <w:tc>
          <w:tcPr>
            <w:tcW w:w="1301" w:type="pct"/>
          </w:tcPr>
          <w:p w14:paraId="0F5936A5" w14:textId="52E7C87F" w:rsidR="00A66411" w:rsidRPr="008F3998" w:rsidRDefault="00D05EA0" w:rsidP="007816A4">
            <w:pPr>
              <w:jc w:val="both"/>
              <w:rPr>
                <w:rFonts w:ascii="Times New Roman" w:hAnsi="Times New Roman" w:cs="Times New Roman"/>
                <w:sz w:val="20"/>
                <w:szCs w:val="20"/>
              </w:rPr>
            </w:pPr>
            <w:r w:rsidRPr="008F3998">
              <w:rPr>
                <w:rFonts w:ascii="Times New Roman" w:hAnsi="Times New Roman" w:cs="Times New Roman"/>
                <w:sz w:val="20"/>
                <w:szCs w:val="20"/>
              </w:rPr>
              <w:t>10.42**</w:t>
            </w:r>
          </w:p>
        </w:tc>
        <w:tc>
          <w:tcPr>
            <w:tcW w:w="692" w:type="pct"/>
          </w:tcPr>
          <w:p w14:paraId="56E31F12" w14:textId="29F2DE17" w:rsidR="00A66411" w:rsidRPr="008F3998" w:rsidRDefault="00D05EA0" w:rsidP="007816A4">
            <w:pPr>
              <w:jc w:val="both"/>
              <w:rPr>
                <w:rFonts w:ascii="Times New Roman" w:hAnsi="Times New Roman" w:cs="Times New Roman"/>
                <w:sz w:val="20"/>
                <w:szCs w:val="20"/>
              </w:rPr>
            </w:pPr>
            <w:r w:rsidRPr="008F3998">
              <w:rPr>
                <w:rFonts w:ascii="Times New Roman" w:hAnsi="Times New Roman" w:cs="Times New Roman"/>
                <w:sz w:val="20"/>
                <w:szCs w:val="20"/>
              </w:rPr>
              <w:t>0.0000</w:t>
            </w:r>
          </w:p>
        </w:tc>
      </w:tr>
      <w:tr w:rsidR="008F3998" w:rsidRPr="008F3998" w14:paraId="5631DC2D" w14:textId="71C7F771" w:rsidTr="003C0A6E">
        <w:tc>
          <w:tcPr>
            <w:tcW w:w="947" w:type="pct"/>
          </w:tcPr>
          <w:p w14:paraId="1A8DAA2B" w14:textId="66B2B0E3"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Equation (8)</w:t>
            </w:r>
          </w:p>
        </w:tc>
        <w:tc>
          <w:tcPr>
            <w:tcW w:w="1255" w:type="pct"/>
          </w:tcPr>
          <w:p w14:paraId="0F6A6E4F" w14:textId="594CE130"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26.99**</w:t>
            </w:r>
          </w:p>
        </w:tc>
        <w:tc>
          <w:tcPr>
            <w:tcW w:w="633" w:type="pct"/>
          </w:tcPr>
          <w:p w14:paraId="01167923" w14:textId="2B230AB1" w:rsidR="00A66411" w:rsidRPr="008F3998" w:rsidRDefault="00A66411" w:rsidP="007816A4">
            <w:pPr>
              <w:jc w:val="both"/>
              <w:rPr>
                <w:rFonts w:ascii="Times New Roman" w:hAnsi="Times New Roman" w:cs="Times New Roman"/>
                <w:sz w:val="20"/>
                <w:szCs w:val="20"/>
              </w:rPr>
            </w:pPr>
            <w:r w:rsidRPr="008F3998">
              <w:rPr>
                <w:rFonts w:ascii="Times New Roman" w:hAnsi="Times New Roman" w:cs="Times New Roman"/>
                <w:sz w:val="20"/>
                <w:szCs w:val="20"/>
              </w:rPr>
              <w:t>0.0026</w:t>
            </w:r>
          </w:p>
        </w:tc>
        <w:tc>
          <w:tcPr>
            <w:tcW w:w="172" w:type="pct"/>
          </w:tcPr>
          <w:p w14:paraId="512487FE" w14:textId="77777777" w:rsidR="00A66411" w:rsidRPr="008F3998" w:rsidRDefault="00A66411" w:rsidP="007816A4">
            <w:pPr>
              <w:jc w:val="both"/>
              <w:rPr>
                <w:rFonts w:ascii="Times New Roman" w:hAnsi="Times New Roman" w:cs="Times New Roman"/>
                <w:sz w:val="20"/>
                <w:szCs w:val="20"/>
              </w:rPr>
            </w:pPr>
          </w:p>
        </w:tc>
        <w:tc>
          <w:tcPr>
            <w:tcW w:w="1301" w:type="pct"/>
          </w:tcPr>
          <w:p w14:paraId="2822E853" w14:textId="3F9D4406" w:rsidR="00A66411" w:rsidRPr="008F3998" w:rsidRDefault="00D05EA0" w:rsidP="007816A4">
            <w:pPr>
              <w:jc w:val="both"/>
              <w:rPr>
                <w:rFonts w:ascii="Times New Roman" w:hAnsi="Times New Roman" w:cs="Times New Roman"/>
                <w:sz w:val="20"/>
                <w:szCs w:val="20"/>
              </w:rPr>
            </w:pPr>
            <w:r w:rsidRPr="008F3998">
              <w:rPr>
                <w:rFonts w:ascii="Times New Roman" w:hAnsi="Times New Roman" w:cs="Times New Roman"/>
                <w:sz w:val="20"/>
                <w:szCs w:val="20"/>
              </w:rPr>
              <w:t>3.92</w:t>
            </w:r>
            <w:r w:rsidR="00D905DD" w:rsidRPr="008F3998">
              <w:rPr>
                <w:rFonts w:ascii="Times New Roman" w:hAnsi="Times New Roman" w:cs="Times New Roman"/>
                <w:sz w:val="20"/>
                <w:szCs w:val="20"/>
              </w:rPr>
              <w:t>**</w:t>
            </w:r>
          </w:p>
        </w:tc>
        <w:tc>
          <w:tcPr>
            <w:tcW w:w="692" w:type="pct"/>
          </w:tcPr>
          <w:p w14:paraId="1F6CA0E4" w14:textId="09027DB5" w:rsidR="00A66411" w:rsidRPr="008F3998" w:rsidRDefault="00D05EA0" w:rsidP="007816A4">
            <w:pPr>
              <w:jc w:val="both"/>
              <w:rPr>
                <w:rFonts w:ascii="Times New Roman" w:hAnsi="Times New Roman" w:cs="Times New Roman"/>
                <w:sz w:val="20"/>
                <w:szCs w:val="20"/>
              </w:rPr>
            </w:pPr>
            <w:r w:rsidRPr="008F3998">
              <w:rPr>
                <w:rFonts w:ascii="Times New Roman" w:hAnsi="Times New Roman" w:cs="Times New Roman"/>
                <w:sz w:val="20"/>
                <w:szCs w:val="20"/>
              </w:rPr>
              <w:t>0.0026</w:t>
            </w:r>
          </w:p>
        </w:tc>
      </w:tr>
    </w:tbl>
    <w:p w14:paraId="2C15B366" w14:textId="4665315C" w:rsidR="00D905DD" w:rsidRPr="008F3998" w:rsidRDefault="007816A4" w:rsidP="00FD2BB2">
      <w:pPr>
        <w:spacing w:after="0" w:line="240" w:lineRule="auto"/>
        <w:jc w:val="both"/>
        <w:rPr>
          <w:rFonts w:ascii="Times New Roman" w:hAnsi="Times New Roman" w:cs="Times New Roman"/>
          <w:sz w:val="20"/>
          <w:szCs w:val="24"/>
        </w:rPr>
      </w:pPr>
      <w:r w:rsidRPr="008F3998">
        <w:rPr>
          <w:rFonts w:ascii="Times New Roman" w:hAnsi="Times New Roman" w:cs="Times New Roman"/>
          <w:b/>
          <w:sz w:val="20"/>
          <w:szCs w:val="24"/>
        </w:rPr>
        <w:t>Notes:</w:t>
      </w:r>
      <w:r w:rsidR="00A66411" w:rsidRPr="008F3998">
        <w:rPr>
          <w:rFonts w:ascii="Times New Roman" w:hAnsi="Times New Roman" w:cs="Times New Roman"/>
          <w:bCs/>
          <w:sz w:val="20"/>
          <w:szCs w:val="24"/>
          <w:vertAlign w:val="superscript"/>
        </w:rPr>
        <w:t xml:space="preserve"> </w:t>
      </w:r>
      <w:proofErr w:type="gramStart"/>
      <w:r w:rsidR="00A66411" w:rsidRPr="008F3998">
        <w:rPr>
          <w:rFonts w:ascii="Times New Roman" w:hAnsi="Times New Roman" w:cs="Times New Roman"/>
          <w:bCs/>
          <w:sz w:val="20"/>
          <w:szCs w:val="24"/>
          <w:vertAlign w:val="superscript"/>
        </w:rPr>
        <w:t>a</w:t>
      </w:r>
      <w:r w:rsidRPr="008F3998">
        <w:rPr>
          <w:rFonts w:ascii="Times New Roman" w:hAnsi="Times New Roman" w:cs="Times New Roman"/>
          <w:sz w:val="20"/>
          <w:szCs w:val="24"/>
        </w:rPr>
        <w:t xml:space="preserve">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H</m:t>
            </m:r>
          </m:e>
          <m:sub>
            <m:r>
              <w:rPr>
                <w:rFonts w:ascii="Cambria Math" w:hAnsi="Cambria Math" w:cs="Times New Roman"/>
                <w:sz w:val="20"/>
                <w:szCs w:val="24"/>
              </w:rPr>
              <m:t>0</m:t>
            </m:r>
          </m:sub>
        </m:sSub>
      </m:oMath>
      <w:r w:rsidRPr="008F3998">
        <w:rPr>
          <w:rFonts w:ascii="Times New Roman" w:hAnsi="Times New Roman" w:cs="Times New Roman"/>
          <w:sz w:val="20"/>
          <w:szCs w:val="24"/>
        </w:rPr>
        <w:t>: No systematic difference in the fixed and random effects coefficient estimates.</w:t>
      </w:r>
      <w:r w:rsidR="00D905DD" w:rsidRPr="008F3998">
        <w:rPr>
          <w:rFonts w:ascii="Times New Roman" w:hAnsi="Times New Roman" w:cs="Times New Roman"/>
          <w:sz w:val="20"/>
          <w:szCs w:val="24"/>
        </w:rPr>
        <w:t xml:space="preserve"> </w:t>
      </w:r>
      <w:proofErr w:type="gramStart"/>
      <w:r w:rsidR="00D905DD" w:rsidRPr="008F3998">
        <w:rPr>
          <w:rFonts w:ascii="Times New Roman" w:hAnsi="Times New Roman" w:cs="Times New Roman"/>
          <w:bCs/>
          <w:sz w:val="20"/>
          <w:szCs w:val="24"/>
          <w:vertAlign w:val="superscript"/>
        </w:rPr>
        <w:t>b</w:t>
      </w:r>
      <w:proofErr w:type="gramEnd"/>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H</m:t>
            </m:r>
          </m:e>
          <m:sub>
            <m:r>
              <w:rPr>
                <w:rFonts w:ascii="Cambria Math" w:hAnsi="Cambria Math" w:cs="Times New Roman"/>
                <w:sz w:val="20"/>
                <w:szCs w:val="24"/>
              </w:rPr>
              <m:t>0</m:t>
            </m:r>
          </m:sub>
        </m:sSub>
      </m:oMath>
      <w:r w:rsidR="00D905DD" w:rsidRPr="008F3998">
        <w:rPr>
          <w:rFonts w:ascii="Times New Roman" w:hAnsi="Times New Roman" w:cs="Times New Roman"/>
          <w:sz w:val="20"/>
          <w:szCs w:val="24"/>
        </w:rPr>
        <w:t>: Fixed effect</w:t>
      </w:r>
      <w:r w:rsidR="00D05EA0" w:rsidRPr="008F3998">
        <w:rPr>
          <w:rFonts w:ascii="Times New Roman" w:hAnsi="Times New Roman" w:cs="Times New Roman"/>
          <w:sz w:val="20"/>
          <w:szCs w:val="24"/>
        </w:rPr>
        <w:t>s</w:t>
      </w:r>
      <w:r w:rsidR="00D905DD" w:rsidRPr="008F3998">
        <w:rPr>
          <w:rFonts w:ascii="Times New Roman" w:hAnsi="Times New Roman" w:cs="Times New Roman"/>
          <w:sz w:val="20"/>
          <w:szCs w:val="24"/>
        </w:rPr>
        <w:t xml:space="preserve"> </w:t>
      </w:r>
      <w:r w:rsidR="00D05EA0" w:rsidRPr="008F3998">
        <w:rPr>
          <w:rFonts w:ascii="Times New Roman" w:hAnsi="Times New Roman" w:cs="Times New Roman"/>
          <w:sz w:val="20"/>
          <w:szCs w:val="24"/>
        </w:rPr>
        <w:t>intercept</w:t>
      </w:r>
      <w:r w:rsidR="00D905DD" w:rsidRPr="008F3998">
        <w:rPr>
          <w:rFonts w:ascii="Times New Roman" w:hAnsi="Times New Roman" w:cs="Times New Roman"/>
          <w:sz w:val="20"/>
          <w:szCs w:val="24"/>
        </w:rPr>
        <w:t xml:space="preserve"> estimates are all equal to zero (0).</w:t>
      </w:r>
    </w:p>
    <w:p w14:paraId="060101F7" w14:textId="72B97AA4" w:rsidR="007816A4" w:rsidRPr="008F3998" w:rsidRDefault="007816A4" w:rsidP="00FD2BB2">
      <w:pPr>
        <w:spacing w:after="0" w:line="240" w:lineRule="auto"/>
        <w:jc w:val="both"/>
        <w:rPr>
          <w:rFonts w:ascii="Times New Roman" w:hAnsi="Times New Roman" w:cs="Times New Roman"/>
          <w:sz w:val="20"/>
          <w:szCs w:val="24"/>
        </w:rPr>
      </w:pPr>
      <w:r w:rsidRPr="008F3998">
        <w:rPr>
          <w:rFonts w:ascii="Times New Roman" w:hAnsi="Times New Roman" w:cs="Times New Roman"/>
          <w:sz w:val="20"/>
          <w:szCs w:val="24"/>
        </w:rPr>
        <w:t xml:space="preserve">** </w:t>
      </w:r>
      <w:r w:rsidR="005A76B3" w:rsidRPr="008F3998">
        <w:rPr>
          <w:rFonts w:ascii="Times New Roman" w:hAnsi="Times New Roman" w:cs="Times New Roman"/>
          <w:sz w:val="20"/>
          <w:szCs w:val="24"/>
        </w:rPr>
        <w:t>Denotes r</w:t>
      </w:r>
      <w:r w:rsidRPr="008F3998">
        <w:rPr>
          <w:rFonts w:ascii="Times New Roman" w:hAnsi="Times New Roman" w:cs="Times New Roman"/>
          <w:sz w:val="20"/>
          <w:szCs w:val="24"/>
        </w:rPr>
        <w:t>eject</w:t>
      </w:r>
      <w:r w:rsidR="005A76B3" w:rsidRPr="008F3998">
        <w:rPr>
          <w:rFonts w:ascii="Times New Roman" w:hAnsi="Times New Roman" w:cs="Times New Roman"/>
          <w:sz w:val="20"/>
          <w:szCs w:val="24"/>
        </w:rPr>
        <w:t>ion of the</w:t>
      </w:r>
      <w:r w:rsidR="00D905DD" w:rsidRPr="008F3998">
        <w:rPr>
          <w:rFonts w:ascii="Times New Roman" w:hAnsi="Times New Roman" w:cs="Times New Roman"/>
          <w:sz w:val="20"/>
          <w:szCs w:val="24"/>
        </w:rPr>
        <w:t xml:space="preserve"> respective</w:t>
      </w:r>
      <w:r w:rsidR="005A76B3" w:rsidRPr="008F3998">
        <w:rPr>
          <w:rFonts w:ascii="Times New Roman" w:hAnsi="Times New Roman" w:cs="Times New Roman"/>
          <w:sz w:val="20"/>
          <w:szCs w:val="24"/>
        </w:rPr>
        <w:t xml:space="preserve"> null </w:t>
      </w:r>
      <w:r w:rsidR="005F56ED" w:rsidRPr="008F3998">
        <w:rPr>
          <w:rFonts w:ascii="Times New Roman" w:hAnsi="Times New Roman" w:cs="Times New Roman"/>
          <w:sz w:val="20"/>
          <w:szCs w:val="24"/>
        </w:rPr>
        <w:t xml:space="preserve">hypothesis </w:t>
      </w:r>
      <w:r w:rsidR="005A76B3" w:rsidRPr="008F3998">
        <w:rPr>
          <w:rFonts w:ascii="Times New Roman" w:eastAsiaTheme="minorEastAsia" w:hAnsi="Times New Roman" w:cs="Times New Roman"/>
          <w:sz w:val="20"/>
          <w:szCs w:val="24"/>
        </w:rPr>
        <w:t>when</w:t>
      </w:r>
      <w:r w:rsidRPr="008F3998">
        <w:rPr>
          <w:rFonts w:ascii="Times New Roman" w:eastAsiaTheme="minorEastAsia" w:hAnsi="Times New Roman" w:cs="Times New Roman"/>
          <w:sz w:val="20"/>
          <w:szCs w:val="24"/>
        </w:rPr>
        <w:t xml:space="preserve"> </w:t>
      </w:r>
      <w:r w:rsidRPr="008F3998">
        <w:rPr>
          <w:rFonts w:ascii="Times New Roman" w:eastAsiaTheme="minorEastAsia" w:hAnsi="Times New Roman" w:cs="Times New Roman"/>
          <w:i/>
          <w:sz w:val="20"/>
          <w:szCs w:val="24"/>
        </w:rPr>
        <w:t>p</w:t>
      </w:r>
      <w:r w:rsidRPr="008F3998">
        <w:rPr>
          <w:rFonts w:ascii="Times New Roman" w:eastAsiaTheme="minorEastAsia" w:hAnsi="Times New Roman" w:cs="Times New Roman"/>
          <w:sz w:val="20"/>
          <w:szCs w:val="24"/>
        </w:rPr>
        <w:t>-value &lt; 0.0500.</w:t>
      </w:r>
    </w:p>
    <w:bookmarkEnd w:id="4"/>
    <w:p w14:paraId="2879506A" w14:textId="3C48C20D" w:rsidR="00FD2BB2" w:rsidRPr="008F3998" w:rsidRDefault="00FD2BB2" w:rsidP="007816A4">
      <w:pPr>
        <w:spacing w:line="360" w:lineRule="auto"/>
        <w:ind w:firstLine="720"/>
        <w:jc w:val="both"/>
        <w:rPr>
          <w:rFonts w:ascii="Times New Roman" w:hAnsi="Times New Roman" w:cs="Times New Roman"/>
          <w:sz w:val="24"/>
          <w:szCs w:val="24"/>
        </w:rPr>
      </w:pPr>
    </w:p>
    <w:p w14:paraId="117E500D" w14:textId="61780727" w:rsidR="0033039A" w:rsidRPr="008F3998" w:rsidRDefault="0033039A" w:rsidP="0033039A">
      <w:pPr>
        <w:pStyle w:val="ListParagraph"/>
        <w:numPr>
          <w:ilvl w:val="1"/>
          <w:numId w:val="1"/>
        </w:numPr>
        <w:spacing w:line="360" w:lineRule="auto"/>
        <w:ind w:left="0" w:firstLine="0"/>
        <w:jc w:val="both"/>
        <w:rPr>
          <w:rFonts w:cs="Times New Roman"/>
          <w:i/>
          <w:szCs w:val="24"/>
        </w:rPr>
      </w:pPr>
      <w:r w:rsidRPr="008F3998">
        <w:rPr>
          <w:rFonts w:cs="Times New Roman"/>
          <w:i/>
          <w:szCs w:val="24"/>
        </w:rPr>
        <w:t>Robustness checks</w:t>
      </w:r>
    </w:p>
    <w:p w14:paraId="0235ADB2" w14:textId="4D6DA0CF" w:rsidR="00730CEB" w:rsidRPr="008F3998" w:rsidRDefault="003F7455" w:rsidP="00C669D2">
      <w:pPr>
        <w:spacing w:line="360" w:lineRule="auto"/>
        <w:ind w:firstLine="720"/>
        <w:jc w:val="both"/>
        <w:rPr>
          <w:rFonts w:ascii="Times New Roman" w:hAnsi="Times New Roman" w:cs="Times New Roman"/>
          <w:position w:val="-12"/>
          <w:sz w:val="24"/>
        </w:rPr>
      </w:pPr>
      <w:r w:rsidRPr="008F3998">
        <w:rPr>
          <w:rFonts w:ascii="Times New Roman" w:hAnsi="Times New Roman" w:cs="Times New Roman"/>
          <w:position w:val="-12"/>
          <w:sz w:val="24"/>
        </w:rPr>
        <w:t xml:space="preserve">To test the whether our results are robust to a change in specification, we perform a number of checks. Following </w:t>
      </w:r>
      <w:proofErr w:type="spellStart"/>
      <w:r w:rsidRPr="008F3998">
        <w:rPr>
          <w:rFonts w:ascii="Times New Roman" w:hAnsi="Times New Roman" w:cs="Times New Roman"/>
          <w:position w:val="-12"/>
          <w:sz w:val="24"/>
        </w:rPr>
        <w:t>Hilscher</w:t>
      </w:r>
      <w:proofErr w:type="spellEnd"/>
      <w:r w:rsidRPr="008F3998">
        <w:rPr>
          <w:rFonts w:ascii="Times New Roman" w:hAnsi="Times New Roman" w:cs="Times New Roman"/>
          <w:position w:val="-12"/>
          <w:sz w:val="24"/>
        </w:rPr>
        <w:t xml:space="preserve"> and </w:t>
      </w:r>
      <w:proofErr w:type="spellStart"/>
      <w:r w:rsidRPr="008F3998">
        <w:rPr>
          <w:rFonts w:ascii="Times New Roman" w:hAnsi="Times New Roman" w:cs="Times New Roman"/>
          <w:position w:val="-12"/>
          <w:sz w:val="24"/>
        </w:rPr>
        <w:t>Nosbusch</w:t>
      </w:r>
      <w:proofErr w:type="spellEnd"/>
      <w:r w:rsidRPr="008F3998">
        <w:rPr>
          <w:rFonts w:ascii="Times New Roman" w:hAnsi="Times New Roman" w:cs="Times New Roman"/>
          <w:position w:val="-12"/>
          <w:sz w:val="24"/>
        </w:rPr>
        <w:t xml:space="preserve"> (2010) and </w:t>
      </w:r>
      <w:proofErr w:type="spellStart"/>
      <w:r w:rsidRPr="008F3998">
        <w:rPr>
          <w:rFonts w:ascii="Times New Roman" w:hAnsi="Times New Roman" w:cs="Times New Roman"/>
          <w:position w:val="-12"/>
          <w:sz w:val="24"/>
        </w:rPr>
        <w:t>Dieckmann</w:t>
      </w:r>
      <w:proofErr w:type="spellEnd"/>
      <w:r w:rsidRPr="008F3998">
        <w:rPr>
          <w:rFonts w:ascii="Times New Roman" w:hAnsi="Times New Roman" w:cs="Times New Roman"/>
          <w:position w:val="-12"/>
          <w:sz w:val="24"/>
        </w:rPr>
        <w:t xml:space="preserve"> and Plank (2012), we estimate models (6)-(8) using first difference of each variable. </w:t>
      </w:r>
      <w:r w:rsidR="00CD0A44" w:rsidRPr="008F3998">
        <w:rPr>
          <w:rFonts w:ascii="Times New Roman" w:hAnsi="Times New Roman" w:cs="Times New Roman"/>
          <w:position w:val="-12"/>
          <w:sz w:val="24"/>
        </w:rPr>
        <w:t xml:space="preserve">Table </w:t>
      </w:r>
      <w:r w:rsidR="00F84DFB" w:rsidRPr="008F3998">
        <w:rPr>
          <w:rFonts w:ascii="Times New Roman" w:hAnsi="Times New Roman" w:cs="Times New Roman"/>
          <w:position w:val="-12"/>
          <w:sz w:val="24"/>
        </w:rPr>
        <w:t xml:space="preserve">4 </w:t>
      </w:r>
      <w:r w:rsidR="0066670E" w:rsidRPr="008F3998">
        <w:rPr>
          <w:rFonts w:ascii="Times New Roman" w:hAnsi="Times New Roman" w:cs="Times New Roman"/>
          <w:position w:val="-12"/>
          <w:sz w:val="24"/>
        </w:rPr>
        <w:t xml:space="preserve">provides the results from </w:t>
      </w:r>
      <w:r w:rsidR="00753E28" w:rsidRPr="008F3998">
        <w:rPr>
          <w:rFonts w:ascii="Times New Roman" w:hAnsi="Times New Roman" w:cs="Times New Roman"/>
          <w:position w:val="-12"/>
          <w:sz w:val="24"/>
        </w:rPr>
        <w:t>models (6)-(8) estimated using first difference of each variable.</w:t>
      </w:r>
      <w:r w:rsidR="00B00BAF" w:rsidRPr="008F3998">
        <w:rPr>
          <w:rFonts w:ascii="Times New Roman" w:hAnsi="Times New Roman" w:cs="Times New Roman"/>
          <w:position w:val="-12"/>
          <w:sz w:val="24"/>
        </w:rPr>
        <w:t xml:space="preserve"> As can be seen, the impact of the change in carbon dioxide emissions is positive, and statistically significant, on the change in risk measures in the baseline models (columns 1-2), the baseline models extended by international reserves (column 3-4), and the full models (columns 5-6). In particular, the risk-augmenting effect of CO</w:t>
      </w:r>
      <w:r w:rsidR="00B00BAF" w:rsidRPr="008F3998">
        <w:rPr>
          <w:rFonts w:ascii="Times New Roman" w:hAnsi="Times New Roman" w:cs="Times New Roman"/>
          <w:position w:val="-12"/>
          <w:sz w:val="24"/>
          <w:vertAlign w:val="subscript"/>
        </w:rPr>
        <w:t>2</w:t>
      </w:r>
      <w:r w:rsidR="00B00BAF" w:rsidRPr="008F3998">
        <w:rPr>
          <w:rFonts w:ascii="Times New Roman" w:hAnsi="Times New Roman" w:cs="Times New Roman"/>
          <w:position w:val="-12"/>
          <w:sz w:val="24"/>
        </w:rPr>
        <w:t xml:space="preserve"> emissions is higher in the full models compared to the baseline models. The change in the exchange rate can also be seen to increase country financial risk in the baseline models (columns 2-4) but not in the full models (columns 5-6).</w:t>
      </w:r>
      <w:r w:rsidR="007F0FEC" w:rsidRPr="008F3998">
        <w:rPr>
          <w:rFonts w:ascii="Times New Roman" w:hAnsi="Times New Roman" w:cs="Times New Roman"/>
          <w:position w:val="-12"/>
          <w:sz w:val="24"/>
        </w:rPr>
        <w:t xml:space="preserve"> For model (8) estimated with ∆ </w:t>
      </w:r>
      <w:r w:rsidR="007F0FEC" w:rsidRPr="008F3998">
        <w:rPr>
          <w:rFonts w:ascii="Times New Roman" w:hAnsi="Times New Roman" w:cs="Times New Roman"/>
          <w:i/>
          <w:position w:val="-12"/>
          <w:sz w:val="24"/>
        </w:rPr>
        <w:t>expected shortfall</w:t>
      </w:r>
      <w:r w:rsidR="007F0FEC" w:rsidRPr="008F3998">
        <w:rPr>
          <w:rFonts w:ascii="Times New Roman" w:hAnsi="Times New Roman" w:cs="Times New Roman"/>
          <w:position w:val="-12"/>
          <w:sz w:val="24"/>
        </w:rPr>
        <w:t xml:space="preserve"> as the </w:t>
      </w:r>
      <w:proofErr w:type="spellStart"/>
      <w:r w:rsidR="007F0FEC" w:rsidRPr="008F3998">
        <w:rPr>
          <w:rFonts w:ascii="Times New Roman" w:hAnsi="Times New Roman" w:cs="Times New Roman"/>
          <w:position w:val="-12"/>
          <w:sz w:val="24"/>
        </w:rPr>
        <w:t>regressand</w:t>
      </w:r>
      <w:proofErr w:type="spellEnd"/>
      <w:r w:rsidR="007F0FEC" w:rsidRPr="008F3998">
        <w:rPr>
          <w:rFonts w:ascii="Times New Roman" w:hAnsi="Times New Roman" w:cs="Times New Roman"/>
          <w:position w:val="-12"/>
          <w:sz w:val="24"/>
        </w:rPr>
        <w:t xml:space="preserve">, the significant effects of </w:t>
      </w:r>
      <w:proofErr w:type="spellStart"/>
      <w:r w:rsidR="007F0FEC" w:rsidRPr="008F3998">
        <w:rPr>
          <w:rFonts w:ascii="Times New Roman" w:hAnsi="Times New Roman" w:cs="Times New Roman"/>
          <w:i/>
          <w:position w:val="-12"/>
          <w:sz w:val="24"/>
        </w:rPr>
        <w:t>finmar</w:t>
      </w:r>
      <w:proofErr w:type="spellEnd"/>
      <w:r w:rsidR="007F0FEC" w:rsidRPr="008F3998">
        <w:rPr>
          <w:rFonts w:ascii="Times New Roman" w:hAnsi="Times New Roman" w:cs="Times New Roman"/>
          <w:position w:val="-12"/>
          <w:sz w:val="24"/>
        </w:rPr>
        <w:t xml:space="preserve"> and </w:t>
      </w:r>
      <w:proofErr w:type="spellStart"/>
      <w:r w:rsidR="007F0FEC" w:rsidRPr="008F3998">
        <w:rPr>
          <w:rFonts w:ascii="Times New Roman" w:hAnsi="Times New Roman" w:cs="Times New Roman"/>
          <w:i/>
          <w:position w:val="-12"/>
          <w:sz w:val="24"/>
        </w:rPr>
        <w:t>marmsci</w:t>
      </w:r>
      <w:proofErr w:type="spellEnd"/>
      <w:r w:rsidR="007F0FEC" w:rsidRPr="008F3998">
        <w:rPr>
          <w:rFonts w:ascii="Times New Roman" w:hAnsi="Times New Roman" w:cs="Times New Roman"/>
          <w:position w:val="-12"/>
          <w:sz w:val="24"/>
        </w:rPr>
        <w:t xml:space="preserve"> are negative while that of </w:t>
      </w:r>
      <w:r w:rsidR="007F0FEC" w:rsidRPr="008F3998">
        <w:rPr>
          <w:rFonts w:ascii="Times New Roman" w:hAnsi="Times New Roman" w:cs="Times New Roman"/>
          <w:i/>
          <w:position w:val="-12"/>
          <w:sz w:val="24"/>
        </w:rPr>
        <w:t>stoxx50</w:t>
      </w:r>
      <w:r w:rsidR="007F0FEC" w:rsidRPr="008F3998">
        <w:rPr>
          <w:rFonts w:ascii="Times New Roman" w:hAnsi="Times New Roman" w:cs="Times New Roman"/>
          <w:position w:val="-12"/>
          <w:sz w:val="24"/>
        </w:rPr>
        <w:t xml:space="preserve"> and </w:t>
      </w:r>
      <w:proofErr w:type="spellStart"/>
      <w:r w:rsidR="007F0FEC" w:rsidRPr="008F3998">
        <w:rPr>
          <w:rFonts w:ascii="Times New Roman" w:hAnsi="Times New Roman" w:cs="Times New Roman"/>
          <w:i/>
          <w:position w:val="-12"/>
          <w:sz w:val="24"/>
        </w:rPr>
        <w:t>hyyield</w:t>
      </w:r>
      <w:proofErr w:type="spellEnd"/>
      <w:r w:rsidR="007F0FEC" w:rsidRPr="008F3998">
        <w:rPr>
          <w:rFonts w:ascii="Times New Roman" w:hAnsi="Times New Roman" w:cs="Times New Roman"/>
          <w:position w:val="-12"/>
          <w:sz w:val="24"/>
        </w:rPr>
        <w:t xml:space="preserve"> are positive</w:t>
      </w:r>
      <w:r w:rsidR="00A23E08" w:rsidRPr="008F3998">
        <w:rPr>
          <w:rFonts w:ascii="Times New Roman" w:hAnsi="Times New Roman" w:cs="Times New Roman"/>
          <w:position w:val="-12"/>
          <w:sz w:val="24"/>
        </w:rPr>
        <w:t>.</w:t>
      </w:r>
    </w:p>
    <w:p w14:paraId="55DFEB52" w14:textId="01BF0ABB" w:rsidR="00730CEB" w:rsidRPr="008F3998" w:rsidRDefault="00730CEB" w:rsidP="00730CEB">
      <w:pPr>
        <w:spacing w:after="0"/>
        <w:jc w:val="both"/>
        <w:rPr>
          <w:rFonts w:ascii="Times New Roman" w:hAnsi="Times New Roman" w:cs="Times New Roman"/>
          <w:b/>
          <w:sz w:val="24"/>
          <w:szCs w:val="24"/>
        </w:rPr>
      </w:pPr>
      <w:r w:rsidRPr="008F3998">
        <w:rPr>
          <w:rFonts w:ascii="Times New Roman" w:hAnsi="Times New Roman" w:cs="Times New Roman"/>
          <w:b/>
          <w:sz w:val="24"/>
          <w:szCs w:val="24"/>
        </w:rPr>
        <w:t xml:space="preserve">Table </w:t>
      </w:r>
      <w:r w:rsidR="00F84DFB" w:rsidRPr="008F3998">
        <w:rPr>
          <w:rFonts w:ascii="Times New Roman" w:hAnsi="Times New Roman" w:cs="Times New Roman"/>
          <w:b/>
          <w:sz w:val="24"/>
          <w:szCs w:val="24"/>
        </w:rPr>
        <w:t>4</w:t>
      </w:r>
      <w:r w:rsidRPr="008F3998">
        <w:rPr>
          <w:rFonts w:ascii="Times New Roman" w:hAnsi="Times New Roman" w:cs="Times New Roman"/>
          <w:b/>
          <w:sz w:val="24"/>
          <w:szCs w:val="24"/>
        </w:rPr>
        <w:t>: Models (6)-(8) estimation in differences, National level</w:t>
      </w:r>
    </w:p>
    <w:tbl>
      <w:tblPr>
        <w:tblW w:w="0" w:type="auto"/>
        <w:jc w:val="center"/>
        <w:tblCellMar>
          <w:left w:w="75" w:type="dxa"/>
          <w:right w:w="75" w:type="dxa"/>
        </w:tblCellMar>
        <w:tblLook w:val="0000" w:firstRow="0" w:lastRow="0" w:firstColumn="0" w:lastColumn="0" w:noHBand="0" w:noVBand="0"/>
      </w:tblPr>
      <w:tblGrid>
        <w:gridCol w:w="1623"/>
        <w:gridCol w:w="1199"/>
        <w:gridCol w:w="1439"/>
        <w:gridCol w:w="1199"/>
        <w:gridCol w:w="1482"/>
        <w:gridCol w:w="1240"/>
        <w:gridCol w:w="1564"/>
      </w:tblGrid>
      <w:tr w:rsidR="008F3998" w:rsidRPr="008F3998" w14:paraId="02F45769" w14:textId="77777777" w:rsidTr="00E369BC">
        <w:trPr>
          <w:jc w:val="center"/>
        </w:trPr>
        <w:tc>
          <w:tcPr>
            <w:tcW w:w="0" w:type="auto"/>
            <w:tcBorders>
              <w:top w:val="single" w:sz="6" w:space="0" w:color="auto"/>
              <w:left w:val="nil"/>
              <w:right w:val="nil"/>
            </w:tcBorders>
          </w:tcPr>
          <w:p w14:paraId="0A5379A4"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gridSpan w:val="6"/>
            <w:tcBorders>
              <w:top w:val="single" w:sz="6" w:space="0" w:color="auto"/>
              <w:left w:val="nil"/>
              <w:bottom w:val="nil"/>
              <w:right w:val="nil"/>
            </w:tcBorders>
          </w:tcPr>
          <w:p w14:paraId="3F6E3BA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Dependent variable</w:t>
            </w:r>
          </w:p>
        </w:tc>
      </w:tr>
      <w:tr w:rsidR="008F3998" w:rsidRPr="008F3998" w14:paraId="770B3569" w14:textId="77777777" w:rsidTr="00E369BC">
        <w:trPr>
          <w:jc w:val="center"/>
        </w:trPr>
        <w:tc>
          <w:tcPr>
            <w:tcW w:w="0" w:type="auto"/>
            <w:tcBorders>
              <w:left w:val="nil"/>
              <w:bottom w:val="nil"/>
              <w:right w:val="nil"/>
            </w:tcBorders>
          </w:tcPr>
          <w:p w14:paraId="72C9F869"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auto"/>
              <w:left w:val="nil"/>
              <w:bottom w:val="nil"/>
              <w:right w:val="nil"/>
            </w:tcBorders>
          </w:tcPr>
          <w:p w14:paraId="494BC6D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 Tail Quantile</w:t>
            </w:r>
          </w:p>
        </w:tc>
        <w:tc>
          <w:tcPr>
            <w:tcW w:w="0" w:type="auto"/>
            <w:tcBorders>
              <w:top w:val="single" w:sz="6" w:space="0" w:color="auto"/>
              <w:left w:val="nil"/>
              <w:bottom w:val="nil"/>
              <w:right w:val="nil"/>
            </w:tcBorders>
          </w:tcPr>
          <w:p w14:paraId="7B18DA4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 Expected Shortfall</w:t>
            </w:r>
          </w:p>
        </w:tc>
        <w:tc>
          <w:tcPr>
            <w:tcW w:w="0" w:type="auto"/>
            <w:tcBorders>
              <w:top w:val="single" w:sz="6" w:space="0" w:color="auto"/>
              <w:left w:val="nil"/>
              <w:bottom w:val="nil"/>
              <w:right w:val="nil"/>
            </w:tcBorders>
          </w:tcPr>
          <w:p w14:paraId="037AFFB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 Tail Quantile</w:t>
            </w:r>
          </w:p>
        </w:tc>
        <w:tc>
          <w:tcPr>
            <w:tcW w:w="0" w:type="auto"/>
            <w:tcBorders>
              <w:top w:val="single" w:sz="6" w:space="0" w:color="auto"/>
              <w:left w:val="nil"/>
              <w:bottom w:val="nil"/>
              <w:right w:val="nil"/>
            </w:tcBorders>
          </w:tcPr>
          <w:p w14:paraId="20B1814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 Expected Shortfall</w:t>
            </w:r>
          </w:p>
        </w:tc>
        <w:tc>
          <w:tcPr>
            <w:tcW w:w="0" w:type="auto"/>
            <w:tcBorders>
              <w:top w:val="single" w:sz="6" w:space="0" w:color="auto"/>
              <w:left w:val="nil"/>
              <w:bottom w:val="nil"/>
              <w:right w:val="nil"/>
            </w:tcBorders>
          </w:tcPr>
          <w:p w14:paraId="54B93A3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 Tail Quantile</w:t>
            </w:r>
          </w:p>
        </w:tc>
        <w:tc>
          <w:tcPr>
            <w:tcW w:w="0" w:type="auto"/>
            <w:tcBorders>
              <w:top w:val="single" w:sz="6" w:space="0" w:color="auto"/>
              <w:left w:val="nil"/>
              <w:bottom w:val="nil"/>
              <w:right w:val="nil"/>
            </w:tcBorders>
          </w:tcPr>
          <w:p w14:paraId="60FA228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 Expected Shortfall</w:t>
            </w:r>
          </w:p>
        </w:tc>
      </w:tr>
      <w:tr w:rsidR="008F3998" w:rsidRPr="008F3998" w14:paraId="42EAF44C" w14:textId="77777777" w:rsidTr="00E369BC">
        <w:trPr>
          <w:jc w:val="center"/>
        </w:trPr>
        <w:tc>
          <w:tcPr>
            <w:tcW w:w="0" w:type="auto"/>
            <w:tcBorders>
              <w:top w:val="nil"/>
              <w:left w:val="nil"/>
              <w:bottom w:val="single" w:sz="6" w:space="0" w:color="auto"/>
              <w:right w:val="nil"/>
            </w:tcBorders>
          </w:tcPr>
          <w:p w14:paraId="040CE8F8"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Independent variables</w:t>
            </w:r>
          </w:p>
        </w:tc>
        <w:tc>
          <w:tcPr>
            <w:tcW w:w="0" w:type="auto"/>
            <w:tcBorders>
              <w:top w:val="nil"/>
              <w:left w:val="nil"/>
              <w:bottom w:val="single" w:sz="6" w:space="0" w:color="auto"/>
              <w:right w:val="nil"/>
            </w:tcBorders>
            <w:vAlign w:val="bottom"/>
          </w:tcPr>
          <w:p w14:paraId="7E52344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w:t>
            </w:r>
          </w:p>
        </w:tc>
        <w:tc>
          <w:tcPr>
            <w:tcW w:w="0" w:type="auto"/>
            <w:tcBorders>
              <w:top w:val="nil"/>
              <w:left w:val="nil"/>
              <w:bottom w:val="single" w:sz="6" w:space="0" w:color="auto"/>
              <w:right w:val="nil"/>
            </w:tcBorders>
            <w:vAlign w:val="bottom"/>
          </w:tcPr>
          <w:p w14:paraId="32AB8A5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w:t>
            </w:r>
          </w:p>
        </w:tc>
        <w:tc>
          <w:tcPr>
            <w:tcW w:w="0" w:type="auto"/>
            <w:tcBorders>
              <w:top w:val="nil"/>
              <w:left w:val="nil"/>
              <w:bottom w:val="single" w:sz="6" w:space="0" w:color="auto"/>
              <w:right w:val="nil"/>
            </w:tcBorders>
            <w:vAlign w:val="bottom"/>
          </w:tcPr>
          <w:p w14:paraId="79E7E93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w:t>
            </w:r>
          </w:p>
        </w:tc>
        <w:tc>
          <w:tcPr>
            <w:tcW w:w="0" w:type="auto"/>
            <w:tcBorders>
              <w:top w:val="nil"/>
              <w:left w:val="nil"/>
              <w:bottom w:val="single" w:sz="6" w:space="0" w:color="auto"/>
              <w:right w:val="nil"/>
            </w:tcBorders>
            <w:vAlign w:val="bottom"/>
          </w:tcPr>
          <w:p w14:paraId="50EB2EE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w:t>
            </w:r>
          </w:p>
        </w:tc>
        <w:tc>
          <w:tcPr>
            <w:tcW w:w="0" w:type="auto"/>
            <w:tcBorders>
              <w:top w:val="nil"/>
              <w:left w:val="nil"/>
              <w:bottom w:val="single" w:sz="6" w:space="0" w:color="auto"/>
              <w:right w:val="nil"/>
            </w:tcBorders>
            <w:vAlign w:val="bottom"/>
          </w:tcPr>
          <w:p w14:paraId="6974712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w:t>
            </w:r>
          </w:p>
        </w:tc>
        <w:tc>
          <w:tcPr>
            <w:tcW w:w="0" w:type="auto"/>
            <w:tcBorders>
              <w:top w:val="nil"/>
              <w:left w:val="nil"/>
              <w:bottom w:val="single" w:sz="6" w:space="0" w:color="auto"/>
              <w:right w:val="nil"/>
            </w:tcBorders>
            <w:vAlign w:val="bottom"/>
          </w:tcPr>
          <w:p w14:paraId="33258EF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(6)</w:t>
            </w:r>
          </w:p>
        </w:tc>
      </w:tr>
      <w:tr w:rsidR="008F3998" w:rsidRPr="008F3998" w14:paraId="3033ABC9" w14:textId="77777777" w:rsidTr="00E369BC">
        <w:trPr>
          <w:jc w:val="center"/>
        </w:trPr>
        <w:tc>
          <w:tcPr>
            <w:tcW w:w="0" w:type="auto"/>
            <w:tcBorders>
              <w:top w:val="nil"/>
              <w:left w:val="nil"/>
              <w:bottom w:val="nil"/>
              <w:right w:val="nil"/>
            </w:tcBorders>
          </w:tcPr>
          <w:p w14:paraId="4AAADB87"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∆CO</w:t>
            </w:r>
            <w:r w:rsidRPr="008F3998">
              <w:rPr>
                <w:rFonts w:ascii="Times New Roman" w:hAnsi="Times New Roman" w:cs="Times New Roman"/>
                <w:sz w:val="20"/>
                <w:szCs w:val="20"/>
                <w:vertAlign w:val="subscript"/>
              </w:rPr>
              <w:t>2</w:t>
            </w:r>
          </w:p>
        </w:tc>
        <w:tc>
          <w:tcPr>
            <w:tcW w:w="0" w:type="auto"/>
            <w:tcBorders>
              <w:top w:val="nil"/>
              <w:left w:val="nil"/>
              <w:bottom w:val="nil"/>
              <w:right w:val="nil"/>
            </w:tcBorders>
          </w:tcPr>
          <w:p w14:paraId="17B4B4A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0.776**</w:t>
            </w:r>
          </w:p>
        </w:tc>
        <w:tc>
          <w:tcPr>
            <w:tcW w:w="0" w:type="auto"/>
            <w:tcBorders>
              <w:top w:val="nil"/>
              <w:left w:val="nil"/>
              <w:bottom w:val="nil"/>
              <w:right w:val="nil"/>
            </w:tcBorders>
          </w:tcPr>
          <w:p w14:paraId="0A83C9C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1.485**</w:t>
            </w:r>
          </w:p>
        </w:tc>
        <w:tc>
          <w:tcPr>
            <w:tcW w:w="0" w:type="auto"/>
            <w:tcBorders>
              <w:top w:val="nil"/>
              <w:left w:val="nil"/>
              <w:bottom w:val="nil"/>
              <w:right w:val="nil"/>
            </w:tcBorders>
          </w:tcPr>
          <w:p w14:paraId="7CE1BAD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0.765**</w:t>
            </w:r>
          </w:p>
        </w:tc>
        <w:tc>
          <w:tcPr>
            <w:tcW w:w="0" w:type="auto"/>
            <w:tcBorders>
              <w:top w:val="nil"/>
              <w:left w:val="nil"/>
              <w:bottom w:val="nil"/>
              <w:right w:val="nil"/>
            </w:tcBorders>
          </w:tcPr>
          <w:p w14:paraId="7AC92C6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1.451**</w:t>
            </w:r>
          </w:p>
        </w:tc>
        <w:tc>
          <w:tcPr>
            <w:tcW w:w="0" w:type="auto"/>
            <w:tcBorders>
              <w:top w:val="nil"/>
              <w:left w:val="nil"/>
              <w:bottom w:val="nil"/>
              <w:right w:val="nil"/>
            </w:tcBorders>
          </w:tcPr>
          <w:p w14:paraId="12BA7AD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1.636**</w:t>
            </w:r>
          </w:p>
        </w:tc>
        <w:tc>
          <w:tcPr>
            <w:tcW w:w="0" w:type="auto"/>
            <w:tcBorders>
              <w:top w:val="nil"/>
              <w:left w:val="nil"/>
              <w:bottom w:val="nil"/>
              <w:right w:val="nil"/>
            </w:tcBorders>
          </w:tcPr>
          <w:p w14:paraId="1708305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2.919**</w:t>
            </w:r>
          </w:p>
        </w:tc>
      </w:tr>
      <w:tr w:rsidR="008F3998" w:rsidRPr="008F3998" w14:paraId="74606DE8" w14:textId="77777777" w:rsidTr="00E369BC">
        <w:trPr>
          <w:jc w:val="center"/>
        </w:trPr>
        <w:tc>
          <w:tcPr>
            <w:tcW w:w="0" w:type="auto"/>
            <w:tcBorders>
              <w:top w:val="nil"/>
              <w:left w:val="nil"/>
              <w:bottom w:val="nil"/>
              <w:right w:val="nil"/>
            </w:tcBorders>
          </w:tcPr>
          <w:p w14:paraId="4952159C"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6D13E87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(0.262)</w:t>
            </w:r>
          </w:p>
        </w:tc>
        <w:tc>
          <w:tcPr>
            <w:tcW w:w="0" w:type="auto"/>
            <w:tcBorders>
              <w:top w:val="nil"/>
              <w:left w:val="nil"/>
              <w:bottom w:val="nil"/>
              <w:right w:val="nil"/>
            </w:tcBorders>
          </w:tcPr>
          <w:p w14:paraId="2FCA4BE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(0.482)</w:t>
            </w:r>
          </w:p>
        </w:tc>
        <w:tc>
          <w:tcPr>
            <w:tcW w:w="0" w:type="auto"/>
            <w:tcBorders>
              <w:top w:val="nil"/>
              <w:left w:val="nil"/>
              <w:bottom w:val="nil"/>
              <w:right w:val="nil"/>
            </w:tcBorders>
          </w:tcPr>
          <w:p w14:paraId="7ECE2CE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(0.257)</w:t>
            </w:r>
          </w:p>
        </w:tc>
        <w:tc>
          <w:tcPr>
            <w:tcW w:w="0" w:type="auto"/>
            <w:tcBorders>
              <w:top w:val="nil"/>
              <w:left w:val="nil"/>
              <w:bottom w:val="nil"/>
              <w:right w:val="nil"/>
            </w:tcBorders>
          </w:tcPr>
          <w:p w14:paraId="469CF01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(0.485)</w:t>
            </w:r>
          </w:p>
        </w:tc>
        <w:tc>
          <w:tcPr>
            <w:tcW w:w="0" w:type="auto"/>
            <w:tcBorders>
              <w:top w:val="nil"/>
              <w:left w:val="nil"/>
              <w:bottom w:val="nil"/>
              <w:right w:val="nil"/>
            </w:tcBorders>
          </w:tcPr>
          <w:p w14:paraId="0DB42E8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(0.540)</w:t>
            </w:r>
          </w:p>
        </w:tc>
        <w:tc>
          <w:tcPr>
            <w:tcW w:w="0" w:type="auto"/>
            <w:tcBorders>
              <w:top w:val="nil"/>
              <w:left w:val="nil"/>
              <w:bottom w:val="nil"/>
              <w:right w:val="nil"/>
            </w:tcBorders>
          </w:tcPr>
          <w:p w14:paraId="5469A80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(0.858)</w:t>
            </w:r>
          </w:p>
        </w:tc>
      </w:tr>
      <w:tr w:rsidR="008F3998" w:rsidRPr="008F3998" w14:paraId="3102AE7B" w14:textId="77777777" w:rsidTr="00E369BC">
        <w:trPr>
          <w:jc w:val="center"/>
        </w:trPr>
        <w:tc>
          <w:tcPr>
            <w:tcW w:w="0" w:type="auto"/>
            <w:tcBorders>
              <w:top w:val="nil"/>
              <w:left w:val="nil"/>
              <w:bottom w:val="nil"/>
              <w:right w:val="nil"/>
            </w:tcBorders>
          </w:tcPr>
          <w:p w14:paraId="32655B29"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debtgdp</w:t>
            </w:r>
            <w:proofErr w:type="spellEnd"/>
          </w:p>
        </w:tc>
        <w:tc>
          <w:tcPr>
            <w:tcW w:w="0" w:type="auto"/>
            <w:tcBorders>
              <w:top w:val="nil"/>
              <w:left w:val="nil"/>
              <w:bottom w:val="nil"/>
              <w:right w:val="nil"/>
            </w:tcBorders>
          </w:tcPr>
          <w:p w14:paraId="756713B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-0.0294</w:t>
            </w:r>
          </w:p>
        </w:tc>
        <w:tc>
          <w:tcPr>
            <w:tcW w:w="0" w:type="auto"/>
            <w:tcBorders>
              <w:top w:val="nil"/>
              <w:left w:val="nil"/>
              <w:bottom w:val="nil"/>
              <w:right w:val="nil"/>
            </w:tcBorders>
          </w:tcPr>
          <w:p w14:paraId="0E6CACA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0.0123</w:t>
            </w:r>
          </w:p>
        </w:tc>
        <w:tc>
          <w:tcPr>
            <w:tcW w:w="0" w:type="auto"/>
            <w:tcBorders>
              <w:top w:val="nil"/>
              <w:left w:val="nil"/>
              <w:bottom w:val="nil"/>
              <w:right w:val="nil"/>
            </w:tcBorders>
          </w:tcPr>
          <w:p w14:paraId="7A2738E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-0.0323</w:t>
            </w:r>
          </w:p>
        </w:tc>
        <w:tc>
          <w:tcPr>
            <w:tcW w:w="0" w:type="auto"/>
            <w:tcBorders>
              <w:top w:val="nil"/>
              <w:left w:val="nil"/>
              <w:bottom w:val="nil"/>
              <w:right w:val="nil"/>
            </w:tcBorders>
          </w:tcPr>
          <w:p w14:paraId="4DBE303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0.00359</w:t>
            </w:r>
          </w:p>
        </w:tc>
        <w:tc>
          <w:tcPr>
            <w:tcW w:w="0" w:type="auto"/>
            <w:tcBorders>
              <w:top w:val="nil"/>
              <w:left w:val="nil"/>
              <w:bottom w:val="nil"/>
              <w:right w:val="nil"/>
            </w:tcBorders>
          </w:tcPr>
          <w:p w14:paraId="144D4AA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-0.0242</w:t>
            </w:r>
          </w:p>
        </w:tc>
        <w:tc>
          <w:tcPr>
            <w:tcW w:w="0" w:type="auto"/>
            <w:tcBorders>
              <w:top w:val="nil"/>
              <w:left w:val="nil"/>
              <w:bottom w:val="nil"/>
              <w:right w:val="nil"/>
            </w:tcBorders>
          </w:tcPr>
          <w:p w14:paraId="743504B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0.0117</w:t>
            </w:r>
          </w:p>
        </w:tc>
      </w:tr>
      <w:tr w:rsidR="008F3998" w:rsidRPr="008F3998" w14:paraId="0432FADD" w14:textId="77777777" w:rsidTr="00E369BC">
        <w:trPr>
          <w:jc w:val="center"/>
        </w:trPr>
        <w:tc>
          <w:tcPr>
            <w:tcW w:w="0" w:type="auto"/>
            <w:tcBorders>
              <w:top w:val="nil"/>
              <w:left w:val="nil"/>
              <w:bottom w:val="nil"/>
              <w:right w:val="nil"/>
            </w:tcBorders>
          </w:tcPr>
          <w:p w14:paraId="4EEC81F8"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6242E66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(0.0379)</w:t>
            </w:r>
          </w:p>
        </w:tc>
        <w:tc>
          <w:tcPr>
            <w:tcW w:w="0" w:type="auto"/>
            <w:tcBorders>
              <w:top w:val="nil"/>
              <w:left w:val="nil"/>
              <w:bottom w:val="nil"/>
              <w:right w:val="nil"/>
            </w:tcBorders>
          </w:tcPr>
          <w:p w14:paraId="3B8DD90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(0.0571)</w:t>
            </w:r>
          </w:p>
        </w:tc>
        <w:tc>
          <w:tcPr>
            <w:tcW w:w="0" w:type="auto"/>
            <w:tcBorders>
              <w:top w:val="nil"/>
              <w:left w:val="nil"/>
              <w:bottom w:val="nil"/>
              <w:right w:val="nil"/>
            </w:tcBorders>
          </w:tcPr>
          <w:p w14:paraId="4BCCCD8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(0.0388)</w:t>
            </w:r>
          </w:p>
        </w:tc>
        <w:tc>
          <w:tcPr>
            <w:tcW w:w="0" w:type="auto"/>
            <w:tcBorders>
              <w:top w:val="nil"/>
              <w:left w:val="nil"/>
              <w:bottom w:val="nil"/>
              <w:right w:val="nil"/>
            </w:tcBorders>
          </w:tcPr>
          <w:p w14:paraId="0AF6371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(0.0585)</w:t>
            </w:r>
          </w:p>
        </w:tc>
        <w:tc>
          <w:tcPr>
            <w:tcW w:w="0" w:type="auto"/>
            <w:tcBorders>
              <w:top w:val="nil"/>
              <w:left w:val="nil"/>
              <w:bottom w:val="nil"/>
              <w:right w:val="nil"/>
            </w:tcBorders>
          </w:tcPr>
          <w:p w14:paraId="22AB84C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(0.0640)</w:t>
            </w:r>
          </w:p>
        </w:tc>
        <w:tc>
          <w:tcPr>
            <w:tcW w:w="0" w:type="auto"/>
            <w:tcBorders>
              <w:top w:val="nil"/>
              <w:left w:val="nil"/>
              <w:bottom w:val="nil"/>
              <w:right w:val="nil"/>
            </w:tcBorders>
          </w:tcPr>
          <w:p w14:paraId="2910CA7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(0.127)</w:t>
            </w:r>
          </w:p>
        </w:tc>
      </w:tr>
      <w:tr w:rsidR="008F3998" w:rsidRPr="008F3998" w14:paraId="4311B97B" w14:textId="77777777" w:rsidTr="00E369BC">
        <w:trPr>
          <w:jc w:val="center"/>
        </w:trPr>
        <w:tc>
          <w:tcPr>
            <w:tcW w:w="0" w:type="auto"/>
            <w:tcBorders>
              <w:top w:val="nil"/>
              <w:left w:val="nil"/>
              <w:bottom w:val="nil"/>
              <w:right w:val="nil"/>
            </w:tcBorders>
          </w:tcPr>
          <w:p w14:paraId="32CEB166"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totvol</w:t>
            </w:r>
            <w:proofErr w:type="spellEnd"/>
          </w:p>
        </w:tc>
        <w:tc>
          <w:tcPr>
            <w:tcW w:w="0" w:type="auto"/>
            <w:tcBorders>
              <w:top w:val="nil"/>
              <w:left w:val="nil"/>
              <w:bottom w:val="nil"/>
              <w:right w:val="nil"/>
            </w:tcBorders>
          </w:tcPr>
          <w:p w14:paraId="3E7869F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0.00417</w:t>
            </w:r>
          </w:p>
        </w:tc>
        <w:tc>
          <w:tcPr>
            <w:tcW w:w="0" w:type="auto"/>
            <w:tcBorders>
              <w:top w:val="nil"/>
              <w:left w:val="nil"/>
              <w:bottom w:val="nil"/>
              <w:right w:val="nil"/>
            </w:tcBorders>
          </w:tcPr>
          <w:p w14:paraId="2C86601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-0.00559</w:t>
            </w:r>
          </w:p>
        </w:tc>
        <w:tc>
          <w:tcPr>
            <w:tcW w:w="0" w:type="auto"/>
            <w:tcBorders>
              <w:top w:val="nil"/>
              <w:left w:val="nil"/>
              <w:bottom w:val="nil"/>
              <w:right w:val="nil"/>
            </w:tcBorders>
          </w:tcPr>
          <w:p w14:paraId="3A20CB5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-0.0130</w:t>
            </w:r>
          </w:p>
        </w:tc>
        <w:tc>
          <w:tcPr>
            <w:tcW w:w="0" w:type="auto"/>
            <w:tcBorders>
              <w:top w:val="nil"/>
              <w:left w:val="nil"/>
              <w:bottom w:val="nil"/>
              <w:right w:val="nil"/>
            </w:tcBorders>
          </w:tcPr>
          <w:p w14:paraId="1724930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-0.0584</w:t>
            </w:r>
          </w:p>
        </w:tc>
        <w:tc>
          <w:tcPr>
            <w:tcW w:w="0" w:type="auto"/>
            <w:tcBorders>
              <w:top w:val="nil"/>
              <w:left w:val="nil"/>
              <w:bottom w:val="nil"/>
              <w:right w:val="nil"/>
            </w:tcBorders>
          </w:tcPr>
          <w:p w14:paraId="712A558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-0.0562</w:t>
            </w:r>
          </w:p>
        </w:tc>
        <w:tc>
          <w:tcPr>
            <w:tcW w:w="0" w:type="auto"/>
            <w:tcBorders>
              <w:top w:val="nil"/>
              <w:left w:val="nil"/>
              <w:bottom w:val="nil"/>
              <w:right w:val="nil"/>
            </w:tcBorders>
          </w:tcPr>
          <w:p w14:paraId="001F126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-0.198</w:t>
            </w:r>
          </w:p>
        </w:tc>
      </w:tr>
      <w:tr w:rsidR="008F3998" w:rsidRPr="008F3998" w14:paraId="292DA423" w14:textId="77777777" w:rsidTr="00E369BC">
        <w:trPr>
          <w:jc w:val="center"/>
        </w:trPr>
        <w:tc>
          <w:tcPr>
            <w:tcW w:w="0" w:type="auto"/>
            <w:tcBorders>
              <w:top w:val="nil"/>
              <w:left w:val="nil"/>
              <w:bottom w:val="nil"/>
              <w:right w:val="nil"/>
            </w:tcBorders>
          </w:tcPr>
          <w:p w14:paraId="1A058924"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616AE9B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(0.107)</w:t>
            </w:r>
          </w:p>
        </w:tc>
        <w:tc>
          <w:tcPr>
            <w:tcW w:w="0" w:type="auto"/>
            <w:tcBorders>
              <w:top w:val="nil"/>
              <w:left w:val="nil"/>
              <w:bottom w:val="nil"/>
              <w:right w:val="nil"/>
            </w:tcBorders>
          </w:tcPr>
          <w:p w14:paraId="5D940D4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(0.142)</w:t>
            </w:r>
          </w:p>
        </w:tc>
        <w:tc>
          <w:tcPr>
            <w:tcW w:w="0" w:type="auto"/>
            <w:tcBorders>
              <w:top w:val="nil"/>
              <w:left w:val="nil"/>
              <w:bottom w:val="nil"/>
              <w:right w:val="nil"/>
            </w:tcBorders>
          </w:tcPr>
          <w:p w14:paraId="13CF59A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(0.102)</w:t>
            </w:r>
          </w:p>
        </w:tc>
        <w:tc>
          <w:tcPr>
            <w:tcW w:w="0" w:type="auto"/>
            <w:tcBorders>
              <w:top w:val="nil"/>
              <w:left w:val="nil"/>
              <w:bottom w:val="nil"/>
              <w:right w:val="nil"/>
            </w:tcBorders>
          </w:tcPr>
          <w:p w14:paraId="14AF403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(0.120)</w:t>
            </w:r>
          </w:p>
        </w:tc>
        <w:tc>
          <w:tcPr>
            <w:tcW w:w="0" w:type="auto"/>
            <w:tcBorders>
              <w:top w:val="nil"/>
              <w:left w:val="nil"/>
              <w:bottom w:val="nil"/>
              <w:right w:val="nil"/>
            </w:tcBorders>
          </w:tcPr>
          <w:p w14:paraId="223F9B6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(0.0978)</w:t>
            </w:r>
          </w:p>
        </w:tc>
        <w:tc>
          <w:tcPr>
            <w:tcW w:w="0" w:type="auto"/>
            <w:tcBorders>
              <w:top w:val="nil"/>
              <w:left w:val="nil"/>
              <w:bottom w:val="nil"/>
              <w:right w:val="nil"/>
            </w:tcBorders>
          </w:tcPr>
          <w:p w14:paraId="7D39B04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(0.174)</w:t>
            </w:r>
          </w:p>
        </w:tc>
      </w:tr>
      <w:tr w:rsidR="008F3998" w:rsidRPr="008F3998" w14:paraId="2EE2155E" w14:textId="77777777" w:rsidTr="00E369BC">
        <w:trPr>
          <w:jc w:val="center"/>
        </w:trPr>
        <w:tc>
          <w:tcPr>
            <w:tcW w:w="0" w:type="auto"/>
            <w:tcBorders>
              <w:top w:val="nil"/>
              <w:left w:val="nil"/>
              <w:bottom w:val="nil"/>
              <w:right w:val="nil"/>
            </w:tcBorders>
          </w:tcPr>
          <w:p w14:paraId="56FE99AC"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exr</w:t>
            </w:r>
            <w:proofErr w:type="spellEnd"/>
          </w:p>
        </w:tc>
        <w:tc>
          <w:tcPr>
            <w:tcW w:w="0" w:type="auto"/>
            <w:tcBorders>
              <w:top w:val="nil"/>
              <w:left w:val="nil"/>
              <w:bottom w:val="nil"/>
              <w:right w:val="nil"/>
            </w:tcBorders>
          </w:tcPr>
          <w:p w14:paraId="005A35D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0.0200</w:t>
            </w:r>
          </w:p>
        </w:tc>
        <w:tc>
          <w:tcPr>
            <w:tcW w:w="0" w:type="auto"/>
            <w:tcBorders>
              <w:top w:val="nil"/>
              <w:left w:val="nil"/>
              <w:bottom w:val="nil"/>
              <w:right w:val="nil"/>
            </w:tcBorders>
          </w:tcPr>
          <w:p w14:paraId="1FD0A1E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0.0450*</w:t>
            </w:r>
          </w:p>
        </w:tc>
        <w:tc>
          <w:tcPr>
            <w:tcW w:w="0" w:type="auto"/>
            <w:tcBorders>
              <w:top w:val="nil"/>
              <w:left w:val="nil"/>
              <w:bottom w:val="nil"/>
              <w:right w:val="nil"/>
            </w:tcBorders>
          </w:tcPr>
          <w:p w14:paraId="21E0974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0.0310*</w:t>
            </w:r>
          </w:p>
        </w:tc>
        <w:tc>
          <w:tcPr>
            <w:tcW w:w="0" w:type="auto"/>
            <w:tcBorders>
              <w:top w:val="nil"/>
              <w:left w:val="nil"/>
              <w:bottom w:val="nil"/>
              <w:right w:val="nil"/>
            </w:tcBorders>
          </w:tcPr>
          <w:p w14:paraId="40185E0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0.0786***</w:t>
            </w:r>
          </w:p>
        </w:tc>
        <w:tc>
          <w:tcPr>
            <w:tcW w:w="0" w:type="auto"/>
            <w:tcBorders>
              <w:top w:val="nil"/>
              <w:left w:val="nil"/>
              <w:bottom w:val="nil"/>
              <w:right w:val="nil"/>
            </w:tcBorders>
          </w:tcPr>
          <w:p w14:paraId="01DC073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-0.105</w:t>
            </w:r>
          </w:p>
        </w:tc>
        <w:tc>
          <w:tcPr>
            <w:tcW w:w="0" w:type="auto"/>
            <w:tcBorders>
              <w:top w:val="nil"/>
              <w:left w:val="nil"/>
              <w:bottom w:val="nil"/>
              <w:right w:val="nil"/>
            </w:tcBorders>
          </w:tcPr>
          <w:p w14:paraId="710D863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-0.103</w:t>
            </w:r>
          </w:p>
        </w:tc>
      </w:tr>
      <w:tr w:rsidR="008F3998" w:rsidRPr="008F3998" w14:paraId="1420DDF8" w14:textId="77777777" w:rsidTr="00E369BC">
        <w:trPr>
          <w:jc w:val="center"/>
        </w:trPr>
        <w:tc>
          <w:tcPr>
            <w:tcW w:w="0" w:type="auto"/>
            <w:tcBorders>
              <w:top w:val="nil"/>
              <w:left w:val="nil"/>
              <w:bottom w:val="nil"/>
              <w:right w:val="nil"/>
            </w:tcBorders>
          </w:tcPr>
          <w:p w14:paraId="325A829A"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5551246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(0.0152)</w:t>
            </w:r>
          </w:p>
        </w:tc>
        <w:tc>
          <w:tcPr>
            <w:tcW w:w="0" w:type="auto"/>
            <w:tcBorders>
              <w:top w:val="nil"/>
              <w:left w:val="nil"/>
              <w:bottom w:val="nil"/>
              <w:right w:val="nil"/>
            </w:tcBorders>
          </w:tcPr>
          <w:p w14:paraId="24EEC18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(0.0212)</w:t>
            </w:r>
          </w:p>
        </w:tc>
        <w:tc>
          <w:tcPr>
            <w:tcW w:w="0" w:type="auto"/>
            <w:tcBorders>
              <w:top w:val="nil"/>
              <w:left w:val="nil"/>
              <w:bottom w:val="nil"/>
              <w:right w:val="nil"/>
            </w:tcBorders>
          </w:tcPr>
          <w:p w14:paraId="7682919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(0.0140)</w:t>
            </w:r>
          </w:p>
        </w:tc>
        <w:tc>
          <w:tcPr>
            <w:tcW w:w="0" w:type="auto"/>
            <w:tcBorders>
              <w:top w:val="nil"/>
              <w:left w:val="nil"/>
              <w:bottom w:val="nil"/>
              <w:right w:val="nil"/>
            </w:tcBorders>
          </w:tcPr>
          <w:p w14:paraId="0A18F16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(0.0193)</w:t>
            </w:r>
          </w:p>
        </w:tc>
        <w:tc>
          <w:tcPr>
            <w:tcW w:w="0" w:type="auto"/>
            <w:tcBorders>
              <w:top w:val="nil"/>
              <w:left w:val="nil"/>
              <w:bottom w:val="nil"/>
              <w:right w:val="nil"/>
            </w:tcBorders>
          </w:tcPr>
          <w:p w14:paraId="79F1CD4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(0.0840)</w:t>
            </w:r>
          </w:p>
        </w:tc>
        <w:tc>
          <w:tcPr>
            <w:tcW w:w="0" w:type="auto"/>
            <w:tcBorders>
              <w:top w:val="nil"/>
              <w:left w:val="nil"/>
              <w:bottom w:val="nil"/>
              <w:right w:val="nil"/>
            </w:tcBorders>
          </w:tcPr>
          <w:p w14:paraId="4C5C832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(0.0999)</w:t>
            </w:r>
          </w:p>
        </w:tc>
      </w:tr>
      <w:tr w:rsidR="008F3998" w:rsidRPr="008F3998" w14:paraId="250CE4C4" w14:textId="77777777" w:rsidTr="00E369BC">
        <w:trPr>
          <w:jc w:val="center"/>
        </w:trPr>
        <w:tc>
          <w:tcPr>
            <w:tcW w:w="0" w:type="auto"/>
            <w:tcBorders>
              <w:top w:val="nil"/>
              <w:left w:val="nil"/>
              <w:bottom w:val="nil"/>
              <w:right w:val="nil"/>
            </w:tcBorders>
          </w:tcPr>
          <w:p w14:paraId="4BF0224C"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∆reserves</w:t>
            </w:r>
          </w:p>
        </w:tc>
        <w:tc>
          <w:tcPr>
            <w:tcW w:w="0" w:type="auto"/>
            <w:tcBorders>
              <w:top w:val="nil"/>
              <w:left w:val="nil"/>
              <w:bottom w:val="nil"/>
              <w:right w:val="nil"/>
            </w:tcBorders>
          </w:tcPr>
          <w:p w14:paraId="5660A81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51D0BB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65830E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3.70e-12</w:t>
            </w:r>
          </w:p>
        </w:tc>
        <w:tc>
          <w:tcPr>
            <w:tcW w:w="0" w:type="auto"/>
            <w:tcBorders>
              <w:top w:val="nil"/>
              <w:left w:val="nil"/>
              <w:bottom w:val="nil"/>
              <w:right w:val="nil"/>
            </w:tcBorders>
          </w:tcPr>
          <w:p w14:paraId="105895D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1.14e-11**</w:t>
            </w:r>
          </w:p>
        </w:tc>
        <w:tc>
          <w:tcPr>
            <w:tcW w:w="0" w:type="auto"/>
            <w:tcBorders>
              <w:top w:val="nil"/>
              <w:left w:val="nil"/>
              <w:bottom w:val="nil"/>
              <w:right w:val="nil"/>
            </w:tcBorders>
          </w:tcPr>
          <w:p w14:paraId="3179FC8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-5.56e-12</w:t>
            </w:r>
          </w:p>
        </w:tc>
        <w:tc>
          <w:tcPr>
            <w:tcW w:w="0" w:type="auto"/>
            <w:tcBorders>
              <w:top w:val="nil"/>
              <w:left w:val="nil"/>
              <w:bottom w:val="nil"/>
              <w:right w:val="nil"/>
            </w:tcBorders>
          </w:tcPr>
          <w:p w14:paraId="2FD8A3B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-9.88e-12</w:t>
            </w:r>
          </w:p>
        </w:tc>
      </w:tr>
      <w:tr w:rsidR="008F3998" w:rsidRPr="008F3998" w14:paraId="4831C112" w14:textId="77777777" w:rsidTr="00E369BC">
        <w:trPr>
          <w:jc w:val="center"/>
        </w:trPr>
        <w:tc>
          <w:tcPr>
            <w:tcW w:w="0" w:type="auto"/>
            <w:tcBorders>
              <w:top w:val="nil"/>
              <w:left w:val="nil"/>
              <w:bottom w:val="nil"/>
              <w:right w:val="nil"/>
            </w:tcBorders>
          </w:tcPr>
          <w:p w14:paraId="7AB10BC4"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751D52D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100E17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9D5A15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(2.28e-12)</w:t>
            </w:r>
          </w:p>
        </w:tc>
        <w:tc>
          <w:tcPr>
            <w:tcW w:w="0" w:type="auto"/>
            <w:tcBorders>
              <w:top w:val="nil"/>
              <w:left w:val="nil"/>
              <w:bottom w:val="nil"/>
              <w:right w:val="nil"/>
            </w:tcBorders>
          </w:tcPr>
          <w:p w14:paraId="339A5E2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(3.51e-12)</w:t>
            </w:r>
          </w:p>
        </w:tc>
        <w:tc>
          <w:tcPr>
            <w:tcW w:w="0" w:type="auto"/>
            <w:tcBorders>
              <w:top w:val="nil"/>
              <w:left w:val="nil"/>
              <w:bottom w:val="nil"/>
              <w:right w:val="nil"/>
            </w:tcBorders>
          </w:tcPr>
          <w:p w14:paraId="441B706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(5.12e-12)</w:t>
            </w:r>
          </w:p>
        </w:tc>
        <w:tc>
          <w:tcPr>
            <w:tcW w:w="0" w:type="auto"/>
            <w:tcBorders>
              <w:top w:val="nil"/>
              <w:left w:val="nil"/>
              <w:bottom w:val="nil"/>
              <w:right w:val="nil"/>
            </w:tcBorders>
          </w:tcPr>
          <w:p w14:paraId="6BB2DF6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(1.16e-11)</w:t>
            </w:r>
          </w:p>
        </w:tc>
      </w:tr>
      <w:tr w:rsidR="008F3998" w:rsidRPr="008F3998" w14:paraId="6235F255" w14:textId="77777777" w:rsidTr="00E369BC">
        <w:trPr>
          <w:jc w:val="center"/>
        </w:trPr>
        <w:tc>
          <w:tcPr>
            <w:tcW w:w="0" w:type="auto"/>
            <w:tcBorders>
              <w:top w:val="nil"/>
              <w:left w:val="nil"/>
              <w:bottom w:val="nil"/>
              <w:right w:val="nil"/>
            </w:tcBorders>
          </w:tcPr>
          <w:p w14:paraId="37C8A82E"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locfin</w:t>
            </w:r>
            <w:proofErr w:type="spellEnd"/>
          </w:p>
        </w:tc>
        <w:tc>
          <w:tcPr>
            <w:tcW w:w="0" w:type="auto"/>
            <w:tcBorders>
              <w:top w:val="nil"/>
              <w:left w:val="nil"/>
              <w:bottom w:val="nil"/>
              <w:right w:val="nil"/>
            </w:tcBorders>
          </w:tcPr>
          <w:p w14:paraId="27E8C1F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76688C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39A4F4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1DF27F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90DD14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-2.506</w:t>
            </w:r>
          </w:p>
        </w:tc>
        <w:tc>
          <w:tcPr>
            <w:tcW w:w="0" w:type="auto"/>
            <w:tcBorders>
              <w:top w:val="nil"/>
              <w:left w:val="nil"/>
              <w:bottom w:val="nil"/>
              <w:right w:val="nil"/>
            </w:tcBorders>
          </w:tcPr>
          <w:p w14:paraId="4223606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-4.052</w:t>
            </w:r>
          </w:p>
        </w:tc>
      </w:tr>
      <w:tr w:rsidR="008F3998" w:rsidRPr="008F3998" w14:paraId="78DE6D1F" w14:textId="77777777" w:rsidTr="00E369BC">
        <w:trPr>
          <w:jc w:val="center"/>
        </w:trPr>
        <w:tc>
          <w:tcPr>
            <w:tcW w:w="0" w:type="auto"/>
            <w:tcBorders>
              <w:top w:val="nil"/>
              <w:left w:val="nil"/>
              <w:bottom w:val="nil"/>
              <w:right w:val="nil"/>
            </w:tcBorders>
          </w:tcPr>
          <w:p w14:paraId="4A9E9972"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417179D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395BF54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7DCE21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FDB0CB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61827E7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(2.457)</w:t>
            </w:r>
          </w:p>
        </w:tc>
        <w:tc>
          <w:tcPr>
            <w:tcW w:w="0" w:type="auto"/>
            <w:tcBorders>
              <w:top w:val="nil"/>
              <w:left w:val="nil"/>
              <w:bottom w:val="nil"/>
              <w:right w:val="nil"/>
            </w:tcBorders>
          </w:tcPr>
          <w:p w14:paraId="663ACD2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(6.483)</w:t>
            </w:r>
          </w:p>
        </w:tc>
      </w:tr>
      <w:tr w:rsidR="008F3998" w:rsidRPr="008F3998" w14:paraId="5A3A3DB3" w14:textId="77777777" w:rsidTr="00E369BC">
        <w:trPr>
          <w:jc w:val="center"/>
        </w:trPr>
        <w:tc>
          <w:tcPr>
            <w:tcW w:w="0" w:type="auto"/>
            <w:tcBorders>
              <w:top w:val="nil"/>
              <w:left w:val="nil"/>
              <w:bottom w:val="nil"/>
              <w:right w:val="nil"/>
            </w:tcBorders>
          </w:tcPr>
          <w:p w14:paraId="080D316E"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stmvol</w:t>
            </w:r>
            <w:proofErr w:type="spellEnd"/>
          </w:p>
        </w:tc>
        <w:tc>
          <w:tcPr>
            <w:tcW w:w="0" w:type="auto"/>
            <w:tcBorders>
              <w:top w:val="nil"/>
              <w:left w:val="nil"/>
              <w:bottom w:val="nil"/>
              <w:right w:val="nil"/>
            </w:tcBorders>
          </w:tcPr>
          <w:p w14:paraId="7D2E037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-0.000898</w:t>
            </w:r>
          </w:p>
        </w:tc>
        <w:tc>
          <w:tcPr>
            <w:tcW w:w="0" w:type="auto"/>
            <w:tcBorders>
              <w:top w:val="nil"/>
              <w:left w:val="nil"/>
              <w:bottom w:val="nil"/>
              <w:right w:val="nil"/>
            </w:tcBorders>
          </w:tcPr>
          <w:p w14:paraId="69485A3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-0.00281</w:t>
            </w:r>
          </w:p>
        </w:tc>
        <w:tc>
          <w:tcPr>
            <w:tcW w:w="0" w:type="auto"/>
            <w:tcBorders>
              <w:top w:val="nil"/>
              <w:left w:val="nil"/>
              <w:bottom w:val="nil"/>
              <w:right w:val="nil"/>
            </w:tcBorders>
          </w:tcPr>
          <w:p w14:paraId="17B9528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-0.000555</w:t>
            </w:r>
          </w:p>
        </w:tc>
        <w:tc>
          <w:tcPr>
            <w:tcW w:w="0" w:type="auto"/>
            <w:tcBorders>
              <w:top w:val="nil"/>
              <w:left w:val="nil"/>
              <w:bottom w:val="nil"/>
              <w:right w:val="nil"/>
            </w:tcBorders>
          </w:tcPr>
          <w:p w14:paraId="3BA01CD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-0.00175</w:t>
            </w:r>
          </w:p>
        </w:tc>
        <w:tc>
          <w:tcPr>
            <w:tcW w:w="0" w:type="auto"/>
            <w:tcBorders>
              <w:top w:val="nil"/>
              <w:left w:val="nil"/>
              <w:bottom w:val="nil"/>
              <w:right w:val="nil"/>
            </w:tcBorders>
          </w:tcPr>
          <w:p w14:paraId="087F8AD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-0.00409</w:t>
            </w:r>
          </w:p>
        </w:tc>
        <w:tc>
          <w:tcPr>
            <w:tcW w:w="0" w:type="auto"/>
            <w:tcBorders>
              <w:top w:val="nil"/>
              <w:left w:val="nil"/>
              <w:bottom w:val="nil"/>
              <w:right w:val="nil"/>
            </w:tcBorders>
          </w:tcPr>
          <w:p w14:paraId="1FFD79E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-0.00633</w:t>
            </w:r>
          </w:p>
        </w:tc>
      </w:tr>
      <w:tr w:rsidR="008F3998" w:rsidRPr="008F3998" w14:paraId="021B2166" w14:textId="77777777" w:rsidTr="00E369BC">
        <w:trPr>
          <w:jc w:val="center"/>
        </w:trPr>
        <w:tc>
          <w:tcPr>
            <w:tcW w:w="0" w:type="auto"/>
            <w:tcBorders>
              <w:top w:val="nil"/>
              <w:left w:val="nil"/>
              <w:bottom w:val="nil"/>
              <w:right w:val="nil"/>
            </w:tcBorders>
          </w:tcPr>
          <w:p w14:paraId="075DF15E"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3A0167D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(0.00598)</w:t>
            </w:r>
          </w:p>
        </w:tc>
        <w:tc>
          <w:tcPr>
            <w:tcW w:w="0" w:type="auto"/>
            <w:tcBorders>
              <w:top w:val="nil"/>
              <w:left w:val="nil"/>
              <w:bottom w:val="nil"/>
              <w:right w:val="nil"/>
            </w:tcBorders>
          </w:tcPr>
          <w:p w14:paraId="62FA2C0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(0.0109)</w:t>
            </w:r>
          </w:p>
        </w:tc>
        <w:tc>
          <w:tcPr>
            <w:tcW w:w="0" w:type="auto"/>
            <w:tcBorders>
              <w:top w:val="nil"/>
              <w:left w:val="nil"/>
              <w:bottom w:val="nil"/>
              <w:right w:val="nil"/>
            </w:tcBorders>
          </w:tcPr>
          <w:p w14:paraId="3278D35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(0.00600)</w:t>
            </w:r>
          </w:p>
        </w:tc>
        <w:tc>
          <w:tcPr>
            <w:tcW w:w="0" w:type="auto"/>
            <w:tcBorders>
              <w:top w:val="nil"/>
              <w:left w:val="nil"/>
              <w:bottom w:val="nil"/>
              <w:right w:val="nil"/>
            </w:tcBorders>
          </w:tcPr>
          <w:p w14:paraId="6050FB5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(0.0107)</w:t>
            </w:r>
          </w:p>
        </w:tc>
        <w:tc>
          <w:tcPr>
            <w:tcW w:w="0" w:type="auto"/>
            <w:tcBorders>
              <w:top w:val="nil"/>
              <w:left w:val="nil"/>
              <w:bottom w:val="nil"/>
              <w:right w:val="nil"/>
            </w:tcBorders>
          </w:tcPr>
          <w:p w14:paraId="1DC7E63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(0.00597)</w:t>
            </w:r>
          </w:p>
        </w:tc>
        <w:tc>
          <w:tcPr>
            <w:tcW w:w="0" w:type="auto"/>
            <w:tcBorders>
              <w:top w:val="nil"/>
              <w:left w:val="nil"/>
              <w:bottom w:val="nil"/>
              <w:right w:val="nil"/>
            </w:tcBorders>
          </w:tcPr>
          <w:p w14:paraId="18D6C39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(0.0119)</w:t>
            </w:r>
          </w:p>
        </w:tc>
      </w:tr>
      <w:tr w:rsidR="008F3998" w:rsidRPr="008F3998" w14:paraId="6E208460" w14:textId="77777777" w:rsidTr="00E369BC">
        <w:trPr>
          <w:jc w:val="center"/>
        </w:trPr>
        <w:tc>
          <w:tcPr>
            <w:tcW w:w="0" w:type="auto"/>
            <w:tcBorders>
              <w:top w:val="nil"/>
              <w:left w:val="nil"/>
              <w:bottom w:val="nil"/>
              <w:right w:val="nil"/>
            </w:tcBorders>
          </w:tcPr>
          <w:p w14:paraId="65DD04D8"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finmar</w:t>
            </w:r>
            <w:proofErr w:type="spellEnd"/>
          </w:p>
        </w:tc>
        <w:tc>
          <w:tcPr>
            <w:tcW w:w="0" w:type="auto"/>
            <w:tcBorders>
              <w:top w:val="nil"/>
              <w:left w:val="nil"/>
              <w:bottom w:val="nil"/>
              <w:right w:val="nil"/>
            </w:tcBorders>
          </w:tcPr>
          <w:p w14:paraId="6B0FB48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48E6D2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6FE223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E74A3C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BBAE71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-0.00405</w:t>
            </w:r>
          </w:p>
        </w:tc>
        <w:tc>
          <w:tcPr>
            <w:tcW w:w="0" w:type="auto"/>
            <w:tcBorders>
              <w:top w:val="nil"/>
              <w:left w:val="nil"/>
              <w:bottom w:val="nil"/>
              <w:right w:val="nil"/>
            </w:tcBorders>
          </w:tcPr>
          <w:p w14:paraId="3C3F941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-0.0198**</w:t>
            </w:r>
          </w:p>
        </w:tc>
      </w:tr>
      <w:tr w:rsidR="008F3998" w:rsidRPr="008F3998" w14:paraId="0312A29B" w14:textId="77777777" w:rsidTr="00E369BC">
        <w:trPr>
          <w:jc w:val="center"/>
        </w:trPr>
        <w:tc>
          <w:tcPr>
            <w:tcW w:w="0" w:type="auto"/>
            <w:tcBorders>
              <w:top w:val="nil"/>
              <w:left w:val="nil"/>
              <w:bottom w:val="nil"/>
              <w:right w:val="nil"/>
            </w:tcBorders>
          </w:tcPr>
          <w:p w14:paraId="70835128"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78CD562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86F024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5B7AEE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2BE45B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88536E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(0.00516)</w:t>
            </w:r>
          </w:p>
        </w:tc>
        <w:tc>
          <w:tcPr>
            <w:tcW w:w="0" w:type="auto"/>
            <w:tcBorders>
              <w:top w:val="nil"/>
              <w:left w:val="nil"/>
              <w:bottom w:val="nil"/>
              <w:right w:val="nil"/>
            </w:tcBorders>
          </w:tcPr>
          <w:p w14:paraId="09970E7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(0.00550)</w:t>
            </w:r>
          </w:p>
        </w:tc>
      </w:tr>
      <w:tr w:rsidR="008F3998" w:rsidRPr="008F3998" w14:paraId="70173605" w14:textId="77777777" w:rsidTr="00E369BC">
        <w:trPr>
          <w:jc w:val="center"/>
        </w:trPr>
        <w:tc>
          <w:tcPr>
            <w:tcW w:w="0" w:type="auto"/>
            <w:tcBorders>
              <w:top w:val="nil"/>
              <w:left w:val="nil"/>
              <w:bottom w:val="nil"/>
              <w:right w:val="nil"/>
            </w:tcBorders>
          </w:tcPr>
          <w:p w14:paraId="7CF4D0B3"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marmsci</w:t>
            </w:r>
            <w:proofErr w:type="spellEnd"/>
          </w:p>
        </w:tc>
        <w:tc>
          <w:tcPr>
            <w:tcW w:w="0" w:type="auto"/>
            <w:tcBorders>
              <w:top w:val="nil"/>
              <w:left w:val="nil"/>
              <w:bottom w:val="nil"/>
              <w:right w:val="nil"/>
            </w:tcBorders>
          </w:tcPr>
          <w:p w14:paraId="56F74C4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68371EA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5A0EAF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962622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3E5BCE3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-8.96e-05</w:t>
            </w:r>
          </w:p>
        </w:tc>
        <w:tc>
          <w:tcPr>
            <w:tcW w:w="0" w:type="auto"/>
            <w:tcBorders>
              <w:top w:val="nil"/>
              <w:left w:val="nil"/>
              <w:bottom w:val="nil"/>
              <w:right w:val="nil"/>
            </w:tcBorders>
          </w:tcPr>
          <w:p w14:paraId="6302738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-0.000204***</w:t>
            </w:r>
          </w:p>
        </w:tc>
      </w:tr>
      <w:tr w:rsidR="008F3998" w:rsidRPr="008F3998" w14:paraId="7D273C71" w14:textId="77777777" w:rsidTr="00E369BC">
        <w:trPr>
          <w:jc w:val="center"/>
        </w:trPr>
        <w:tc>
          <w:tcPr>
            <w:tcW w:w="0" w:type="auto"/>
            <w:tcBorders>
              <w:top w:val="nil"/>
              <w:left w:val="nil"/>
              <w:bottom w:val="nil"/>
              <w:right w:val="nil"/>
            </w:tcBorders>
          </w:tcPr>
          <w:p w14:paraId="45804332"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649EA5D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354DDAD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6D03B0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D7435E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6E43F27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(5.57e-05)</w:t>
            </w:r>
          </w:p>
        </w:tc>
        <w:tc>
          <w:tcPr>
            <w:tcW w:w="0" w:type="auto"/>
            <w:tcBorders>
              <w:top w:val="nil"/>
              <w:left w:val="nil"/>
              <w:bottom w:val="nil"/>
              <w:right w:val="nil"/>
            </w:tcBorders>
          </w:tcPr>
          <w:p w14:paraId="3FBAD26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(4.86e-05)</w:t>
            </w:r>
          </w:p>
        </w:tc>
      </w:tr>
      <w:tr w:rsidR="008F3998" w:rsidRPr="008F3998" w14:paraId="49A39CE0" w14:textId="77777777" w:rsidTr="00E369BC">
        <w:trPr>
          <w:jc w:val="center"/>
        </w:trPr>
        <w:tc>
          <w:tcPr>
            <w:tcW w:w="0" w:type="auto"/>
            <w:tcBorders>
              <w:top w:val="nil"/>
              <w:left w:val="nil"/>
              <w:bottom w:val="nil"/>
              <w:right w:val="nil"/>
            </w:tcBorders>
          </w:tcPr>
          <w:p w14:paraId="6546B8A1"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marcap</w:t>
            </w:r>
            <w:proofErr w:type="spellEnd"/>
          </w:p>
        </w:tc>
        <w:tc>
          <w:tcPr>
            <w:tcW w:w="0" w:type="auto"/>
            <w:tcBorders>
              <w:top w:val="nil"/>
              <w:left w:val="nil"/>
              <w:bottom w:val="nil"/>
              <w:right w:val="nil"/>
            </w:tcBorders>
          </w:tcPr>
          <w:p w14:paraId="6525E2C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97B15B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1FDB4C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D0CE3E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290C65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3.14e-14</w:t>
            </w:r>
          </w:p>
        </w:tc>
        <w:tc>
          <w:tcPr>
            <w:tcW w:w="0" w:type="auto"/>
            <w:tcBorders>
              <w:top w:val="nil"/>
              <w:left w:val="nil"/>
              <w:bottom w:val="nil"/>
              <w:right w:val="nil"/>
            </w:tcBorders>
          </w:tcPr>
          <w:p w14:paraId="37155D2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4.76e-14</w:t>
            </w:r>
          </w:p>
        </w:tc>
      </w:tr>
      <w:tr w:rsidR="008F3998" w:rsidRPr="008F3998" w14:paraId="335C8D4E" w14:textId="77777777" w:rsidTr="00E369BC">
        <w:trPr>
          <w:jc w:val="center"/>
        </w:trPr>
        <w:tc>
          <w:tcPr>
            <w:tcW w:w="0" w:type="auto"/>
            <w:tcBorders>
              <w:top w:val="nil"/>
              <w:left w:val="nil"/>
              <w:bottom w:val="nil"/>
              <w:right w:val="nil"/>
            </w:tcBorders>
          </w:tcPr>
          <w:p w14:paraId="24C612F2"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5DD1920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BDBCE4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A85CC1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9F46F9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168F14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(4.40e-14)</w:t>
            </w:r>
          </w:p>
        </w:tc>
        <w:tc>
          <w:tcPr>
            <w:tcW w:w="0" w:type="auto"/>
            <w:tcBorders>
              <w:top w:val="nil"/>
              <w:left w:val="nil"/>
              <w:bottom w:val="nil"/>
              <w:right w:val="nil"/>
            </w:tcBorders>
          </w:tcPr>
          <w:p w14:paraId="31FC33D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(9.28e-14)</w:t>
            </w:r>
          </w:p>
        </w:tc>
      </w:tr>
      <w:tr w:rsidR="008F3998" w:rsidRPr="008F3998" w14:paraId="04243930" w14:textId="77777777" w:rsidTr="00E369BC">
        <w:trPr>
          <w:jc w:val="center"/>
        </w:trPr>
        <w:tc>
          <w:tcPr>
            <w:tcW w:w="0" w:type="auto"/>
            <w:tcBorders>
              <w:top w:val="nil"/>
              <w:left w:val="nil"/>
              <w:bottom w:val="nil"/>
              <w:right w:val="nil"/>
            </w:tcBorders>
          </w:tcPr>
          <w:p w14:paraId="00A5A70B"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finmsci</w:t>
            </w:r>
            <w:proofErr w:type="spellEnd"/>
          </w:p>
        </w:tc>
        <w:tc>
          <w:tcPr>
            <w:tcW w:w="0" w:type="auto"/>
            <w:tcBorders>
              <w:top w:val="nil"/>
              <w:left w:val="nil"/>
              <w:bottom w:val="nil"/>
              <w:right w:val="nil"/>
            </w:tcBorders>
          </w:tcPr>
          <w:p w14:paraId="6E06079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85DB24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3D8C9AE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61FF67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33F564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0.00338</w:t>
            </w:r>
          </w:p>
        </w:tc>
        <w:tc>
          <w:tcPr>
            <w:tcW w:w="0" w:type="auto"/>
            <w:tcBorders>
              <w:top w:val="nil"/>
              <w:left w:val="nil"/>
              <w:bottom w:val="nil"/>
              <w:right w:val="nil"/>
            </w:tcBorders>
          </w:tcPr>
          <w:p w14:paraId="4FDD9ED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0.0175</w:t>
            </w:r>
          </w:p>
        </w:tc>
      </w:tr>
      <w:tr w:rsidR="008F3998" w:rsidRPr="008F3998" w14:paraId="6D2F4396" w14:textId="77777777" w:rsidTr="00E369BC">
        <w:trPr>
          <w:jc w:val="center"/>
        </w:trPr>
        <w:tc>
          <w:tcPr>
            <w:tcW w:w="0" w:type="auto"/>
            <w:tcBorders>
              <w:top w:val="nil"/>
              <w:left w:val="nil"/>
              <w:bottom w:val="nil"/>
              <w:right w:val="nil"/>
            </w:tcBorders>
          </w:tcPr>
          <w:p w14:paraId="7CB2A30D"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6C2627E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ED59E4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342545F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4FA9FA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6DCA971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(0.00831)</w:t>
            </w:r>
          </w:p>
        </w:tc>
        <w:tc>
          <w:tcPr>
            <w:tcW w:w="0" w:type="auto"/>
            <w:tcBorders>
              <w:top w:val="nil"/>
              <w:left w:val="nil"/>
              <w:bottom w:val="nil"/>
              <w:right w:val="nil"/>
            </w:tcBorders>
          </w:tcPr>
          <w:p w14:paraId="1014132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(0.0101)</w:t>
            </w:r>
          </w:p>
        </w:tc>
      </w:tr>
      <w:tr w:rsidR="008F3998" w:rsidRPr="008F3998" w14:paraId="2A3FDD78" w14:textId="77777777" w:rsidTr="00E369BC">
        <w:trPr>
          <w:jc w:val="center"/>
        </w:trPr>
        <w:tc>
          <w:tcPr>
            <w:tcW w:w="0" w:type="auto"/>
            <w:tcBorders>
              <w:top w:val="nil"/>
              <w:left w:val="nil"/>
              <w:bottom w:val="nil"/>
              <w:right w:val="nil"/>
            </w:tcBorders>
          </w:tcPr>
          <w:p w14:paraId="4940C6D4"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∆stoxx50</w:t>
            </w:r>
          </w:p>
        </w:tc>
        <w:tc>
          <w:tcPr>
            <w:tcW w:w="0" w:type="auto"/>
            <w:tcBorders>
              <w:top w:val="nil"/>
              <w:left w:val="nil"/>
              <w:bottom w:val="nil"/>
              <w:right w:val="nil"/>
            </w:tcBorders>
          </w:tcPr>
          <w:p w14:paraId="55189E3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C7B613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44DCA7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75CC2E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CAE981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0.000495</w:t>
            </w:r>
          </w:p>
        </w:tc>
        <w:tc>
          <w:tcPr>
            <w:tcW w:w="0" w:type="auto"/>
            <w:tcBorders>
              <w:top w:val="nil"/>
              <w:left w:val="nil"/>
              <w:bottom w:val="nil"/>
              <w:right w:val="nil"/>
            </w:tcBorders>
          </w:tcPr>
          <w:p w14:paraId="210DD20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0.00138**</w:t>
            </w:r>
          </w:p>
        </w:tc>
      </w:tr>
      <w:tr w:rsidR="008F3998" w:rsidRPr="008F3998" w14:paraId="1F54B606" w14:textId="77777777" w:rsidTr="00E369BC">
        <w:trPr>
          <w:jc w:val="center"/>
        </w:trPr>
        <w:tc>
          <w:tcPr>
            <w:tcW w:w="0" w:type="auto"/>
            <w:tcBorders>
              <w:top w:val="nil"/>
              <w:left w:val="nil"/>
              <w:bottom w:val="nil"/>
              <w:right w:val="nil"/>
            </w:tcBorders>
          </w:tcPr>
          <w:p w14:paraId="6F200687"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3AA7634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29771F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6FC7AF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5F05DB8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EC296D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(0.000340)</w:t>
            </w:r>
          </w:p>
        </w:tc>
        <w:tc>
          <w:tcPr>
            <w:tcW w:w="0" w:type="auto"/>
            <w:tcBorders>
              <w:top w:val="nil"/>
              <w:left w:val="nil"/>
              <w:bottom w:val="nil"/>
              <w:right w:val="nil"/>
            </w:tcBorders>
          </w:tcPr>
          <w:p w14:paraId="0A20973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(0.000509)</w:t>
            </w:r>
          </w:p>
        </w:tc>
      </w:tr>
      <w:tr w:rsidR="008F3998" w:rsidRPr="008F3998" w14:paraId="22B86947" w14:textId="77777777" w:rsidTr="00E369BC">
        <w:trPr>
          <w:jc w:val="center"/>
        </w:trPr>
        <w:tc>
          <w:tcPr>
            <w:tcW w:w="0" w:type="auto"/>
            <w:tcBorders>
              <w:top w:val="nil"/>
              <w:left w:val="nil"/>
              <w:bottom w:val="nil"/>
              <w:right w:val="nil"/>
            </w:tcBorders>
          </w:tcPr>
          <w:p w14:paraId="0FD7D6C1"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hyyield</w:t>
            </w:r>
            <w:proofErr w:type="spellEnd"/>
          </w:p>
        </w:tc>
        <w:tc>
          <w:tcPr>
            <w:tcW w:w="0" w:type="auto"/>
            <w:tcBorders>
              <w:top w:val="nil"/>
              <w:left w:val="nil"/>
              <w:bottom w:val="nil"/>
              <w:right w:val="nil"/>
            </w:tcBorders>
          </w:tcPr>
          <w:p w14:paraId="6656640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B48706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50D160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212F8F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CE6D1B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0.000516</w:t>
            </w:r>
          </w:p>
        </w:tc>
        <w:tc>
          <w:tcPr>
            <w:tcW w:w="0" w:type="auto"/>
            <w:tcBorders>
              <w:top w:val="nil"/>
              <w:left w:val="nil"/>
              <w:bottom w:val="nil"/>
              <w:right w:val="nil"/>
            </w:tcBorders>
          </w:tcPr>
          <w:p w14:paraId="4E07F7C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0.00697*</w:t>
            </w:r>
          </w:p>
        </w:tc>
      </w:tr>
      <w:tr w:rsidR="008F3998" w:rsidRPr="008F3998" w14:paraId="1B96E9B3" w14:textId="77777777" w:rsidTr="00E369BC">
        <w:trPr>
          <w:jc w:val="center"/>
        </w:trPr>
        <w:tc>
          <w:tcPr>
            <w:tcW w:w="0" w:type="auto"/>
            <w:tcBorders>
              <w:top w:val="nil"/>
              <w:left w:val="nil"/>
              <w:bottom w:val="nil"/>
              <w:right w:val="nil"/>
            </w:tcBorders>
          </w:tcPr>
          <w:p w14:paraId="17AB8B2F"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2B073B0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F6F604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ECDE94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3C7BF07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9C4AF6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(0.00171)</w:t>
            </w:r>
          </w:p>
        </w:tc>
        <w:tc>
          <w:tcPr>
            <w:tcW w:w="0" w:type="auto"/>
            <w:tcBorders>
              <w:top w:val="nil"/>
              <w:left w:val="nil"/>
              <w:bottom w:val="nil"/>
              <w:right w:val="nil"/>
            </w:tcBorders>
          </w:tcPr>
          <w:p w14:paraId="098A597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(0.00331)</w:t>
            </w:r>
          </w:p>
        </w:tc>
      </w:tr>
      <w:tr w:rsidR="008F3998" w:rsidRPr="008F3998" w14:paraId="4BF98AE9" w14:textId="77777777" w:rsidTr="00E369BC">
        <w:trPr>
          <w:jc w:val="center"/>
        </w:trPr>
        <w:tc>
          <w:tcPr>
            <w:tcW w:w="0" w:type="auto"/>
            <w:tcBorders>
              <w:top w:val="nil"/>
              <w:left w:val="nil"/>
              <w:bottom w:val="nil"/>
              <w:right w:val="nil"/>
            </w:tcBorders>
          </w:tcPr>
          <w:p w14:paraId="079025BD"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w:t>
            </w:r>
            <w:proofErr w:type="spellStart"/>
            <w:r w:rsidRPr="008F3998">
              <w:rPr>
                <w:rFonts w:ascii="Times New Roman" w:hAnsi="Times New Roman" w:cs="Times New Roman"/>
                <w:sz w:val="20"/>
                <w:szCs w:val="20"/>
              </w:rPr>
              <w:t>igyield</w:t>
            </w:r>
            <w:proofErr w:type="spellEnd"/>
          </w:p>
        </w:tc>
        <w:tc>
          <w:tcPr>
            <w:tcW w:w="0" w:type="auto"/>
            <w:tcBorders>
              <w:top w:val="nil"/>
              <w:left w:val="nil"/>
              <w:bottom w:val="nil"/>
              <w:right w:val="nil"/>
            </w:tcBorders>
          </w:tcPr>
          <w:p w14:paraId="40046F7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536189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759BD8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8C7F29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49B2D7A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0.000348</w:t>
            </w:r>
          </w:p>
        </w:tc>
        <w:tc>
          <w:tcPr>
            <w:tcW w:w="0" w:type="auto"/>
            <w:tcBorders>
              <w:top w:val="nil"/>
              <w:left w:val="nil"/>
              <w:bottom w:val="nil"/>
              <w:right w:val="nil"/>
            </w:tcBorders>
          </w:tcPr>
          <w:p w14:paraId="6D074BF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0.00533</w:t>
            </w:r>
          </w:p>
        </w:tc>
      </w:tr>
      <w:tr w:rsidR="008F3998" w:rsidRPr="008F3998" w14:paraId="28450A7D" w14:textId="77777777" w:rsidTr="00E369BC">
        <w:trPr>
          <w:jc w:val="center"/>
        </w:trPr>
        <w:tc>
          <w:tcPr>
            <w:tcW w:w="0" w:type="auto"/>
            <w:tcBorders>
              <w:top w:val="nil"/>
              <w:left w:val="nil"/>
              <w:bottom w:val="nil"/>
              <w:right w:val="nil"/>
            </w:tcBorders>
          </w:tcPr>
          <w:p w14:paraId="3F52DA32"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14:paraId="688989E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7F7D3A2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022D3AC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1C34656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14:paraId="2123892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(0.00152)</w:t>
            </w:r>
          </w:p>
        </w:tc>
        <w:tc>
          <w:tcPr>
            <w:tcW w:w="0" w:type="auto"/>
            <w:tcBorders>
              <w:top w:val="nil"/>
              <w:left w:val="nil"/>
              <w:bottom w:val="nil"/>
              <w:right w:val="nil"/>
            </w:tcBorders>
          </w:tcPr>
          <w:p w14:paraId="6B51480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(0.00403)</w:t>
            </w:r>
          </w:p>
        </w:tc>
      </w:tr>
      <w:tr w:rsidR="008F3998" w:rsidRPr="008F3998" w14:paraId="4CAB054E" w14:textId="77777777" w:rsidTr="00E369BC">
        <w:trPr>
          <w:jc w:val="center"/>
        </w:trPr>
        <w:tc>
          <w:tcPr>
            <w:tcW w:w="0" w:type="auto"/>
            <w:tcBorders>
              <w:top w:val="nil"/>
              <w:left w:val="nil"/>
              <w:right w:val="nil"/>
            </w:tcBorders>
          </w:tcPr>
          <w:p w14:paraId="7BB01E12"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Constant</w:t>
            </w:r>
          </w:p>
        </w:tc>
        <w:tc>
          <w:tcPr>
            <w:tcW w:w="0" w:type="auto"/>
            <w:tcBorders>
              <w:top w:val="nil"/>
              <w:left w:val="nil"/>
              <w:right w:val="nil"/>
            </w:tcBorders>
          </w:tcPr>
          <w:p w14:paraId="2E7E8F6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-0.284**</w:t>
            </w:r>
          </w:p>
        </w:tc>
        <w:tc>
          <w:tcPr>
            <w:tcW w:w="0" w:type="auto"/>
            <w:tcBorders>
              <w:top w:val="nil"/>
              <w:left w:val="nil"/>
              <w:right w:val="nil"/>
            </w:tcBorders>
          </w:tcPr>
          <w:p w14:paraId="484F330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-0.435**</w:t>
            </w:r>
          </w:p>
        </w:tc>
        <w:tc>
          <w:tcPr>
            <w:tcW w:w="0" w:type="auto"/>
            <w:tcBorders>
              <w:top w:val="nil"/>
              <w:left w:val="nil"/>
              <w:right w:val="nil"/>
            </w:tcBorders>
          </w:tcPr>
          <w:p w14:paraId="2164CB7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-0.314**</w:t>
            </w:r>
          </w:p>
        </w:tc>
        <w:tc>
          <w:tcPr>
            <w:tcW w:w="0" w:type="auto"/>
            <w:tcBorders>
              <w:top w:val="nil"/>
              <w:left w:val="nil"/>
              <w:right w:val="nil"/>
            </w:tcBorders>
          </w:tcPr>
          <w:p w14:paraId="32DE51B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-0.529***</w:t>
            </w:r>
          </w:p>
        </w:tc>
        <w:tc>
          <w:tcPr>
            <w:tcW w:w="0" w:type="auto"/>
            <w:tcBorders>
              <w:top w:val="nil"/>
              <w:left w:val="nil"/>
              <w:right w:val="nil"/>
            </w:tcBorders>
          </w:tcPr>
          <w:p w14:paraId="15F2EB1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-0.125</w:t>
            </w:r>
          </w:p>
        </w:tc>
        <w:tc>
          <w:tcPr>
            <w:tcW w:w="0" w:type="auto"/>
            <w:tcBorders>
              <w:top w:val="nil"/>
              <w:left w:val="nil"/>
              <w:right w:val="nil"/>
            </w:tcBorders>
          </w:tcPr>
          <w:p w14:paraId="2331E85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-0.254</w:t>
            </w:r>
          </w:p>
        </w:tc>
      </w:tr>
      <w:tr w:rsidR="008F3998" w:rsidRPr="008F3998" w14:paraId="0A46601A" w14:textId="77777777" w:rsidTr="00E369BC">
        <w:trPr>
          <w:jc w:val="center"/>
        </w:trPr>
        <w:tc>
          <w:tcPr>
            <w:tcW w:w="0" w:type="auto"/>
            <w:tcBorders>
              <w:top w:val="nil"/>
              <w:left w:val="nil"/>
              <w:bottom w:val="single" w:sz="4" w:space="0" w:color="auto"/>
              <w:right w:val="nil"/>
            </w:tcBorders>
          </w:tcPr>
          <w:p w14:paraId="57F767E9"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tcPr>
          <w:p w14:paraId="495A490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(0.0935)</w:t>
            </w:r>
          </w:p>
        </w:tc>
        <w:tc>
          <w:tcPr>
            <w:tcW w:w="0" w:type="auto"/>
            <w:tcBorders>
              <w:top w:val="nil"/>
              <w:left w:val="nil"/>
              <w:bottom w:val="single" w:sz="4" w:space="0" w:color="auto"/>
              <w:right w:val="nil"/>
            </w:tcBorders>
          </w:tcPr>
          <w:p w14:paraId="27B0AD9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(0.132)</w:t>
            </w:r>
          </w:p>
        </w:tc>
        <w:tc>
          <w:tcPr>
            <w:tcW w:w="0" w:type="auto"/>
            <w:tcBorders>
              <w:top w:val="nil"/>
              <w:left w:val="nil"/>
              <w:bottom w:val="single" w:sz="4" w:space="0" w:color="auto"/>
              <w:right w:val="nil"/>
            </w:tcBorders>
          </w:tcPr>
          <w:p w14:paraId="40016DF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(0.0905)</w:t>
            </w:r>
          </w:p>
        </w:tc>
        <w:tc>
          <w:tcPr>
            <w:tcW w:w="0" w:type="auto"/>
            <w:tcBorders>
              <w:top w:val="nil"/>
              <w:left w:val="nil"/>
              <w:bottom w:val="single" w:sz="4" w:space="0" w:color="auto"/>
              <w:right w:val="nil"/>
            </w:tcBorders>
          </w:tcPr>
          <w:p w14:paraId="11E3DE2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(0.133)</w:t>
            </w:r>
          </w:p>
        </w:tc>
        <w:tc>
          <w:tcPr>
            <w:tcW w:w="0" w:type="auto"/>
            <w:tcBorders>
              <w:top w:val="nil"/>
              <w:left w:val="nil"/>
              <w:bottom w:val="single" w:sz="4" w:space="0" w:color="auto"/>
              <w:right w:val="nil"/>
            </w:tcBorders>
          </w:tcPr>
          <w:p w14:paraId="6DCED7C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(0.140)</w:t>
            </w:r>
          </w:p>
        </w:tc>
        <w:tc>
          <w:tcPr>
            <w:tcW w:w="0" w:type="auto"/>
            <w:tcBorders>
              <w:top w:val="nil"/>
              <w:left w:val="nil"/>
              <w:bottom w:val="single" w:sz="4" w:space="0" w:color="auto"/>
              <w:right w:val="nil"/>
            </w:tcBorders>
          </w:tcPr>
          <w:p w14:paraId="333819E6"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(0.220)</w:t>
            </w:r>
          </w:p>
        </w:tc>
      </w:tr>
      <w:tr w:rsidR="008F3998" w:rsidRPr="008F3998" w14:paraId="2057FAEE" w14:textId="77777777" w:rsidTr="00E369BC">
        <w:trPr>
          <w:jc w:val="center"/>
        </w:trPr>
        <w:tc>
          <w:tcPr>
            <w:tcW w:w="0" w:type="auto"/>
            <w:tcBorders>
              <w:top w:val="single" w:sz="4" w:space="0" w:color="auto"/>
              <w:left w:val="nil"/>
              <w:bottom w:val="single" w:sz="4" w:space="0" w:color="auto"/>
              <w:right w:val="nil"/>
            </w:tcBorders>
          </w:tcPr>
          <w:p w14:paraId="48E18D3A"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Diagnostics</w:t>
            </w:r>
          </w:p>
        </w:tc>
        <w:tc>
          <w:tcPr>
            <w:tcW w:w="0" w:type="auto"/>
            <w:tcBorders>
              <w:top w:val="single" w:sz="4" w:space="0" w:color="auto"/>
              <w:left w:val="nil"/>
              <w:bottom w:val="single" w:sz="4" w:space="0" w:color="auto"/>
              <w:right w:val="nil"/>
            </w:tcBorders>
          </w:tcPr>
          <w:p w14:paraId="0FF3C45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15C0D28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2159DF2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0FD2F85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2B8F0B2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29AB0127"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p>
        </w:tc>
      </w:tr>
      <w:tr w:rsidR="008F3998" w:rsidRPr="008F3998" w14:paraId="068752DE" w14:textId="77777777" w:rsidTr="00E369BC">
        <w:trPr>
          <w:jc w:val="center"/>
        </w:trPr>
        <w:tc>
          <w:tcPr>
            <w:tcW w:w="0" w:type="auto"/>
            <w:tcBorders>
              <w:top w:val="single" w:sz="4" w:space="0" w:color="auto"/>
              <w:left w:val="nil"/>
              <w:bottom w:val="nil"/>
              <w:right w:val="nil"/>
            </w:tcBorders>
          </w:tcPr>
          <w:p w14:paraId="6A42340E"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Observations</w:t>
            </w:r>
          </w:p>
        </w:tc>
        <w:tc>
          <w:tcPr>
            <w:tcW w:w="0" w:type="auto"/>
            <w:tcBorders>
              <w:top w:val="single" w:sz="4" w:space="0" w:color="auto"/>
              <w:left w:val="nil"/>
              <w:bottom w:val="nil"/>
              <w:right w:val="nil"/>
            </w:tcBorders>
          </w:tcPr>
          <w:p w14:paraId="08D3F4C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4661204C"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1720E67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643546E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6AEEF60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57</w:t>
            </w:r>
          </w:p>
        </w:tc>
        <w:tc>
          <w:tcPr>
            <w:tcW w:w="0" w:type="auto"/>
            <w:tcBorders>
              <w:top w:val="single" w:sz="4" w:space="0" w:color="auto"/>
              <w:left w:val="nil"/>
              <w:bottom w:val="nil"/>
              <w:right w:val="nil"/>
            </w:tcBorders>
          </w:tcPr>
          <w:p w14:paraId="6C61FF2D"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57</w:t>
            </w:r>
          </w:p>
        </w:tc>
      </w:tr>
      <w:tr w:rsidR="008F3998" w:rsidRPr="008F3998" w14:paraId="6472D2A6" w14:textId="77777777" w:rsidTr="00E369BC">
        <w:trPr>
          <w:jc w:val="center"/>
        </w:trPr>
        <w:tc>
          <w:tcPr>
            <w:tcW w:w="0" w:type="auto"/>
            <w:tcBorders>
              <w:top w:val="nil"/>
              <w:left w:val="nil"/>
              <w:bottom w:val="nil"/>
              <w:right w:val="nil"/>
            </w:tcBorders>
          </w:tcPr>
          <w:p w14:paraId="1082C952" w14:textId="5E2B1C76" w:rsidR="00730CEB" w:rsidRPr="008F3998" w:rsidRDefault="008F3998" w:rsidP="00E369BC">
            <w:pPr>
              <w:widowControl w:val="0"/>
              <w:autoSpaceDE w:val="0"/>
              <w:autoSpaceDN w:val="0"/>
              <w:adjustRightInd w:val="0"/>
              <w:spacing w:after="0" w:line="240" w:lineRule="auto"/>
              <w:rPr>
                <w:rFonts w:ascii="Times New Roman" w:hAnsi="Times New Roman" w:cs="Times New Roman"/>
                <w:sz w:val="20"/>
                <w:szCs w:val="20"/>
              </w:rPr>
            </w:pP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p>
                  <m:r>
                    <w:rPr>
                      <w:rFonts w:ascii="Cambria Math" w:hAnsi="Cambria Math" w:cs="Times New Roman"/>
                      <w:sz w:val="20"/>
                      <w:szCs w:val="20"/>
                    </w:rPr>
                    <m:t>2</m:t>
                  </m:r>
                </m:sup>
              </m:sSup>
            </m:oMath>
            <w:r w:rsidR="00F45689" w:rsidRPr="008F3998">
              <w:rPr>
                <w:rFonts w:ascii="Times New Roman" w:eastAsiaTheme="minorEastAsia" w:hAnsi="Times New Roman" w:cs="Times New Roman"/>
                <w:sz w:val="20"/>
                <w:szCs w:val="20"/>
              </w:rPr>
              <w:t xml:space="preserve"> (within)</w:t>
            </w:r>
          </w:p>
        </w:tc>
        <w:tc>
          <w:tcPr>
            <w:tcW w:w="0" w:type="auto"/>
            <w:tcBorders>
              <w:top w:val="nil"/>
              <w:left w:val="nil"/>
              <w:bottom w:val="nil"/>
              <w:right w:val="nil"/>
            </w:tcBorders>
          </w:tcPr>
          <w:p w14:paraId="04720AE3"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0.057</w:t>
            </w:r>
          </w:p>
        </w:tc>
        <w:tc>
          <w:tcPr>
            <w:tcW w:w="0" w:type="auto"/>
            <w:tcBorders>
              <w:top w:val="nil"/>
              <w:left w:val="nil"/>
              <w:bottom w:val="nil"/>
              <w:right w:val="nil"/>
            </w:tcBorders>
          </w:tcPr>
          <w:p w14:paraId="26184D8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0.050</w:t>
            </w:r>
          </w:p>
        </w:tc>
        <w:tc>
          <w:tcPr>
            <w:tcW w:w="0" w:type="auto"/>
            <w:tcBorders>
              <w:top w:val="nil"/>
              <w:left w:val="nil"/>
              <w:bottom w:val="nil"/>
              <w:right w:val="nil"/>
            </w:tcBorders>
          </w:tcPr>
          <w:p w14:paraId="0D6219B2"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0.060</w:t>
            </w:r>
          </w:p>
        </w:tc>
        <w:tc>
          <w:tcPr>
            <w:tcW w:w="0" w:type="auto"/>
            <w:tcBorders>
              <w:top w:val="nil"/>
              <w:left w:val="nil"/>
              <w:bottom w:val="nil"/>
              <w:right w:val="nil"/>
            </w:tcBorders>
          </w:tcPr>
          <w:p w14:paraId="07806E4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0.062</w:t>
            </w:r>
          </w:p>
        </w:tc>
        <w:tc>
          <w:tcPr>
            <w:tcW w:w="0" w:type="auto"/>
            <w:tcBorders>
              <w:top w:val="nil"/>
              <w:left w:val="nil"/>
              <w:bottom w:val="nil"/>
              <w:right w:val="nil"/>
            </w:tcBorders>
          </w:tcPr>
          <w:p w14:paraId="651243A5"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0.530</w:t>
            </w:r>
          </w:p>
        </w:tc>
        <w:tc>
          <w:tcPr>
            <w:tcW w:w="0" w:type="auto"/>
            <w:tcBorders>
              <w:top w:val="nil"/>
              <w:left w:val="nil"/>
              <w:bottom w:val="nil"/>
              <w:right w:val="nil"/>
            </w:tcBorders>
          </w:tcPr>
          <w:p w14:paraId="08BA0C34"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0.480</w:t>
            </w:r>
          </w:p>
        </w:tc>
      </w:tr>
      <w:tr w:rsidR="008F3998" w:rsidRPr="008F3998" w14:paraId="70195E41" w14:textId="77777777" w:rsidTr="00E369BC">
        <w:trPr>
          <w:jc w:val="center"/>
        </w:trPr>
        <w:tc>
          <w:tcPr>
            <w:tcW w:w="0" w:type="auto"/>
            <w:tcBorders>
              <w:top w:val="nil"/>
              <w:left w:val="nil"/>
              <w:right w:val="nil"/>
            </w:tcBorders>
          </w:tcPr>
          <w:p w14:paraId="24080725"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Number of countries</w:t>
            </w:r>
          </w:p>
        </w:tc>
        <w:tc>
          <w:tcPr>
            <w:tcW w:w="0" w:type="auto"/>
            <w:tcBorders>
              <w:top w:val="nil"/>
              <w:left w:val="nil"/>
              <w:right w:val="nil"/>
            </w:tcBorders>
          </w:tcPr>
          <w:p w14:paraId="6306CBF0"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16CAAA8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77FDC06E"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5CCC3AA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21F36B98"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127365E9"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7</w:t>
            </w:r>
          </w:p>
        </w:tc>
      </w:tr>
      <w:tr w:rsidR="008F3998" w:rsidRPr="008F3998" w14:paraId="44CC0D95" w14:textId="77777777" w:rsidTr="00E369BC">
        <w:tblPrEx>
          <w:tblBorders>
            <w:bottom w:val="single" w:sz="6" w:space="0" w:color="auto"/>
          </w:tblBorders>
        </w:tblPrEx>
        <w:trPr>
          <w:jc w:val="center"/>
        </w:trPr>
        <w:tc>
          <w:tcPr>
            <w:tcW w:w="0" w:type="auto"/>
            <w:tcBorders>
              <w:top w:val="nil"/>
              <w:left w:val="nil"/>
              <w:bottom w:val="single" w:sz="4" w:space="0" w:color="auto"/>
              <w:right w:val="nil"/>
            </w:tcBorders>
          </w:tcPr>
          <w:p w14:paraId="1841CFD0" w14:textId="77777777" w:rsidR="00730CEB" w:rsidRPr="008F3998" w:rsidRDefault="00730CEB" w:rsidP="00E369BC">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Country FE</w:t>
            </w:r>
          </w:p>
        </w:tc>
        <w:tc>
          <w:tcPr>
            <w:tcW w:w="0" w:type="auto"/>
            <w:tcBorders>
              <w:top w:val="nil"/>
              <w:left w:val="nil"/>
              <w:bottom w:val="single" w:sz="4" w:space="0" w:color="auto"/>
              <w:right w:val="nil"/>
            </w:tcBorders>
          </w:tcPr>
          <w:p w14:paraId="2FCE1D21"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1140482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6A1D508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01A7C3CF"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1C0F917A"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1C4CAE6B" w14:textId="77777777" w:rsidR="00730CEB" w:rsidRPr="008F3998" w:rsidRDefault="00730CEB" w:rsidP="00E369BC">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Yes</w:t>
            </w:r>
          </w:p>
        </w:tc>
      </w:tr>
    </w:tbl>
    <w:p w14:paraId="6331F2FE" w14:textId="77777777" w:rsidR="00730CEB" w:rsidRPr="008F3998" w:rsidRDefault="00730CEB" w:rsidP="00730CEB">
      <w:pPr>
        <w:widowControl w:val="0"/>
        <w:autoSpaceDE w:val="0"/>
        <w:autoSpaceDN w:val="0"/>
        <w:adjustRightInd w:val="0"/>
        <w:spacing w:after="0" w:line="240" w:lineRule="auto"/>
        <w:jc w:val="both"/>
        <w:rPr>
          <w:rFonts w:ascii="Times New Roman" w:hAnsi="Times New Roman" w:cs="Times New Roman"/>
          <w:sz w:val="20"/>
        </w:rPr>
      </w:pPr>
      <w:r w:rsidRPr="008F3998">
        <w:rPr>
          <w:rFonts w:ascii="Times New Roman" w:hAnsi="Times New Roman" w:cs="Times New Roman"/>
          <w:b/>
          <w:sz w:val="20"/>
        </w:rPr>
        <w:t>Notes:</w:t>
      </w:r>
      <w:r w:rsidRPr="008F3998">
        <w:rPr>
          <w:rFonts w:ascii="Times New Roman" w:hAnsi="Times New Roman" w:cs="Times New Roman"/>
          <w:sz w:val="20"/>
        </w:rPr>
        <w:t xml:space="preserve"> Parentheses provide robust standard errors. ***, **, &amp; * denote</w:t>
      </w:r>
      <w:r w:rsidRPr="008F3998">
        <w:t xml:space="preserve"> </w:t>
      </w:r>
      <w:r w:rsidRPr="008F3998">
        <w:rPr>
          <w:rFonts w:ascii="Times New Roman" w:hAnsi="Times New Roman" w:cs="Times New Roman"/>
          <w:sz w:val="20"/>
        </w:rPr>
        <w:t>statistical significance at 1%, 5%, &amp; 10% levels of significance (</w:t>
      </w:r>
      <m:oMath>
        <m:r>
          <w:rPr>
            <w:rFonts w:ascii="Cambria Math" w:hAnsi="Cambria Math" w:cs="Times New Roman"/>
            <w:sz w:val="20"/>
          </w:rPr>
          <m:t>α</m:t>
        </m:r>
      </m:oMath>
      <w:r w:rsidRPr="008F3998">
        <w:rPr>
          <w:rFonts w:ascii="Times New Roman" w:hAnsi="Times New Roman" w:cs="Times New Roman"/>
          <w:sz w:val="20"/>
        </w:rPr>
        <w:t>), respectively.</w:t>
      </w:r>
    </w:p>
    <w:p w14:paraId="495551E6" w14:textId="77777777" w:rsidR="00730CEB" w:rsidRPr="008F3998" w:rsidRDefault="00730CEB" w:rsidP="00730CEB">
      <w:pPr>
        <w:spacing w:line="360" w:lineRule="auto"/>
        <w:jc w:val="both"/>
        <w:rPr>
          <w:rFonts w:ascii="Times New Roman" w:hAnsi="Times New Roman" w:cs="Times New Roman"/>
          <w:position w:val="-12"/>
          <w:sz w:val="24"/>
        </w:rPr>
      </w:pPr>
    </w:p>
    <w:p w14:paraId="3D648F72" w14:textId="1FBF3F6E" w:rsidR="00730CEB" w:rsidRPr="008F3998" w:rsidRDefault="00B363C1" w:rsidP="00C669D2">
      <w:pPr>
        <w:spacing w:line="360" w:lineRule="auto"/>
        <w:ind w:firstLine="720"/>
        <w:jc w:val="both"/>
        <w:rPr>
          <w:rFonts w:ascii="Times New Roman" w:hAnsi="Times New Roman" w:cs="Times New Roman"/>
          <w:position w:val="-12"/>
          <w:sz w:val="24"/>
        </w:rPr>
      </w:pPr>
      <w:r w:rsidRPr="008F3998">
        <w:rPr>
          <w:rFonts w:ascii="Times New Roman" w:hAnsi="Times New Roman" w:cs="Times New Roman"/>
          <w:position w:val="-12"/>
          <w:sz w:val="24"/>
        </w:rPr>
        <w:t xml:space="preserve">Next, we check the persistence of our econometric model by running the dynamic models. </w:t>
      </w:r>
      <w:r w:rsidR="00B00BAF" w:rsidRPr="008F3998">
        <w:rPr>
          <w:rFonts w:ascii="Times New Roman" w:hAnsi="Times New Roman" w:cs="Times New Roman"/>
          <w:position w:val="-12"/>
          <w:sz w:val="24"/>
        </w:rPr>
        <w:t xml:space="preserve">The dynamic versions of models (6) to (8) can be found in Table </w:t>
      </w:r>
      <w:r w:rsidR="00F84DFB" w:rsidRPr="008F3998">
        <w:rPr>
          <w:rFonts w:ascii="Times New Roman" w:hAnsi="Times New Roman" w:cs="Times New Roman"/>
          <w:position w:val="-12"/>
          <w:sz w:val="24"/>
        </w:rPr>
        <w:t xml:space="preserve">A3 </w:t>
      </w:r>
      <w:r w:rsidR="00B00BAF" w:rsidRPr="008F3998">
        <w:rPr>
          <w:rFonts w:ascii="Times New Roman" w:hAnsi="Times New Roman" w:cs="Times New Roman"/>
          <w:position w:val="-12"/>
          <w:sz w:val="24"/>
        </w:rPr>
        <w:t>in Appendix</w:t>
      </w:r>
      <w:r w:rsidR="00013B5A" w:rsidRPr="008F3998">
        <w:rPr>
          <w:rFonts w:ascii="Times New Roman" w:hAnsi="Times New Roman" w:cs="Times New Roman"/>
          <w:position w:val="-12"/>
          <w:sz w:val="24"/>
        </w:rPr>
        <w:t xml:space="preserve"> A</w:t>
      </w:r>
      <w:r w:rsidR="00B00BAF" w:rsidRPr="008F3998">
        <w:rPr>
          <w:rFonts w:ascii="Times New Roman" w:hAnsi="Times New Roman" w:cs="Times New Roman"/>
          <w:position w:val="-12"/>
          <w:sz w:val="24"/>
        </w:rPr>
        <w:t>. As can b</w:t>
      </w:r>
      <w:r w:rsidR="00A23E08" w:rsidRPr="008F3998">
        <w:rPr>
          <w:rFonts w:ascii="Times New Roman" w:hAnsi="Times New Roman" w:cs="Times New Roman"/>
          <w:position w:val="-12"/>
          <w:sz w:val="24"/>
        </w:rPr>
        <w:t>e seen, the country financial risk-augmenting effect of carbon emissions remain valid in the dynamic models. The coefficients on the CO</w:t>
      </w:r>
      <w:r w:rsidR="00A23E08" w:rsidRPr="008F3998">
        <w:rPr>
          <w:rFonts w:ascii="Times New Roman" w:hAnsi="Times New Roman" w:cs="Times New Roman"/>
          <w:position w:val="-12"/>
          <w:sz w:val="24"/>
          <w:vertAlign w:val="subscript"/>
        </w:rPr>
        <w:t>2</w:t>
      </w:r>
      <w:r w:rsidR="00A23E08" w:rsidRPr="008F3998">
        <w:rPr>
          <w:rFonts w:ascii="Times New Roman" w:hAnsi="Times New Roman" w:cs="Times New Roman"/>
          <w:position w:val="-12"/>
          <w:sz w:val="24"/>
        </w:rPr>
        <w:t xml:space="preserve"> variables are statistically significant in a</w:t>
      </w:r>
      <w:r w:rsidR="0050413F" w:rsidRPr="008F3998">
        <w:rPr>
          <w:rFonts w:ascii="Times New Roman" w:hAnsi="Times New Roman" w:cs="Times New Roman"/>
          <w:position w:val="-12"/>
          <w:sz w:val="24"/>
        </w:rPr>
        <w:t xml:space="preserve">ll versions of the country risk models, except when the baseline model (6) is estimated with tail quantile as the dependent variable (column 1, Table </w:t>
      </w:r>
      <w:r w:rsidR="00A518B0" w:rsidRPr="008F3998">
        <w:rPr>
          <w:rFonts w:ascii="Times New Roman" w:hAnsi="Times New Roman" w:cs="Times New Roman"/>
          <w:position w:val="-12"/>
          <w:sz w:val="24"/>
        </w:rPr>
        <w:t>A3</w:t>
      </w:r>
      <w:r w:rsidR="0050413F" w:rsidRPr="008F3998">
        <w:rPr>
          <w:rFonts w:ascii="Times New Roman" w:hAnsi="Times New Roman" w:cs="Times New Roman"/>
          <w:position w:val="-12"/>
          <w:sz w:val="24"/>
        </w:rPr>
        <w:t>).</w:t>
      </w:r>
      <w:r w:rsidR="00A23E08" w:rsidRPr="008F3998">
        <w:rPr>
          <w:rFonts w:ascii="Times New Roman" w:hAnsi="Times New Roman" w:cs="Times New Roman"/>
          <w:position w:val="-12"/>
          <w:sz w:val="24"/>
        </w:rPr>
        <w:t xml:space="preserve"> The coefficients on carbon emissions are lower in the baseline models from the dynamic estimations (columns 1-4, Table </w:t>
      </w:r>
      <w:r w:rsidR="00A518B0" w:rsidRPr="008F3998">
        <w:rPr>
          <w:rFonts w:ascii="Times New Roman" w:hAnsi="Times New Roman" w:cs="Times New Roman"/>
          <w:position w:val="-12"/>
          <w:sz w:val="24"/>
        </w:rPr>
        <w:t>A3</w:t>
      </w:r>
      <w:r w:rsidR="00A23E08" w:rsidRPr="008F3998">
        <w:rPr>
          <w:rFonts w:ascii="Times New Roman" w:hAnsi="Times New Roman" w:cs="Times New Roman"/>
          <w:position w:val="-12"/>
          <w:sz w:val="24"/>
        </w:rPr>
        <w:t>, Appendix</w:t>
      </w:r>
      <w:r w:rsidR="00013B5A" w:rsidRPr="008F3998">
        <w:rPr>
          <w:rFonts w:ascii="Times New Roman" w:hAnsi="Times New Roman" w:cs="Times New Roman"/>
          <w:position w:val="-12"/>
          <w:sz w:val="24"/>
        </w:rPr>
        <w:t xml:space="preserve"> A</w:t>
      </w:r>
      <w:r w:rsidR="00A23E08" w:rsidRPr="008F3998">
        <w:rPr>
          <w:rFonts w:ascii="Times New Roman" w:hAnsi="Times New Roman" w:cs="Times New Roman"/>
          <w:position w:val="-12"/>
          <w:sz w:val="24"/>
        </w:rPr>
        <w:t>) when compared to static estimates in Table 3 (columns 1-4). However, in the full versions of the country risk models, i.e. equation (8), this effect is roughly the same (in magnitude) in both the static and dynamic estimations.</w:t>
      </w:r>
      <w:r w:rsidR="0050413F" w:rsidRPr="008F3998">
        <w:rPr>
          <w:rFonts w:ascii="Times New Roman" w:hAnsi="Times New Roman" w:cs="Times New Roman"/>
          <w:position w:val="-12"/>
          <w:sz w:val="24"/>
        </w:rPr>
        <w:t xml:space="preserve"> Stock market volatility (</w:t>
      </w:r>
      <w:proofErr w:type="spellStart"/>
      <w:r w:rsidR="0050413F" w:rsidRPr="008F3998">
        <w:rPr>
          <w:rFonts w:ascii="Times New Roman" w:hAnsi="Times New Roman" w:cs="Times New Roman"/>
          <w:i/>
          <w:position w:val="-12"/>
          <w:sz w:val="24"/>
        </w:rPr>
        <w:t>stmvol</w:t>
      </w:r>
      <w:proofErr w:type="spellEnd"/>
      <w:r w:rsidR="0050413F" w:rsidRPr="008F3998">
        <w:rPr>
          <w:rFonts w:ascii="Times New Roman" w:hAnsi="Times New Roman" w:cs="Times New Roman"/>
          <w:position w:val="-12"/>
          <w:sz w:val="24"/>
        </w:rPr>
        <w:t xml:space="preserve">) can be seen to have a lagged negative effect on financial risk in the baseline models (columns 1-4, Table </w:t>
      </w:r>
      <w:r w:rsidR="00A518B0" w:rsidRPr="008F3998">
        <w:rPr>
          <w:rFonts w:ascii="Times New Roman" w:hAnsi="Times New Roman" w:cs="Times New Roman"/>
          <w:position w:val="-12"/>
          <w:sz w:val="24"/>
        </w:rPr>
        <w:t>A3</w:t>
      </w:r>
      <w:r w:rsidR="0050413F" w:rsidRPr="008F3998">
        <w:rPr>
          <w:rFonts w:ascii="Times New Roman" w:hAnsi="Times New Roman" w:cs="Times New Roman"/>
          <w:position w:val="-12"/>
          <w:sz w:val="24"/>
        </w:rPr>
        <w:t xml:space="preserve">), while in the full models the negative effect is contemporaneous. In addition, </w:t>
      </w:r>
      <w:r w:rsidR="0050413F" w:rsidRPr="008F3998">
        <w:rPr>
          <w:rFonts w:ascii="Times New Roman" w:hAnsi="Times New Roman" w:cs="Times New Roman"/>
          <w:i/>
          <w:position w:val="-12"/>
          <w:sz w:val="24"/>
        </w:rPr>
        <w:t>stoxx50</w:t>
      </w:r>
      <w:r w:rsidR="0050413F" w:rsidRPr="008F3998">
        <w:rPr>
          <w:rFonts w:ascii="Times New Roman" w:hAnsi="Times New Roman" w:cs="Times New Roman"/>
          <w:position w:val="-12"/>
          <w:sz w:val="24"/>
        </w:rPr>
        <w:t xml:space="preserve"> can be seen to increase country risk contemporaneously and at first lag in column 6 of Table </w:t>
      </w:r>
      <w:r w:rsidR="00A518B0" w:rsidRPr="008F3998">
        <w:rPr>
          <w:rFonts w:ascii="Times New Roman" w:hAnsi="Times New Roman" w:cs="Times New Roman"/>
          <w:position w:val="-12"/>
          <w:sz w:val="24"/>
        </w:rPr>
        <w:t>A3</w:t>
      </w:r>
      <w:r w:rsidR="0050413F" w:rsidRPr="008F3998">
        <w:rPr>
          <w:rFonts w:ascii="Times New Roman" w:hAnsi="Times New Roman" w:cs="Times New Roman"/>
          <w:position w:val="-12"/>
          <w:sz w:val="24"/>
        </w:rPr>
        <w:t xml:space="preserve">. </w:t>
      </w:r>
      <w:proofErr w:type="spellStart"/>
      <w:proofErr w:type="gramStart"/>
      <w:r w:rsidR="0050413F" w:rsidRPr="008F3998">
        <w:rPr>
          <w:rFonts w:ascii="Times New Roman" w:hAnsi="Times New Roman" w:cs="Times New Roman"/>
          <w:i/>
          <w:position w:val="-12"/>
          <w:sz w:val="24"/>
        </w:rPr>
        <w:t>hyyield</w:t>
      </w:r>
      <w:proofErr w:type="spellEnd"/>
      <w:proofErr w:type="gramEnd"/>
      <w:r w:rsidR="0050413F" w:rsidRPr="008F3998">
        <w:rPr>
          <w:rFonts w:ascii="Times New Roman" w:hAnsi="Times New Roman" w:cs="Times New Roman"/>
          <w:position w:val="-12"/>
          <w:sz w:val="24"/>
        </w:rPr>
        <w:t xml:space="preserve"> appears to reduce risk in level form</w:t>
      </w:r>
      <w:r w:rsidR="00CE44B0" w:rsidRPr="008F3998">
        <w:rPr>
          <w:rFonts w:ascii="Times New Roman" w:hAnsi="Times New Roman" w:cs="Times New Roman"/>
          <w:position w:val="-12"/>
          <w:sz w:val="24"/>
        </w:rPr>
        <w:t xml:space="preserve"> and aggravate it in first lag form. In contrast,</w:t>
      </w:r>
      <w:r w:rsidR="0050413F" w:rsidRPr="008F3998">
        <w:rPr>
          <w:rFonts w:ascii="Times New Roman" w:hAnsi="Times New Roman" w:cs="Times New Roman"/>
          <w:position w:val="-12"/>
          <w:sz w:val="24"/>
        </w:rPr>
        <w:t xml:space="preserve"> </w:t>
      </w:r>
      <w:proofErr w:type="spellStart"/>
      <w:r w:rsidR="0050413F" w:rsidRPr="008F3998">
        <w:rPr>
          <w:rFonts w:ascii="Times New Roman" w:hAnsi="Times New Roman" w:cs="Times New Roman"/>
          <w:i/>
          <w:position w:val="-12"/>
          <w:sz w:val="24"/>
        </w:rPr>
        <w:t>marcap</w:t>
      </w:r>
      <w:proofErr w:type="spellEnd"/>
      <w:r w:rsidR="0050413F" w:rsidRPr="008F3998">
        <w:rPr>
          <w:rFonts w:ascii="Times New Roman" w:hAnsi="Times New Roman" w:cs="Times New Roman"/>
          <w:position w:val="-12"/>
          <w:sz w:val="24"/>
        </w:rPr>
        <w:t xml:space="preserve"> </w:t>
      </w:r>
      <w:r w:rsidR="00E36AD0" w:rsidRPr="008F3998">
        <w:rPr>
          <w:rFonts w:ascii="Times New Roman" w:hAnsi="Times New Roman" w:cs="Times New Roman"/>
          <w:position w:val="-12"/>
          <w:sz w:val="24"/>
        </w:rPr>
        <w:t xml:space="preserve">in its </w:t>
      </w:r>
      <w:r w:rsidR="0050413F" w:rsidRPr="008F3998">
        <w:rPr>
          <w:rFonts w:ascii="Times New Roman" w:hAnsi="Times New Roman" w:cs="Times New Roman"/>
          <w:position w:val="-12"/>
          <w:sz w:val="24"/>
        </w:rPr>
        <w:t>first-lag form</w:t>
      </w:r>
      <w:r w:rsidR="00E36AD0" w:rsidRPr="008F3998">
        <w:rPr>
          <w:rFonts w:ascii="Times New Roman" w:hAnsi="Times New Roman" w:cs="Times New Roman"/>
          <w:position w:val="-12"/>
          <w:sz w:val="24"/>
        </w:rPr>
        <w:t xml:space="preserve"> has a financial risk-reducing effect (columns 5 &amp; 6, Table </w:t>
      </w:r>
      <w:r w:rsidR="00A518B0" w:rsidRPr="008F3998">
        <w:rPr>
          <w:rFonts w:ascii="Times New Roman" w:hAnsi="Times New Roman" w:cs="Times New Roman"/>
          <w:position w:val="-12"/>
          <w:sz w:val="24"/>
        </w:rPr>
        <w:t>A3</w:t>
      </w:r>
      <w:r w:rsidR="00E36AD0" w:rsidRPr="008F3998">
        <w:rPr>
          <w:rFonts w:ascii="Times New Roman" w:hAnsi="Times New Roman" w:cs="Times New Roman"/>
          <w:position w:val="-12"/>
          <w:sz w:val="24"/>
        </w:rPr>
        <w:t>)</w:t>
      </w:r>
      <w:r w:rsidR="0050413F" w:rsidRPr="008F3998">
        <w:rPr>
          <w:rFonts w:ascii="Times New Roman" w:hAnsi="Times New Roman" w:cs="Times New Roman"/>
          <w:position w:val="-12"/>
          <w:sz w:val="24"/>
        </w:rPr>
        <w:t>.</w:t>
      </w:r>
    </w:p>
    <w:p w14:paraId="7DC10F60" w14:textId="37C29665" w:rsidR="00691620" w:rsidRPr="008F3998" w:rsidRDefault="00E36AD0" w:rsidP="00E3379F">
      <w:pPr>
        <w:spacing w:line="360" w:lineRule="auto"/>
        <w:ind w:firstLine="720"/>
        <w:jc w:val="both"/>
        <w:rPr>
          <w:rFonts w:ascii="Times New Roman" w:hAnsi="Times New Roman" w:cs="Times New Roman"/>
          <w:position w:val="-12"/>
          <w:sz w:val="24"/>
        </w:rPr>
      </w:pPr>
      <w:r w:rsidRPr="008F3998">
        <w:rPr>
          <w:rFonts w:ascii="Times New Roman" w:hAnsi="Times New Roman" w:cs="Times New Roman"/>
          <w:position w:val="-12"/>
          <w:sz w:val="24"/>
          <w:szCs w:val="24"/>
        </w:rPr>
        <w:t xml:space="preserve">We </w:t>
      </w:r>
      <w:r w:rsidR="00657244" w:rsidRPr="008F3998">
        <w:rPr>
          <w:rFonts w:ascii="Times New Roman" w:hAnsi="Times New Roman" w:cs="Times New Roman"/>
          <w:position w:val="-12"/>
          <w:sz w:val="24"/>
          <w:szCs w:val="24"/>
        </w:rPr>
        <w:t>demonstrate</w:t>
      </w:r>
      <w:r w:rsidRPr="008F3998">
        <w:rPr>
          <w:rFonts w:ascii="Times New Roman" w:hAnsi="Times New Roman" w:cs="Times New Roman"/>
          <w:position w:val="-12"/>
          <w:sz w:val="24"/>
          <w:szCs w:val="24"/>
        </w:rPr>
        <w:t xml:space="preserve"> further robustness of the results in Table 3 by re-estimating models (6) to (8) using 5-year government bond data as the proxy for country financial</w:t>
      </w:r>
      <w:r w:rsidR="002A534C" w:rsidRPr="008F3998">
        <w:rPr>
          <w:rFonts w:ascii="Times New Roman" w:hAnsi="Times New Roman" w:cs="Times New Roman"/>
          <w:position w:val="-12"/>
          <w:sz w:val="24"/>
          <w:szCs w:val="24"/>
        </w:rPr>
        <w:t xml:space="preserve"> risks</w:t>
      </w:r>
      <w:r w:rsidRPr="008F3998">
        <w:rPr>
          <w:rFonts w:ascii="Times New Roman" w:hAnsi="Times New Roman" w:cs="Times New Roman"/>
          <w:position w:val="-12"/>
          <w:sz w:val="24"/>
          <w:szCs w:val="24"/>
        </w:rPr>
        <w:t xml:space="preserve">; as opposed to using </w:t>
      </w:r>
      <w:r w:rsidR="00B363C1" w:rsidRPr="008F3998">
        <w:rPr>
          <w:rFonts w:ascii="Times New Roman" w:hAnsi="Times New Roman" w:cs="Times New Roman"/>
          <w:position w:val="-12"/>
          <w:sz w:val="24"/>
          <w:szCs w:val="24"/>
        </w:rPr>
        <w:t xml:space="preserve">country equity index return </w:t>
      </w:r>
      <w:r w:rsidR="002A534C" w:rsidRPr="008F3998">
        <w:rPr>
          <w:rFonts w:ascii="Times New Roman" w:hAnsi="Times New Roman" w:cs="Times New Roman"/>
          <w:position w:val="-12"/>
          <w:sz w:val="24"/>
          <w:szCs w:val="24"/>
        </w:rPr>
        <w:t>in the previous estimations.</w:t>
      </w:r>
      <w:r w:rsidR="00657244" w:rsidRPr="008F3998">
        <w:rPr>
          <w:rStyle w:val="FootnoteReference"/>
          <w:rFonts w:ascii="Times New Roman" w:hAnsi="Times New Roman" w:cs="Times New Roman"/>
          <w:position w:val="-12"/>
          <w:sz w:val="24"/>
          <w:szCs w:val="24"/>
        </w:rPr>
        <w:footnoteReference w:id="6"/>
      </w:r>
      <w:r w:rsidR="002A534C" w:rsidRPr="008F3998">
        <w:rPr>
          <w:rFonts w:ascii="Times New Roman" w:hAnsi="Times New Roman" w:cs="Times New Roman"/>
          <w:position w:val="-12"/>
          <w:sz w:val="24"/>
          <w:szCs w:val="24"/>
        </w:rPr>
        <w:t xml:space="preserve"> Here too, we find that carbon emissions consistently</w:t>
      </w:r>
      <w:r w:rsidR="00820B5F" w:rsidRPr="008F3998">
        <w:rPr>
          <w:rFonts w:ascii="Times New Roman" w:hAnsi="Times New Roman" w:cs="Times New Roman"/>
          <w:position w:val="-12"/>
          <w:sz w:val="24"/>
          <w:szCs w:val="24"/>
        </w:rPr>
        <w:t xml:space="preserve"> aggravate</w:t>
      </w:r>
      <w:r w:rsidR="002A534C" w:rsidRPr="008F3998">
        <w:rPr>
          <w:rFonts w:ascii="Times New Roman" w:hAnsi="Times New Roman" w:cs="Times New Roman"/>
          <w:position w:val="-12"/>
          <w:sz w:val="24"/>
          <w:szCs w:val="24"/>
        </w:rPr>
        <w:t xml:space="preserve"> the country bond risk measures. However, the estimated</w:t>
      </w:r>
      <w:r w:rsidR="00820B5F" w:rsidRPr="008F3998">
        <w:rPr>
          <w:rFonts w:ascii="Times New Roman" w:hAnsi="Times New Roman" w:cs="Times New Roman"/>
          <w:position w:val="-12"/>
          <w:sz w:val="24"/>
          <w:szCs w:val="24"/>
        </w:rPr>
        <w:t xml:space="preserve"> positive</w:t>
      </w:r>
      <w:r w:rsidR="002A534C" w:rsidRPr="008F3998">
        <w:rPr>
          <w:rFonts w:ascii="Times New Roman" w:hAnsi="Times New Roman" w:cs="Times New Roman"/>
          <w:position w:val="-12"/>
          <w:sz w:val="24"/>
          <w:szCs w:val="24"/>
        </w:rPr>
        <w:t xml:space="preserve"> coefficients on the CO</w:t>
      </w:r>
      <w:r w:rsidR="002A534C" w:rsidRPr="008F3998">
        <w:rPr>
          <w:rFonts w:ascii="Times New Roman" w:hAnsi="Times New Roman" w:cs="Times New Roman"/>
          <w:position w:val="-12"/>
          <w:sz w:val="24"/>
          <w:szCs w:val="24"/>
          <w:vertAlign w:val="subscript"/>
        </w:rPr>
        <w:t>2</w:t>
      </w:r>
      <w:r w:rsidR="002A534C" w:rsidRPr="008F3998">
        <w:rPr>
          <w:rFonts w:ascii="Times New Roman" w:hAnsi="Times New Roman" w:cs="Times New Roman"/>
          <w:position w:val="-12"/>
          <w:sz w:val="24"/>
          <w:szCs w:val="24"/>
        </w:rPr>
        <w:t xml:space="preserve"> variable are, on average, substantially larger</w:t>
      </w:r>
      <w:r w:rsidR="00820B5F" w:rsidRPr="008F3998">
        <w:rPr>
          <w:rFonts w:ascii="Times New Roman" w:hAnsi="Times New Roman" w:cs="Times New Roman"/>
          <w:position w:val="-12"/>
          <w:sz w:val="24"/>
          <w:szCs w:val="24"/>
        </w:rPr>
        <w:t xml:space="preserve"> </w:t>
      </w:r>
      <w:r w:rsidR="00A518B0" w:rsidRPr="008F3998">
        <w:rPr>
          <w:rFonts w:ascii="Times New Roman" w:hAnsi="Times New Roman" w:cs="Times New Roman"/>
          <w:position w:val="-12"/>
          <w:sz w:val="24"/>
          <w:szCs w:val="24"/>
        </w:rPr>
        <w:t>for the bond data</w:t>
      </w:r>
      <w:r w:rsidR="002A534C" w:rsidRPr="008F3998">
        <w:rPr>
          <w:rFonts w:ascii="Times New Roman" w:hAnsi="Times New Roman" w:cs="Times New Roman"/>
          <w:position w:val="-12"/>
          <w:sz w:val="24"/>
          <w:szCs w:val="24"/>
        </w:rPr>
        <w:t xml:space="preserve"> </w:t>
      </w:r>
      <w:r w:rsidR="00A518B0" w:rsidRPr="008F3998">
        <w:rPr>
          <w:rFonts w:ascii="Times New Roman" w:hAnsi="Times New Roman" w:cs="Times New Roman"/>
          <w:position w:val="-12"/>
          <w:sz w:val="24"/>
          <w:szCs w:val="24"/>
        </w:rPr>
        <w:t>than</w:t>
      </w:r>
      <w:r w:rsidR="002A534C" w:rsidRPr="008F3998">
        <w:rPr>
          <w:rFonts w:ascii="Times New Roman" w:hAnsi="Times New Roman" w:cs="Times New Roman"/>
          <w:position w:val="-12"/>
          <w:sz w:val="24"/>
          <w:szCs w:val="24"/>
        </w:rPr>
        <w:t xml:space="preserve"> those in Table 3. </w:t>
      </w:r>
      <w:r w:rsidRPr="008F3998">
        <w:rPr>
          <w:rFonts w:ascii="Times New Roman" w:hAnsi="Times New Roman" w:cs="Times New Roman"/>
          <w:position w:val="-12"/>
          <w:sz w:val="24"/>
          <w:szCs w:val="24"/>
        </w:rPr>
        <w:t>Lastly, d</w:t>
      </w:r>
      <w:r w:rsidR="002B01E3" w:rsidRPr="008F3998">
        <w:rPr>
          <w:rFonts w:ascii="Times New Roman" w:hAnsi="Times New Roman" w:cs="Times New Roman"/>
          <w:position w:val="-12"/>
          <w:sz w:val="24"/>
          <w:szCs w:val="24"/>
        </w:rPr>
        <w:t xml:space="preserve">ynamic versions of equations (6)-(8) </w:t>
      </w:r>
      <w:r w:rsidR="00204DA3" w:rsidRPr="008F3998">
        <w:rPr>
          <w:rFonts w:ascii="Times New Roman" w:hAnsi="Times New Roman" w:cs="Times New Roman"/>
          <w:position w:val="-12"/>
          <w:sz w:val="24"/>
          <w:szCs w:val="24"/>
        </w:rPr>
        <w:t xml:space="preserve">are also estimated using the country risk variables calculated </w:t>
      </w:r>
      <w:r w:rsidR="00FD081C" w:rsidRPr="008F3998">
        <w:rPr>
          <w:rFonts w:ascii="Times New Roman" w:hAnsi="Times New Roman" w:cs="Times New Roman"/>
          <w:position w:val="-12"/>
          <w:sz w:val="24"/>
          <w:szCs w:val="24"/>
        </w:rPr>
        <w:t>from the</w:t>
      </w:r>
      <w:r w:rsidR="00204DA3" w:rsidRPr="008F3998">
        <w:rPr>
          <w:rFonts w:ascii="Times New Roman" w:hAnsi="Times New Roman" w:cs="Times New Roman"/>
          <w:position w:val="-12"/>
          <w:sz w:val="24"/>
          <w:szCs w:val="24"/>
        </w:rPr>
        <w:t xml:space="preserve"> bond data. Here too, the estimated results demonstrate the financial risk-augmenting effect of the carbon emissions.</w:t>
      </w:r>
      <w:r w:rsidRPr="008F3998">
        <w:rPr>
          <w:rFonts w:ascii="Times New Roman" w:hAnsi="Times New Roman" w:cs="Times New Roman"/>
          <w:position w:val="-12"/>
          <w:sz w:val="24"/>
          <w:szCs w:val="24"/>
        </w:rPr>
        <w:t xml:space="preserve"> As such, </w:t>
      </w:r>
      <w:r w:rsidR="00D2005B" w:rsidRPr="008F3998">
        <w:rPr>
          <w:rFonts w:ascii="Times New Roman" w:hAnsi="Times New Roman" w:cs="Times New Roman"/>
          <w:position w:val="-12"/>
          <w:sz w:val="24"/>
          <w:szCs w:val="24"/>
        </w:rPr>
        <w:t>we can</w:t>
      </w:r>
      <w:r w:rsidRPr="008F3998">
        <w:rPr>
          <w:rFonts w:ascii="Times New Roman" w:hAnsi="Times New Roman" w:cs="Times New Roman"/>
          <w:position w:val="-12"/>
          <w:sz w:val="24"/>
          <w:szCs w:val="24"/>
        </w:rPr>
        <w:t xml:space="preserve"> confidently state that carbon emissions increase the (national level) financial risk of the G7 countries, and this finding is robust to specification of the risk model as well as the proxy for risk measure</w:t>
      </w:r>
      <w:r w:rsidR="002A534C" w:rsidRPr="008F3998">
        <w:rPr>
          <w:rFonts w:ascii="Times New Roman" w:hAnsi="Times New Roman" w:cs="Times New Roman"/>
          <w:position w:val="-12"/>
          <w:sz w:val="24"/>
          <w:szCs w:val="24"/>
        </w:rPr>
        <w:t>s</w:t>
      </w:r>
      <w:r w:rsidRPr="008F3998">
        <w:rPr>
          <w:rFonts w:ascii="Times New Roman" w:hAnsi="Times New Roman" w:cs="Times New Roman"/>
          <w:position w:val="-12"/>
          <w:sz w:val="24"/>
          <w:szCs w:val="24"/>
        </w:rPr>
        <w:t>.</w:t>
      </w:r>
    </w:p>
    <w:p w14:paraId="0BB37377" w14:textId="04ACD5F7" w:rsidR="00224FBA" w:rsidRPr="008F3998" w:rsidRDefault="005C3156" w:rsidP="005C3156">
      <w:pPr>
        <w:pStyle w:val="ListParagraph"/>
        <w:numPr>
          <w:ilvl w:val="1"/>
          <w:numId w:val="1"/>
        </w:numPr>
        <w:spacing w:line="360" w:lineRule="auto"/>
        <w:ind w:left="0" w:firstLine="0"/>
        <w:jc w:val="both"/>
        <w:rPr>
          <w:rFonts w:cs="Times New Roman"/>
          <w:bCs/>
          <w:i/>
          <w:szCs w:val="24"/>
        </w:rPr>
      </w:pPr>
      <w:r w:rsidRPr="008F3998">
        <w:rPr>
          <w:rFonts w:cs="Times New Roman"/>
          <w:bCs/>
          <w:i/>
          <w:szCs w:val="24"/>
        </w:rPr>
        <w:t xml:space="preserve"> </w:t>
      </w:r>
      <w:r w:rsidR="00224FBA" w:rsidRPr="008F3998">
        <w:rPr>
          <w:rFonts w:cs="Times New Roman"/>
          <w:bCs/>
          <w:i/>
          <w:szCs w:val="24"/>
        </w:rPr>
        <w:t>Sectoral</w:t>
      </w:r>
      <w:r w:rsidR="00834D8B" w:rsidRPr="008F3998">
        <w:rPr>
          <w:rFonts w:cs="Times New Roman"/>
          <w:bCs/>
          <w:i/>
          <w:szCs w:val="24"/>
        </w:rPr>
        <w:t xml:space="preserve"> </w:t>
      </w:r>
      <w:r w:rsidR="000B454D" w:rsidRPr="008F3998">
        <w:rPr>
          <w:rFonts w:cs="Times New Roman"/>
          <w:bCs/>
          <w:i/>
          <w:szCs w:val="24"/>
        </w:rPr>
        <w:t>leve</w:t>
      </w:r>
      <w:r w:rsidR="0033039A" w:rsidRPr="008F3998">
        <w:rPr>
          <w:rFonts w:cs="Times New Roman"/>
          <w:bCs/>
          <w:i/>
          <w:szCs w:val="24"/>
        </w:rPr>
        <w:t>l</w:t>
      </w:r>
      <w:r w:rsidR="00224FBA" w:rsidRPr="008F3998">
        <w:rPr>
          <w:rFonts w:cs="Times New Roman"/>
          <w:bCs/>
          <w:i/>
          <w:szCs w:val="24"/>
        </w:rPr>
        <w:t xml:space="preserve"> Analysis</w:t>
      </w:r>
    </w:p>
    <w:p w14:paraId="57AFDC0E" w14:textId="5B382C52" w:rsidR="43A47D27" w:rsidRPr="008F3998" w:rsidRDefault="43A47D27" w:rsidP="003C0A6E">
      <w:pPr>
        <w:spacing w:after="0" w:line="360" w:lineRule="auto"/>
        <w:ind w:firstLine="720"/>
        <w:jc w:val="both"/>
        <w:rPr>
          <w:rFonts w:ascii="Times New Roman" w:eastAsia="Times New Roman" w:hAnsi="Times New Roman" w:cs="Times New Roman"/>
          <w:sz w:val="24"/>
          <w:szCs w:val="24"/>
        </w:rPr>
      </w:pPr>
      <w:r w:rsidRPr="008F3998">
        <w:rPr>
          <w:rFonts w:ascii="Times New Roman" w:hAnsi="Times New Roman" w:cs="Times New Roman"/>
          <w:sz w:val="24"/>
          <w:szCs w:val="24"/>
        </w:rPr>
        <w:t>The analysis is extended to the three largest polluting sec</w:t>
      </w:r>
      <w:r w:rsidR="00205496" w:rsidRPr="008F3998">
        <w:rPr>
          <w:rFonts w:ascii="Times New Roman" w:hAnsi="Times New Roman" w:cs="Times New Roman"/>
          <w:sz w:val="24"/>
          <w:szCs w:val="24"/>
        </w:rPr>
        <w:t>tors of the G7 economies. Table</w:t>
      </w:r>
      <w:r w:rsidRPr="008F3998">
        <w:rPr>
          <w:rFonts w:ascii="Times New Roman" w:hAnsi="Times New Roman" w:cs="Times New Roman"/>
          <w:sz w:val="24"/>
          <w:szCs w:val="24"/>
        </w:rPr>
        <w:t xml:space="preserve"> 5 demonstrates the results from equations (6) &amp; (8) with </w:t>
      </w:r>
      <w:r w:rsidRPr="008F3998">
        <w:rPr>
          <w:rFonts w:ascii="Times New Roman" w:hAnsi="Times New Roman" w:cs="Times New Roman"/>
          <w:i/>
          <w:iCs/>
          <w:sz w:val="24"/>
          <w:szCs w:val="24"/>
        </w:rPr>
        <w:t>expected shortfall</w:t>
      </w:r>
      <w:r w:rsidRPr="008F3998">
        <w:rPr>
          <w:rFonts w:ascii="Times New Roman" w:hAnsi="Times New Roman" w:cs="Times New Roman"/>
          <w:sz w:val="24"/>
          <w:szCs w:val="24"/>
        </w:rPr>
        <w:t xml:space="preserve"> as the dependent variable, by electricity, industry and transport sectors, respectively.</w:t>
      </w:r>
      <w:r w:rsidR="00EE0720" w:rsidRPr="008F3998">
        <w:rPr>
          <w:rFonts w:ascii="Times New Roman" w:eastAsia="Times New Roman" w:hAnsi="Times New Roman" w:cs="Times New Roman"/>
          <w:sz w:val="24"/>
          <w:szCs w:val="24"/>
        </w:rPr>
        <w:t xml:space="preserve"> </w:t>
      </w:r>
      <w:r w:rsidRPr="008F3998">
        <w:rPr>
          <w:rFonts w:ascii="Times New Roman" w:eastAsia="Times New Roman" w:hAnsi="Times New Roman" w:cs="Times New Roman"/>
          <w:sz w:val="24"/>
          <w:szCs w:val="24"/>
        </w:rPr>
        <w:t>Generally, the effect of carbon emissions (CO</w:t>
      </w:r>
      <w:r w:rsidRPr="008F3998">
        <w:rPr>
          <w:rFonts w:ascii="Times New Roman" w:eastAsia="Times New Roman" w:hAnsi="Times New Roman" w:cs="Times New Roman"/>
          <w:sz w:val="24"/>
          <w:szCs w:val="24"/>
          <w:vertAlign w:val="subscript"/>
        </w:rPr>
        <w:t>2</w:t>
      </w:r>
      <w:r w:rsidRPr="008F3998">
        <w:rPr>
          <w:rFonts w:ascii="Times New Roman" w:eastAsia="Times New Roman" w:hAnsi="Times New Roman" w:cs="Times New Roman"/>
          <w:sz w:val="24"/>
          <w:szCs w:val="24"/>
        </w:rPr>
        <w:t>) has a positive impact on both</w:t>
      </w:r>
      <w:r w:rsidR="006F292E" w:rsidRPr="008F3998">
        <w:rPr>
          <w:rFonts w:ascii="Times New Roman" w:eastAsia="Times New Roman" w:hAnsi="Times New Roman" w:cs="Times New Roman"/>
          <w:sz w:val="24"/>
          <w:szCs w:val="24"/>
        </w:rPr>
        <w:t xml:space="preserve"> (tail)</w:t>
      </w:r>
      <w:r w:rsidRPr="008F3998">
        <w:rPr>
          <w:rFonts w:ascii="Times New Roman" w:eastAsia="Times New Roman" w:hAnsi="Times New Roman" w:cs="Times New Roman"/>
          <w:sz w:val="24"/>
          <w:szCs w:val="24"/>
        </w:rPr>
        <w:t xml:space="preserve"> </w:t>
      </w:r>
      <w:r w:rsidR="006F292E" w:rsidRPr="008F3998">
        <w:rPr>
          <w:rFonts w:ascii="Times New Roman" w:eastAsia="Times New Roman" w:hAnsi="Times New Roman" w:cs="Times New Roman"/>
          <w:i/>
          <w:iCs/>
          <w:sz w:val="24"/>
          <w:szCs w:val="24"/>
        </w:rPr>
        <w:t>expected shortfall</w:t>
      </w:r>
      <w:r w:rsidRPr="008F3998">
        <w:rPr>
          <w:rFonts w:ascii="Times New Roman" w:eastAsia="Times New Roman" w:hAnsi="Times New Roman" w:cs="Times New Roman"/>
          <w:i/>
          <w:iCs/>
          <w:sz w:val="24"/>
          <w:szCs w:val="24"/>
        </w:rPr>
        <w:t xml:space="preserve"> </w:t>
      </w:r>
      <w:r w:rsidRPr="008F3998">
        <w:rPr>
          <w:rFonts w:ascii="Times New Roman" w:eastAsia="Times New Roman" w:hAnsi="Times New Roman" w:cs="Times New Roman"/>
          <w:sz w:val="24"/>
          <w:szCs w:val="24"/>
        </w:rPr>
        <w:t xml:space="preserve">in our six estimations, except from the last column. </w:t>
      </w:r>
      <w:r w:rsidR="00E345C3" w:rsidRPr="008F3998">
        <w:rPr>
          <w:rFonts w:ascii="Times New Roman" w:eastAsia="Times New Roman" w:hAnsi="Times New Roman" w:cs="Times New Roman"/>
          <w:sz w:val="24"/>
          <w:szCs w:val="24"/>
        </w:rPr>
        <w:t>Most of the</w:t>
      </w:r>
      <w:r w:rsidRPr="008F3998">
        <w:rPr>
          <w:rFonts w:ascii="Times New Roman" w:eastAsia="Times New Roman" w:hAnsi="Times New Roman" w:cs="Times New Roman"/>
          <w:sz w:val="24"/>
          <w:szCs w:val="24"/>
        </w:rPr>
        <w:t xml:space="preserve"> </w:t>
      </w:r>
      <w:r w:rsidR="00E345C3" w:rsidRPr="008F3998">
        <w:rPr>
          <w:rFonts w:ascii="Times New Roman" w:eastAsia="Times New Roman" w:hAnsi="Times New Roman" w:cs="Times New Roman"/>
          <w:sz w:val="24"/>
          <w:szCs w:val="24"/>
        </w:rPr>
        <w:t>estimated</w:t>
      </w:r>
      <w:r w:rsidRPr="008F3998">
        <w:rPr>
          <w:rFonts w:ascii="Times New Roman" w:eastAsia="Times New Roman" w:hAnsi="Times New Roman" w:cs="Times New Roman"/>
          <w:sz w:val="24"/>
          <w:szCs w:val="24"/>
        </w:rPr>
        <w:t xml:space="preserve"> coefficients</w:t>
      </w:r>
      <w:r w:rsidR="00E345C3" w:rsidRPr="008F3998">
        <w:rPr>
          <w:rFonts w:ascii="Times New Roman" w:eastAsia="Times New Roman" w:hAnsi="Times New Roman" w:cs="Times New Roman"/>
          <w:sz w:val="24"/>
          <w:szCs w:val="24"/>
        </w:rPr>
        <w:t xml:space="preserve"> on this variable</w:t>
      </w:r>
      <w:r w:rsidRPr="008F3998">
        <w:rPr>
          <w:rFonts w:ascii="Times New Roman" w:eastAsia="Times New Roman" w:hAnsi="Times New Roman" w:cs="Times New Roman"/>
          <w:sz w:val="24"/>
          <w:szCs w:val="24"/>
        </w:rPr>
        <w:t xml:space="preserve"> are significant at the 1% and 5% level. Although the signs of coefficients in last column (for transportation sector with all control variables) are positive, they are insignificant; </w:t>
      </w:r>
      <w:r w:rsidR="00531D85" w:rsidRPr="008F3998">
        <w:rPr>
          <w:rFonts w:ascii="Times New Roman" w:eastAsia="Times New Roman" w:hAnsi="Times New Roman" w:cs="Times New Roman"/>
          <w:sz w:val="24"/>
          <w:szCs w:val="24"/>
        </w:rPr>
        <w:t>providing</w:t>
      </w:r>
      <w:r w:rsidRPr="008F3998">
        <w:rPr>
          <w:rFonts w:ascii="Times New Roman" w:eastAsia="Times New Roman" w:hAnsi="Times New Roman" w:cs="Times New Roman"/>
          <w:sz w:val="24"/>
          <w:szCs w:val="24"/>
        </w:rPr>
        <w:t xml:space="preserve"> weak evidence to support the effect of carbon emission on sovereign risk in</w:t>
      </w:r>
      <w:r w:rsidR="00790126" w:rsidRPr="008F3998">
        <w:rPr>
          <w:rFonts w:ascii="Times New Roman" w:eastAsia="Times New Roman" w:hAnsi="Times New Roman" w:cs="Times New Roman"/>
          <w:sz w:val="24"/>
          <w:szCs w:val="24"/>
        </w:rPr>
        <w:t xml:space="preserve"> the</w:t>
      </w:r>
      <w:r w:rsidRPr="008F3998">
        <w:rPr>
          <w:rFonts w:ascii="Times New Roman" w:eastAsia="Times New Roman" w:hAnsi="Times New Roman" w:cs="Times New Roman"/>
          <w:sz w:val="24"/>
          <w:szCs w:val="24"/>
        </w:rPr>
        <w:t xml:space="preserve"> transport sector. When it comes to exchange rate (</w:t>
      </w:r>
      <w:proofErr w:type="spellStart"/>
      <w:r w:rsidRPr="008F3998">
        <w:rPr>
          <w:rFonts w:ascii="Times New Roman" w:eastAsia="Times New Roman" w:hAnsi="Times New Roman" w:cs="Times New Roman"/>
          <w:i/>
          <w:iCs/>
          <w:sz w:val="24"/>
          <w:szCs w:val="24"/>
        </w:rPr>
        <w:t>exr</w:t>
      </w:r>
      <w:proofErr w:type="spellEnd"/>
      <w:r w:rsidRPr="008F3998">
        <w:rPr>
          <w:rFonts w:ascii="Times New Roman" w:eastAsia="Times New Roman" w:hAnsi="Times New Roman" w:cs="Times New Roman"/>
          <w:sz w:val="24"/>
          <w:szCs w:val="24"/>
        </w:rPr>
        <w:t>) factor, only industrial sector holds the significance coefficient</w:t>
      </w:r>
      <w:r w:rsidR="00E345C3" w:rsidRPr="008F3998">
        <w:rPr>
          <w:rFonts w:ascii="Times New Roman" w:eastAsia="Times New Roman" w:hAnsi="Times New Roman" w:cs="Times New Roman"/>
          <w:sz w:val="24"/>
          <w:szCs w:val="24"/>
        </w:rPr>
        <w:t xml:space="preserve"> for both models (6) &amp; (8). In other sectors,</w:t>
      </w:r>
      <w:r w:rsidRPr="008F3998">
        <w:rPr>
          <w:rFonts w:ascii="Times New Roman" w:eastAsia="Times New Roman" w:hAnsi="Times New Roman" w:cs="Times New Roman"/>
          <w:sz w:val="24"/>
          <w:szCs w:val="24"/>
        </w:rPr>
        <w:t xml:space="preserve"> the exchange rate coefficients became insignificant after controlling the other variables. Regarding the goodness of fit</w:t>
      </w:r>
      <w:r w:rsidR="00B70F5E" w:rsidRPr="008F3998">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oMath>
      <w:r w:rsidR="00B70F5E" w:rsidRPr="008F3998">
        <w:rPr>
          <w:rFonts w:ascii="Times New Roman" w:eastAsia="Times New Roman" w:hAnsi="Times New Roman" w:cs="Times New Roman"/>
          <w:sz w:val="24"/>
          <w:szCs w:val="24"/>
        </w:rPr>
        <w:t>)</w:t>
      </w:r>
      <w:r w:rsidRPr="008F3998">
        <w:rPr>
          <w:rFonts w:ascii="Times New Roman" w:eastAsia="Times New Roman" w:hAnsi="Times New Roman" w:cs="Times New Roman"/>
          <w:sz w:val="24"/>
          <w:szCs w:val="24"/>
        </w:rPr>
        <w:t>, it is observe</w:t>
      </w:r>
      <w:r w:rsidR="00790126" w:rsidRPr="008F3998">
        <w:rPr>
          <w:rFonts w:ascii="Times New Roman" w:eastAsia="Times New Roman" w:hAnsi="Times New Roman" w:cs="Times New Roman"/>
          <w:sz w:val="24"/>
          <w:szCs w:val="24"/>
        </w:rPr>
        <w:t>d</w:t>
      </w:r>
      <w:r w:rsidRPr="008F3998">
        <w:rPr>
          <w:rFonts w:ascii="Times New Roman" w:eastAsia="Times New Roman" w:hAnsi="Times New Roman" w:cs="Times New Roman"/>
          <w:sz w:val="24"/>
          <w:szCs w:val="24"/>
        </w:rPr>
        <w:t xml:space="preserve"> that</w:t>
      </w:r>
      <w:r w:rsidR="00550D22" w:rsidRPr="008F3998">
        <w:rPr>
          <w:rFonts w:ascii="Times New Roman" w:eastAsia="Times New Roman" w:hAnsi="Times New Roman" w:cs="Times New Roman"/>
          <w:sz w:val="24"/>
          <w:szCs w:val="24"/>
        </w:rPr>
        <w:t xml:space="preserve"> model (8)–which</w:t>
      </w:r>
      <w:r w:rsidRPr="008F3998">
        <w:rPr>
          <w:rFonts w:ascii="Times New Roman" w:eastAsia="Times New Roman" w:hAnsi="Times New Roman" w:cs="Times New Roman"/>
          <w:sz w:val="24"/>
          <w:szCs w:val="24"/>
        </w:rPr>
        <w:t xml:space="preserve"> </w:t>
      </w:r>
      <w:r w:rsidR="00550D22" w:rsidRPr="008F3998">
        <w:rPr>
          <w:rFonts w:ascii="Times New Roman" w:eastAsia="Times New Roman" w:hAnsi="Times New Roman" w:cs="Times New Roman"/>
          <w:sz w:val="24"/>
          <w:szCs w:val="24"/>
        </w:rPr>
        <w:t>includes the</w:t>
      </w:r>
      <w:r w:rsidRPr="008F3998">
        <w:rPr>
          <w:rFonts w:ascii="Times New Roman" w:eastAsia="Times New Roman" w:hAnsi="Times New Roman" w:cs="Times New Roman"/>
          <w:sz w:val="24"/>
          <w:szCs w:val="24"/>
        </w:rPr>
        <w:t xml:space="preserve"> full set of control variables</w:t>
      </w:r>
      <w:r w:rsidR="00550D22" w:rsidRPr="008F3998">
        <w:rPr>
          <w:rFonts w:ascii="Times New Roman" w:eastAsia="Times New Roman" w:hAnsi="Times New Roman" w:cs="Times New Roman"/>
          <w:sz w:val="24"/>
          <w:szCs w:val="24"/>
        </w:rPr>
        <w:t>–</w:t>
      </w:r>
      <w:r w:rsidRPr="008F3998">
        <w:rPr>
          <w:rFonts w:ascii="Times New Roman" w:eastAsia="Times New Roman" w:hAnsi="Times New Roman" w:cs="Times New Roman"/>
          <w:sz w:val="24"/>
          <w:szCs w:val="24"/>
        </w:rPr>
        <w:t>substantially improve</w:t>
      </w:r>
      <w:r w:rsidR="00550D22" w:rsidRPr="008F3998">
        <w:rPr>
          <w:rFonts w:ascii="Times New Roman" w:eastAsia="Times New Roman" w:hAnsi="Times New Roman" w:cs="Times New Roman"/>
          <w:sz w:val="24"/>
          <w:szCs w:val="24"/>
        </w:rPr>
        <w:t>s the explanatory power of the bas</w:t>
      </w:r>
      <w:r w:rsidR="000032FD" w:rsidRPr="008F3998">
        <w:rPr>
          <w:rFonts w:ascii="Times New Roman" w:eastAsia="Times New Roman" w:hAnsi="Times New Roman" w:cs="Times New Roman"/>
          <w:sz w:val="24"/>
          <w:szCs w:val="24"/>
        </w:rPr>
        <w:t>eline</w:t>
      </w:r>
      <w:r w:rsidR="00550D22" w:rsidRPr="008F3998">
        <w:rPr>
          <w:rFonts w:ascii="Times New Roman" w:eastAsia="Times New Roman" w:hAnsi="Times New Roman" w:cs="Times New Roman"/>
          <w:sz w:val="24"/>
          <w:szCs w:val="24"/>
        </w:rPr>
        <w:t xml:space="preserve"> model (6):</w:t>
      </w:r>
      <w:r w:rsidRPr="008F3998">
        <w:rPr>
          <w:rFonts w:ascii="Times New Roman" w:eastAsia="Times New Roman" w:hAnsi="Times New Roman" w:cs="Times New Roman"/>
          <w:sz w:val="24"/>
          <w:szCs w:val="24"/>
        </w:rPr>
        <w:t xml:space="preserve"> </w:t>
      </w:r>
      <w:r w:rsidR="00550D22" w:rsidRPr="008F3998">
        <w:rPr>
          <w:rFonts w:ascii="Times New Roman" w:eastAsia="Times New Roman" w:hAnsi="Times New Roman" w:cs="Times New Roman"/>
          <w:sz w:val="24"/>
          <w:szCs w:val="24"/>
        </w:rPr>
        <w:t>from</w:t>
      </w:r>
      <w:r w:rsidRPr="008F3998">
        <w:rPr>
          <w:rFonts w:ascii="Times New Roman" w:eastAsia="Times New Roman" w:hAnsi="Times New Roman" w:cs="Times New Roman"/>
          <w:sz w:val="24"/>
          <w:szCs w:val="24"/>
        </w:rPr>
        <w:t xml:space="preserve"> 29.3% </w:t>
      </w:r>
      <w:r w:rsidR="00550D22" w:rsidRPr="008F3998">
        <w:rPr>
          <w:rFonts w:ascii="Times New Roman" w:eastAsia="Times New Roman" w:hAnsi="Times New Roman" w:cs="Times New Roman"/>
          <w:sz w:val="24"/>
          <w:szCs w:val="24"/>
        </w:rPr>
        <w:t>to</w:t>
      </w:r>
      <w:r w:rsidRPr="008F3998">
        <w:rPr>
          <w:rFonts w:ascii="Times New Roman" w:eastAsia="Times New Roman" w:hAnsi="Times New Roman" w:cs="Times New Roman"/>
          <w:sz w:val="24"/>
          <w:szCs w:val="24"/>
        </w:rPr>
        <w:t xml:space="preserve"> 50.7%</w:t>
      </w:r>
      <w:r w:rsidR="00550D22" w:rsidRPr="008F3998">
        <w:rPr>
          <w:rFonts w:ascii="Times New Roman" w:eastAsia="Times New Roman" w:hAnsi="Times New Roman" w:cs="Times New Roman"/>
          <w:sz w:val="24"/>
          <w:szCs w:val="24"/>
        </w:rPr>
        <w:t xml:space="preserve"> for </w:t>
      </w:r>
      <w:r w:rsidR="000032FD" w:rsidRPr="008F3998">
        <w:rPr>
          <w:rFonts w:ascii="Times New Roman" w:eastAsia="Times New Roman" w:hAnsi="Times New Roman" w:cs="Times New Roman"/>
          <w:sz w:val="24"/>
          <w:szCs w:val="24"/>
        </w:rPr>
        <w:t>e</w:t>
      </w:r>
      <w:r w:rsidR="00550D22" w:rsidRPr="008F3998">
        <w:rPr>
          <w:rFonts w:ascii="Times New Roman" w:eastAsia="Times New Roman" w:hAnsi="Times New Roman" w:cs="Times New Roman"/>
          <w:sz w:val="24"/>
          <w:szCs w:val="24"/>
        </w:rPr>
        <w:t>lectricity</w:t>
      </w:r>
      <w:r w:rsidRPr="008F3998">
        <w:rPr>
          <w:rFonts w:ascii="Times New Roman" w:eastAsia="Times New Roman" w:hAnsi="Times New Roman" w:cs="Times New Roman"/>
          <w:sz w:val="24"/>
          <w:szCs w:val="24"/>
        </w:rPr>
        <w:t xml:space="preserve">, 34.3% </w:t>
      </w:r>
      <w:r w:rsidR="00550D22" w:rsidRPr="008F3998">
        <w:rPr>
          <w:rFonts w:ascii="Times New Roman" w:eastAsia="Times New Roman" w:hAnsi="Times New Roman" w:cs="Times New Roman"/>
          <w:sz w:val="24"/>
          <w:szCs w:val="24"/>
        </w:rPr>
        <w:t>to</w:t>
      </w:r>
      <w:r w:rsidRPr="008F3998">
        <w:rPr>
          <w:rFonts w:ascii="Times New Roman" w:eastAsia="Times New Roman" w:hAnsi="Times New Roman" w:cs="Times New Roman"/>
          <w:sz w:val="24"/>
          <w:szCs w:val="24"/>
        </w:rPr>
        <w:t xml:space="preserve"> 61.5%</w:t>
      </w:r>
      <w:r w:rsidR="00550D22" w:rsidRPr="008F3998">
        <w:rPr>
          <w:rFonts w:ascii="Times New Roman" w:eastAsia="Times New Roman" w:hAnsi="Times New Roman" w:cs="Times New Roman"/>
          <w:sz w:val="24"/>
          <w:szCs w:val="24"/>
        </w:rPr>
        <w:t xml:space="preserve"> for </w:t>
      </w:r>
      <w:r w:rsidR="000032FD" w:rsidRPr="008F3998">
        <w:rPr>
          <w:rFonts w:ascii="Times New Roman" w:eastAsia="Times New Roman" w:hAnsi="Times New Roman" w:cs="Times New Roman"/>
          <w:sz w:val="24"/>
          <w:szCs w:val="24"/>
        </w:rPr>
        <w:t>i</w:t>
      </w:r>
      <w:r w:rsidR="00550D22" w:rsidRPr="008F3998">
        <w:rPr>
          <w:rFonts w:ascii="Times New Roman" w:eastAsia="Times New Roman" w:hAnsi="Times New Roman" w:cs="Times New Roman"/>
          <w:sz w:val="24"/>
          <w:szCs w:val="24"/>
        </w:rPr>
        <w:t>ndustrial</w:t>
      </w:r>
      <w:r w:rsidRPr="008F3998">
        <w:rPr>
          <w:rFonts w:ascii="Times New Roman" w:eastAsia="Times New Roman" w:hAnsi="Times New Roman" w:cs="Times New Roman"/>
          <w:sz w:val="24"/>
          <w:szCs w:val="24"/>
        </w:rPr>
        <w:t xml:space="preserve">, </w:t>
      </w:r>
      <w:r w:rsidR="00550D22" w:rsidRPr="008F3998">
        <w:rPr>
          <w:rFonts w:ascii="Times New Roman" w:eastAsia="Times New Roman" w:hAnsi="Times New Roman" w:cs="Times New Roman"/>
          <w:sz w:val="24"/>
          <w:szCs w:val="24"/>
        </w:rPr>
        <w:t>and</w:t>
      </w:r>
      <w:r w:rsidRPr="008F3998">
        <w:rPr>
          <w:rFonts w:ascii="Times New Roman" w:eastAsia="Times New Roman" w:hAnsi="Times New Roman" w:cs="Times New Roman"/>
          <w:sz w:val="24"/>
          <w:szCs w:val="24"/>
        </w:rPr>
        <w:t xml:space="preserve"> 34.9% </w:t>
      </w:r>
      <w:r w:rsidR="00550D22" w:rsidRPr="008F3998">
        <w:rPr>
          <w:rFonts w:ascii="Times New Roman" w:eastAsia="Times New Roman" w:hAnsi="Times New Roman" w:cs="Times New Roman"/>
          <w:sz w:val="24"/>
          <w:szCs w:val="24"/>
        </w:rPr>
        <w:t>to</w:t>
      </w:r>
      <w:r w:rsidRPr="008F3998">
        <w:rPr>
          <w:rFonts w:ascii="Times New Roman" w:eastAsia="Times New Roman" w:hAnsi="Times New Roman" w:cs="Times New Roman"/>
          <w:sz w:val="24"/>
          <w:szCs w:val="24"/>
        </w:rPr>
        <w:t xml:space="preserve"> 42.4%</w:t>
      </w:r>
      <w:r w:rsidR="00550D22" w:rsidRPr="008F3998">
        <w:rPr>
          <w:rFonts w:ascii="Times New Roman" w:eastAsia="Times New Roman" w:hAnsi="Times New Roman" w:cs="Times New Roman"/>
          <w:sz w:val="24"/>
          <w:szCs w:val="24"/>
        </w:rPr>
        <w:t xml:space="preserve"> for </w:t>
      </w:r>
      <w:r w:rsidR="000032FD" w:rsidRPr="008F3998">
        <w:rPr>
          <w:rFonts w:ascii="Times New Roman" w:eastAsia="Times New Roman" w:hAnsi="Times New Roman" w:cs="Times New Roman"/>
          <w:sz w:val="24"/>
          <w:szCs w:val="24"/>
        </w:rPr>
        <w:t>t</w:t>
      </w:r>
      <w:r w:rsidR="00550D22" w:rsidRPr="008F3998">
        <w:rPr>
          <w:rFonts w:ascii="Times New Roman" w:eastAsia="Times New Roman" w:hAnsi="Times New Roman" w:cs="Times New Roman"/>
          <w:sz w:val="24"/>
          <w:szCs w:val="24"/>
        </w:rPr>
        <w:t>ransport</w:t>
      </w:r>
      <w:r w:rsidRPr="008F3998">
        <w:rPr>
          <w:rFonts w:ascii="Times New Roman" w:eastAsia="Times New Roman" w:hAnsi="Times New Roman" w:cs="Times New Roman"/>
          <w:sz w:val="24"/>
          <w:szCs w:val="24"/>
        </w:rPr>
        <w:t>.</w:t>
      </w:r>
    </w:p>
    <w:p w14:paraId="4185ECE6" w14:textId="4EAC3894" w:rsidR="43A47D27" w:rsidRPr="008F3998" w:rsidRDefault="43A47D27" w:rsidP="003C0A6E">
      <w:pPr>
        <w:spacing w:line="360" w:lineRule="auto"/>
        <w:ind w:firstLine="720"/>
        <w:jc w:val="both"/>
        <w:rPr>
          <w:rFonts w:ascii="Times New Roman" w:eastAsia="Times New Roman" w:hAnsi="Times New Roman" w:cs="Times New Roman"/>
          <w:sz w:val="24"/>
          <w:szCs w:val="24"/>
        </w:rPr>
      </w:pPr>
      <w:r w:rsidRPr="008F3998">
        <w:rPr>
          <w:rFonts w:ascii="Times New Roman" w:eastAsia="Times New Roman" w:hAnsi="Times New Roman" w:cs="Times New Roman"/>
          <w:sz w:val="24"/>
          <w:szCs w:val="24"/>
        </w:rPr>
        <w:t>Looking at other independent variables, our models also validate that local financials (</w:t>
      </w:r>
      <w:proofErr w:type="spellStart"/>
      <w:r w:rsidRPr="008F3998">
        <w:rPr>
          <w:rFonts w:ascii="Times New Roman" w:eastAsia="Times New Roman" w:hAnsi="Times New Roman" w:cs="Times New Roman"/>
          <w:i/>
          <w:iCs/>
          <w:sz w:val="24"/>
          <w:szCs w:val="24"/>
        </w:rPr>
        <w:t>locfin</w:t>
      </w:r>
      <w:proofErr w:type="spellEnd"/>
      <w:r w:rsidRPr="008F3998">
        <w:rPr>
          <w:rFonts w:ascii="Times New Roman" w:eastAsia="Times New Roman" w:hAnsi="Times New Roman" w:cs="Times New Roman"/>
          <w:sz w:val="24"/>
          <w:szCs w:val="24"/>
        </w:rPr>
        <w:t xml:space="preserve">) </w:t>
      </w:r>
      <w:r w:rsidR="00B30551" w:rsidRPr="008F3998">
        <w:rPr>
          <w:rFonts w:ascii="Times New Roman" w:eastAsia="Times New Roman" w:hAnsi="Times New Roman" w:cs="Times New Roman"/>
          <w:sz w:val="24"/>
          <w:szCs w:val="24"/>
        </w:rPr>
        <w:t>has positive</w:t>
      </w:r>
      <w:r w:rsidRPr="008F3998">
        <w:rPr>
          <w:rFonts w:ascii="Times New Roman" w:eastAsia="Times New Roman" w:hAnsi="Times New Roman" w:cs="Times New Roman"/>
          <w:sz w:val="24"/>
          <w:szCs w:val="24"/>
        </w:rPr>
        <w:t xml:space="preserve"> effect on sovereign risk at the 10% significance level in</w:t>
      </w:r>
      <w:r w:rsidR="000032FD" w:rsidRPr="008F3998">
        <w:rPr>
          <w:rFonts w:ascii="Times New Roman" w:eastAsia="Times New Roman" w:hAnsi="Times New Roman" w:cs="Times New Roman"/>
          <w:sz w:val="24"/>
          <w:szCs w:val="24"/>
        </w:rPr>
        <w:t xml:space="preserve"> the</w:t>
      </w:r>
      <w:r w:rsidRPr="008F3998">
        <w:rPr>
          <w:rFonts w:ascii="Times New Roman" w:eastAsia="Times New Roman" w:hAnsi="Times New Roman" w:cs="Times New Roman"/>
          <w:sz w:val="24"/>
          <w:szCs w:val="24"/>
        </w:rPr>
        <w:t xml:space="preserve"> electricity</w:t>
      </w:r>
      <w:r w:rsidR="000032FD" w:rsidRPr="008F3998">
        <w:rPr>
          <w:rFonts w:ascii="Times New Roman" w:eastAsia="Times New Roman" w:hAnsi="Times New Roman" w:cs="Times New Roman"/>
          <w:sz w:val="24"/>
          <w:szCs w:val="24"/>
        </w:rPr>
        <w:t xml:space="preserve"> sector only</w:t>
      </w:r>
      <w:r w:rsidRPr="008F3998">
        <w:rPr>
          <w:rFonts w:ascii="Times New Roman" w:eastAsia="Times New Roman" w:hAnsi="Times New Roman" w:cs="Times New Roman"/>
          <w:sz w:val="24"/>
          <w:szCs w:val="24"/>
        </w:rPr>
        <w:t xml:space="preserve">. In contrast, </w:t>
      </w:r>
      <w:proofErr w:type="spellStart"/>
      <w:r w:rsidRPr="008F3998">
        <w:rPr>
          <w:rFonts w:ascii="Times New Roman" w:eastAsia="Times New Roman" w:hAnsi="Times New Roman" w:cs="Times New Roman"/>
          <w:i/>
          <w:iCs/>
          <w:sz w:val="24"/>
          <w:szCs w:val="24"/>
        </w:rPr>
        <w:t>finmsci</w:t>
      </w:r>
      <w:proofErr w:type="spellEnd"/>
      <w:r w:rsidRPr="008F3998">
        <w:rPr>
          <w:rFonts w:ascii="Times New Roman" w:eastAsia="Times New Roman" w:hAnsi="Times New Roman" w:cs="Times New Roman"/>
          <w:sz w:val="24"/>
          <w:szCs w:val="24"/>
        </w:rPr>
        <w:t xml:space="preserve"> and </w:t>
      </w:r>
      <w:proofErr w:type="spellStart"/>
      <w:r w:rsidRPr="008F3998">
        <w:rPr>
          <w:rFonts w:ascii="Times New Roman" w:eastAsia="Times New Roman" w:hAnsi="Times New Roman" w:cs="Times New Roman"/>
          <w:i/>
          <w:iCs/>
          <w:sz w:val="24"/>
          <w:szCs w:val="24"/>
        </w:rPr>
        <w:t>igyield</w:t>
      </w:r>
      <w:proofErr w:type="spellEnd"/>
      <w:r w:rsidRPr="008F3998">
        <w:rPr>
          <w:rFonts w:ascii="Times New Roman" w:eastAsia="Times New Roman" w:hAnsi="Times New Roman" w:cs="Times New Roman"/>
          <w:sz w:val="24"/>
          <w:szCs w:val="24"/>
        </w:rPr>
        <w:t xml:space="preserve"> reduce the country risk at electricity and industrial sector. In summary, we consistent</w:t>
      </w:r>
      <w:r w:rsidR="00816158" w:rsidRPr="008F3998">
        <w:rPr>
          <w:rFonts w:ascii="Times New Roman" w:eastAsia="Times New Roman" w:hAnsi="Times New Roman" w:cs="Times New Roman"/>
          <w:sz w:val="24"/>
          <w:szCs w:val="24"/>
        </w:rPr>
        <w:t xml:space="preserve">ly find </w:t>
      </w:r>
      <w:r w:rsidRPr="008F3998">
        <w:rPr>
          <w:rFonts w:ascii="Times New Roman" w:eastAsia="Times New Roman" w:hAnsi="Times New Roman" w:cs="Times New Roman"/>
          <w:sz w:val="24"/>
          <w:szCs w:val="24"/>
        </w:rPr>
        <w:t>carbon emission</w:t>
      </w:r>
      <w:r w:rsidR="00816158" w:rsidRPr="008F3998">
        <w:rPr>
          <w:rFonts w:ascii="Times New Roman" w:eastAsia="Times New Roman" w:hAnsi="Times New Roman" w:cs="Times New Roman"/>
          <w:sz w:val="24"/>
          <w:szCs w:val="24"/>
        </w:rPr>
        <w:t>s</w:t>
      </w:r>
      <w:r w:rsidRPr="008F3998">
        <w:rPr>
          <w:rFonts w:ascii="Times New Roman" w:eastAsia="Times New Roman" w:hAnsi="Times New Roman" w:cs="Times New Roman"/>
          <w:sz w:val="24"/>
          <w:szCs w:val="24"/>
        </w:rPr>
        <w:t xml:space="preserve"> </w:t>
      </w:r>
      <w:r w:rsidR="00816158" w:rsidRPr="008F3998">
        <w:rPr>
          <w:rFonts w:ascii="Times New Roman" w:eastAsia="Times New Roman" w:hAnsi="Times New Roman" w:cs="Times New Roman"/>
          <w:sz w:val="24"/>
          <w:szCs w:val="24"/>
        </w:rPr>
        <w:t>to aggravate</w:t>
      </w:r>
      <w:r w:rsidRPr="008F3998">
        <w:rPr>
          <w:rFonts w:ascii="Times New Roman" w:eastAsia="Times New Roman" w:hAnsi="Times New Roman" w:cs="Times New Roman"/>
          <w:sz w:val="24"/>
          <w:szCs w:val="24"/>
        </w:rPr>
        <w:t xml:space="preserve"> sovereign risk in all sectors</w:t>
      </w:r>
      <w:r w:rsidR="00816158" w:rsidRPr="008F3998">
        <w:rPr>
          <w:rFonts w:ascii="Times New Roman" w:eastAsia="Times New Roman" w:hAnsi="Times New Roman" w:cs="Times New Roman"/>
          <w:sz w:val="24"/>
          <w:szCs w:val="24"/>
        </w:rPr>
        <w:t>, with the effect being the highest in the</w:t>
      </w:r>
      <w:r w:rsidRPr="008F3998">
        <w:rPr>
          <w:rFonts w:ascii="Times New Roman" w:eastAsia="Times New Roman" w:hAnsi="Times New Roman" w:cs="Times New Roman"/>
          <w:sz w:val="24"/>
          <w:szCs w:val="24"/>
        </w:rPr>
        <w:t xml:space="preserve"> electricity sector.</w:t>
      </w:r>
    </w:p>
    <w:p w14:paraId="659DEE06" w14:textId="1D734E1B" w:rsidR="00EE0720" w:rsidRPr="008F3998" w:rsidRDefault="43A47D27" w:rsidP="003C0A6E">
      <w:pPr>
        <w:spacing w:line="360" w:lineRule="auto"/>
        <w:ind w:firstLine="720"/>
        <w:jc w:val="both"/>
        <w:rPr>
          <w:rFonts w:ascii="Times New Roman" w:eastAsia="Times New Roman" w:hAnsi="Times New Roman" w:cs="Times New Roman"/>
          <w:sz w:val="24"/>
          <w:szCs w:val="24"/>
        </w:rPr>
      </w:pPr>
      <w:r w:rsidRPr="008F3998">
        <w:rPr>
          <w:rFonts w:ascii="Times New Roman" w:eastAsia="Times New Roman" w:hAnsi="Times New Roman" w:cs="Times New Roman"/>
          <w:sz w:val="24"/>
          <w:szCs w:val="24"/>
        </w:rPr>
        <w:t xml:space="preserve">Overall, there is </w:t>
      </w:r>
      <w:r w:rsidR="00205496" w:rsidRPr="008F3998">
        <w:rPr>
          <w:rFonts w:ascii="Times New Roman" w:eastAsia="Times New Roman" w:hAnsi="Times New Roman" w:cs="Times New Roman"/>
          <w:sz w:val="24"/>
          <w:szCs w:val="24"/>
        </w:rPr>
        <w:t xml:space="preserve">a </w:t>
      </w:r>
      <w:r w:rsidRPr="008F3998">
        <w:rPr>
          <w:rFonts w:ascii="Times New Roman" w:eastAsia="Times New Roman" w:hAnsi="Times New Roman" w:cs="Times New Roman"/>
          <w:sz w:val="24"/>
          <w:szCs w:val="24"/>
        </w:rPr>
        <w:t>clear evidence that carbon emission is a determinant of sovereign risk in electricity, industry and transport sectors. Th</w:t>
      </w:r>
      <w:r w:rsidR="001C6231" w:rsidRPr="008F3998">
        <w:rPr>
          <w:rFonts w:ascii="Times New Roman" w:eastAsia="Times New Roman" w:hAnsi="Times New Roman" w:cs="Times New Roman"/>
          <w:sz w:val="24"/>
          <w:szCs w:val="24"/>
        </w:rPr>
        <w:t>is</w:t>
      </w:r>
      <w:r w:rsidRPr="008F3998">
        <w:rPr>
          <w:rFonts w:ascii="Times New Roman" w:eastAsia="Times New Roman" w:hAnsi="Times New Roman" w:cs="Times New Roman"/>
          <w:sz w:val="24"/>
          <w:szCs w:val="24"/>
        </w:rPr>
        <w:t xml:space="preserve"> effect </w:t>
      </w:r>
      <w:r w:rsidR="001C6231" w:rsidRPr="008F3998">
        <w:rPr>
          <w:rFonts w:ascii="Times New Roman" w:eastAsia="Times New Roman" w:hAnsi="Times New Roman" w:cs="Times New Roman"/>
          <w:sz w:val="24"/>
          <w:szCs w:val="24"/>
        </w:rPr>
        <w:t>is</w:t>
      </w:r>
      <w:r w:rsidRPr="008F3998">
        <w:rPr>
          <w:rFonts w:ascii="Times New Roman" w:eastAsia="Times New Roman" w:hAnsi="Times New Roman" w:cs="Times New Roman"/>
          <w:sz w:val="24"/>
          <w:szCs w:val="24"/>
        </w:rPr>
        <w:t xml:space="preserve"> </w:t>
      </w:r>
      <w:r w:rsidR="001C6231" w:rsidRPr="008F3998">
        <w:rPr>
          <w:rFonts w:ascii="Times New Roman" w:eastAsia="Times New Roman" w:hAnsi="Times New Roman" w:cs="Times New Roman"/>
          <w:sz w:val="24"/>
          <w:szCs w:val="24"/>
        </w:rPr>
        <w:t>robust</w:t>
      </w:r>
      <w:r w:rsidRPr="008F3998">
        <w:rPr>
          <w:rFonts w:ascii="Times New Roman" w:eastAsia="Times New Roman" w:hAnsi="Times New Roman" w:cs="Times New Roman"/>
          <w:sz w:val="24"/>
          <w:szCs w:val="24"/>
        </w:rPr>
        <w:t xml:space="preserve"> in two sectors, electricity and industry</w:t>
      </w:r>
      <w:r w:rsidR="00E71806" w:rsidRPr="008F3998">
        <w:rPr>
          <w:rFonts w:ascii="Times New Roman" w:eastAsia="Times New Roman" w:hAnsi="Times New Roman" w:cs="Times New Roman"/>
          <w:sz w:val="24"/>
          <w:szCs w:val="24"/>
        </w:rPr>
        <w:t>,</w:t>
      </w:r>
      <w:r w:rsidRPr="008F3998">
        <w:rPr>
          <w:rFonts w:ascii="Times New Roman" w:eastAsia="Times New Roman" w:hAnsi="Times New Roman" w:cs="Times New Roman"/>
          <w:sz w:val="24"/>
          <w:szCs w:val="24"/>
        </w:rPr>
        <w:t xml:space="preserve"> while the contribution of carbon emission</w:t>
      </w:r>
      <w:r w:rsidR="00E71806" w:rsidRPr="008F3998">
        <w:rPr>
          <w:rFonts w:ascii="Times New Roman" w:eastAsia="Times New Roman" w:hAnsi="Times New Roman" w:cs="Times New Roman"/>
          <w:sz w:val="24"/>
          <w:szCs w:val="24"/>
        </w:rPr>
        <w:t>s</w:t>
      </w:r>
      <w:r w:rsidRPr="008F3998">
        <w:rPr>
          <w:rFonts w:ascii="Times New Roman" w:eastAsia="Times New Roman" w:hAnsi="Times New Roman" w:cs="Times New Roman"/>
          <w:sz w:val="24"/>
          <w:szCs w:val="24"/>
        </w:rPr>
        <w:t xml:space="preserve"> to </w:t>
      </w:r>
      <w:r w:rsidR="001C6231" w:rsidRPr="008F3998">
        <w:rPr>
          <w:rFonts w:ascii="Times New Roman" w:eastAsia="Times New Roman" w:hAnsi="Times New Roman" w:cs="Times New Roman"/>
          <w:sz w:val="24"/>
          <w:szCs w:val="24"/>
        </w:rPr>
        <w:t>financial</w:t>
      </w:r>
      <w:r w:rsidRPr="008F3998">
        <w:rPr>
          <w:rFonts w:ascii="Times New Roman" w:eastAsia="Times New Roman" w:hAnsi="Times New Roman" w:cs="Times New Roman"/>
          <w:sz w:val="24"/>
          <w:szCs w:val="24"/>
        </w:rPr>
        <w:t xml:space="preserve"> risk in</w:t>
      </w:r>
      <w:r w:rsidR="00E71806" w:rsidRPr="008F3998">
        <w:rPr>
          <w:rFonts w:ascii="Times New Roman" w:eastAsia="Times New Roman" w:hAnsi="Times New Roman" w:cs="Times New Roman"/>
          <w:sz w:val="24"/>
          <w:szCs w:val="24"/>
        </w:rPr>
        <w:t xml:space="preserve"> the</w:t>
      </w:r>
      <w:r w:rsidRPr="008F3998">
        <w:rPr>
          <w:rFonts w:ascii="Times New Roman" w:eastAsia="Times New Roman" w:hAnsi="Times New Roman" w:cs="Times New Roman"/>
          <w:sz w:val="24"/>
          <w:szCs w:val="24"/>
        </w:rPr>
        <w:t xml:space="preserve"> transport sector is only found in </w:t>
      </w:r>
      <w:r w:rsidR="00E71806" w:rsidRPr="008F3998">
        <w:rPr>
          <w:rFonts w:ascii="Times New Roman" w:eastAsia="Times New Roman" w:hAnsi="Times New Roman" w:cs="Times New Roman"/>
          <w:sz w:val="24"/>
          <w:szCs w:val="24"/>
        </w:rPr>
        <w:t>the</w:t>
      </w:r>
      <w:r w:rsidRPr="008F3998">
        <w:rPr>
          <w:rFonts w:ascii="Times New Roman" w:eastAsia="Times New Roman" w:hAnsi="Times New Roman" w:cs="Times New Roman"/>
          <w:sz w:val="24"/>
          <w:szCs w:val="24"/>
        </w:rPr>
        <w:t xml:space="preserve"> baseline model. The results of goodness-of-fit in the sectoral analysis are</w:t>
      </w:r>
      <w:r w:rsidR="00E71806" w:rsidRPr="008F3998">
        <w:rPr>
          <w:rFonts w:ascii="Times New Roman" w:eastAsia="Times New Roman" w:hAnsi="Times New Roman" w:cs="Times New Roman"/>
          <w:sz w:val="24"/>
          <w:szCs w:val="24"/>
        </w:rPr>
        <w:t xml:space="preserve"> also</w:t>
      </w:r>
      <w:r w:rsidRPr="008F3998">
        <w:rPr>
          <w:rFonts w:ascii="Times New Roman" w:eastAsia="Times New Roman" w:hAnsi="Times New Roman" w:cs="Times New Roman"/>
          <w:sz w:val="24"/>
          <w:szCs w:val="24"/>
        </w:rPr>
        <w:t xml:space="preserve"> </w:t>
      </w:r>
      <w:r w:rsidR="00E71806" w:rsidRPr="008F3998">
        <w:rPr>
          <w:rFonts w:ascii="Times New Roman" w:eastAsia="Times New Roman" w:hAnsi="Times New Roman" w:cs="Times New Roman"/>
          <w:sz w:val="24"/>
          <w:szCs w:val="24"/>
        </w:rPr>
        <w:t>akin</w:t>
      </w:r>
      <w:r w:rsidRPr="008F3998">
        <w:rPr>
          <w:rFonts w:ascii="Times New Roman" w:eastAsia="Times New Roman" w:hAnsi="Times New Roman" w:cs="Times New Roman"/>
          <w:sz w:val="24"/>
          <w:szCs w:val="24"/>
        </w:rPr>
        <w:t xml:space="preserve"> to the results of the </w:t>
      </w:r>
      <w:r w:rsidR="00E71806" w:rsidRPr="008F3998">
        <w:rPr>
          <w:rFonts w:ascii="Times New Roman" w:eastAsia="Times New Roman" w:hAnsi="Times New Roman" w:cs="Times New Roman"/>
          <w:sz w:val="24"/>
          <w:szCs w:val="24"/>
        </w:rPr>
        <w:t>national level analysis</w:t>
      </w:r>
      <w:r w:rsidRPr="008F3998">
        <w:rPr>
          <w:rFonts w:ascii="Times New Roman" w:eastAsia="Times New Roman" w:hAnsi="Times New Roman" w:cs="Times New Roman"/>
          <w:sz w:val="24"/>
          <w:szCs w:val="24"/>
        </w:rPr>
        <w:t>. Finally, apart from carbon emission</w:t>
      </w:r>
      <w:r w:rsidR="00E71806" w:rsidRPr="008F3998">
        <w:rPr>
          <w:rFonts w:ascii="Times New Roman" w:eastAsia="Times New Roman" w:hAnsi="Times New Roman" w:cs="Times New Roman"/>
          <w:sz w:val="24"/>
          <w:szCs w:val="24"/>
        </w:rPr>
        <w:t>s</w:t>
      </w:r>
      <w:r w:rsidRPr="008F3998">
        <w:rPr>
          <w:rFonts w:ascii="Times New Roman" w:eastAsia="Times New Roman" w:hAnsi="Times New Roman" w:cs="Times New Roman"/>
          <w:sz w:val="24"/>
          <w:szCs w:val="24"/>
        </w:rPr>
        <w:t xml:space="preserve">, there are several factors, which </w:t>
      </w:r>
      <w:r w:rsidR="00E71806" w:rsidRPr="008F3998">
        <w:rPr>
          <w:rFonts w:ascii="Times New Roman" w:eastAsia="Times New Roman" w:hAnsi="Times New Roman" w:cs="Times New Roman"/>
          <w:sz w:val="24"/>
          <w:szCs w:val="24"/>
        </w:rPr>
        <w:t>affect</w:t>
      </w:r>
      <w:r w:rsidRPr="008F3998">
        <w:rPr>
          <w:rFonts w:ascii="Times New Roman" w:eastAsia="Times New Roman" w:hAnsi="Times New Roman" w:cs="Times New Roman"/>
          <w:sz w:val="24"/>
          <w:szCs w:val="24"/>
        </w:rPr>
        <w:t xml:space="preserve"> </w:t>
      </w:r>
      <w:r w:rsidR="00E71806" w:rsidRPr="008F3998">
        <w:rPr>
          <w:rFonts w:ascii="Times New Roman" w:eastAsia="Times New Roman" w:hAnsi="Times New Roman" w:cs="Times New Roman"/>
          <w:sz w:val="24"/>
          <w:szCs w:val="24"/>
        </w:rPr>
        <w:t>country financial</w:t>
      </w:r>
      <w:r w:rsidRPr="008F3998">
        <w:rPr>
          <w:rFonts w:ascii="Times New Roman" w:eastAsia="Times New Roman" w:hAnsi="Times New Roman" w:cs="Times New Roman"/>
          <w:sz w:val="24"/>
          <w:szCs w:val="24"/>
        </w:rPr>
        <w:t xml:space="preserve"> risk in our models, such as exchange rate, yield spread and so forth. It is also important to note that our</w:t>
      </w:r>
      <w:r w:rsidR="00790126" w:rsidRPr="008F3998">
        <w:rPr>
          <w:rFonts w:ascii="Times New Roman" w:eastAsia="Times New Roman" w:hAnsi="Times New Roman" w:cs="Times New Roman"/>
          <w:sz w:val="24"/>
          <w:szCs w:val="24"/>
        </w:rPr>
        <w:t xml:space="preserve"> sectoral</w:t>
      </w:r>
      <w:r w:rsidRPr="008F3998">
        <w:rPr>
          <w:rFonts w:ascii="Times New Roman" w:eastAsia="Times New Roman" w:hAnsi="Times New Roman" w:cs="Times New Roman"/>
          <w:sz w:val="24"/>
          <w:szCs w:val="24"/>
        </w:rPr>
        <w:t xml:space="preserve"> results are </w:t>
      </w:r>
      <w:r w:rsidR="0060712C" w:rsidRPr="008F3998">
        <w:rPr>
          <w:rFonts w:ascii="Times New Roman" w:eastAsia="Times New Roman" w:hAnsi="Times New Roman" w:cs="Times New Roman"/>
          <w:sz w:val="24"/>
          <w:szCs w:val="24"/>
        </w:rPr>
        <w:t>virtually</w:t>
      </w:r>
      <w:r w:rsidRPr="008F3998">
        <w:rPr>
          <w:rFonts w:ascii="Times New Roman" w:eastAsia="Times New Roman" w:hAnsi="Times New Roman" w:cs="Times New Roman"/>
          <w:sz w:val="24"/>
          <w:szCs w:val="24"/>
        </w:rPr>
        <w:t xml:space="preserve"> identical when the dependent variable is </w:t>
      </w:r>
      <w:r w:rsidRPr="008F3998">
        <w:rPr>
          <w:rFonts w:ascii="Times New Roman" w:eastAsia="Times New Roman" w:hAnsi="Times New Roman" w:cs="Times New Roman"/>
          <w:i/>
          <w:iCs/>
          <w:sz w:val="24"/>
          <w:szCs w:val="24"/>
        </w:rPr>
        <w:t>tail quantile</w:t>
      </w:r>
      <w:r w:rsidRPr="008F3998">
        <w:rPr>
          <w:rFonts w:ascii="Times New Roman" w:eastAsia="Times New Roman" w:hAnsi="Times New Roman" w:cs="Times New Roman"/>
          <w:sz w:val="24"/>
          <w:szCs w:val="24"/>
        </w:rPr>
        <w:t>.</w:t>
      </w:r>
      <w:r w:rsidR="008323B5" w:rsidRPr="008F3998">
        <w:rPr>
          <w:rStyle w:val="FootnoteReference"/>
          <w:rFonts w:ascii="Times New Roman" w:eastAsia="Times New Roman" w:hAnsi="Times New Roman" w:cs="Times New Roman"/>
          <w:sz w:val="24"/>
          <w:szCs w:val="24"/>
        </w:rPr>
        <w:footnoteReference w:id="7"/>
      </w:r>
    </w:p>
    <w:p w14:paraId="29A418E7" w14:textId="06584AF0" w:rsidR="00E526FC" w:rsidRPr="008F3998" w:rsidRDefault="00E526FC" w:rsidP="003C0A6E">
      <w:pPr>
        <w:spacing w:after="0" w:line="240" w:lineRule="auto"/>
        <w:jc w:val="both"/>
        <w:rPr>
          <w:rFonts w:ascii="Times New Roman" w:eastAsia="Times New Roman" w:hAnsi="Times New Roman" w:cs="Times New Roman"/>
          <w:b/>
          <w:sz w:val="24"/>
          <w:szCs w:val="24"/>
        </w:rPr>
      </w:pPr>
      <w:r w:rsidRPr="008F3998">
        <w:rPr>
          <w:rFonts w:ascii="Times New Roman" w:hAnsi="Times New Roman" w:cs="Times New Roman"/>
          <w:b/>
        </w:rPr>
        <w:t xml:space="preserve">Table </w:t>
      </w:r>
      <w:r w:rsidR="007E3867" w:rsidRPr="008F3998">
        <w:rPr>
          <w:rFonts w:ascii="Times New Roman" w:hAnsi="Times New Roman" w:cs="Times New Roman"/>
          <w:b/>
        </w:rPr>
        <w:t>5</w:t>
      </w:r>
      <w:r w:rsidR="004F41A3" w:rsidRPr="008F3998">
        <w:rPr>
          <w:rFonts w:ascii="Times New Roman" w:hAnsi="Times New Roman" w:cs="Times New Roman"/>
          <w:b/>
        </w:rPr>
        <w:t>:</w:t>
      </w:r>
      <w:r w:rsidRPr="008F3998">
        <w:rPr>
          <w:rFonts w:ascii="Times New Roman" w:hAnsi="Times New Roman" w:cs="Times New Roman"/>
          <w:b/>
        </w:rPr>
        <w:t xml:space="preserve"> </w:t>
      </w:r>
      <w:r w:rsidR="004F41A3" w:rsidRPr="008F3998">
        <w:rPr>
          <w:rFonts w:ascii="Times New Roman" w:eastAsia="Times New Roman" w:hAnsi="Times New Roman" w:cs="Times New Roman"/>
          <w:b/>
          <w:sz w:val="24"/>
          <w:szCs w:val="24"/>
        </w:rPr>
        <w:t>Model</w:t>
      </w:r>
      <w:r w:rsidR="00FF7F9F" w:rsidRPr="008F3998">
        <w:rPr>
          <w:rFonts w:ascii="Times New Roman" w:eastAsia="Times New Roman" w:hAnsi="Times New Roman" w:cs="Times New Roman"/>
          <w:b/>
          <w:sz w:val="24"/>
          <w:szCs w:val="24"/>
        </w:rPr>
        <w:t>s (</w:t>
      </w:r>
      <w:r w:rsidR="007E3867" w:rsidRPr="008F3998">
        <w:rPr>
          <w:rFonts w:ascii="Times New Roman" w:eastAsia="Times New Roman" w:hAnsi="Times New Roman" w:cs="Times New Roman"/>
          <w:b/>
          <w:sz w:val="24"/>
          <w:szCs w:val="24"/>
        </w:rPr>
        <w:t>6) &amp; (</w:t>
      </w:r>
      <w:r w:rsidR="00FF7F9F" w:rsidRPr="008F3998">
        <w:rPr>
          <w:rFonts w:ascii="Times New Roman" w:eastAsia="Times New Roman" w:hAnsi="Times New Roman" w:cs="Times New Roman"/>
          <w:b/>
          <w:sz w:val="24"/>
          <w:szCs w:val="24"/>
        </w:rPr>
        <w:t>8)</w:t>
      </w:r>
      <w:r w:rsidR="004F41A3" w:rsidRPr="008F3998">
        <w:rPr>
          <w:rFonts w:ascii="Times New Roman" w:eastAsia="Times New Roman" w:hAnsi="Times New Roman" w:cs="Times New Roman"/>
          <w:b/>
          <w:sz w:val="24"/>
          <w:szCs w:val="24"/>
        </w:rPr>
        <w:t xml:space="preserve"> estimations,</w:t>
      </w:r>
      <w:r w:rsidRPr="008F3998">
        <w:rPr>
          <w:rFonts w:ascii="Times New Roman" w:eastAsia="Times New Roman" w:hAnsi="Times New Roman" w:cs="Times New Roman"/>
          <w:b/>
          <w:sz w:val="24"/>
          <w:szCs w:val="24"/>
        </w:rPr>
        <w:t xml:space="preserve"> </w:t>
      </w:r>
      <w:r w:rsidR="009A76C7" w:rsidRPr="008F3998">
        <w:rPr>
          <w:rFonts w:ascii="Times New Roman" w:eastAsia="Times New Roman" w:hAnsi="Times New Roman" w:cs="Times New Roman"/>
          <w:b/>
          <w:sz w:val="24"/>
          <w:szCs w:val="24"/>
        </w:rPr>
        <w:t>S</w:t>
      </w:r>
      <w:r w:rsidRPr="008F3998">
        <w:rPr>
          <w:rFonts w:ascii="Times New Roman" w:eastAsia="Times New Roman" w:hAnsi="Times New Roman" w:cs="Times New Roman"/>
          <w:b/>
          <w:sz w:val="24"/>
          <w:szCs w:val="24"/>
        </w:rPr>
        <w:t>ector</w:t>
      </w:r>
      <w:r w:rsidR="009A76C7" w:rsidRPr="008F3998">
        <w:rPr>
          <w:rFonts w:ascii="Times New Roman" w:eastAsia="Times New Roman" w:hAnsi="Times New Roman" w:cs="Times New Roman"/>
          <w:b/>
          <w:sz w:val="24"/>
          <w:szCs w:val="24"/>
        </w:rPr>
        <w:t>al level</w:t>
      </w:r>
    </w:p>
    <w:tbl>
      <w:tblPr>
        <w:tblW w:w="0" w:type="auto"/>
        <w:jc w:val="center"/>
        <w:tblCellMar>
          <w:left w:w="75" w:type="dxa"/>
          <w:right w:w="75" w:type="dxa"/>
        </w:tblCellMar>
        <w:tblLook w:val="0000" w:firstRow="0" w:lastRow="0" w:firstColumn="0" w:lastColumn="0" w:noHBand="0" w:noVBand="0"/>
      </w:tblPr>
      <w:tblGrid>
        <w:gridCol w:w="3310"/>
        <w:gridCol w:w="983"/>
        <w:gridCol w:w="1067"/>
        <w:gridCol w:w="967"/>
        <w:gridCol w:w="1067"/>
        <w:gridCol w:w="928"/>
        <w:gridCol w:w="1067"/>
      </w:tblGrid>
      <w:tr w:rsidR="008F3998" w:rsidRPr="008F3998" w14:paraId="0678CBCD" w14:textId="77777777" w:rsidTr="003C0A6E">
        <w:trPr>
          <w:trHeight w:val="174"/>
          <w:jc w:val="center"/>
        </w:trPr>
        <w:tc>
          <w:tcPr>
            <w:tcW w:w="0" w:type="auto"/>
            <w:tcBorders>
              <w:top w:val="single" w:sz="6" w:space="0" w:color="auto"/>
              <w:left w:val="nil"/>
              <w:right w:val="nil"/>
            </w:tcBorders>
          </w:tcPr>
          <w:p w14:paraId="6857D949" w14:textId="0BA7CEE3" w:rsidR="004F41A3" w:rsidRPr="008F3998" w:rsidRDefault="009A76C7" w:rsidP="003E06D0">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Dependent variable: Expected Shortfall</w:t>
            </w:r>
          </w:p>
        </w:tc>
        <w:tc>
          <w:tcPr>
            <w:tcW w:w="0" w:type="auto"/>
            <w:gridSpan w:val="6"/>
            <w:tcBorders>
              <w:top w:val="single" w:sz="6" w:space="0" w:color="auto"/>
              <w:left w:val="nil"/>
              <w:bottom w:val="nil"/>
              <w:right w:val="nil"/>
            </w:tcBorders>
            <w:vAlign w:val="center"/>
          </w:tcPr>
          <w:p w14:paraId="05F7976C" w14:textId="043F8EEA" w:rsidR="004F41A3" w:rsidRPr="008F3998" w:rsidRDefault="009A76C7">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Sector</w:t>
            </w:r>
          </w:p>
        </w:tc>
      </w:tr>
      <w:tr w:rsidR="008F3998" w:rsidRPr="008F3998" w14:paraId="490DEF8D" w14:textId="77777777" w:rsidTr="00314F66">
        <w:trPr>
          <w:trHeight w:val="174"/>
          <w:jc w:val="center"/>
        </w:trPr>
        <w:tc>
          <w:tcPr>
            <w:tcW w:w="0" w:type="auto"/>
            <w:tcBorders>
              <w:left w:val="nil"/>
              <w:bottom w:val="nil"/>
              <w:right w:val="nil"/>
            </w:tcBorders>
          </w:tcPr>
          <w:p w14:paraId="175C2F89" w14:textId="77777777"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6" w:space="0" w:color="auto"/>
              <w:left w:val="nil"/>
              <w:bottom w:val="nil"/>
              <w:right w:val="nil"/>
            </w:tcBorders>
          </w:tcPr>
          <w:p w14:paraId="46985789" w14:textId="155A638E" w:rsidR="004F41A3" w:rsidRPr="008F3998" w:rsidRDefault="009A76C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Electricity</w:t>
            </w:r>
          </w:p>
        </w:tc>
        <w:tc>
          <w:tcPr>
            <w:tcW w:w="0" w:type="auto"/>
            <w:tcBorders>
              <w:top w:val="single" w:sz="6" w:space="0" w:color="auto"/>
              <w:left w:val="nil"/>
              <w:bottom w:val="nil"/>
              <w:right w:val="nil"/>
            </w:tcBorders>
          </w:tcPr>
          <w:p w14:paraId="5D630885" w14:textId="47A9E912" w:rsidR="004F41A3" w:rsidRPr="008F3998" w:rsidRDefault="009A76C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Electricity</w:t>
            </w:r>
          </w:p>
        </w:tc>
        <w:tc>
          <w:tcPr>
            <w:tcW w:w="0" w:type="auto"/>
            <w:tcBorders>
              <w:top w:val="single" w:sz="6" w:space="0" w:color="auto"/>
              <w:left w:val="nil"/>
              <w:bottom w:val="nil"/>
              <w:right w:val="nil"/>
            </w:tcBorders>
          </w:tcPr>
          <w:p w14:paraId="3B4AC9C8" w14:textId="5C5F3101" w:rsidR="004F41A3" w:rsidRPr="008F3998" w:rsidRDefault="009A76C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Industr</w:t>
            </w:r>
            <w:r w:rsidR="00F84DFB" w:rsidRPr="008F3998">
              <w:rPr>
                <w:rFonts w:ascii="Times New Roman" w:hAnsi="Times New Roman" w:cs="Times New Roman"/>
                <w:sz w:val="20"/>
                <w:szCs w:val="20"/>
              </w:rPr>
              <w:t>ial</w:t>
            </w:r>
          </w:p>
        </w:tc>
        <w:tc>
          <w:tcPr>
            <w:tcW w:w="0" w:type="auto"/>
            <w:tcBorders>
              <w:top w:val="single" w:sz="6" w:space="0" w:color="auto"/>
              <w:left w:val="nil"/>
              <w:bottom w:val="nil"/>
              <w:right w:val="nil"/>
            </w:tcBorders>
          </w:tcPr>
          <w:p w14:paraId="3F2BD3F9" w14:textId="4AE7C88E" w:rsidR="004F41A3" w:rsidRPr="008F3998" w:rsidRDefault="009A76C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Industr</w:t>
            </w:r>
            <w:r w:rsidR="00F84DFB" w:rsidRPr="008F3998">
              <w:rPr>
                <w:rFonts w:ascii="Times New Roman" w:hAnsi="Times New Roman" w:cs="Times New Roman"/>
                <w:sz w:val="20"/>
                <w:szCs w:val="20"/>
              </w:rPr>
              <w:t>ial</w:t>
            </w:r>
          </w:p>
        </w:tc>
        <w:tc>
          <w:tcPr>
            <w:tcW w:w="0" w:type="auto"/>
            <w:tcBorders>
              <w:top w:val="single" w:sz="6" w:space="0" w:color="auto"/>
              <w:left w:val="nil"/>
              <w:bottom w:val="nil"/>
              <w:right w:val="nil"/>
            </w:tcBorders>
          </w:tcPr>
          <w:p w14:paraId="0F6FDAE4" w14:textId="3905DD95" w:rsidR="004F41A3" w:rsidRPr="008F3998" w:rsidRDefault="009A76C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Transport</w:t>
            </w:r>
          </w:p>
        </w:tc>
        <w:tc>
          <w:tcPr>
            <w:tcW w:w="0" w:type="auto"/>
            <w:tcBorders>
              <w:top w:val="single" w:sz="6" w:space="0" w:color="auto"/>
              <w:left w:val="nil"/>
              <w:bottom w:val="nil"/>
              <w:right w:val="nil"/>
            </w:tcBorders>
          </w:tcPr>
          <w:p w14:paraId="512D11BA" w14:textId="3112697B" w:rsidR="004F41A3" w:rsidRPr="008F3998" w:rsidRDefault="009A76C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Transport</w:t>
            </w:r>
          </w:p>
        </w:tc>
      </w:tr>
      <w:tr w:rsidR="008F3998" w:rsidRPr="008F3998" w14:paraId="153C567B" w14:textId="77777777" w:rsidTr="00314F66">
        <w:trPr>
          <w:jc w:val="center"/>
        </w:trPr>
        <w:tc>
          <w:tcPr>
            <w:tcW w:w="0" w:type="auto"/>
            <w:tcBorders>
              <w:top w:val="nil"/>
              <w:left w:val="nil"/>
              <w:bottom w:val="single" w:sz="6" w:space="0" w:color="auto"/>
              <w:right w:val="nil"/>
            </w:tcBorders>
          </w:tcPr>
          <w:p w14:paraId="36ABCC0A" w14:textId="17342169" w:rsidR="004F41A3" w:rsidRPr="008F3998" w:rsidRDefault="004F41A3" w:rsidP="004F41A3">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Independent variables</w:t>
            </w:r>
          </w:p>
        </w:tc>
        <w:tc>
          <w:tcPr>
            <w:tcW w:w="0" w:type="auto"/>
            <w:tcBorders>
              <w:top w:val="nil"/>
              <w:left w:val="nil"/>
              <w:bottom w:val="single" w:sz="6" w:space="0" w:color="auto"/>
              <w:right w:val="nil"/>
            </w:tcBorders>
            <w:vAlign w:val="bottom"/>
          </w:tcPr>
          <w:p w14:paraId="77BF70F9" w14:textId="75BB6BA6"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w:t>
            </w:r>
          </w:p>
        </w:tc>
        <w:tc>
          <w:tcPr>
            <w:tcW w:w="0" w:type="auto"/>
            <w:tcBorders>
              <w:top w:val="nil"/>
              <w:left w:val="nil"/>
              <w:bottom w:val="single" w:sz="6" w:space="0" w:color="auto"/>
              <w:right w:val="nil"/>
            </w:tcBorders>
            <w:vAlign w:val="bottom"/>
          </w:tcPr>
          <w:p w14:paraId="065DFC64" w14:textId="36A559E0"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w:t>
            </w:r>
          </w:p>
        </w:tc>
        <w:tc>
          <w:tcPr>
            <w:tcW w:w="0" w:type="auto"/>
            <w:tcBorders>
              <w:top w:val="nil"/>
              <w:left w:val="nil"/>
              <w:bottom w:val="single" w:sz="6" w:space="0" w:color="auto"/>
              <w:right w:val="nil"/>
            </w:tcBorders>
            <w:vAlign w:val="bottom"/>
          </w:tcPr>
          <w:p w14:paraId="5EA84C96" w14:textId="40367155"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w:t>
            </w:r>
          </w:p>
        </w:tc>
        <w:tc>
          <w:tcPr>
            <w:tcW w:w="0" w:type="auto"/>
            <w:tcBorders>
              <w:top w:val="nil"/>
              <w:left w:val="nil"/>
              <w:bottom w:val="single" w:sz="6" w:space="0" w:color="auto"/>
              <w:right w:val="nil"/>
            </w:tcBorders>
            <w:vAlign w:val="bottom"/>
          </w:tcPr>
          <w:p w14:paraId="798F0289" w14:textId="2D19ED81"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w:t>
            </w:r>
          </w:p>
        </w:tc>
        <w:tc>
          <w:tcPr>
            <w:tcW w:w="0" w:type="auto"/>
            <w:tcBorders>
              <w:top w:val="nil"/>
              <w:left w:val="nil"/>
              <w:bottom w:val="single" w:sz="6" w:space="0" w:color="auto"/>
              <w:right w:val="nil"/>
            </w:tcBorders>
            <w:vAlign w:val="bottom"/>
          </w:tcPr>
          <w:p w14:paraId="7E613F1F" w14:textId="1ACD2F6A"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w:t>
            </w:r>
          </w:p>
        </w:tc>
        <w:tc>
          <w:tcPr>
            <w:tcW w:w="0" w:type="auto"/>
            <w:tcBorders>
              <w:top w:val="nil"/>
              <w:left w:val="nil"/>
              <w:bottom w:val="single" w:sz="6" w:space="0" w:color="auto"/>
              <w:right w:val="nil"/>
            </w:tcBorders>
            <w:vAlign w:val="bottom"/>
          </w:tcPr>
          <w:p w14:paraId="73BF841E" w14:textId="4ABEDA60" w:rsidR="004F41A3" w:rsidRPr="008F3998" w:rsidRDefault="004F41A3"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(6)</w:t>
            </w:r>
          </w:p>
        </w:tc>
      </w:tr>
      <w:tr w:rsidR="008F3998" w:rsidRPr="008F3998" w14:paraId="5B48C831" w14:textId="77777777" w:rsidTr="003E06D0">
        <w:trPr>
          <w:jc w:val="center"/>
        </w:trPr>
        <w:tc>
          <w:tcPr>
            <w:tcW w:w="0" w:type="auto"/>
            <w:tcBorders>
              <w:top w:val="nil"/>
              <w:left w:val="nil"/>
              <w:bottom w:val="nil"/>
              <w:right w:val="nil"/>
            </w:tcBorders>
          </w:tcPr>
          <w:p w14:paraId="5F60038B" w14:textId="00764C5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w:t>
            </w:r>
            <w:r w:rsidRPr="008F3998">
              <w:rPr>
                <w:rFonts w:ascii="Times New Roman" w:hAnsi="Times New Roman" w:cs="Times New Roman"/>
                <w:sz w:val="20"/>
                <w:szCs w:val="20"/>
                <w:vertAlign w:val="subscript"/>
              </w:rPr>
              <w:t>2</w:t>
            </w:r>
          </w:p>
        </w:tc>
        <w:tc>
          <w:tcPr>
            <w:tcW w:w="0" w:type="auto"/>
            <w:tcBorders>
              <w:top w:val="nil"/>
              <w:left w:val="nil"/>
              <w:bottom w:val="nil"/>
              <w:right w:val="nil"/>
            </w:tcBorders>
          </w:tcPr>
          <w:p w14:paraId="0174CABC" w14:textId="2A65710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2.756***</w:t>
            </w:r>
          </w:p>
        </w:tc>
        <w:tc>
          <w:tcPr>
            <w:tcW w:w="0" w:type="auto"/>
            <w:tcBorders>
              <w:top w:val="nil"/>
              <w:left w:val="nil"/>
              <w:bottom w:val="nil"/>
              <w:right w:val="nil"/>
            </w:tcBorders>
          </w:tcPr>
          <w:p w14:paraId="78923C99" w14:textId="10AE994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2.499**</w:t>
            </w:r>
          </w:p>
        </w:tc>
        <w:tc>
          <w:tcPr>
            <w:tcW w:w="0" w:type="auto"/>
            <w:tcBorders>
              <w:top w:val="nil"/>
              <w:left w:val="nil"/>
              <w:bottom w:val="nil"/>
              <w:right w:val="nil"/>
            </w:tcBorders>
          </w:tcPr>
          <w:p w14:paraId="1D2BC387" w14:textId="153AE9F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2.138***</w:t>
            </w:r>
          </w:p>
        </w:tc>
        <w:tc>
          <w:tcPr>
            <w:tcW w:w="0" w:type="auto"/>
            <w:tcBorders>
              <w:top w:val="nil"/>
              <w:left w:val="nil"/>
              <w:bottom w:val="nil"/>
              <w:right w:val="nil"/>
            </w:tcBorders>
          </w:tcPr>
          <w:p w14:paraId="32F8E07E" w14:textId="102DC8C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1.141***</w:t>
            </w:r>
          </w:p>
        </w:tc>
        <w:tc>
          <w:tcPr>
            <w:tcW w:w="0" w:type="auto"/>
            <w:tcBorders>
              <w:top w:val="nil"/>
              <w:left w:val="nil"/>
              <w:bottom w:val="nil"/>
              <w:right w:val="nil"/>
            </w:tcBorders>
          </w:tcPr>
          <w:p w14:paraId="10C9226F" w14:textId="477B2D7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2.236**</w:t>
            </w:r>
          </w:p>
        </w:tc>
        <w:tc>
          <w:tcPr>
            <w:tcW w:w="0" w:type="auto"/>
            <w:tcBorders>
              <w:top w:val="nil"/>
              <w:left w:val="nil"/>
              <w:bottom w:val="nil"/>
              <w:right w:val="nil"/>
            </w:tcBorders>
          </w:tcPr>
          <w:p w14:paraId="0F3ABBF1" w14:textId="5B8B0AA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1.361</w:t>
            </w:r>
          </w:p>
        </w:tc>
      </w:tr>
      <w:tr w:rsidR="008F3998" w:rsidRPr="008F3998" w14:paraId="221792A1" w14:textId="77777777" w:rsidTr="003E06D0">
        <w:trPr>
          <w:jc w:val="center"/>
        </w:trPr>
        <w:tc>
          <w:tcPr>
            <w:tcW w:w="0" w:type="auto"/>
            <w:tcBorders>
              <w:top w:val="nil"/>
              <w:left w:val="nil"/>
              <w:bottom w:val="nil"/>
              <w:right w:val="nil"/>
            </w:tcBorders>
          </w:tcPr>
          <w:p w14:paraId="1234F01F"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3EC9375" w14:textId="0024E19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(0.455)</w:t>
            </w:r>
          </w:p>
        </w:tc>
        <w:tc>
          <w:tcPr>
            <w:tcW w:w="0" w:type="auto"/>
            <w:tcBorders>
              <w:top w:val="nil"/>
              <w:left w:val="nil"/>
              <w:bottom w:val="nil"/>
              <w:right w:val="nil"/>
            </w:tcBorders>
          </w:tcPr>
          <w:p w14:paraId="75E199D6" w14:textId="21EF42C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(0.992)</w:t>
            </w:r>
          </w:p>
        </w:tc>
        <w:tc>
          <w:tcPr>
            <w:tcW w:w="0" w:type="auto"/>
            <w:tcBorders>
              <w:top w:val="nil"/>
              <w:left w:val="nil"/>
              <w:bottom w:val="nil"/>
              <w:right w:val="nil"/>
            </w:tcBorders>
          </w:tcPr>
          <w:p w14:paraId="6AD798A2" w14:textId="72E1E63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(0.286)</w:t>
            </w:r>
          </w:p>
        </w:tc>
        <w:tc>
          <w:tcPr>
            <w:tcW w:w="0" w:type="auto"/>
            <w:tcBorders>
              <w:top w:val="nil"/>
              <w:left w:val="nil"/>
              <w:bottom w:val="nil"/>
              <w:right w:val="nil"/>
            </w:tcBorders>
          </w:tcPr>
          <w:p w14:paraId="6C075C49" w14:textId="0D58A75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(0.307)</w:t>
            </w:r>
          </w:p>
        </w:tc>
        <w:tc>
          <w:tcPr>
            <w:tcW w:w="0" w:type="auto"/>
            <w:tcBorders>
              <w:top w:val="nil"/>
              <w:left w:val="nil"/>
              <w:bottom w:val="nil"/>
              <w:right w:val="nil"/>
            </w:tcBorders>
          </w:tcPr>
          <w:p w14:paraId="716C49D6" w14:textId="1D18328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(0.737)</w:t>
            </w:r>
          </w:p>
        </w:tc>
        <w:tc>
          <w:tcPr>
            <w:tcW w:w="0" w:type="auto"/>
            <w:tcBorders>
              <w:top w:val="nil"/>
              <w:left w:val="nil"/>
              <w:bottom w:val="nil"/>
              <w:right w:val="nil"/>
            </w:tcBorders>
          </w:tcPr>
          <w:p w14:paraId="6259978B" w14:textId="44567BC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(2.589)</w:t>
            </w:r>
          </w:p>
        </w:tc>
      </w:tr>
      <w:tr w:rsidR="008F3998" w:rsidRPr="008F3998" w14:paraId="79044558" w14:textId="77777777" w:rsidTr="003E06D0">
        <w:trPr>
          <w:jc w:val="center"/>
        </w:trPr>
        <w:tc>
          <w:tcPr>
            <w:tcW w:w="0" w:type="auto"/>
            <w:tcBorders>
              <w:top w:val="nil"/>
              <w:left w:val="nil"/>
              <w:bottom w:val="nil"/>
              <w:right w:val="nil"/>
            </w:tcBorders>
          </w:tcPr>
          <w:p w14:paraId="7D60E9E0"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debtgdp</w:t>
            </w:r>
            <w:proofErr w:type="spellEnd"/>
          </w:p>
        </w:tc>
        <w:tc>
          <w:tcPr>
            <w:tcW w:w="0" w:type="auto"/>
            <w:tcBorders>
              <w:top w:val="nil"/>
              <w:left w:val="nil"/>
              <w:bottom w:val="nil"/>
              <w:right w:val="nil"/>
            </w:tcBorders>
          </w:tcPr>
          <w:p w14:paraId="09F929D8" w14:textId="44D7068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0.0236</w:t>
            </w:r>
          </w:p>
        </w:tc>
        <w:tc>
          <w:tcPr>
            <w:tcW w:w="0" w:type="auto"/>
            <w:tcBorders>
              <w:top w:val="nil"/>
              <w:left w:val="nil"/>
              <w:bottom w:val="nil"/>
              <w:right w:val="nil"/>
            </w:tcBorders>
          </w:tcPr>
          <w:p w14:paraId="36C6F380" w14:textId="0822AB0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0.0113</w:t>
            </w:r>
          </w:p>
        </w:tc>
        <w:tc>
          <w:tcPr>
            <w:tcW w:w="0" w:type="auto"/>
            <w:tcBorders>
              <w:top w:val="nil"/>
              <w:left w:val="nil"/>
              <w:bottom w:val="nil"/>
              <w:right w:val="nil"/>
            </w:tcBorders>
          </w:tcPr>
          <w:p w14:paraId="0978398A" w14:textId="3508360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-0.00649</w:t>
            </w:r>
          </w:p>
        </w:tc>
        <w:tc>
          <w:tcPr>
            <w:tcW w:w="0" w:type="auto"/>
            <w:tcBorders>
              <w:top w:val="nil"/>
              <w:left w:val="nil"/>
              <w:bottom w:val="nil"/>
              <w:right w:val="nil"/>
            </w:tcBorders>
          </w:tcPr>
          <w:p w14:paraId="644413E9" w14:textId="170CDE5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-0.0499</w:t>
            </w:r>
          </w:p>
        </w:tc>
        <w:tc>
          <w:tcPr>
            <w:tcW w:w="0" w:type="auto"/>
            <w:tcBorders>
              <w:top w:val="nil"/>
              <w:left w:val="nil"/>
              <w:bottom w:val="nil"/>
              <w:right w:val="nil"/>
            </w:tcBorders>
          </w:tcPr>
          <w:p w14:paraId="22BCB500" w14:textId="63BA93D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-0.0167</w:t>
            </w:r>
          </w:p>
        </w:tc>
        <w:tc>
          <w:tcPr>
            <w:tcW w:w="0" w:type="auto"/>
            <w:tcBorders>
              <w:top w:val="nil"/>
              <w:left w:val="nil"/>
              <w:bottom w:val="nil"/>
              <w:right w:val="nil"/>
            </w:tcBorders>
          </w:tcPr>
          <w:p w14:paraId="3C78954B" w14:textId="07C73A1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-0.151</w:t>
            </w:r>
          </w:p>
        </w:tc>
      </w:tr>
      <w:tr w:rsidR="008F3998" w:rsidRPr="008F3998" w14:paraId="233BEB5F" w14:textId="77777777" w:rsidTr="003E06D0">
        <w:trPr>
          <w:jc w:val="center"/>
        </w:trPr>
        <w:tc>
          <w:tcPr>
            <w:tcW w:w="0" w:type="auto"/>
            <w:tcBorders>
              <w:top w:val="nil"/>
              <w:left w:val="nil"/>
              <w:bottom w:val="nil"/>
              <w:right w:val="nil"/>
            </w:tcBorders>
          </w:tcPr>
          <w:p w14:paraId="33E53EC6"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CA60ADE" w14:textId="010D203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(0.0264)</w:t>
            </w:r>
          </w:p>
        </w:tc>
        <w:tc>
          <w:tcPr>
            <w:tcW w:w="0" w:type="auto"/>
            <w:tcBorders>
              <w:top w:val="nil"/>
              <w:left w:val="nil"/>
              <w:bottom w:val="nil"/>
              <w:right w:val="nil"/>
            </w:tcBorders>
          </w:tcPr>
          <w:p w14:paraId="08FBD7CB" w14:textId="6F98870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(0.0944)</w:t>
            </w:r>
          </w:p>
        </w:tc>
        <w:tc>
          <w:tcPr>
            <w:tcW w:w="0" w:type="auto"/>
            <w:tcBorders>
              <w:top w:val="nil"/>
              <w:left w:val="nil"/>
              <w:bottom w:val="nil"/>
              <w:right w:val="nil"/>
            </w:tcBorders>
          </w:tcPr>
          <w:p w14:paraId="40924503" w14:textId="4980530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(0.0266)</w:t>
            </w:r>
          </w:p>
        </w:tc>
        <w:tc>
          <w:tcPr>
            <w:tcW w:w="0" w:type="auto"/>
            <w:tcBorders>
              <w:top w:val="nil"/>
              <w:left w:val="nil"/>
              <w:bottom w:val="nil"/>
              <w:right w:val="nil"/>
            </w:tcBorders>
          </w:tcPr>
          <w:p w14:paraId="466E5BC2" w14:textId="5AFF4B1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(0.0405)</w:t>
            </w:r>
          </w:p>
        </w:tc>
        <w:tc>
          <w:tcPr>
            <w:tcW w:w="0" w:type="auto"/>
            <w:tcBorders>
              <w:top w:val="nil"/>
              <w:left w:val="nil"/>
              <w:bottom w:val="nil"/>
              <w:right w:val="nil"/>
            </w:tcBorders>
          </w:tcPr>
          <w:p w14:paraId="12C2E8E3" w14:textId="0EF015E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(0.0371)</w:t>
            </w:r>
          </w:p>
        </w:tc>
        <w:tc>
          <w:tcPr>
            <w:tcW w:w="0" w:type="auto"/>
            <w:tcBorders>
              <w:top w:val="nil"/>
              <w:left w:val="nil"/>
              <w:bottom w:val="nil"/>
              <w:right w:val="nil"/>
            </w:tcBorders>
          </w:tcPr>
          <w:p w14:paraId="5A6D03E9" w14:textId="2B86393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(0.195)</w:t>
            </w:r>
          </w:p>
        </w:tc>
      </w:tr>
      <w:tr w:rsidR="008F3998" w:rsidRPr="008F3998" w14:paraId="16EABA8D" w14:textId="77777777" w:rsidTr="003E06D0">
        <w:trPr>
          <w:jc w:val="center"/>
        </w:trPr>
        <w:tc>
          <w:tcPr>
            <w:tcW w:w="0" w:type="auto"/>
            <w:tcBorders>
              <w:top w:val="nil"/>
              <w:left w:val="nil"/>
              <w:bottom w:val="nil"/>
              <w:right w:val="nil"/>
            </w:tcBorders>
          </w:tcPr>
          <w:p w14:paraId="4CC15A4D"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totvol</w:t>
            </w:r>
            <w:proofErr w:type="spellEnd"/>
          </w:p>
        </w:tc>
        <w:tc>
          <w:tcPr>
            <w:tcW w:w="0" w:type="auto"/>
            <w:tcBorders>
              <w:top w:val="nil"/>
              <w:left w:val="nil"/>
              <w:bottom w:val="nil"/>
              <w:right w:val="nil"/>
            </w:tcBorders>
          </w:tcPr>
          <w:p w14:paraId="30B21E0E" w14:textId="574E6A3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0.0391</w:t>
            </w:r>
          </w:p>
        </w:tc>
        <w:tc>
          <w:tcPr>
            <w:tcW w:w="0" w:type="auto"/>
            <w:tcBorders>
              <w:top w:val="nil"/>
              <w:left w:val="nil"/>
              <w:bottom w:val="nil"/>
              <w:right w:val="nil"/>
            </w:tcBorders>
          </w:tcPr>
          <w:p w14:paraId="3C37D002" w14:textId="44B2740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0.0924</w:t>
            </w:r>
          </w:p>
        </w:tc>
        <w:tc>
          <w:tcPr>
            <w:tcW w:w="0" w:type="auto"/>
            <w:tcBorders>
              <w:top w:val="nil"/>
              <w:left w:val="nil"/>
              <w:bottom w:val="nil"/>
              <w:right w:val="nil"/>
            </w:tcBorders>
          </w:tcPr>
          <w:p w14:paraId="4433BD29" w14:textId="0D1A85D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-0.0213</w:t>
            </w:r>
          </w:p>
        </w:tc>
        <w:tc>
          <w:tcPr>
            <w:tcW w:w="0" w:type="auto"/>
            <w:tcBorders>
              <w:top w:val="nil"/>
              <w:left w:val="nil"/>
              <w:bottom w:val="nil"/>
              <w:right w:val="nil"/>
            </w:tcBorders>
          </w:tcPr>
          <w:p w14:paraId="0FEC9EF8" w14:textId="4D8E4E2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0.394</w:t>
            </w:r>
          </w:p>
        </w:tc>
        <w:tc>
          <w:tcPr>
            <w:tcW w:w="0" w:type="auto"/>
            <w:tcBorders>
              <w:top w:val="nil"/>
              <w:left w:val="nil"/>
              <w:bottom w:val="nil"/>
              <w:right w:val="nil"/>
            </w:tcBorders>
          </w:tcPr>
          <w:p w14:paraId="039B581B" w14:textId="6758B9A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0.461*</w:t>
            </w:r>
          </w:p>
        </w:tc>
        <w:tc>
          <w:tcPr>
            <w:tcW w:w="0" w:type="auto"/>
            <w:tcBorders>
              <w:top w:val="nil"/>
              <w:left w:val="nil"/>
              <w:bottom w:val="nil"/>
              <w:right w:val="nil"/>
            </w:tcBorders>
          </w:tcPr>
          <w:p w14:paraId="798FA646" w14:textId="51D64DA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-0.209</w:t>
            </w:r>
          </w:p>
        </w:tc>
      </w:tr>
      <w:tr w:rsidR="008F3998" w:rsidRPr="008F3998" w14:paraId="752A8853" w14:textId="77777777" w:rsidTr="003E06D0">
        <w:trPr>
          <w:jc w:val="center"/>
        </w:trPr>
        <w:tc>
          <w:tcPr>
            <w:tcW w:w="0" w:type="auto"/>
            <w:tcBorders>
              <w:top w:val="nil"/>
              <w:left w:val="nil"/>
              <w:bottom w:val="nil"/>
              <w:right w:val="nil"/>
            </w:tcBorders>
          </w:tcPr>
          <w:p w14:paraId="46037516"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DAF99DF" w14:textId="256EA6D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(0.417)</w:t>
            </w:r>
          </w:p>
        </w:tc>
        <w:tc>
          <w:tcPr>
            <w:tcW w:w="0" w:type="auto"/>
            <w:tcBorders>
              <w:top w:val="nil"/>
              <w:left w:val="nil"/>
              <w:bottom w:val="nil"/>
              <w:right w:val="nil"/>
            </w:tcBorders>
          </w:tcPr>
          <w:p w14:paraId="24AEC16D" w14:textId="21023F8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(0.753)</w:t>
            </w:r>
          </w:p>
        </w:tc>
        <w:tc>
          <w:tcPr>
            <w:tcW w:w="0" w:type="auto"/>
            <w:tcBorders>
              <w:top w:val="nil"/>
              <w:left w:val="nil"/>
              <w:bottom w:val="nil"/>
              <w:right w:val="nil"/>
            </w:tcBorders>
          </w:tcPr>
          <w:p w14:paraId="5F3F3C07" w14:textId="6E4CAA5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(0.210)</w:t>
            </w:r>
          </w:p>
        </w:tc>
        <w:tc>
          <w:tcPr>
            <w:tcW w:w="0" w:type="auto"/>
            <w:tcBorders>
              <w:top w:val="nil"/>
              <w:left w:val="nil"/>
              <w:bottom w:val="nil"/>
              <w:right w:val="nil"/>
            </w:tcBorders>
          </w:tcPr>
          <w:p w14:paraId="17EEB2AF" w14:textId="0E3076B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(0.452)</w:t>
            </w:r>
          </w:p>
        </w:tc>
        <w:tc>
          <w:tcPr>
            <w:tcW w:w="0" w:type="auto"/>
            <w:tcBorders>
              <w:top w:val="nil"/>
              <w:left w:val="nil"/>
              <w:bottom w:val="nil"/>
              <w:right w:val="nil"/>
            </w:tcBorders>
          </w:tcPr>
          <w:p w14:paraId="3B49AAC2" w14:textId="74474EE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(0.235)</w:t>
            </w:r>
          </w:p>
        </w:tc>
        <w:tc>
          <w:tcPr>
            <w:tcW w:w="0" w:type="auto"/>
            <w:tcBorders>
              <w:top w:val="nil"/>
              <w:left w:val="nil"/>
              <w:bottom w:val="nil"/>
              <w:right w:val="nil"/>
            </w:tcBorders>
          </w:tcPr>
          <w:p w14:paraId="14289D63" w14:textId="6EA9E60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(0.710)</w:t>
            </w:r>
          </w:p>
        </w:tc>
      </w:tr>
      <w:tr w:rsidR="008F3998" w:rsidRPr="008F3998" w14:paraId="7A6D73BB" w14:textId="77777777" w:rsidTr="003E06D0">
        <w:trPr>
          <w:jc w:val="center"/>
        </w:trPr>
        <w:tc>
          <w:tcPr>
            <w:tcW w:w="0" w:type="auto"/>
            <w:tcBorders>
              <w:top w:val="nil"/>
              <w:left w:val="nil"/>
              <w:bottom w:val="nil"/>
              <w:right w:val="nil"/>
            </w:tcBorders>
          </w:tcPr>
          <w:p w14:paraId="7BBCBC2E"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exr</w:t>
            </w:r>
            <w:proofErr w:type="spellEnd"/>
          </w:p>
        </w:tc>
        <w:tc>
          <w:tcPr>
            <w:tcW w:w="0" w:type="auto"/>
            <w:tcBorders>
              <w:top w:val="nil"/>
              <w:left w:val="nil"/>
              <w:bottom w:val="nil"/>
              <w:right w:val="nil"/>
            </w:tcBorders>
          </w:tcPr>
          <w:p w14:paraId="128C1D6F" w14:textId="06E98D4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0.156**</w:t>
            </w:r>
          </w:p>
        </w:tc>
        <w:tc>
          <w:tcPr>
            <w:tcW w:w="0" w:type="auto"/>
            <w:tcBorders>
              <w:top w:val="nil"/>
              <w:left w:val="nil"/>
              <w:bottom w:val="nil"/>
              <w:right w:val="nil"/>
            </w:tcBorders>
          </w:tcPr>
          <w:p w14:paraId="2451F462" w14:textId="48DEB43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0.132</w:t>
            </w:r>
          </w:p>
        </w:tc>
        <w:tc>
          <w:tcPr>
            <w:tcW w:w="0" w:type="auto"/>
            <w:tcBorders>
              <w:top w:val="nil"/>
              <w:left w:val="nil"/>
              <w:bottom w:val="nil"/>
              <w:right w:val="nil"/>
            </w:tcBorders>
          </w:tcPr>
          <w:p w14:paraId="77190AE5" w14:textId="22B380E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0.161**</w:t>
            </w:r>
          </w:p>
        </w:tc>
        <w:tc>
          <w:tcPr>
            <w:tcW w:w="0" w:type="auto"/>
            <w:tcBorders>
              <w:top w:val="nil"/>
              <w:left w:val="nil"/>
              <w:bottom w:val="nil"/>
              <w:right w:val="nil"/>
            </w:tcBorders>
          </w:tcPr>
          <w:p w14:paraId="16C3F558" w14:textId="5B644A1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0.144**</w:t>
            </w:r>
          </w:p>
        </w:tc>
        <w:tc>
          <w:tcPr>
            <w:tcW w:w="0" w:type="auto"/>
            <w:tcBorders>
              <w:top w:val="nil"/>
              <w:left w:val="nil"/>
              <w:bottom w:val="nil"/>
              <w:right w:val="nil"/>
            </w:tcBorders>
          </w:tcPr>
          <w:p w14:paraId="76A7F813" w14:textId="317A8AE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0.168*</w:t>
            </w:r>
          </w:p>
        </w:tc>
        <w:tc>
          <w:tcPr>
            <w:tcW w:w="0" w:type="auto"/>
            <w:tcBorders>
              <w:top w:val="nil"/>
              <w:left w:val="nil"/>
              <w:bottom w:val="nil"/>
              <w:right w:val="nil"/>
            </w:tcBorders>
          </w:tcPr>
          <w:p w14:paraId="24E4D934" w14:textId="45307FA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0.0631</w:t>
            </w:r>
          </w:p>
        </w:tc>
      </w:tr>
      <w:tr w:rsidR="008F3998" w:rsidRPr="008F3998" w14:paraId="1BBECBAA" w14:textId="77777777" w:rsidTr="003E06D0">
        <w:trPr>
          <w:jc w:val="center"/>
        </w:trPr>
        <w:tc>
          <w:tcPr>
            <w:tcW w:w="0" w:type="auto"/>
            <w:tcBorders>
              <w:top w:val="nil"/>
              <w:left w:val="nil"/>
              <w:bottom w:val="nil"/>
              <w:right w:val="nil"/>
            </w:tcBorders>
          </w:tcPr>
          <w:p w14:paraId="53FDD6F3"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C2C1898" w14:textId="709D6C6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(0.0532)</w:t>
            </w:r>
          </w:p>
        </w:tc>
        <w:tc>
          <w:tcPr>
            <w:tcW w:w="0" w:type="auto"/>
            <w:tcBorders>
              <w:top w:val="nil"/>
              <w:left w:val="nil"/>
              <w:bottom w:val="nil"/>
              <w:right w:val="nil"/>
            </w:tcBorders>
          </w:tcPr>
          <w:p w14:paraId="52B863C6" w14:textId="625388B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(0.0825)</w:t>
            </w:r>
          </w:p>
        </w:tc>
        <w:tc>
          <w:tcPr>
            <w:tcW w:w="0" w:type="auto"/>
            <w:tcBorders>
              <w:top w:val="nil"/>
              <w:left w:val="nil"/>
              <w:bottom w:val="nil"/>
              <w:right w:val="nil"/>
            </w:tcBorders>
          </w:tcPr>
          <w:p w14:paraId="06D873A2" w14:textId="39B1FA8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(0.0546)</w:t>
            </w:r>
          </w:p>
        </w:tc>
        <w:tc>
          <w:tcPr>
            <w:tcW w:w="0" w:type="auto"/>
            <w:tcBorders>
              <w:top w:val="nil"/>
              <w:left w:val="nil"/>
              <w:bottom w:val="nil"/>
              <w:right w:val="nil"/>
            </w:tcBorders>
          </w:tcPr>
          <w:p w14:paraId="38D8B304" w14:textId="7BE5D40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(0.0497)</w:t>
            </w:r>
          </w:p>
        </w:tc>
        <w:tc>
          <w:tcPr>
            <w:tcW w:w="0" w:type="auto"/>
            <w:tcBorders>
              <w:top w:val="nil"/>
              <w:left w:val="nil"/>
              <w:bottom w:val="nil"/>
              <w:right w:val="nil"/>
            </w:tcBorders>
          </w:tcPr>
          <w:p w14:paraId="6C587DE3" w14:textId="3B04047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(0.0860)</w:t>
            </w:r>
          </w:p>
        </w:tc>
        <w:tc>
          <w:tcPr>
            <w:tcW w:w="0" w:type="auto"/>
            <w:tcBorders>
              <w:top w:val="nil"/>
              <w:left w:val="nil"/>
              <w:bottom w:val="nil"/>
              <w:right w:val="nil"/>
            </w:tcBorders>
          </w:tcPr>
          <w:p w14:paraId="19E25AB7" w14:textId="242BD65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(0.0936)</w:t>
            </w:r>
          </w:p>
        </w:tc>
      </w:tr>
      <w:tr w:rsidR="008F3998" w:rsidRPr="008F3998" w14:paraId="0305D7F3" w14:textId="77777777" w:rsidTr="003E06D0">
        <w:trPr>
          <w:jc w:val="center"/>
        </w:trPr>
        <w:tc>
          <w:tcPr>
            <w:tcW w:w="0" w:type="auto"/>
            <w:tcBorders>
              <w:top w:val="nil"/>
              <w:left w:val="nil"/>
              <w:bottom w:val="nil"/>
              <w:right w:val="nil"/>
            </w:tcBorders>
          </w:tcPr>
          <w:p w14:paraId="0198008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reserves</w:t>
            </w:r>
          </w:p>
        </w:tc>
        <w:tc>
          <w:tcPr>
            <w:tcW w:w="0" w:type="auto"/>
            <w:tcBorders>
              <w:top w:val="nil"/>
              <w:left w:val="nil"/>
              <w:bottom w:val="nil"/>
              <w:right w:val="nil"/>
            </w:tcBorders>
          </w:tcPr>
          <w:p w14:paraId="3F59886C" w14:textId="02CA117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8D36C5A" w14:textId="7E4212B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4.62e-12</w:t>
            </w:r>
          </w:p>
        </w:tc>
        <w:tc>
          <w:tcPr>
            <w:tcW w:w="0" w:type="auto"/>
            <w:tcBorders>
              <w:top w:val="nil"/>
              <w:left w:val="nil"/>
              <w:bottom w:val="nil"/>
              <w:right w:val="nil"/>
            </w:tcBorders>
          </w:tcPr>
          <w:p w14:paraId="11F0AB30" w14:textId="40CABFA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8E418E4" w14:textId="3D26CFF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5.89e-13</w:t>
            </w:r>
          </w:p>
        </w:tc>
        <w:tc>
          <w:tcPr>
            <w:tcW w:w="0" w:type="auto"/>
            <w:tcBorders>
              <w:top w:val="nil"/>
              <w:left w:val="nil"/>
              <w:bottom w:val="nil"/>
              <w:right w:val="nil"/>
            </w:tcBorders>
          </w:tcPr>
          <w:p w14:paraId="419BD578" w14:textId="15052B5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25932FD" w14:textId="025BB48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5.37e-12</w:t>
            </w:r>
          </w:p>
        </w:tc>
      </w:tr>
      <w:tr w:rsidR="008F3998" w:rsidRPr="008F3998" w14:paraId="5E284F48" w14:textId="77777777" w:rsidTr="003E06D0">
        <w:trPr>
          <w:jc w:val="center"/>
        </w:trPr>
        <w:tc>
          <w:tcPr>
            <w:tcW w:w="0" w:type="auto"/>
            <w:tcBorders>
              <w:top w:val="nil"/>
              <w:left w:val="nil"/>
              <w:bottom w:val="nil"/>
              <w:right w:val="nil"/>
            </w:tcBorders>
          </w:tcPr>
          <w:p w14:paraId="123A360F"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E389A71" w14:textId="2B533B1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C89CC59" w14:textId="47D6215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(1.03e-11)</w:t>
            </w:r>
          </w:p>
        </w:tc>
        <w:tc>
          <w:tcPr>
            <w:tcW w:w="0" w:type="auto"/>
            <w:tcBorders>
              <w:top w:val="nil"/>
              <w:left w:val="nil"/>
              <w:bottom w:val="nil"/>
              <w:right w:val="nil"/>
            </w:tcBorders>
          </w:tcPr>
          <w:p w14:paraId="0D71505F" w14:textId="132A047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F24FE6A" w14:textId="4DFA76D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(4.95e-12)</w:t>
            </w:r>
          </w:p>
        </w:tc>
        <w:tc>
          <w:tcPr>
            <w:tcW w:w="0" w:type="auto"/>
            <w:tcBorders>
              <w:top w:val="nil"/>
              <w:left w:val="nil"/>
              <w:bottom w:val="nil"/>
              <w:right w:val="nil"/>
            </w:tcBorders>
          </w:tcPr>
          <w:p w14:paraId="5941014C" w14:textId="1CAE01A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DDBA3D1" w14:textId="5A814A1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(1.57e-11)</w:t>
            </w:r>
          </w:p>
        </w:tc>
      </w:tr>
      <w:tr w:rsidR="008F3998" w:rsidRPr="008F3998" w14:paraId="0FDD2E76" w14:textId="77777777" w:rsidTr="003E06D0">
        <w:trPr>
          <w:jc w:val="center"/>
        </w:trPr>
        <w:tc>
          <w:tcPr>
            <w:tcW w:w="0" w:type="auto"/>
            <w:tcBorders>
              <w:top w:val="nil"/>
              <w:left w:val="nil"/>
              <w:bottom w:val="nil"/>
              <w:right w:val="nil"/>
            </w:tcBorders>
          </w:tcPr>
          <w:p w14:paraId="4B766C80"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locfin</w:t>
            </w:r>
            <w:proofErr w:type="spellEnd"/>
          </w:p>
        </w:tc>
        <w:tc>
          <w:tcPr>
            <w:tcW w:w="0" w:type="auto"/>
            <w:tcBorders>
              <w:top w:val="nil"/>
              <w:left w:val="nil"/>
              <w:bottom w:val="nil"/>
              <w:right w:val="nil"/>
            </w:tcBorders>
          </w:tcPr>
          <w:p w14:paraId="192D4132"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82AD4B5" w14:textId="7CCA25D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19.62*</w:t>
            </w:r>
          </w:p>
        </w:tc>
        <w:tc>
          <w:tcPr>
            <w:tcW w:w="0" w:type="auto"/>
            <w:tcBorders>
              <w:top w:val="nil"/>
              <w:left w:val="nil"/>
              <w:bottom w:val="nil"/>
              <w:right w:val="nil"/>
            </w:tcBorders>
          </w:tcPr>
          <w:p w14:paraId="1E2F10C7"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EA360DD" w14:textId="57A6812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1.688</w:t>
            </w:r>
          </w:p>
        </w:tc>
        <w:tc>
          <w:tcPr>
            <w:tcW w:w="0" w:type="auto"/>
            <w:tcBorders>
              <w:top w:val="nil"/>
              <w:left w:val="nil"/>
              <w:bottom w:val="nil"/>
              <w:right w:val="nil"/>
            </w:tcBorders>
          </w:tcPr>
          <w:p w14:paraId="2CC7A519" w14:textId="2D033A1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2158D5F" w14:textId="6FD7EB2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6.756</w:t>
            </w:r>
          </w:p>
        </w:tc>
      </w:tr>
      <w:tr w:rsidR="008F3998" w:rsidRPr="008F3998" w14:paraId="720BFA32" w14:textId="77777777" w:rsidTr="003E06D0">
        <w:trPr>
          <w:jc w:val="center"/>
        </w:trPr>
        <w:tc>
          <w:tcPr>
            <w:tcW w:w="0" w:type="auto"/>
            <w:tcBorders>
              <w:top w:val="nil"/>
              <w:left w:val="nil"/>
              <w:bottom w:val="nil"/>
              <w:right w:val="nil"/>
            </w:tcBorders>
          </w:tcPr>
          <w:p w14:paraId="334C1A2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993CD8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64107A5" w14:textId="721A0F5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(9.250)</w:t>
            </w:r>
          </w:p>
        </w:tc>
        <w:tc>
          <w:tcPr>
            <w:tcW w:w="0" w:type="auto"/>
            <w:tcBorders>
              <w:top w:val="nil"/>
              <w:left w:val="nil"/>
              <w:bottom w:val="nil"/>
              <w:right w:val="nil"/>
            </w:tcBorders>
          </w:tcPr>
          <w:p w14:paraId="07CEF69F"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9D7F5A6" w14:textId="29B5A84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(5.516)</w:t>
            </w:r>
          </w:p>
        </w:tc>
        <w:tc>
          <w:tcPr>
            <w:tcW w:w="0" w:type="auto"/>
            <w:tcBorders>
              <w:top w:val="nil"/>
              <w:left w:val="nil"/>
              <w:bottom w:val="nil"/>
              <w:right w:val="nil"/>
            </w:tcBorders>
          </w:tcPr>
          <w:p w14:paraId="5CF7AA82" w14:textId="49661C5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45528D3" w14:textId="6D5A7E0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(5.510)</w:t>
            </w:r>
          </w:p>
        </w:tc>
      </w:tr>
      <w:tr w:rsidR="008F3998" w:rsidRPr="008F3998" w14:paraId="2D7D7CF6" w14:textId="77777777" w:rsidTr="003E06D0">
        <w:trPr>
          <w:jc w:val="center"/>
        </w:trPr>
        <w:tc>
          <w:tcPr>
            <w:tcW w:w="0" w:type="auto"/>
            <w:tcBorders>
              <w:top w:val="nil"/>
              <w:left w:val="nil"/>
              <w:bottom w:val="nil"/>
              <w:right w:val="nil"/>
            </w:tcBorders>
          </w:tcPr>
          <w:p w14:paraId="508A3E4F"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stmvol</w:t>
            </w:r>
            <w:proofErr w:type="spellEnd"/>
          </w:p>
        </w:tc>
        <w:tc>
          <w:tcPr>
            <w:tcW w:w="0" w:type="auto"/>
            <w:tcBorders>
              <w:top w:val="nil"/>
              <w:left w:val="nil"/>
              <w:bottom w:val="nil"/>
              <w:right w:val="nil"/>
            </w:tcBorders>
          </w:tcPr>
          <w:p w14:paraId="62853723" w14:textId="43A21B3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-0.00546</w:t>
            </w:r>
          </w:p>
        </w:tc>
        <w:tc>
          <w:tcPr>
            <w:tcW w:w="0" w:type="auto"/>
            <w:tcBorders>
              <w:top w:val="nil"/>
              <w:left w:val="nil"/>
              <w:bottom w:val="nil"/>
              <w:right w:val="nil"/>
            </w:tcBorders>
          </w:tcPr>
          <w:p w14:paraId="2BA11CC6" w14:textId="3CFA5E2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-0.00782</w:t>
            </w:r>
          </w:p>
        </w:tc>
        <w:tc>
          <w:tcPr>
            <w:tcW w:w="0" w:type="auto"/>
            <w:tcBorders>
              <w:top w:val="nil"/>
              <w:left w:val="nil"/>
              <w:bottom w:val="nil"/>
              <w:right w:val="nil"/>
            </w:tcBorders>
          </w:tcPr>
          <w:p w14:paraId="5ED99059" w14:textId="6BFAC3D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-0.0363**</w:t>
            </w:r>
          </w:p>
        </w:tc>
        <w:tc>
          <w:tcPr>
            <w:tcW w:w="0" w:type="auto"/>
            <w:tcBorders>
              <w:top w:val="nil"/>
              <w:left w:val="nil"/>
              <w:bottom w:val="nil"/>
              <w:right w:val="nil"/>
            </w:tcBorders>
          </w:tcPr>
          <w:p w14:paraId="5B839DEB" w14:textId="0E38593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-0.0218</w:t>
            </w:r>
          </w:p>
        </w:tc>
        <w:tc>
          <w:tcPr>
            <w:tcW w:w="0" w:type="auto"/>
            <w:tcBorders>
              <w:top w:val="nil"/>
              <w:left w:val="nil"/>
              <w:bottom w:val="nil"/>
              <w:right w:val="nil"/>
            </w:tcBorders>
          </w:tcPr>
          <w:p w14:paraId="634E1650" w14:textId="22C25BE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-0.0192</w:t>
            </w:r>
          </w:p>
        </w:tc>
        <w:tc>
          <w:tcPr>
            <w:tcW w:w="0" w:type="auto"/>
            <w:tcBorders>
              <w:top w:val="nil"/>
              <w:left w:val="nil"/>
              <w:bottom w:val="nil"/>
              <w:right w:val="nil"/>
            </w:tcBorders>
          </w:tcPr>
          <w:p w14:paraId="45BAE204" w14:textId="154D9CF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-0.0172</w:t>
            </w:r>
          </w:p>
        </w:tc>
      </w:tr>
      <w:tr w:rsidR="008F3998" w:rsidRPr="008F3998" w14:paraId="5FC1F2C2" w14:textId="77777777" w:rsidTr="003E06D0">
        <w:trPr>
          <w:jc w:val="center"/>
        </w:trPr>
        <w:tc>
          <w:tcPr>
            <w:tcW w:w="0" w:type="auto"/>
            <w:tcBorders>
              <w:top w:val="nil"/>
              <w:left w:val="nil"/>
              <w:bottom w:val="nil"/>
              <w:right w:val="nil"/>
            </w:tcBorders>
          </w:tcPr>
          <w:p w14:paraId="422FA41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8B7AF99" w14:textId="5D8B91F6"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(0.0125)</w:t>
            </w:r>
          </w:p>
        </w:tc>
        <w:tc>
          <w:tcPr>
            <w:tcW w:w="0" w:type="auto"/>
            <w:tcBorders>
              <w:top w:val="nil"/>
              <w:left w:val="nil"/>
              <w:bottom w:val="nil"/>
              <w:right w:val="nil"/>
            </w:tcBorders>
          </w:tcPr>
          <w:p w14:paraId="79D849DC" w14:textId="4E6B693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(0.0221)</w:t>
            </w:r>
          </w:p>
        </w:tc>
        <w:tc>
          <w:tcPr>
            <w:tcW w:w="0" w:type="auto"/>
            <w:tcBorders>
              <w:top w:val="nil"/>
              <w:left w:val="nil"/>
              <w:bottom w:val="nil"/>
              <w:right w:val="nil"/>
            </w:tcBorders>
          </w:tcPr>
          <w:p w14:paraId="79966F7C" w14:textId="09B0AE4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(0.0117)</w:t>
            </w:r>
          </w:p>
        </w:tc>
        <w:tc>
          <w:tcPr>
            <w:tcW w:w="0" w:type="auto"/>
            <w:tcBorders>
              <w:top w:val="nil"/>
              <w:left w:val="nil"/>
              <w:bottom w:val="nil"/>
              <w:right w:val="nil"/>
            </w:tcBorders>
          </w:tcPr>
          <w:p w14:paraId="1B3FDDE9" w14:textId="5A1A122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(0.0170)</w:t>
            </w:r>
          </w:p>
        </w:tc>
        <w:tc>
          <w:tcPr>
            <w:tcW w:w="0" w:type="auto"/>
            <w:tcBorders>
              <w:top w:val="nil"/>
              <w:left w:val="nil"/>
              <w:bottom w:val="nil"/>
              <w:right w:val="nil"/>
            </w:tcBorders>
          </w:tcPr>
          <w:p w14:paraId="7C3102D7" w14:textId="308ACEB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(0.0219)</w:t>
            </w:r>
          </w:p>
        </w:tc>
        <w:tc>
          <w:tcPr>
            <w:tcW w:w="0" w:type="auto"/>
            <w:tcBorders>
              <w:top w:val="nil"/>
              <w:left w:val="nil"/>
              <w:bottom w:val="nil"/>
              <w:right w:val="nil"/>
            </w:tcBorders>
          </w:tcPr>
          <w:p w14:paraId="7F46F214" w14:textId="582828C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(0.0351)</w:t>
            </w:r>
          </w:p>
        </w:tc>
      </w:tr>
      <w:tr w:rsidR="008F3998" w:rsidRPr="008F3998" w14:paraId="0EC2D4C0" w14:textId="77777777" w:rsidTr="003E06D0">
        <w:trPr>
          <w:jc w:val="center"/>
        </w:trPr>
        <w:tc>
          <w:tcPr>
            <w:tcW w:w="0" w:type="auto"/>
            <w:tcBorders>
              <w:top w:val="nil"/>
              <w:left w:val="nil"/>
              <w:bottom w:val="nil"/>
              <w:right w:val="nil"/>
            </w:tcBorders>
          </w:tcPr>
          <w:p w14:paraId="2E8AE24E" w14:textId="171FEE7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finmar</w:t>
            </w:r>
            <w:proofErr w:type="spellEnd"/>
          </w:p>
        </w:tc>
        <w:tc>
          <w:tcPr>
            <w:tcW w:w="0" w:type="auto"/>
            <w:tcBorders>
              <w:top w:val="nil"/>
              <w:left w:val="nil"/>
              <w:bottom w:val="nil"/>
              <w:right w:val="nil"/>
            </w:tcBorders>
          </w:tcPr>
          <w:p w14:paraId="21189E68"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881CDFA" w14:textId="2B80516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0.0348**</w:t>
            </w:r>
          </w:p>
        </w:tc>
        <w:tc>
          <w:tcPr>
            <w:tcW w:w="0" w:type="auto"/>
            <w:tcBorders>
              <w:top w:val="nil"/>
              <w:left w:val="nil"/>
              <w:bottom w:val="nil"/>
              <w:right w:val="nil"/>
            </w:tcBorders>
          </w:tcPr>
          <w:p w14:paraId="36C7D3A0"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B0E78DE" w14:textId="4C8E2AF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0.0386**</w:t>
            </w:r>
          </w:p>
        </w:tc>
        <w:tc>
          <w:tcPr>
            <w:tcW w:w="0" w:type="auto"/>
            <w:tcBorders>
              <w:top w:val="nil"/>
              <w:left w:val="nil"/>
              <w:bottom w:val="nil"/>
              <w:right w:val="nil"/>
            </w:tcBorders>
          </w:tcPr>
          <w:p w14:paraId="653FAB06" w14:textId="17B22BC6"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690DEDE" w14:textId="2946029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0.0333</w:t>
            </w:r>
          </w:p>
        </w:tc>
      </w:tr>
      <w:tr w:rsidR="008F3998" w:rsidRPr="008F3998" w14:paraId="2585992B" w14:textId="77777777" w:rsidTr="003E06D0">
        <w:trPr>
          <w:jc w:val="center"/>
        </w:trPr>
        <w:tc>
          <w:tcPr>
            <w:tcW w:w="0" w:type="auto"/>
            <w:tcBorders>
              <w:top w:val="nil"/>
              <w:left w:val="nil"/>
              <w:bottom w:val="nil"/>
              <w:right w:val="nil"/>
            </w:tcBorders>
          </w:tcPr>
          <w:p w14:paraId="63688504"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BC3DE4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433B60A" w14:textId="74BFC3AB"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(0.0101)</w:t>
            </w:r>
          </w:p>
        </w:tc>
        <w:tc>
          <w:tcPr>
            <w:tcW w:w="0" w:type="auto"/>
            <w:tcBorders>
              <w:top w:val="nil"/>
              <w:left w:val="nil"/>
              <w:bottom w:val="nil"/>
              <w:right w:val="nil"/>
            </w:tcBorders>
          </w:tcPr>
          <w:p w14:paraId="2EDB92D2"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89C5F6D" w14:textId="051360B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(0.0107)</w:t>
            </w:r>
          </w:p>
        </w:tc>
        <w:tc>
          <w:tcPr>
            <w:tcW w:w="0" w:type="auto"/>
            <w:tcBorders>
              <w:top w:val="nil"/>
              <w:left w:val="nil"/>
              <w:bottom w:val="nil"/>
              <w:right w:val="nil"/>
            </w:tcBorders>
          </w:tcPr>
          <w:p w14:paraId="6205A9F8" w14:textId="7DDEA63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E5672FA" w14:textId="619B3E6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(0.0375)</w:t>
            </w:r>
          </w:p>
        </w:tc>
      </w:tr>
      <w:tr w:rsidR="008F3998" w:rsidRPr="008F3998" w14:paraId="1C75EAF9" w14:textId="77777777" w:rsidTr="003E06D0">
        <w:trPr>
          <w:jc w:val="center"/>
        </w:trPr>
        <w:tc>
          <w:tcPr>
            <w:tcW w:w="0" w:type="auto"/>
            <w:tcBorders>
              <w:top w:val="nil"/>
              <w:left w:val="nil"/>
              <w:bottom w:val="nil"/>
              <w:right w:val="nil"/>
            </w:tcBorders>
          </w:tcPr>
          <w:p w14:paraId="1151D0E1" w14:textId="378F594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marmsci</w:t>
            </w:r>
            <w:proofErr w:type="spellEnd"/>
          </w:p>
        </w:tc>
        <w:tc>
          <w:tcPr>
            <w:tcW w:w="0" w:type="auto"/>
            <w:tcBorders>
              <w:top w:val="nil"/>
              <w:left w:val="nil"/>
              <w:bottom w:val="nil"/>
              <w:right w:val="nil"/>
            </w:tcBorders>
          </w:tcPr>
          <w:p w14:paraId="0AC6FB71"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EA8DE45" w14:textId="7BC25C7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0.000272</w:t>
            </w:r>
          </w:p>
        </w:tc>
        <w:tc>
          <w:tcPr>
            <w:tcW w:w="0" w:type="auto"/>
            <w:tcBorders>
              <w:top w:val="nil"/>
              <w:left w:val="nil"/>
              <w:bottom w:val="nil"/>
              <w:right w:val="nil"/>
            </w:tcBorders>
          </w:tcPr>
          <w:p w14:paraId="7F63A3BA"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C8D0C49" w14:textId="5370E55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0.000338*</w:t>
            </w:r>
          </w:p>
        </w:tc>
        <w:tc>
          <w:tcPr>
            <w:tcW w:w="0" w:type="auto"/>
            <w:tcBorders>
              <w:top w:val="nil"/>
              <w:left w:val="nil"/>
              <w:bottom w:val="nil"/>
              <w:right w:val="nil"/>
            </w:tcBorders>
          </w:tcPr>
          <w:p w14:paraId="3A1D0DC8" w14:textId="1BB5FF1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7A69384" w14:textId="3006D62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0.000326</w:t>
            </w:r>
          </w:p>
        </w:tc>
      </w:tr>
      <w:tr w:rsidR="008F3998" w:rsidRPr="008F3998" w14:paraId="773D9376" w14:textId="77777777" w:rsidTr="003E06D0">
        <w:trPr>
          <w:jc w:val="center"/>
        </w:trPr>
        <w:tc>
          <w:tcPr>
            <w:tcW w:w="0" w:type="auto"/>
            <w:tcBorders>
              <w:top w:val="nil"/>
              <w:left w:val="nil"/>
              <w:bottom w:val="nil"/>
              <w:right w:val="nil"/>
            </w:tcBorders>
          </w:tcPr>
          <w:p w14:paraId="72C418E3"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7FBB2C6"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E064EF0" w14:textId="6A636B3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(0.000178)</w:t>
            </w:r>
          </w:p>
        </w:tc>
        <w:tc>
          <w:tcPr>
            <w:tcW w:w="0" w:type="auto"/>
            <w:tcBorders>
              <w:top w:val="nil"/>
              <w:left w:val="nil"/>
              <w:bottom w:val="nil"/>
              <w:right w:val="nil"/>
            </w:tcBorders>
          </w:tcPr>
          <w:p w14:paraId="130F3471"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95B9211" w14:textId="2D1A937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(0.000149)</w:t>
            </w:r>
          </w:p>
        </w:tc>
        <w:tc>
          <w:tcPr>
            <w:tcW w:w="0" w:type="auto"/>
            <w:tcBorders>
              <w:top w:val="nil"/>
              <w:left w:val="nil"/>
              <w:bottom w:val="nil"/>
              <w:right w:val="nil"/>
            </w:tcBorders>
          </w:tcPr>
          <w:p w14:paraId="58FF66CC" w14:textId="1151E7F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9178B08" w14:textId="0E3BB94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(0.000395)</w:t>
            </w:r>
          </w:p>
        </w:tc>
      </w:tr>
      <w:tr w:rsidR="008F3998" w:rsidRPr="008F3998" w14:paraId="588504E0" w14:textId="77777777" w:rsidTr="003E06D0">
        <w:trPr>
          <w:jc w:val="center"/>
        </w:trPr>
        <w:tc>
          <w:tcPr>
            <w:tcW w:w="0" w:type="auto"/>
            <w:tcBorders>
              <w:top w:val="nil"/>
              <w:left w:val="nil"/>
              <w:bottom w:val="nil"/>
              <w:right w:val="nil"/>
            </w:tcBorders>
          </w:tcPr>
          <w:p w14:paraId="104F02BE"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marcap</w:t>
            </w:r>
            <w:proofErr w:type="spellEnd"/>
          </w:p>
        </w:tc>
        <w:tc>
          <w:tcPr>
            <w:tcW w:w="0" w:type="auto"/>
            <w:tcBorders>
              <w:top w:val="nil"/>
              <w:left w:val="nil"/>
              <w:bottom w:val="nil"/>
              <w:right w:val="nil"/>
            </w:tcBorders>
          </w:tcPr>
          <w:p w14:paraId="4228E3A7"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5B25316" w14:textId="03144F2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3.99e-13</w:t>
            </w:r>
          </w:p>
        </w:tc>
        <w:tc>
          <w:tcPr>
            <w:tcW w:w="0" w:type="auto"/>
            <w:tcBorders>
              <w:top w:val="nil"/>
              <w:left w:val="nil"/>
              <w:bottom w:val="nil"/>
              <w:right w:val="nil"/>
            </w:tcBorders>
          </w:tcPr>
          <w:p w14:paraId="152A4F88"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339D466" w14:textId="6F9929A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8.99e-14</w:t>
            </w:r>
          </w:p>
        </w:tc>
        <w:tc>
          <w:tcPr>
            <w:tcW w:w="0" w:type="auto"/>
            <w:tcBorders>
              <w:top w:val="nil"/>
              <w:left w:val="nil"/>
              <w:bottom w:val="nil"/>
              <w:right w:val="nil"/>
            </w:tcBorders>
          </w:tcPr>
          <w:p w14:paraId="2C96052D" w14:textId="243ECF0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2516B10" w14:textId="18980B6B"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3.30e-13</w:t>
            </w:r>
          </w:p>
        </w:tc>
      </w:tr>
      <w:tr w:rsidR="008F3998" w:rsidRPr="008F3998" w14:paraId="02BC6F49" w14:textId="77777777" w:rsidTr="003E06D0">
        <w:trPr>
          <w:jc w:val="center"/>
        </w:trPr>
        <w:tc>
          <w:tcPr>
            <w:tcW w:w="0" w:type="auto"/>
            <w:tcBorders>
              <w:top w:val="nil"/>
              <w:left w:val="nil"/>
              <w:bottom w:val="nil"/>
              <w:right w:val="nil"/>
            </w:tcBorders>
          </w:tcPr>
          <w:p w14:paraId="0218EAD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0F59E9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9D2871D" w14:textId="3D2C896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(2.23e-13)</w:t>
            </w:r>
          </w:p>
        </w:tc>
        <w:tc>
          <w:tcPr>
            <w:tcW w:w="0" w:type="auto"/>
            <w:tcBorders>
              <w:top w:val="nil"/>
              <w:left w:val="nil"/>
              <w:bottom w:val="nil"/>
              <w:right w:val="nil"/>
            </w:tcBorders>
          </w:tcPr>
          <w:p w14:paraId="5C96361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9A68A18" w14:textId="61DFE68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(1.51e-13)</w:t>
            </w:r>
          </w:p>
        </w:tc>
        <w:tc>
          <w:tcPr>
            <w:tcW w:w="0" w:type="auto"/>
            <w:tcBorders>
              <w:top w:val="nil"/>
              <w:left w:val="nil"/>
              <w:bottom w:val="nil"/>
              <w:right w:val="nil"/>
            </w:tcBorders>
          </w:tcPr>
          <w:p w14:paraId="550C7DDB" w14:textId="1BFAC83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B450ACE" w14:textId="7EE080C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(1.83e-13)</w:t>
            </w:r>
          </w:p>
        </w:tc>
      </w:tr>
      <w:tr w:rsidR="008F3998" w:rsidRPr="008F3998" w14:paraId="0DE02A1D" w14:textId="77777777" w:rsidTr="003E06D0">
        <w:trPr>
          <w:jc w:val="center"/>
        </w:trPr>
        <w:tc>
          <w:tcPr>
            <w:tcW w:w="0" w:type="auto"/>
            <w:tcBorders>
              <w:top w:val="nil"/>
              <w:left w:val="nil"/>
              <w:bottom w:val="nil"/>
              <w:right w:val="nil"/>
            </w:tcBorders>
          </w:tcPr>
          <w:p w14:paraId="1205ECF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finmsci</w:t>
            </w:r>
            <w:proofErr w:type="spellEnd"/>
          </w:p>
        </w:tc>
        <w:tc>
          <w:tcPr>
            <w:tcW w:w="0" w:type="auto"/>
            <w:tcBorders>
              <w:top w:val="nil"/>
              <w:left w:val="nil"/>
              <w:bottom w:val="nil"/>
              <w:right w:val="nil"/>
            </w:tcBorders>
          </w:tcPr>
          <w:p w14:paraId="086037A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E4367BE" w14:textId="709FAA7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-0.0559***</w:t>
            </w:r>
          </w:p>
        </w:tc>
        <w:tc>
          <w:tcPr>
            <w:tcW w:w="0" w:type="auto"/>
            <w:tcBorders>
              <w:top w:val="nil"/>
              <w:left w:val="nil"/>
              <w:bottom w:val="nil"/>
              <w:right w:val="nil"/>
            </w:tcBorders>
          </w:tcPr>
          <w:p w14:paraId="2AEFC3B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B33CEF2" w14:textId="659C84D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-0.0414***</w:t>
            </w:r>
          </w:p>
        </w:tc>
        <w:tc>
          <w:tcPr>
            <w:tcW w:w="0" w:type="auto"/>
            <w:tcBorders>
              <w:top w:val="nil"/>
              <w:left w:val="nil"/>
              <w:bottom w:val="nil"/>
              <w:right w:val="nil"/>
            </w:tcBorders>
          </w:tcPr>
          <w:p w14:paraId="1D96EBBD" w14:textId="05B87FF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1DE72A0" w14:textId="12114F4B"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-0.0392</w:t>
            </w:r>
          </w:p>
        </w:tc>
      </w:tr>
      <w:tr w:rsidR="008F3998" w:rsidRPr="008F3998" w14:paraId="180F4458" w14:textId="77777777" w:rsidTr="003E06D0">
        <w:trPr>
          <w:jc w:val="center"/>
        </w:trPr>
        <w:tc>
          <w:tcPr>
            <w:tcW w:w="0" w:type="auto"/>
            <w:tcBorders>
              <w:top w:val="nil"/>
              <w:left w:val="nil"/>
              <w:bottom w:val="nil"/>
              <w:right w:val="nil"/>
            </w:tcBorders>
          </w:tcPr>
          <w:p w14:paraId="6BBC40A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009F1C8"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88D63B2" w14:textId="385B0EE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(0.0135)</w:t>
            </w:r>
          </w:p>
        </w:tc>
        <w:tc>
          <w:tcPr>
            <w:tcW w:w="0" w:type="auto"/>
            <w:tcBorders>
              <w:top w:val="nil"/>
              <w:left w:val="nil"/>
              <w:bottom w:val="nil"/>
              <w:right w:val="nil"/>
            </w:tcBorders>
          </w:tcPr>
          <w:p w14:paraId="33365591"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67D7477" w14:textId="40A203B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(0.0105)</w:t>
            </w:r>
          </w:p>
        </w:tc>
        <w:tc>
          <w:tcPr>
            <w:tcW w:w="0" w:type="auto"/>
            <w:tcBorders>
              <w:top w:val="nil"/>
              <w:left w:val="nil"/>
              <w:bottom w:val="nil"/>
              <w:right w:val="nil"/>
            </w:tcBorders>
          </w:tcPr>
          <w:p w14:paraId="55E9DC6F" w14:textId="3D1BA4B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7BA7B0D" w14:textId="688A203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(0.0274)</w:t>
            </w:r>
          </w:p>
        </w:tc>
      </w:tr>
      <w:tr w:rsidR="008F3998" w:rsidRPr="008F3998" w14:paraId="244384DF" w14:textId="77777777" w:rsidTr="003E06D0">
        <w:trPr>
          <w:jc w:val="center"/>
        </w:trPr>
        <w:tc>
          <w:tcPr>
            <w:tcW w:w="0" w:type="auto"/>
            <w:tcBorders>
              <w:top w:val="nil"/>
              <w:left w:val="nil"/>
              <w:bottom w:val="nil"/>
              <w:right w:val="nil"/>
            </w:tcBorders>
          </w:tcPr>
          <w:p w14:paraId="1CBD944D" w14:textId="796673F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stoxx50</w:t>
            </w:r>
          </w:p>
        </w:tc>
        <w:tc>
          <w:tcPr>
            <w:tcW w:w="0" w:type="auto"/>
            <w:tcBorders>
              <w:top w:val="nil"/>
              <w:left w:val="nil"/>
              <w:bottom w:val="nil"/>
              <w:right w:val="nil"/>
            </w:tcBorders>
          </w:tcPr>
          <w:p w14:paraId="2FEF078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0003FFA" w14:textId="1857FAB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0.000298</w:t>
            </w:r>
          </w:p>
        </w:tc>
        <w:tc>
          <w:tcPr>
            <w:tcW w:w="0" w:type="auto"/>
            <w:tcBorders>
              <w:top w:val="nil"/>
              <w:left w:val="nil"/>
              <w:bottom w:val="nil"/>
              <w:right w:val="nil"/>
            </w:tcBorders>
          </w:tcPr>
          <w:p w14:paraId="24A31850"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FE87B46" w14:textId="2275D09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-0.000230</w:t>
            </w:r>
          </w:p>
        </w:tc>
        <w:tc>
          <w:tcPr>
            <w:tcW w:w="0" w:type="auto"/>
            <w:tcBorders>
              <w:top w:val="nil"/>
              <w:left w:val="nil"/>
              <w:bottom w:val="nil"/>
              <w:right w:val="nil"/>
            </w:tcBorders>
          </w:tcPr>
          <w:p w14:paraId="34CDF543" w14:textId="16020EB6"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C46D418" w14:textId="248F578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0.00269**</w:t>
            </w:r>
          </w:p>
        </w:tc>
      </w:tr>
      <w:tr w:rsidR="008F3998" w:rsidRPr="008F3998" w14:paraId="5E876FBE" w14:textId="77777777" w:rsidTr="003E06D0">
        <w:trPr>
          <w:jc w:val="center"/>
        </w:trPr>
        <w:tc>
          <w:tcPr>
            <w:tcW w:w="0" w:type="auto"/>
            <w:tcBorders>
              <w:top w:val="nil"/>
              <w:left w:val="nil"/>
              <w:bottom w:val="nil"/>
              <w:right w:val="nil"/>
            </w:tcBorders>
          </w:tcPr>
          <w:p w14:paraId="4D4D24E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38E374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1EB1B20" w14:textId="0239A11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(0.000624)</w:t>
            </w:r>
          </w:p>
        </w:tc>
        <w:tc>
          <w:tcPr>
            <w:tcW w:w="0" w:type="auto"/>
            <w:tcBorders>
              <w:top w:val="nil"/>
              <w:left w:val="nil"/>
              <w:bottom w:val="nil"/>
              <w:right w:val="nil"/>
            </w:tcBorders>
          </w:tcPr>
          <w:p w14:paraId="537C51E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35FA685" w14:textId="1CCEDD8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(0.000608)</w:t>
            </w:r>
          </w:p>
        </w:tc>
        <w:tc>
          <w:tcPr>
            <w:tcW w:w="0" w:type="auto"/>
            <w:tcBorders>
              <w:top w:val="nil"/>
              <w:left w:val="nil"/>
              <w:bottom w:val="nil"/>
              <w:right w:val="nil"/>
            </w:tcBorders>
          </w:tcPr>
          <w:p w14:paraId="678429B6" w14:textId="2A1DC90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4410C73" w14:textId="53B7175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(0.000761)</w:t>
            </w:r>
          </w:p>
        </w:tc>
      </w:tr>
      <w:tr w:rsidR="008F3998" w:rsidRPr="008F3998" w14:paraId="583881BC" w14:textId="77777777" w:rsidTr="003E06D0">
        <w:trPr>
          <w:jc w:val="center"/>
        </w:trPr>
        <w:tc>
          <w:tcPr>
            <w:tcW w:w="0" w:type="auto"/>
            <w:tcBorders>
              <w:top w:val="nil"/>
              <w:left w:val="nil"/>
              <w:bottom w:val="nil"/>
              <w:right w:val="nil"/>
            </w:tcBorders>
          </w:tcPr>
          <w:p w14:paraId="0CD6AF4F"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hyyield</w:t>
            </w:r>
            <w:proofErr w:type="spellEnd"/>
          </w:p>
        </w:tc>
        <w:tc>
          <w:tcPr>
            <w:tcW w:w="0" w:type="auto"/>
            <w:tcBorders>
              <w:top w:val="nil"/>
              <w:left w:val="nil"/>
              <w:bottom w:val="nil"/>
              <w:right w:val="nil"/>
            </w:tcBorders>
          </w:tcPr>
          <w:p w14:paraId="231010AA"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A5C0E9E" w14:textId="77E6813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-0.00635</w:t>
            </w:r>
          </w:p>
        </w:tc>
        <w:tc>
          <w:tcPr>
            <w:tcW w:w="0" w:type="auto"/>
            <w:tcBorders>
              <w:top w:val="nil"/>
              <w:left w:val="nil"/>
              <w:bottom w:val="nil"/>
              <w:right w:val="nil"/>
            </w:tcBorders>
          </w:tcPr>
          <w:p w14:paraId="78A99A76"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D97A39F" w14:textId="47168819"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-0.00191</w:t>
            </w:r>
          </w:p>
        </w:tc>
        <w:tc>
          <w:tcPr>
            <w:tcW w:w="0" w:type="auto"/>
            <w:tcBorders>
              <w:top w:val="nil"/>
              <w:left w:val="nil"/>
              <w:bottom w:val="nil"/>
              <w:right w:val="nil"/>
            </w:tcBorders>
          </w:tcPr>
          <w:p w14:paraId="5D6CBCE3" w14:textId="32067A9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F973E29" w14:textId="3D997F2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-0.0215***</w:t>
            </w:r>
          </w:p>
        </w:tc>
      </w:tr>
      <w:tr w:rsidR="008F3998" w:rsidRPr="008F3998" w14:paraId="10F9CA88" w14:textId="77777777" w:rsidTr="003E06D0">
        <w:trPr>
          <w:jc w:val="center"/>
        </w:trPr>
        <w:tc>
          <w:tcPr>
            <w:tcW w:w="0" w:type="auto"/>
            <w:tcBorders>
              <w:top w:val="nil"/>
              <w:left w:val="nil"/>
              <w:bottom w:val="nil"/>
              <w:right w:val="nil"/>
            </w:tcBorders>
          </w:tcPr>
          <w:p w14:paraId="0AD5F72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D7704D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A022B29" w14:textId="60F81736"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(0.00516)</w:t>
            </w:r>
          </w:p>
        </w:tc>
        <w:tc>
          <w:tcPr>
            <w:tcW w:w="0" w:type="auto"/>
            <w:tcBorders>
              <w:top w:val="nil"/>
              <w:left w:val="nil"/>
              <w:bottom w:val="nil"/>
              <w:right w:val="nil"/>
            </w:tcBorders>
          </w:tcPr>
          <w:p w14:paraId="703EA96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EF672CC" w14:textId="466FF60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(0.00389)</w:t>
            </w:r>
          </w:p>
        </w:tc>
        <w:tc>
          <w:tcPr>
            <w:tcW w:w="0" w:type="auto"/>
            <w:tcBorders>
              <w:top w:val="nil"/>
              <w:left w:val="nil"/>
              <w:bottom w:val="nil"/>
              <w:right w:val="nil"/>
            </w:tcBorders>
          </w:tcPr>
          <w:p w14:paraId="3F9EB894" w14:textId="44AF803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71BCFA5" w14:textId="1BD591C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(0.00539)</w:t>
            </w:r>
          </w:p>
        </w:tc>
      </w:tr>
      <w:tr w:rsidR="008F3998" w:rsidRPr="008F3998" w14:paraId="70866A3F" w14:textId="77777777" w:rsidTr="003E06D0">
        <w:trPr>
          <w:jc w:val="center"/>
        </w:trPr>
        <w:tc>
          <w:tcPr>
            <w:tcW w:w="0" w:type="auto"/>
            <w:tcBorders>
              <w:top w:val="nil"/>
              <w:left w:val="nil"/>
              <w:bottom w:val="nil"/>
              <w:right w:val="nil"/>
            </w:tcBorders>
          </w:tcPr>
          <w:p w14:paraId="59DB71D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igyield</w:t>
            </w:r>
            <w:proofErr w:type="spellEnd"/>
          </w:p>
        </w:tc>
        <w:tc>
          <w:tcPr>
            <w:tcW w:w="0" w:type="auto"/>
            <w:tcBorders>
              <w:top w:val="nil"/>
              <w:left w:val="nil"/>
              <w:bottom w:val="nil"/>
              <w:right w:val="nil"/>
            </w:tcBorders>
          </w:tcPr>
          <w:p w14:paraId="52ABF670"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A1A07A5" w14:textId="289F69A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-0.0140**</w:t>
            </w:r>
          </w:p>
        </w:tc>
        <w:tc>
          <w:tcPr>
            <w:tcW w:w="0" w:type="auto"/>
            <w:tcBorders>
              <w:top w:val="nil"/>
              <w:left w:val="nil"/>
              <w:bottom w:val="nil"/>
              <w:right w:val="nil"/>
            </w:tcBorders>
          </w:tcPr>
          <w:p w14:paraId="43A4206E"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A7CED7D" w14:textId="503F622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-0.00302</w:t>
            </w:r>
          </w:p>
        </w:tc>
        <w:tc>
          <w:tcPr>
            <w:tcW w:w="0" w:type="auto"/>
            <w:tcBorders>
              <w:top w:val="nil"/>
              <w:left w:val="nil"/>
              <w:bottom w:val="nil"/>
              <w:right w:val="nil"/>
            </w:tcBorders>
          </w:tcPr>
          <w:p w14:paraId="75AF797F" w14:textId="6B470936"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7D4F9F7" w14:textId="1F394F1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-0.00941**</w:t>
            </w:r>
          </w:p>
        </w:tc>
      </w:tr>
      <w:tr w:rsidR="008F3998" w:rsidRPr="008F3998" w14:paraId="461A7538" w14:textId="77777777" w:rsidTr="003E06D0">
        <w:trPr>
          <w:jc w:val="center"/>
        </w:trPr>
        <w:tc>
          <w:tcPr>
            <w:tcW w:w="0" w:type="auto"/>
            <w:tcBorders>
              <w:top w:val="nil"/>
              <w:left w:val="nil"/>
              <w:bottom w:val="nil"/>
              <w:right w:val="nil"/>
            </w:tcBorders>
          </w:tcPr>
          <w:p w14:paraId="6FA6D3D7"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E19E11B"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1DDA857" w14:textId="06A603B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(0.00534)</w:t>
            </w:r>
          </w:p>
        </w:tc>
        <w:tc>
          <w:tcPr>
            <w:tcW w:w="0" w:type="auto"/>
            <w:tcBorders>
              <w:top w:val="nil"/>
              <w:left w:val="nil"/>
              <w:bottom w:val="nil"/>
              <w:right w:val="nil"/>
            </w:tcBorders>
          </w:tcPr>
          <w:p w14:paraId="5F900239"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2B21ED9" w14:textId="2AA5880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(0.00320)</w:t>
            </w:r>
          </w:p>
        </w:tc>
        <w:tc>
          <w:tcPr>
            <w:tcW w:w="0" w:type="auto"/>
            <w:tcBorders>
              <w:top w:val="nil"/>
              <w:left w:val="nil"/>
              <w:bottom w:val="nil"/>
              <w:right w:val="nil"/>
            </w:tcBorders>
          </w:tcPr>
          <w:p w14:paraId="76563203" w14:textId="749CADA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3C98C5B" w14:textId="39BDC5C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(0.00377)</w:t>
            </w:r>
          </w:p>
        </w:tc>
      </w:tr>
      <w:tr w:rsidR="008F3998" w:rsidRPr="008F3998" w14:paraId="3E5AD88C" w14:textId="77777777" w:rsidTr="004F41A3">
        <w:trPr>
          <w:jc w:val="center"/>
        </w:trPr>
        <w:tc>
          <w:tcPr>
            <w:tcW w:w="0" w:type="auto"/>
            <w:tcBorders>
              <w:top w:val="nil"/>
              <w:left w:val="nil"/>
              <w:right w:val="nil"/>
            </w:tcBorders>
          </w:tcPr>
          <w:p w14:paraId="000FD058"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Constant</w:t>
            </w:r>
          </w:p>
        </w:tc>
        <w:tc>
          <w:tcPr>
            <w:tcW w:w="0" w:type="auto"/>
            <w:tcBorders>
              <w:top w:val="nil"/>
              <w:left w:val="nil"/>
              <w:right w:val="nil"/>
            </w:tcBorders>
          </w:tcPr>
          <w:p w14:paraId="79B88221" w14:textId="4058C6B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-26.92***</w:t>
            </w:r>
          </w:p>
        </w:tc>
        <w:tc>
          <w:tcPr>
            <w:tcW w:w="0" w:type="auto"/>
            <w:tcBorders>
              <w:top w:val="nil"/>
              <w:left w:val="nil"/>
              <w:right w:val="nil"/>
            </w:tcBorders>
          </w:tcPr>
          <w:p w14:paraId="366514BE" w14:textId="28CD5F5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-32.83*</w:t>
            </w:r>
          </w:p>
        </w:tc>
        <w:tc>
          <w:tcPr>
            <w:tcW w:w="0" w:type="auto"/>
            <w:tcBorders>
              <w:top w:val="nil"/>
              <w:left w:val="nil"/>
              <w:right w:val="nil"/>
            </w:tcBorders>
          </w:tcPr>
          <w:p w14:paraId="5ED97BBD" w14:textId="69D01B5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-16.78**</w:t>
            </w:r>
          </w:p>
        </w:tc>
        <w:tc>
          <w:tcPr>
            <w:tcW w:w="0" w:type="auto"/>
            <w:tcBorders>
              <w:top w:val="nil"/>
              <w:left w:val="nil"/>
              <w:right w:val="nil"/>
            </w:tcBorders>
          </w:tcPr>
          <w:p w14:paraId="586CDCC6" w14:textId="6FB4FCE4"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-5.729</w:t>
            </w:r>
          </w:p>
        </w:tc>
        <w:tc>
          <w:tcPr>
            <w:tcW w:w="0" w:type="auto"/>
            <w:tcBorders>
              <w:top w:val="nil"/>
              <w:left w:val="nil"/>
              <w:right w:val="nil"/>
            </w:tcBorders>
          </w:tcPr>
          <w:p w14:paraId="635E6CF9" w14:textId="0D56AA7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-17.43</w:t>
            </w:r>
          </w:p>
        </w:tc>
        <w:tc>
          <w:tcPr>
            <w:tcW w:w="0" w:type="auto"/>
            <w:tcBorders>
              <w:top w:val="nil"/>
              <w:left w:val="nil"/>
              <w:right w:val="nil"/>
            </w:tcBorders>
          </w:tcPr>
          <w:p w14:paraId="38876C84" w14:textId="50D5956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0.949</w:t>
            </w:r>
          </w:p>
        </w:tc>
      </w:tr>
      <w:tr w:rsidR="008F3998" w:rsidRPr="008F3998" w14:paraId="49126D56" w14:textId="77777777" w:rsidTr="004F41A3">
        <w:trPr>
          <w:jc w:val="center"/>
        </w:trPr>
        <w:tc>
          <w:tcPr>
            <w:tcW w:w="0" w:type="auto"/>
            <w:tcBorders>
              <w:top w:val="nil"/>
              <w:left w:val="nil"/>
              <w:bottom w:val="single" w:sz="4" w:space="0" w:color="auto"/>
              <w:right w:val="nil"/>
            </w:tcBorders>
          </w:tcPr>
          <w:p w14:paraId="3E324F79"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single" w:sz="4" w:space="0" w:color="auto"/>
              <w:right w:val="nil"/>
            </w:tcBorders>
          </w:tcPr>
          <w:p w14:paraId="2B1F9BEA" w14:textId="2CD08C6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(4.543)</w:t>
            </w:r>
          </w:p>
        </w:tc>
        <w:tc>
          <w:tcPr>
            <w:tcW w:w="0" w:type="auto"/>
            <w:tcBorders>
              <w:top w:val="nil"/>
              <w:left w:val="nil"/>
              <w:bottom w:val="single" w:sz="4" w:space="0" w:color="auto"/>
              <w:right w:val="nil"/>
            </w:tcBorders>
          </w:tcPr>
          <w:p w14:paraId="76AD3A5E" w14:textId="57A6D695"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(15.51)</w:t>
            </w:r>
          </w:p>
        </w:tc>
        <w:tc>
          <w:tcPr>
            <w:tcW w:w="0" w:type="auto"/>
            <w:tcBorders>
              <w:top w:val="nil"/>
              <w:left w:val="nil"/>
              <w:bottom w:val="single" w:sz="4" w:space="0" w:color="auto"/>
              <w:right w:val="nil"/>
            </w:tcBorders>
          </w:tcPr>
          <w:p w14:paraId="6EA52A99" w14:textId="3682EE7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(5.009)</w:t>
            </w:r>
          </w:p>
        </w:tc>
        <w:tc>
          <w:tcPr>
            <w:tcW w:w="0" w:type="auto"/>
            <w:tcBorders>
              <w:top w:val="nil"/>
              <w:left w:val="nil"/>
              <w:bottom w:val="single" w:sz="4" w:space="0" w:color="auto"/>
              <w:right w:val="nil"/>
            </w:tcBorders>
          </w:tcPr>
          <w:p w14:paraId="51601290" w14:textId="5802367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(4.211)</w:t>
            </w:r>
          </w:p>
        </w:tc>
        <w:tc>
          <w:tcPr>
            <w:tcW w:w="0" w:type="auto"/>
            <w:tcBorders>
              <w:top w:val="nil"/>
              <w:left w:val="nil"/>
              <w:bottom w:val="single" w:sz="4" w:space="0" w:color="auto"/>
              <w:right w:val="nil"/>
            </w:tcBorders>
          </w:tcPr>
          <w:p w14:paraId="6DB4F633" w14:textId="67F190FB"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(11.23)</w:t>
            </w:r>
          </w:p>
        </w:tc>
        <w:tc>
          <w:tcPr>
            <w:tcW w:w="0" w:type="auto"/>
            <w:tcBorders>
              <w:top w:val="nil"/>
              <w:left w:val="nil"/>
              <w:bottom w:val="single" w:sz="4" w:space="0" w:color="auto"/>
              <w:right w:val="nil"/>
            </w:tcBorders>
          </w:tcPr>
          <w:p w14:paraId="52560534" w14:textId="3953EE2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(44.91)</w:t>
            </w:r>
          </w:p>
        </w:tc>
      </w:tr>
      <w:tr w:rsidR="008F3998" w:rsidRPr="008F3998" w14:paraId="3CE7E174" w14:textId="77777777" w:rsidTr="004F41A3">
        <w:trPr>
          <w:jc w:val="center"/>
        </w:trPr>
        <w:tc>
          <w:tcPr>
            <w:tcW w:w="0" w:type="auto"/>
            <w:tcBorders>
              <w:top w:val="single" w:sz="4" w:space="0" w:color="auto"/>
              <w:left w:val="nil"/>
              <w:bottom w:val="single" w:sz="4" w:space="0" w:color="auto"/>
              <w:right w:val="nil"/>
            </w:tcBorders>
          </w:tcPr>
          <w:p w14:paraId="62F96717" w14:textId="3CF08FD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Diagnostics</w:t>
            </w:r>
          </w:p>
        </w:tc>
        <w:tc>
          <w:tcPr>
            <w:tcW w:w="0" w:type="auto"/>
            <w:tcBorders>
              <w:top w:val="single" w:sz="4" w:space="0" w:color="auto"/>
              <w:left w:val="nil"/>
              <w:bottom w:val="single" w:sz="4" w:space="0" w:color="auto"/>
              <w:right w:val="nil"/>
            </w:tcBorders>
          </w:tcPr>
          <w:p w14:paraId="14F4B7F2"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0B41898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6C467009"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6545019A"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235B665C"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0472A31A"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p>
        </w:tc>
      </w:tr>
      <w:tr w:rsidR="008F3998" w:rsidRPr="008F3998" w14:paraId="7539B489" w14:textId="77777777" w:rsidTr="004F41A3">
        <w:trPr>
          <w:jc w:val="center"/>
        </w:trPr>
        <w:tc>
          <w:tcPr>
            <w:tcW w:w="0" w:type="auto"/>
            <w:tcBorders>
              <w:top w:val="single" w:sz="4" w:space="0" w:color="auto"/>
              <w:left w:val="nil"/>
              <w:bottom w:val="nil"/>
              <w:right w:val="nil"/>
            </w:tcBorders>
          </w:tcPr>
          <w:p w14:paraId="26C10425"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Observations</w:t>
            </w:r>
          </w:p>
        </w:tc>
        <w:tc>
          <w:tcPr>
            <w:tcW w:w="0" w:type="auto"/>
            <w:tcBorders>
              <w:top w:val="single" w:sz="4" w:space="0" w:color="auto"/>
              <w:left w:val="nil"/>
              <w:bottom w:val="nil"/>
              <w:right w:val="nil"/>
            </w:tcBorders>
          </w:tcPr>
          <w:p w14:paraId="55C8D396" w14:textId="63E37F5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131</w:t>
            </w:r>
          </w:p>
        </w:tc>
        <w:tc>
          <w:tcPr>
            <w:tcW w:w="0" w:type="auto"/>
            <w:tcBorders>
              <w:top w:val="single" w:sz="4" w:space="0" w:color="auto"/>
              <w:left w:val="nil"/>
              <w:bottom w:val="nil"/>
              <w:right w:val="nil"/>
            </w:tcBorders>
          </w:tcPr>
          <w:p w14:paraId="1469FAA9" w14:textId="2999298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73</w:t>
            </w:r>
          </w:p>
        </w:tc>
        <w:tc>
          <w:tcPr>
            <w:tcW w:w="0" w:type="auto"/>
            <w:tcBorders>
              <w:top w:val="single" w:sz="4" w:space="0" w:color="auto"/>
              <w:left w:val="nil"/>
              <w:bottom w:val="nil"/>
              <w:right w:val="nil"/>
            </w:tcBorders>
          </w:tcPr>
          <w:p w14:paraId="40C1DEB7" w14:textId="73DA588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133</w:t>
            </w:r>
          </w:p>
        </w:tc>
        <w:tc>
          <w:tcPr>
            <w:tcW w:w="0" w:type="auto"/>
            <w:tcBorders>
              <w:top w:val="single" w:sz="4" w:space="0" w:color="auto"/>
              <w:left w:val="nil"/>
              <w:bottom w:val="nil"/>
              <w:right w:val="nil"/>
            </w:tcBorders>
          </w:tcPr>
          <w:p w14:paraId="6889EA98" w14:textId="1A845B3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73</w:t>
            </w:r>
          </w:p>
        </w:tc>
        <w:tc>
          <w:tcPr>
            <w:tcW w:w="0" w:type="auto"/>
            <w:tcBorders>
              <w:top w:val="single" w:sz="4" w:space="0" w:color="auto"/>
              <w:left w:val="nil"/>
              <w:bottom w:val="nil"/>
              <w:right w:val="nil"/>
            </w:tcBorders>
          </w:tcPr>
          <w:p w14:paraId="0DF9BA70" w14:textId="62AC0ACB"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133</w:t>
            </w:r>
          </w:p>
        </w:tc>
        <w:tc>
          <w:tcPr>
            <w:tcW w:w="0" w:type="auto"/>
            <w:tcBorders>
              <w:top w:val="single" w:sz="4" w:space="0" w:color="auto"/>
              <w:left w:val="nil"/>
              <w:bottom w:val="nil"/>
              <w:right w:val="nil"/>
            </w:tcBorders>
          </w:tcPr>
          <w:p w14:paraId="40721FC6" w14:textId="7D27085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73</w:t>
            </w:r>
          </w:p>
        </w:tc>
      </w:tr>
      <w:tr w:rsidR="008F3998" w:rsidRPr="008F3998" w14:paraId="7D87B0ED" w14:textId="77777777" w:rsidTr="003E06D0">
        <w:trPr>
          <w:jc w:val="center"/>
        </w:trPr>
        <w:tc>
          <w:tcPr>
            <w:tcW w:w="0" w:type="auto"/>
            <w:tcBorders>
              <w:top w:val="nil"/>
              <w:left w:val="nil"/>
              <w:bottom w:val="nil"/>
              <w:right w:val="nil"/>
            </w:tcBorders>
          </w:tcPr>
          <w:p w14:paraId="41CFE228" w14:textId="588E2DA4" w:rsidR="00F84DFB" w:rsidRPr="008F3998" w:rsidRDefault="008F3998" w:rsidP="00F84DFB">
            <w:pPr>
              <w:widowControl w:val="0"/>
              <w:autoSpaceDE w:val="0"/>
              <w:autoSpaceDN w:val="0"/>
              <w:adjustRightInd w:val="0"/>
              <w:spacing w:after="0" w:line="240" w:lineRule="auto"/>
              <w:jc w:val="both"/>
              <w:rPr>
                <w:rFonts w:ascii="Times New Roman" w:hAnsi="Times New Roman" w:cs="Times New Roman"/>
                <w:sz w:val="20"/>
                <w:szCs w:val="20"/>
              </w:rPr>
            </w:pP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p>
                  <m:r>
                    <w:rPr>
                      <w:rFonts w:ascii="Cambria Math" w:hAnsi="Cambria Math" w:cs="Times New Roman"/>
                      <w:sz w:val="20"/>
                      <w:szCs w:val="20"/>
                    </w:rPr>
                    <m:t>2</m:t>
                  </m:r>
                </m:sup>
              </m:sSup>
            </m:oMath>
            <w:r w:rsidR="00F84DFB" w:rsidRPr="008F3998">
              <w:rPr>
                <w:rFonts w:ascii="Times New Roman" w:eastAsiaTheme="minorEastAsia" w:hAnsi="Times New Roman" w:cs="Times New Roman"/>
                <w:sz w:val="20"/>
                <w:szCs w:val="20"/>
              </w:rPr>
              <w:t xml:space="preserve"> (within)</w:t>
            </w:r>
          </w:p>
        </w:tc>
        <w:tc>
          <w:tcPr>
            <w:tcW w:w="0" w:type="auto"/>
            <w:tcBorders>
              <w:top w:val="nil"/>
              <w:left w:val="nil"/>
              <w:bottom w:val="nil"/>
              <w:right w:val="nil"/>
            </w:tcBorders>
          </w:tcPr>
          <w:p w14:paraId="5F23F212" w14:textId="5D775EA6"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0.293</w:t>
            </w:r>
          </w:p>
        </w:tc>
        <w:tc>
          <w:tcPr>
            <w:tcW w:w="0" w:type="auto"/>
            <w:tcBorders>
              <w:top w:val="nil"/>
              <w:left w:val="nil"/>
              <w:bottom w:val="nil"/>
              <w:right w:val="nil"/>
            </w:tcBorders>
          </w:tcPr>
          <w:p w14:paraId="010A78B4" w14:textId="4776E1F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0.507</w:t>
            </w:r>
          </w:p>
        </w:tc>
        <w:tc>
          <w:tcPr>
            <w:tcW w:w="0" w:type="auto"/>
            <w:tcBorders>
              <w:top w:val="nil"/>
              <w:left w:val="nil"/>
              <w:bottom w:val="nil"/>
              <w:right w:val="nil"/>
            </w:tcBorders>
          </w:tcPr>
          <w:p w14:paraId="09C554E8" w14:textId="36C6BA0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0.343</w:t>
            </w:r>
          </w:p>
        </w:tc>
        <w:tc>
          <w:tcPr>
            <w:tcW w:w="0" w:type="auto"/>
            <w:tcBorders>
              <w:top w:val="nil"/>
              <w:left w:val="nil"/>
              <w:bottom w:val="nil"/>
              <w:right w:val="nil"/>
            </w:tcBorders>
          </w:tcPr>
          <w:p w14:paraId="7256EEA5" w14:textId="00DAC84E"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0.615</w:t>
            </w:r>
          </w:p>
        </w:tc>
        <w:tc>
          <w:tcPr>
            <w:tcW w:w="0" w:type="auto"/>
            <w:tcBorders>
              <w:top w:val="nil"/>
              <w:left w:val="nil"/>
              <w:bottom w:val="nil"/>
              <w:right w:val="nil"/>
            </w:tcBorders>
          </w:tcPr>
          <w:p w14:paraId="0C0E1549" w14:textId="64430930"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0.349</w:t>
            </w:r>
          </w:p>
        </w:tc>
        <w:tc>
          <w:tcPr>
            <w:tcW w:w="0" w:type="auto"/>
            <w:tcBorders>
              <w:top w:val="nil"/>
              <w:left w:val="nil"/>
              <w:bottom w:val="nil"/>
              <w:right w:val="nil"/>
            </w:tcBorders>
          </w:tcPr>
          <w:p w14:paraId="13534B98" w14:textId="7AC460C2"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0.424</w:t>
            </w:r>
          </w:p>
        </w:tc>
      </w:tr>
      <w:tr w:rsidR="008F3998" w:rsidRPr="008F3998" w14:paraId="5A96772D" w14:textId="77777777" w:rsidTr="008152B4">
        <w:trPr>
          <w:jc w:val="center"/>
        </w:trPr>
        <w:tc>
          <w:tcPr>
            <w:tcW w:w="0" w:type="auto"/>
            <w:tcBorders>
              <w:top w:val="nil"/>
              <w:left w:val="nil"/>
              <w:right w:val="nil"/>
            </w:tcBorders>
          </w:tcPr>
          <w:p w14:paraId="599B6277" w14:textId="3725C890" w:rsidR="00F84DFB" w:rsidRPr="008F3998" w:rsidRDefault="00F84DFB" w:rsidP="00F84DFB">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Number of countries</w:t>
            </w:r>
          </w:p>
        </w:tc>
        <w:tc>
          <w:tcPr>
            <w:tcW w:w="0" w:type="auto"/>
            <w:tcBorders>
              <w:top w:val="nil"/>
              <w:left w:val="nil"/>
              <w:right w:val="nil"/>
            </w:tcBorders>
          </w:tcPr>
          <w:p w14:paraId="391D5E80" w14:textId="5AC0F47A"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36BF2439" w14:textId="376FCBDB"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5DDD82BC" w14:textId="56EC5AB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15ED52F2" w14:textId="4461D7C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4C93CFED" w14:textId="789EF1CF"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right w:val="nil"/>
            </w:tcBorders>
          </w:tcPr>
          <w:p w14:paraId="5D9C91E9" w14:textId="04AF8538"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r>
      <w:tr w:rsidR="008F3998" w:rsidRPr="008F3998" w14:paraId="0D654C40" w14:textId="77777777" w:rsidTr="008152B4">
        <w:tblPrEx>
          <w:tblBorders>
            <w:bottom w:val="single" w:sz="6" w:space="0" w:color="auto"/>
          </w:tblBorders>
        </w:tblPrEx>
        <w:trPr>
          <w:jc w:val="center"/>
        </w:trPr>
        <w:tc>
          <w:tcPr>
            <w:tcW w:w="0" w:type="auto"/>
            <w:tcBorders>
              <w:top w:val="nil"/>
              <w:left w:val="nil"/>
              <w:bottom w:val="single" w:sz="4" w:space="0" w:color="auto"/>
              <w:right w:val="nil"/>
            </w:tcBorders>
          </w:tcPr>
          <w:p w14:paraId="5966E9E4" w14:textId="7777777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Country FE</w:t>
            </w:r>
          </w:p>
        </w:tc>
        <w:tc>
          <w:tcPr>
            <w:tcW w:w="0" w:type="auto"/>
            <w:tcBorders>
              <w:top w:val="nil"/>
              <w:left w:val="nil"/>
              <w:bottom w:val="single" w:sz="4" w:space="0" w:color="auto"/>
              <w:right w:val="nil"/>
            </w:tcBorders>
          </w:tcPr>
          <w:p w14:paraId="5C27A2EC" w14:textId="5C9661E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77A2226E" w14:textId="10379DDD"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220FC8FA" w14:textId="40AFD5D1"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529DF1C4" w14:textId="34AA850C"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1050C8F8" w14:textId="0CBEFA33"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4" w:space="0" w:color="auto"/>
              <w:right w:val="nil"/>
            </w:tcBorders>
          </w:tcPr>
          <w:p w14:paraId="063A80A1" w14:textId="15912C07" w:rsidR="00F84DFB" w:rsidRPr="008F3998" w:rsidRDefault="00F84DFB" w:rsidP="00F84DFB">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r>
    </w:tbl>
    <w:p w14:paraId="43553A12" w14:textId="1A4DEBE7" w:rsidR="00E526FC" w:rsidRPr="008F3998" w:rsidRDefault="00495577" w:rsidP="00495577">
      <w:pPr>
        <w:widowControl w:val="0"/>
        <w:autoSpaceDE w:val="0"/>
        <w:autoSpaceDN w:val="0"/>
        <w:adjustRightInd w:val="0"/>
        <w:spacing w:after="0" w:line="240" w:lineRule="auto"/>
        <w:jc w:val="both"/>
        <w:rPr>
          <w:rFonts w:ascii="Times New Roman" w:hAnsi="Times New Roman" w:cs="Times New Roman"/>
          <w:sz w:val="20"/>
          <w:szCs w:val="24"/>
        </w:rPr>
      </w:pPr>
      <w:r w:rsidRPr="008F3998">
        <w:rPr>
          <w:rFonts w:ascii="Times New Roman" w:hAnsi="Times New Roman" w:cs="Times New Roman"/>
          <w:b/>
          <w:sz w:val="20"/>
        </w:rPr>
        <w:t>Notes:</w:t>
      </w:r>
      <w:r w:rsidRPr="008F3998">
        <w:rPr>
          <w:rFonts w:ascii="Times New Roman" w:hAnsi="Times New Roman" w:cs="Times New Roman"/>
          <w:sz w:val="20"/>
        </w:rPr>
        <w:t xml:space="preserve"> Parentheses provide robust standard errors. ***, **, &amp; * denote</w:t>
      </w:r>
      <w:r w:rsidR="005A76B3" w:rsidRPr="008F3998">
        <w:t xml:space="preserve"> </w:t>
      </w:r>
      <w:r w:rsidR="005A76B3" w:rsidRPr="008F3998">
        <w:rPr>
          <w:rFonts w:ascii="Times New Roman" w:hAnsi="Times New Roman" w:cs="Times New Roman"/>
          <w:sz w:val="20"/>
        </w:rPr>
        <w:t>statistical</w:t>
      </w:r>
      <w:r w:rsidRPr="008F3998">
        <w:rPr>
          <w:rFonts w:ascii="Times New Roman" w:hAnsi="Times New Roman" w:cs="Times New Roman"/>
          <w:sz w:val="20"/>
        </w:rPr>
        <w:t xml:space="preserve"> significance at 1%, 5%, &amp; 10% levels of significance (</w:t>
      </w:r>
      <m:oMath>
        <m:r>
          <w:rPr>
            <w:rFonts w:ascii="Cambria Math" w:hAnsi="Cambria Math" w:cs="Times New Roman"/>
            <w:sz w:val="20"/>
          </w:rPr>
          <m:t>α</m:t>
        </m:r>
      </m:oMath>
      <w:r w:rsidRPr="008F3998">
        <w:rPr>
          <w:rFonts w:ascii="Times New Roman" w:hAnsi="Times New Roman" w:cs="Times New Roman"/>
          <w:sz w:val="20"/>
        </w:rPr>
        <w:t>)</w:t>
      </w:r>
      <w:r w:rsidR="009C342A" w:rsidRPr="008F3998">
        <w:rPr>
          <w:rFonts w:ascii="Times New Roman" w:hAnsi="Times New Roman" w:cs="Times New Roman"/>
          <w:sz w:val="20"/>
        </w:rPr>
        <w:t>, respectively</w:t>
      </w:r>
      <w:r w:rsidRPr="008F3998">
        <w:rPr>
          <w:rFonts w:ascii="Times New Roman" w:hAnsi="Times New Roman" w:cs="Times New Roman"/>
          <w:sz w:val="20"/>
        </w:rPr>
        <w:t>.</w:t>
      </w:r>
    </w:p>
    <w:p w14:paraId="018A0007" w14:textId="50D9FCEC" w:rsidR="00C640D3" w:rsidRPr="008F3998" w:rsidRDefault="00C640D3" w:rsidP="003C0A6E">
      <w:pPr>
        <w:spacing w:line="360" w:lineRule="auto"/>
        <w:jc w:val="both"/>
        <w:rPr>
          <w:rFonts w:ascii="Times New Roman" w:hAnsi="Times New Roman" w:cs="Times New Roman"/>
          <w:sz w:val="24"/>
          <w:szCs w:val="24"/>
        </w:rPr>
      </w:pPr>
    </w:p>
    <w:p w14:paraId="5B250D87" w14:textId="55C8CCCA" w:rsidR="005C3156" w:rsidRPr="008F3998" w:rsidRDefault="400577A9" w:rsidP="003C0A6E">
      <w:pPr>
        <w:pStyle w:val="ListParagraph"/>
        <w:numPr>
          <w:ilvl w:val="0"/>
          <w:numId w:val="1"/>
        </w:numPr>
        <w:spacing w:line="360" w:lineRule="auto"/>
        <w:ind w:left="0" w:firstLine="0"/>
        <w:jc w:val="both"/>
        <w:rPr>
          <w:rFonts w:cs="Times New Roman"/>
          <w:b/>
          <w:bCs/>
        </w:rPr>
      </w:pPr>
      <w:r w:rsidRPr="008F3998">
        <w:rPr>
          <w:rFonts w:cs="Times New Roman"/>
          <w:b/>
          <w:bCs/>
        </w:rPr>
        <w:t xml:space="preserve">Summary and </w:t>
      </w:r>
      <w:r w:rsidR="005C3156" w:rsidRPr="008F3998">
        <w:rPr>
          <w:rFonts w:cs="Times New Roman"/>
          <w:b/>
          <w:bCs/>
        </w:rPr>
        <w:t>Conclusion</w:t>
      </w:r>
      <w:r w:rsidR="003922A2" w:rsidRPr="008F3998">
        <w:rPr>
          <w:rFonts w:cs="Times New Roman"/>
          <w:b/>
          <w:bCs/>
        </w:rPr>
        <w:t xml:space="preserve"> </w:t>
      </w:r>
    </w:p>
    <w:p w14:paraId="1289102E" w14:textId="1365402C" w:rsidR="005C3156" w:rsidRPr="008F3998" w:rsidRDefault="003922A2" w:rsidP="003C0A6E">
      <w:pPr>
        <w:spacing w:after="100" w:afterAutospacing="1" w:line="480" w:lineRule="auto"/>
        <w:ind w:firstLine="709"/>
        <w:jc w:val="both"/>
        <w:rPr>
          <w:rFonts w:ascii="Times New Roman" w:hAnsi="Times New Roman" w:cs="Times New Roman"/>
          <w:sz w:val="24"/>
          <w:szCs w:val="24"/>
        </w:rPr>
      </w:pPr>
      <w:r w:rsidRPr="008F3998">
        <w:rPr>
          <w:rFonts w:ascii="Times New Roman" w:hAnsi="Times New Roman" w:cs="Times New Roman"/>
          <w:sz w:val="24"/>
          <w:szCs w:val="24"/>
        </w:rPr>
        <w:t xml:space="preserve">This </w:t>
      </w:r>
      <w:r w:rsidR="00CF1600" w:rsidRPr="008F3998">
        <w:rPr>
          <w:rFonts w:ascii="Times New Roman" w:hAnsi="Times New Roman" w:cs="Times New Roman"/>
          <w:sz w:val="24"/>
          <w:szCs w:val="24"/>
        </w:rPr>
        <w:t xml:space="preserve">paper studies </w:t>
      </w:r>
      <w:r w:rsidR="00641034" w:rsidRPr="008F3998">
        <w:rPr>
          <w:rFonts w:ascii="Times New Roman" w:hAnsi="Times New Roman" w:cs="Times New Roman"/>
          <w:sz w:val="24"/>
          <w:szCs w:val="24"/>
        </w:rPr>
        <w:t xml:space="preserve">the role of innovation on tackling environmental challenges via studying an innovative question </w:t>
      </w:r>
      <w:r w:rsidR="00CF1600" w:rsidRPr="008F3998">
        <w:rPr>
          <w:rFonts w:ascii="Times New Roman" w:hAnsi="Times New Roman" w:cs="Times New Roman"/>
          <w:sz w:val="24"/>
          <w:szCs w:val="24"/>
        </w:rPr>
        <w:t xml:space="preserve">whether climate change as </w:t>
      </w:r>
      <w:proofErr w:type="spellStart"/>
      <w:r w:rsidR="00CF1600" w:rsidRPr="008F3998">
        <w:rPr>
          <w:rFonts w:ascii="Times New Roman" w:hAnsi="Times New Roman" w:cs="Times New Roman"/>
          <w:sz w:val="24"/>
          <w:szCs w:val="24"/>
        </w:rPr>
        <w:t>proxied</w:t>
      </w:r>
      <w:proofErr w:type="spellEnd"/>
      <w:r w:rsidR="00CF1600" w:rsidRPr="008F3998">
        <w:rPr>
          <w:rFonts w:ascii="Times New Roman" w:hAnsi="Times New Roman" w:cs="Times New Roman"/>
          <w:sz w:val="24"/>
          <w:szCs w:val="24"/>
        </w:rPr>
        <w:t xml:space="preserve"> by carbon emissions determine the sovereign risk. To answer this question, we use </w:t>
      </w:r>
      <w:r w:rsidR="00382F7E" w:rsidRPr="008F3998">
        <w:rPr>
          <w:rFonts w:ascii="Times New Roman" w:hAnsi="Times New Roman" w:cs="Times New Roman"/>
          <w:sz w:val="24"/>
          <w:szCs w:val="24"/>
        </w:rPr>
        <w:t xml:space="preserve">annual </w:t>
      </w:r>
      <w:r w:rsidR="00CF1600" w:rsidRPr="008F3998">
        <w:rPr>
          <w:rFonts w:ascii="Times New Roman" w:hAnsi="Times New Roman" w:cs="Times New Roman"/>
          <w:sz w:val="24"/>
          <w:szCs w:val="24"/>
        </w:rPr>
        <w:t xml:space="preserve">data from G7 countries for the period from 1996 to 2014. We argue that carbon emissions are likely to increase </w:t>
      </w:r>
      <w:r w:rsidR="00382F7E" w:rsidRPr="008F3998">
        <w:rPr>
          <w:rFonts w:ascii="Times New Roman" w:hAnsi="Times New Roman" w:cs="Times New Roman"/>
          <w:sz w:val="24"/>
          <w:szCs w:val="24"/>
        </w:rPr>
        <w:t xml:space="preserve">economic cost of a country with high incidence of floods, draught and less healthy human capital; therefore, they are likely to increase the risk of a country. Following </w:t>
      </w:r>
      <w:r w:rsidR="009B15B7" w:rsidRPr="008F3998">
        <w:rPr>
          <w:rFonts w:ascii="Times New Roman" w:hAnsi="Times New Roman" w:cs="Times New Roman"/>
          <w:sz w:val="24"/>
          <w:szCs w:val="24"/>
        </w:rPr>
        <w:t>Hartmann et al. (2004</w:t>
      </w:r>
      <w:r w:rsidR="00382F7E" w:rsidRPr="008F3998">
        <w:rPr>
          <w:rFonts w:ascii="Times New Roman" w:hAnsi="Times New Roman" w:cs="Times New Roman"/>
          <w:sz w:val="24"/>
          <w:szCs w:val="24"/>
        </w:rPr>
        <w:t xml:space="preserve">) and </w:t>
      </w:r>
      <w:proofErr w:type="spellStart"/>
      <w:r w:rsidR="00382F7E" w:rsidRPr="008F3998">
        <w:rPr>
          <w:rFonts w:ascii="Times New Roman" w:hAnsi="Times New Roman" w:cs="Times New Roman"/>
          <w:sz w:val="24"/>
          <w:szCs w:val="24"/>
        </w:rPr>
        <w:t>Straetmans</w:t>
      </w:r>
      <w:proofErr w:type="spellEnd"/>
      <w:r w:rsidR="00382F7E" w:rsidRPr="008F3998">
        <w:rPr>
          <w:rFonts w:ascii="Times New Roman" w:hAnsi="Times New Roman" w:cs="Times New Roman"/>
          <w:sz w:val="24"/>
          <w:szCs w:val="24"/>
        </w:rPr>
        <w:t xml:space="preserve"> et al. (2008) we employ semi parametric extreme value theory (EVT) and estimates marginal and joint probabilities of tail events. It carries the advantage of focusing on extreme events that occur with very low frequency and are long term in nature. This is important for our study as carbon emissions are not likely to have impact on the sovereign risk in the short term. </w:t>
      </w:r>
      <w:r w:rsidR="003B1559" w:rsidRPr="008F3998">
        <w:rPr>
          <w:rFonts w:ascii="Times New Roman" w:hAnsi="Times New Roman" w:cs="Times New Roman"/>
          <w:sz w:val="24"/>
          <w:szCs w:val="24"/>
        </w:rPr>
        <w:t xml:space="preserve">Our results show that climate change (carbon emissions) is likely to increase risk significantly at country level as well as at the sectoral level. </w:t>
      </w:r>
      <w:r w:rsidR="00CD1691" w:rsidRPr="008F3998">
        <w:rPr>
          <w:rFonts w:ascii="Times New Roman" w:hAnsi="Times New Roman" w:cs="Times New Roman"/>
          <w:sz w:val="24"/>
          <w:szCs w:val="24"/>
        </w:rPr>
        <w:t xml:space="preserve">At sectoral level, we conduct analyses on top 3 sectors of </w:t>
      </w:r>
      <w:r w:rsidR="003B1559" w:rsidRPr="008F3998">
        <w:rPr>
          <w:rFonts w:ascii="Times New Roman" w:hAnsi="Times New Roman" w:cs="Times New Roman"/>
          <w:sz w:val="24"/>
          <w:szCs w:val="24"/>
        </w:rPr>
        <w:t xml:space="preserve">transportation, </w:t>
      </w:r>
      <w:r w:rsidR="00CD1691" w:rsidRPr="008F3998">
        <w:rPr>
          <w:rFonts w:ascii="Times New Roman" w:hAnsi="Times New Roman" w:cs="Times New Roman"/>
          <w:sz w:val="24"/>
          <w:szCs w:val="24"/>
        </w:rPr>
        <w:t xml:space="preserve">electricity and industry, which are responsible for 29%, 28% and 22% of total global carbon emissions. Our results indicate </w:t>
      </w:r>
      <w:r w:rsidR="003B1559" w:rsidRPr="008F3998">
        <w:rPr>
          <w:rFonts w:ascii="Times New Roman" w:hAnsi="Times New Roman" w:cs="Times New Roman"/>
          <w:sz w:val="24"/>
          <w:szCs w:val="24"/>
        </w:rPr>
        <w:t xml:space="preserve">that they are more likely to increase the sovereign risk. </w:t>
      </w:r>
      <w:r w:rsidR="00CD1691" w:rsidRPr="008F3998">
        <w:rPr>
          <w:rFonts w:ascii="Times New Roman" w:hAnsi="Times New Roman" w:cs="Times New Roman"/>
          <w:sz w:val="24"/>
          <w:szCs w:val="24"/>
        </w:rPr>
        <w:t xml:space="preserve">We carry out a number of robustness checks. First, </w:t>
      </w:r>
      <w:r w:rsidR="00017915" w:rsidRPr="008F3998">
        <w:rPr>
          <w:rFonts w:ascii="Times New Roman" w:hAnsi="Times New Roman" w:cs="Times New Roman"/>
          <w:sz w:val="24"/>
          <w:szCs w:val="24"/>
        </w:rPr>
        <w:t xml:space="preserve">following </w:t>
      </w:r>
      <w:proofErr w:type="spellStart"/>
      <w:r w:rsidR="00017915" w:rsidRPr="008F3998">
        <w:rPr>
          <w:rFonts w:ascii="Times New Roman" w:hAnsi="Times New Roman" w:cs="Times New Roman"/>
          <w:sz w:val="24"/>
          <w:szCs w:val="24"/>
        </w:rPr>
        <w:t>Hilscher</w:t>
      </w:r>
      <w:proofErr w:type="spellEnd"/>
      <w:r w:rsidR="00017915" w:rsidRPr="008F3998">
        <w:rPr>
          <w:rFonts w:ascii="Times New Roman" w:hAnsi="Times New Roman" w:cs="Times New Roman"/>
          <w:sz w:val="24"/>
          <w:szCs w:val="24"/>
        </w:rPr>
        <w:t xml:space="preserve"> and </w:t>
      </w:r>
      <w:proofErr w:type="spellStart"/>
      <w:r w:rsidR="00017915" w:rsidRPr="008F3998">
        <w:rPr>
          <w:rFonts w:ascii="Times New Roman" w:hAnsi="Times New Roman" w:cs="Times New Roman"/>
          <w:sz w:val="24"/>
          <w:szCs w:val="24"/>
        </w:rPr>
        <w:t>Nosbusch</w:t>
      </w:r>
      <w:proofErr w:type="spellEnd"/>
      <w:r w:rsidR="00017915" w:rsidRPr="008F3998">
        <w:rPr>
          <w:rFonts w:ascii="Times New Roman" w:hAnsi="Times New Roman" w:cs="Times New Roman"/>
          <w:sz w:val="24"/>
          <w:szCs w:val="24"/>
        </w:rPr>
        <w:t xml:space="preserve"> (2010) and </w:t>
      </w:r>
      <w:proofErr w:type="spellStart"/>
      <w:r w:rsidR="00017915" w:rsidRPr="008F3998">
        <w:rPr>
          <w:rFonts w:ascii="Times New Roman" w:hAnsi="Times New Roman" w:cs="Times New Roman"/>
          <w:sz w:val="24"/>
          <w:szCs w:val="24"/>
        </w:rPr>
        <w:t>Dieckmann</w:t>
      </w:r>
      <w:proofErr w:type="spellEnd"/>
      <w:r w:rsidR="00017915" w:rsidRPr="008F3998">
        <w:rPr>
          <w:rFonts w:ascii="Times New Roman" w:hAnsi="Times New Roman" w:cs="Times New Roman"/>
          <w:sz w:val="24"/>
          <w:szCs w:val="24"/>
        </w:rPr>
        <w:t xml:space="preserve"> and Plank (2012), we estimate models (6)-(8) by using first difference of each variable. Second,</w:t>
      </w:r>
      <w:r w:rsidR="00017915" w:rsidRPr="008F3998">
        <w:rPr>
          <w:rFonts w:ascii="Times New Roman" w:hAnsi="Times New Roman" w:cs="Times New Roman"/>
          <w:position w:val="-12"/>
          <w:sz w:val="24"/>
          <w:szCs w:val="24"/>
        </w:rPr>
        <w:t xml:space="preserve"> </w:t>
      </w:r>
      <w:r w:rsidR="00017915" w:rsidRPr="008F3998">
        <w:rPr>
          <w:rFonts w:ascii="Times New Roman" w:hAnsi="Times New Roman" w:cs="Times New Roman"/>
          <w:sz w:val="24"/>
          <w:szCs w:val="24"/>
        </w:rPr>
        <w:t xml:space="preserve">we estimate the dynamic models to check the persistence of our econometric model and finally, </w:t>
      </w:r>
      <w:r w:rsidR="00CD1691" w:rsidRPr="008F3998">
        <w:rPr>
          <w:rFonts w:ascii="Times New Roman" w:hAnsi="Times New Roman" w:cs="Times New Roman"/>
          <w:sz w:val="24"/>
          <w:szCs w:val="24"/>
        </w:rPr>
        <w:t xml:space="preserve">we substitute the country financial risk measures tail quantile and (tail) expected shortfall measured by using 5-year government bond index data. </w:t>
      </w:r>
      <w:r w:rsidR="00017915" w:rsidRPr="008F3998">
        <w:rPr>
          <w:rFonts w:ascii="Times New Roman" w:hAnsi="Times New Roman" w:cs="Times New Roman"/>
          <w:sz w:val="24"/>
          <w:szCs w:val="24"/>
        </w:rPr>
        <w:t xml:space="preserve">Our results are robust to these changes in the econometric models and risk measures. </w:t>
      </w:r>
      <w:r w:rsidR="00765DF5" w:rsidRPr="008F3998">
        <w:rPr>
          <w:rFonts w:ascii="Times New Roman" w:hAnsi="Times New Roman" w:cs="Times New Roman"/>
          <w:sz w:val="24"/>
          <w:szCs w:val="24"/>
        </w:rPr>
        <w:t xml:space="preserve"> </w:t>
      </w:r>
    </w:p>
    <w:p w14:paraId="304BA2A9" w14:textId="2E5B82D8" w:rsidR="005C3156" w:rsidRPr="008F3998" w:rsidRDefault="51BA2D68" w:rsidP="003C0A6E">
      <w:pPr>
        <w:spacing w:after="100" w:afterAutospacing="1" w:line="480" w:lineRule="auto"/>
        <w:ind w:firstLine="709"/>
        <w:jc w:val="both"/>
      </w:pPr>
      <w:r w:rsidRPr="008F3998">
        <w:rPr>
          <w:rFonts w:ascii="Times New Roman" w:eastAsia="Times New Roman" w:hAnsi="Times New Roman" w:cs="Times New Roman"/>
          <w:sz w:val="24"/>
          <w:szCs w:val="24"/>
        </w:rPr>
        <w:t xml:space="preserve">The findings of this paper </w:t>
      </w:r>
      <w:r w:rsidR="000A3ADD" w:rsidRPr="008F3998">
        <w:rPr>
          <w:rFonts w:ascii="Times New Roman" w:eastAsia="Times New Roman" w:hAnsi="Times New Roman" w:cs="Times New Roman"/>
          <w:sz w:val="24"/>
          <w:szCs w:val="24"/>
        </w:rPr>
        <w:t>point</w:t>
      </w:r>
      <w:r w:rsidRPr="008F3998">
        <w:rPr>
          <w:rFonts w:ascii="Times New Roman" w:eastAsia="Times New Roman" w:hAnsi="Times New Roman" w:cs="Times New Roman"/>
          <w:sz w:val="24"/>
          <w:szCs w:val="24"/>
        </w:rPr>
        <w:t xml:space="preserve"> to new avenues for future research, two of which we outline here. First, we do not explore if there is any impact on portfolio returns for investors having portfolio in high carbon emission countries. An answer to this question will be of great value for investors in managing their portfolio. Second, there is no empirical evidence if industries with high carbon emissions are creating value or destroying value. Historically, there has been belief that they create value and contribute toward employment as well as economic growth. However, this issue is under debate these days. A look into this question can provide clear evidence toward favourable or damaging impact of high carbon emitting industries.</w:t>
      </w:r>
    </w:p>
    <w:p w14:paraId="0033C23D" w14:textId="23139919" w:rsidR="005C3156" w:rsidRPr="008F3998" w:rsidRDefault="29D2763D" w:rsidP="29D2763D">
      <w:pPr>
        <w:spacing w:after="100" w:afterAutospacing="1" w:line="480" w:lineRule="auto"/>
        <w:ind w:firstLine="709"/>
        <w:jc w:val="both"/>
        <w:rPr>
          <w:rFonts w:ascii="Times New Roman" w:hAnsi="Times New Roman" w:cs="Times New Roman"/>
          <w:sz w:val="24"/>
          <w:szCs w:val="24"/>
        </w:rPr>
      </w:pPr>
      <w:r w:rsidRPr="008F3998">
        <w:rPr>
          <w:rFonts w:ascii="Times New Roman" w:hAnsi="Times New Roman" w:cs="Times New Roman"/>
          <w:sz w:val="24"/>
          <w:szCs w:val="24"/>
        </w:rPr>
        <w:t>Our paper informs policy makers about the importance of carbon emissions reduction in order to tackle environmental challenges and Nationally Determined Contributions (NDCs) as determined in the COP21 and whose progress has been continuously monitored in all the subsequent COPs until COP25. It provides evidence to the country policy makers that not subscribing to the NDCs is likely to increase their sovereign risk, which will harm them in the long run in the form of lower investment and high risk for businesses. Local and foreign investors are interested to know about disclosures of carbon emissions as they are likely to increase sovereign risk, which is important for them to rebalance their portfolio. There are also policy implications for businesses as carbon emissions are also likely to increase their risk especially if they are from the sectors that contribute the most to the carbon emissions. Furthermore, countries also need to turn high carbon emitting industries green by switching away from fossil fuels.</w:t>
      </w:r>
    </w:p>
    <w:p w14:paraId="248905D9" w14:textId="0419A732" w:rsidR="002976E0" w:rsidRPr="008F3998" w:rsidRDefault="002976E0" w:rsidP="002976E0">
      <w:pPr>
        <w:jc w:val="both"/>
        <w:rPr>
          <w:rFonts w:ascii="Times New Roman" w:hAnsi="Times New Roman" w:cs="Times New Roman"/>
          <w:b/>
          <w:sz w:val="24"/>
          <w:szCs w:val="24"/>
        </w:rPr>
      </w:pPr>
      <w:r w:rsidRPr="008F3998">
        <w:rPr>
          <w:rFonts w:ascii="Times New Roman" w:hAnsi="Times New Roman" w:cs="Times New Roman"/>
          <w:b/>
          <w:sz w:val="24"/>
          <w:szCs w:val="24"/>
        </w:rPr>
        <w:t>Acknowledgement</w:t>
      </w:r>
    </w:p>
    <w:p w14:paraId="12B78D63" w14:textId="41E51D96" w:rsidR="009A67D8" w:rsidRPr="008F3998" w:rsidRDefault="29D2763D" w:rsidP="29D2763D">
      <w:pPr>
        <w:spacing w:line="480" w:lineRule="auto"/>
        <w:ind w:firstLine="720"/>
        <w:jc w:val="both"/>
        <w:rPr>
          <w:rFonts w:ascii="Times New Roman" w:hAnsi="Times New Roman" w:cs="Times New Roman"/>
        </w:rPr>
      </w:pPr>
      <w:r w:rsidRPr="008F3998">
        <w:rPr>
          <w:rFonts w:ascii="Times New Roman" w:hAnsi="Times New Roman" w:cs="Times New Roman"/>
        </w:rPr>
        <w:t>We thank Muhammad Shahbaz and the participants of 6th ENSCON conference for their valuable comments which have improved this paper.</w:t>
      </w:r>
      <w:r w:rsidR="000D31DD" w:rsidRPr="008F3998">
        <w:rPr>
          <w:rFonts w:ascii="Times New Roman" w:hAnsi="Times New Roman" w:cs="Times New Roman"/>
        </w:rPr>
        <w:t xml:space="preserve"> We also thank the editor, handling editor and two anonymous reviewers for their very helpful suggestions and remarks.</w:t>
      </w:r>
    </w:p>
    <w:p w14:paraId="4B980784" w14:textId="77777777" w:rsidR="009A67D8" w:rsidRPr="008F3998" w:rsidRDefault="009A67D8" w:rsidP="009A67D8">
      <w:pPr>
        <w:rPr>
          <w:rFonts w:ascii="Times New Roman" w:hAnsi="Times New Roman" w:cs="Times New Roman"/>
          <w:b/>
          <w:sz w:val="24"/>
          <w:szCs w:val="24"/>
        </w:rPr>
      </w:pPr>
      <w:r w:rsidRPr="008F3998">
        <w:rPr>
          <w:rFonts w:ascii="Times New Roman" w:hAnsi="Times New Roman" w:cs="Times New Roman"/>
          <w:b/>
          <w:sz w:val="24"/>
          <w:szCs w:val="24"/>
        </w:rPr>
        <w:t>Appendix A. Supplementary data</w:t>
      </w:r>
    </w:p>
    <w:p w14:paraId="5AF282FB" w14:textId="24F0B568" w:rsidR="00302D9B" w:rsidRPr="008F3998" w:rsidRDefault="009A67D8" w:rsidP="003C0A6E">
      <w:pPr>
        <w:spacing w:line="480" w:lineRule="auto"/>
        <w:ind w:firstLine="720"/>
        <w:jc w:val="both"/>
        <w:rPr>
          <w:rFonts w:ascii="Times New Roman" w:hAnsi="Times New Roman" w:cs="Times New Roman"/>
          <w:b/>
          <w:sz w:val="24"/>
          <w:szCs w:val="24"/>
        </w:rPr>
      </w:pPr>
      <w:r w:rsidRPr="008F3998">
        <w:rPr>
          <w:rFonts w:ascii="Times New Roman" w:hAnsi="Times New Roman" w:cs="Times New Roman"/>
          <w:bCs/>
          <w:sz w:val="24"/>
          <w:szCs w:val="24"/>
        </w:rPr>
        <w:t>Supplementary data to this article can be found online.</w:t>
      </w:r>
      <w:r w:rsidR="00302D9B" w:rsidRPr="008F3998">
        <w:rPr>
          <w:rFonts w:ascii="Times New Roman" w:hAnsi="Times New Roman" w:cs="Times New Roman"/>
          <w:b/>
          <w:sz w:val="24"/>
          <w:szCs w:val="24"/>
        </w:rPr>
        <w:br w:type="page"/>
      </w:r>
    </w:p>
    <w:p w14:paraId="35B5787C" w14:textId="3A9A8BE7" w:rsidR="00D7265A" w:rsidRPr="008F3998" w:rsidRDefault="00D7265A" w:rsidP="00D7265A">
      <w:pPr>
        <w:jc w:val="both"/>
        <w:rPr>
          <w:rFonts w:ascii="Times New Roman" w:hAnsi="Times New Roman" w:cs="Times New Roman"/>
          <w:b/>
          <w:sz w:val="24"/>
          <w:szCs w:val="24"/>
        </w:rPr>
      </w:pPr>
      <w:r w:rsidRPr="008F3998">
        <w:rPr>
          <w:rFonts w:ascii="Times New Roman" w:hAnsi="Times New Roman" w:cs="Times New Roman"/>
          <w:b/>
          <w:sz w:val="24"/>
          <w:szCs w:val="24"/>
        </w:rPr>
        <w:t>References</w:t>
      </w:r>
    </w:p>
    <w:p w14:paraId="262B45CB" w14:textId="77777777" w:rsidR="00C004F7" w:rsidRPr="008F3998" w:rsidRDefault="00C004F7" w:rsidP="00C004F7">
      <w:pPr>
        <w:pStyle w:val="EndNoteBibliography"/>
        <w:ind w:left="720" w:hanging="720"/>
        <w:jc w:val="both"/>
      </w:pPr>
      <w:r w:rsidRPr="008F3998">
        <w:t>Adom, P.K., Bekoe, W., Amuakwa-Mensah, F., Mensah, J.T., Botchway, E., 2012. Carbon dioxide emissions, economic growth, industrial structure, and technical efficiency: Empirical evidence from Ghana, Senegal, and Morocco on the causal dynamics. Energy. 47(1), 314-325.</w:t>
      </w:r>
    </w:p>
    <w:p w14:paraId="6521481F" w14:textId="77777777" w:rsidR="00C004F7" w:rsidRPr="008F3998" w:rsidRDefault="00C004F7" w:rsidP="00C004F7">
      <w:pPr>
        <w:pStyle w:val="EndNoteBibliography"/>
        <w:ind w:left="720" w:hanging="720"/>
        <w:jc w:val="both"/>
      </w:pPr>
      <w:r w:rsidRPr="008F3998">
        <w:t>Agliardi, E., Agliardi, R., Pinar, M., Stengos, T., Topaloglou, N., 2012. A new country risk index for emerging markets: A stochastic dominance approach. J. of Empir. Finance. 19(5), 741-761.</w:t>
      </w:r>
    </w:p>
    <w:p w14:paraId="48D8C320" w14:textId="77777777" w:rsidR="00C004F7" w:rsidRPr="008F3998" w:rsidRDefault="00C004F7" w:rsidP="00C004F7">
      <w:pPr>
        <w:pStyle w:val="EndNoteBibliography"/>
        <w:ind w:left="720" w:hanging="720"/>
        <w:jc w:val="both"/>
      </w:pPr>
      <w:r w:rsidRPr="008F3998">
        <w:t>Aizenman, J., Hutchison, M., Jinjarak, Y., 2013. What is the risk of European sovereign debt defaults? Fiscal space, CDS spreads and market pricing of risk. J. of Int. Money and Finance. 34, 37-59.</w:t>
      </w:r>
    </w:p>
    <w:p w14:paraId="3EC271C0" w14:textId="77777777" w:rsidR="00C004F7" w:rsidRPr="008F3998" w:rsidRDefault="00C004F7" w:rsidP="00C004F7">
      <w:pPr>
        <w:pStyle w:val="EndNoteBibliography"/>
        <w:ind w:left="720" w:hanging="720"/>
        <w:jc w:val="both"/>
      </w:pPr>
      <w:r w:rsidRPr="008F3998">
        <w:t>Al-mulali, U., 2012. Factors affecting CO2 emission in the Middle East: A panel data analysis. Energy. 44, 564-569.</w:t>
      </w:r>
    </w:p>
    <w:p w14:paraId="4492A565" w14:textId="77777777" w:rsidR="00C004F7" w:rsidRPr="008F3998" w:rsidRDefault="00C004F7" w:rsidP="00C004F7">
      <w:pPr>
        <w:pStyle w:val="EndNoteBibliography"/>
        <w:ind w:left="720" w:hanging="720"/>
        <w:jc w:val="both"/>
      </w:pPr>
      <w:r w:rsidRPr="008F3998">
        <w:t>Alam, M.M., Murad, M.W., Noman, A.H.M., Ozturk, I., 2016. Relationships among carbon emissions, economic growth, energy consumption and population growth: Testing Environmental Kuznets Curve hypothesis for Brazil, China, India and Indonesia. Ecol. Indic. 70, 466-479.</w:t>
      </w:r>
    </w:p>
    <w:p w14:paraId="48DFFAF1" w14:textId="77777777" w:rsidR="00C004F7" w:rsidRPr="008F3998" w:rsidRDefault="00C004F7" w:rsidP="00C004F7">
      <w:pPr>
        <w:pStyle w:val="EndNoteBibliography"/>
        <w:ind w:left="720" w:hanging="720"/>
        <w:jc w:val="both"/>
      </w:pPr>
      <w:r w:rsidRPr="008F3998">
        <w:t>Alam, M.S., Paramati, S.R., 2015. Do oil consumption and economic growth intensify environmental degradation? Evidence from developing economies. Appl. Econ. 47(48), 5186-5203.</w:t>
      </w:r>
    </w:p>
    <w:p w14:paraId="53AAD4EE" w14:textId="77777777" w:rsidR="00C004F7" w:rsidRPr="008F3998" w:rsidRDefault="00C004F7" w:rsidP="00C004F7">
      <w:pPr>
        <w:pStyle w:val="EndNoteBibliography"/>
        <w:ind w:left="720" w:hanging="720"/>
        <w:jc w:val="both"/>
      </w:pPr>
      <w:r w:rsidRPr="008F3998">
        <w:t>Apergis, N., Payne, J.E., 2010. Renewable energy consumption and economic growth: evidence from a panel of OECD countries. Energy Policy. 38(1), 656-660.</w:t>
      </w:r>
    </w:p>
    <w:p w14:paraId="5BB77F15" w14:textId="77777777" w:rsidR="00C004F7" w:rsidRPr="008F3998" w:rsidRDefault="00C004F7" w:rsidP="00C004F7">
      <w:pPr>
        <w:pStyle w:val="EndNoteBibliography"/>
        <w:ind w:left="720" w:hanging="720"/>
        <w:jc w:val="both"/>
      </w:pPr>
      <w:r w:rsidRPr="008F3998">
        <w:t>Arvin, M.B., Pradhan, R.P., Norman, N.R., 2015. Transportation intensity, urbanization, economic growth, and CO2 emissions in the G-20 countries. Utilities Policy. 35, 50-66.</w:t>
      </w:r>
    </w:p>
    <w:p w14:paraId="2993338E" w14:textId="77777777" w:rsidR="00C004F7" w:rsidRPr="008F3998" w:rsidRDefault="00C004F7" w:rsidP="00C004F7">
      <w:pPr>
        <w:pStyle w:val="EndNoteBibliography"/>
        <w:ind w:left="720" w:hanging="720"/>
        <w:jc w:val="both"/>
      </w:pPr>
      <w:r w:rsidRPr="008F3998">
        <w:t>Baležentis, T., Li, T., Streimikiene, D., Baležentis, A., 2016. Is the Lithuanian economy approaching the goals of sustainable energy and climate change mitigation? Evidence from DEA-based environmental performance index. J. of Clean. Prod. 116, 23-31.</w:t>
      </w:r>
    </w:p>
    <w:p w14:paraId="0F2D89C8" w14:textId="77777777" w:rsidR="00C004F7" w:rsidRPr="008F3998" w:rsidRDefault="00C004F7" w:rsidP="00C004F7">
      <w:pPr>
        <w:pStyle w:val="EndNoteBibliography"/>
        <w:ind w:left="720" w:hanging="720"/>
        <w:jc w:val="both"/>
      </w:pPr>
      <w:r w:rsidRPr="008F3998">
        <w:t>Balint, T., Lamperti, F., Mandel, A., Napoletano, M., Roventini, A., Sapio, A., 2017. Complexity and the economics of climate change: a survey and a look forward. Ecol. Econ. 138, 252-265.</w:t>
      </w:r>
    </w:p>
    <w:p w14:paraId="610B8429" w14:textId="77777777" w:rsidR="00C004F7" w:rsidRPr="008F3998" w:rsidRDefault="00C004F7" w:rsidP="00C004F7">
      <w:pPr>
        <w:pStyle w:val="EndNoteBibliography"/>
        <w:ind w:left="720" w:hanging="720"/>
        <w:jc w:val="both"/>
      </w:pPr>
      <w:r w:rsidRPr="008F3998">
        <w:t>Bauer, R., Hann, D., 2010. Corporate environmental management and credit risk. Available at SSRN 1660470.</w:t>
      </w:r>
    </w:p>
    <w:p w14:paraId="11DA162E" w14:textId="77777777" w:rsidR="00C004F7" w:rsidRPr="008F3998" w:rsidRDefault="00C004F7" w:rsidP="00C004F7">
      <w:pPr>
        <w:pStyle w:val="EndNoteBibliography"/>
        <w:ind w:left="720" w:hanging="720"/>
        <w:jc w:val="both"/>
      </w:pPr>
      <w:r w:rsidRPr="008F3998">
        <w:t>Bildirici, M.E., 2017. The causal link among militarization, economic growth, CO 2 emission, and energy consumption. Environ. Sci. and Pollut. Res. 24(5), 4625-4636.</w:t>
      </w:r>
    </w:p>
    <w:p w14:paraId="76918ACB"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r w:rsidRPr="008F3998">
        <w:rPr>
          <w:rFonts w:ascii="Times New Roman" w:hAnsi="Times New Roman" w:cs="Times New Roman"/>
          <w:sz w:val="24"/>
          <w:szCs w:val="24"/>
          <w:shd w:val="clear" w:color="auto" w:fill="FFFFFF"/>
        </w:rPr>
        <w:t>Blair, G. 2017. Senate Democrats urge Trump to remain part of Paris Climate Agreement. Available from &lt;https://www.cbsnews.com/news/senate-democrats-urge-trump-to-remain-part-of-paris-climate-agreement/&gt;.</w:t>
      </w:r>
    </w:p>
    <w:p w14:paraId="488694C4" w14:textId="77777777" w:rsidR="00C004F7" w:rsidRPr="008F3998" w:rsidRDefault="00C004F7" w:rsidP="00C004F7">
      <w:pPr>
        <w:pStyle w:val="EndNoteBibliography"/>
        <w:ind w:left="720" w:hanging="720"/>
        <w:jc w:val="both"/>
      </w:pPr>
      <w:r w:rsidRPr="008F3998">
        <w:t>Brenton, A., 2013. ‘Great Powers’ in climate politics. Climate policy. 13(5), 541-546.</w:t>
      </w:r>
    </w:p>
    <w:p w14:paraId="6E060954" w14:textId="77777777" w:rsidR="00C004F7" w:rsidRPr="008F3998" w:rsidRDefault="00C004F7" w:rsidP="00C004F7">
      <w:pPr>
        <w:pStyle w:val="EndNoteBibliography"/>
        <w:ind w:left="720" w:hanging="720"/>
        <w:jc w:val="both"/>
      </w:pPr>
      <w:r w:rsidRPr="008F3998">
        <w:t>Brown, C.L., Cavusgil, S.T., Lord, A.W., 2015. Country-risk measurement and analysis: A new conceptualization and managerial tool. Int. Bus. Rev. 24(2), 246-265.</w:t>
      </w:r>
    </w:p>
    <w:p w14:paraId="78A0CB75" w14:textId="77777777" w:rsidR="00C004F7" w:rsidRPr="008F3998" w:rsidRDefault="00C004F7" w:rsidP="00C004F7">
      <w:pPr>
        <w:pStyle w:val="EndNoteBibliography"/>
        <w:ind w:left="720" w:hanging="720"/>
        <w:jc w:val="both"/>
      </w:pPr>
      <w:r w:rsidRPr="008F3998">
        <w:t>Carney, M., 2015. Breaking the Tragedy of the Horizon–climate change and financial stability. Speech given at Lloyd’s of London 29, 220-230.</w:t>
      </w:r>
    </w:p>
    <w:p w14:paraId="4BAA2FBB" w14:textId="77777777" w:rsidR="00C004F7" w:rsidRPr="008F3998" w:rsidRDefault="00C004F7" w:rsidP="00C004F7">
      <w:pPr>
        <w:pStyle w:val="EndNoteBibliography"/>
        <w:ind w:left="720" w:hanging="720"/>
        <w:jc w:val="both"/>
      </w:pPr>
      <w:r w:rsidRPr="008F3998">
        <w:t>Cecchetti, S.G., Mohanty, M.S., Zampolli, F., 2010. The future of public debt: prospects and implications. Bank for International Settlement Working Paper No. 300.</w:t>
      </w:r>
    </w:p>
    <w:p w14:paraId="5AF5E5E2" w14:textId="77777777" w:rsidR="00C004F7" w:rsidRPr="008F3998" w:rsidRDefault="00C004F7" w:rsidP="00C004F7">
      <w:pPr>
        <w:pStyle w:val="EndNoteBibliography"/>
        <w:ind w:left="720" w:hanging="720"/>
        <w:jc w:val="both"/>
      </w:pPr>
      <w:r w:rsidRPr="008F3998">
        <w:t>Chava, S., 2014. Environmental externalities and cost of capital. Manag. Sci. 60(9), 2223-2247.</w:t>
      </w:r>
    </w:p>
    <w:p w14:paraId="3D973324" w14:textId="77777777" w:rsidR="00C004F7" w:rsidRPr="008F3998" w:rsidRDefault="00C004F7" w:rsidP="00C004F7">
      <w:pPr>
        <w:pStyle w:val="EndNoteBibliography"/>
        <w:ind w:left="720" w:hanging="720"/>
        <w:jc w:val="both"/>
      </w:pPr>
      <w:r w:rsidRPr="008F3998">
        <w:t>Chiu, C.-L., Chang, T.-H., 2009. What proportion of renewable energy supplies is needed to initially mitigate CO2 emissions in OECD member countries? Renew. and Sustain. Energy Rev. 13(6-7), 1669-1674.</w:t>
      </w:r>
    </w:p>
    <w:p w14:paraId="6C91C697" w14:textId="77777777" w:rsidR="00C004F7" w:rsidRPr="008F3998" w:rsidRDefault="00C004F7" w:rsidP="00C004F7">
      <w:pPr>
        <w:pStyle w:val="EndNoteBibliography"/>
        <w:ind w:left="720" w:hanging="720"/>
        <w:jc w:val="both"/>
      </w:pPr>
      <w:r w:rsidRPr="008F3998">
        <w:t>Chiu, Y.-B., 2017. Carbon dioxide, income and energy: Evidence from a non-linear model. Energy Econ. 61, 279-288.</w:t>
      </w:r>
    </w:p>
    <w:p w14:paraId="2F7C78E1"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proofErr w:type="spellStart"/>
      <w:r w:rsidRPr="008F3998">
        <w:rPr>
          <w:rFonts w:ascii="Times New Roman" w:hAnsi="Times New Roman" w:cs="Times New Roman"/>
          <w:sz w:val="24"/>
          <w:szCs w:val="24"/>
          <w:shd w:val="clear" w:color="auto" w:fill="FFFFFF"/>
        </w:rPr>
        <w:t>Clarvis</w:t>
      </w:r>
      <w:proofErr w:type="spellEnd"/>
      <w:r w:rsidRPr="008F3998">
        <w:rPr>
          <w:rFonts w:ascii="Times New Roman" w:hAnsi="Times New Roman" w:cs="Times New Roman"/>
          <w:sz w:val="24"/>
          <w:szCs w:val="24"/>
          <w:shd w:val="clear" w:color="auto" w:fill="FFFFFF"/>
        </w:rPr>
        <w:t xml:space="preserve">, M.H., Halle, M., Mulder, I., &amp; </w:t>
      </w:r>
      <w:proofErr w:type="spellStart"/>
      <w:r w:rsidRPr="008F3998">
        <w:rPr>
          <w:rFonts w:ascii="Times New Roman" w:hAnsi="Times New Roman" w:cs="Times New Roman"/>
          <w:sz w:val="24"/>
          <w:szCs w:val="24"/>
          <w:shd w:val="clear" w:color="auto" w:fill="FFFFFF"/>
        </w:rPr>
        <w:t>Yarime</w:t>
      </w:r>
      <w:proofErr w:type="spellEnd"/>
      <w:r w:rsidRPr="008F3998">
        <w:rPr>
          <w:rFonts w:ascii="Times New Roman" w:hAnsi="Times New Roman" w:cs="Times New Roman"/>
          <w:sz w:val="24"/>
          <w:szCs w:val="24"/>
          <w:shd w:val="clear" w:color="auto" w:fill="FFFFFF"/>
        </w:rPr>
        <w:t>, M., 2014. Towards a new framework to account for environmental risk in sovereign credit risk analysis. J. of Sustain. Finance &amp; Invest. 4(2), 147-160.</w:t>
      </w:r>
    </w:p>
    <w:p w14:paraId="55362A7A"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r w:rsidRPr="008F3998">
        <w:rPr>
          <w:rFonts w:ascii="Times New Roman" w:hAnsi="Times New Roman" w:cs="Times New Roman"/>
          <w:sz w:val="24"/>
          <w:szCs w:val="24"/>
          <w:shd w:val="clear" w:color="auto" w:fill="FFFFFF"/>
        </w:rPr>
        <w:t>Climate Bonds Initiative, 2018. Sovereign Green bonds briefing. Accessed at &lt;https://www.climatebonds.net/files/reports/sovereign_briefing2017.pdf&gt;.</w:t>
      </w:r>
    </w:p>
    <w:p w14:paraId="1A0862E3" w14:textId="77777777" w:rsidR="00C004F7" w:rsidRPr="008F3998" w:rsidRDefault="00C004F7" w:rsidP="00C004F7">
      <w:pPr>
        <w:pStyle w:val="EndNoteBibliography"/>
        <w:ind w:left="720" w:hanging="720"/>
        <w:jc w:val="both"/>
      </w:pPr>
      <w:r w:rsidRPr="008F3998">
        <w:t>Conrad, B., Kostka, G., 2017. Chinese investments in Europe's energy sector: Risks and opportunities?  Energy Policy. 101, 644-648.</w:t>
      </w:r>
    </w:p>
    <w:p w14:paraId="4EC66CC4" w14:textId="77777777" w:rsidR="00C004F7" w:rsidRPr="008F3998" w:rsidRDefault="00C004F7" w:rsidP="00C004F7">
      <w:pPr>
        <w:pStyle w:val="EndNoteBibliography"/>
        <w:ind w:left="720" w:hanging="720"/>
        <w:jc w:val="both"/>
      </w:pPr>
      <w:r w:rsidRPr="008F3998">
        <w:t>Danielsson, J., De Vries, C.G., 1997. Tail index and quantile estimation with very high frequency data. J. of Empir. Finance. 4(2-3), 241-257.</w:t>
      </w:r>
    </w:p>
    <w:p w14:paraId="2D476DED" w14:textId="77777777" w:rsidR="00C004F7" w:rsidRPr="008F3998" w:rsidRDefault="00C004F7" w:rsidP="00C004F7">
      <w:pPr>
        <w:pStyle w:val="EndNoteBibliography"/>
        <w:ind w:left="720" w:hanging="720"/>
        <w:jc w:val="both"/>
      </w:pPr>
      <w:r w:rsidRPr="008F3998">
        <w:t>De Haan, L., Jansen, D.W., Koedijk, K., de Vries, C.G., 1994. Safety first portfolio selection, extreme value theory and long run asset risks, Extreme value theory and applications. Springer, 471-487.</w:t>
      </w:r>
    </w:p>
    <w:p w14:paraId="2850E4F5" w14:textId="77777777" w:rsidR="00C004F7" w:rsidRPr="008F3998" w:rsidRDefault="00C004F7" w:rsidP="00C004F7">
      <w:pPr>
        <w:pStyle w:val="EndNoteBibliography"/>
        <w:ind w:left="720" w:hanging="720"/>
        <w:jc w:val="both"/>
      </w:pPr>
      <w:r w:rsidRPr="008F3998">
        <w:t>Deleuil, T., 2012. The common but differentiated responsibilities principle: Changes in continuity after the Durban conference of the parties. Rev. of Eur. Community &amp; Int. Environ. Law. 21(3), 271-281.</w:t>
      </w:r>
    </w:p>
    <w:p w14:paraId="426C45E6" w14:textId="77777777" w:rsidR="00C004F7" w:rsidRPr="008F3998" w:rsidRDefault="00C004F7" w:rsidP="00C004F7">
      <w:pPr>
        <w:pStyle w:val="EndNoteBibliography"/>
        <w:ind w:left="720" w:hanging="720"/>
        <w:jc w:val="both"/>
      </w:pPr>
      <w:r w:rsidRPr="008F3998">
        <w:t>Dieckmann, S., Plank, T., 2012. Default risk of advanced economies: An empirical analysis of credit default swaps during the financial crisis. Rev. of Finance. 16(4), 903-934.</w:t>
      </w:r>
    </w:p>
    <w:p w14:paraId="4EC2598D" w14:textId="77777777" w:rsidR="00C004F7" w:rsidRPr="008F3998" w:rsidRDefault="00C004F7" w:rsidP="00C004F7">
      <w:pPr>
        <w:pStyle w:val="EndNoteBibliography"/>
        <w:ind w:left="720" w:hanging="720"/>
        <w:jc w:val="both"/>
      </w:pPr>
      <w:r w:rsidRPr="008F3998">
        <w:t>Dietz, S., Bowen, A., Dixon, C., Gradwell, P., 2016. ‘Climate value at risk’of global financial assets. Nat. Climate Change. 6(7), 676-679.</w:t>
      </w:r>
    </w:p>
    <w:p w14:paraId="10F25DA0" w14:textId="77777777" w:rsidR="00C004F7" w:rsidRPr="008F3998" w:rsidRDefault="00C004F7" w:rsidP="00C004F7">
      <w:pPr>
        <w:pStyle w:val="EndNoteBibliography"/>
        <w:ind w:left="720" w:hanging="720"/>
        <w:jc w:val="both"/>
      </w:pPr>
      <w:r w:rsidRPr="008F3998">
        <w:t>Dietz, S., Gollier, C., Kessler, L., 2018. The climate beta. J. of Environ. Econ. and Manag. 87, 258-274.</w:t>
      </w:r>
    </w:p>
    <w:p w14:paraId="0CEA17A6" w14:textId="77777777" w:rsidR="00C004F7" w:rsidRPr="008F3998" w:rsidRDefault="00C004F7" w:rsidP="00C004F7">
      <w:pPr>
        <w:pStyle w:val="EndNoteBibliography"/>
        <w:ind w:left="720" w:hanging="720"/>
        <w:jc w:val="both"/>
      </w:pPr>
      <w:r w:rsidRPr="008F3998">
        <w:t>Fischer, C.A., Dötz, N., 2010. What can EMU countries’ sovereign bond spreads tell us about market perceptions of default probabilities during the recent financial crisis? Discussino Paper Series 1: Economic Studies 2010, 11, Deutsche Bundesbank.</w:t>
      </w:r>
    </w:p>
    <w:p w14:paraId="0B9A009E" w14:textId="77777777" w:rsidR="00C004F7" w:rsidRPr="008F3998" w:rsidRDefault="00C004F7" w:rsidP="00C004F7">
      <w:pPr>
        <w:pStyle w:val="EndNoteBibliography"/>
        <w:ind w:left="720" w:hanging="720"/>
        <w:jc w:val="both"/>
      </w:pPr>
      <w:r w:rsidRPr="008F3998">
        <w:t>Friedlingstein, P., Andrew, R.M., Rogelj, J., Peters, G.P., Canadell, J.G., Knutti, R., Luderer, G., Raupach, M.R., Schaeffer, M., van Vuuren, D.P., 2014. Persistent growth of CO2 emissions and implications for reaching climate targets. Nat. Geosci. 7(10), 709-715.</w:t>
      </w:r>
    </w:p>
    <w:p w14:paraId="2E16618D" w14:textId="77777777" w:rsidR="00C004F7" w:rsidRPr="008F3998" w:rsidRDefault="00C004F7" w:rsidP="00C004F7">
      <w:pPr>
        <w:pStyle w:val="EndNoteBibliography"/>
        <w:ind w:left="720" w:hanging="720"/>
        <w:jc w:val="both"/>
      </w:pPr>
      <w:r w:rsidRPr="008F3998">
        <w:t>Haber, O.H., 2016. Reporting from COP21. Peace and Freedom. 76(1), p7.</w:t>
      </w:r>
    </w:p>
    <w:p w14:paraId="2BA921E2" w14:textId="77777777" w:rsidR="00C004F7" w:rsidRPr="008F3998" w:rsidRDefault="00C004F7" w:rsidP="00C004F7">
      <w:pPr>
        <w:pStyle w:val="EndNoteBibliography"/>
        <w:ind w:left="720" w:hanging="720"/>
        <w:jc w:val="both"/>
      </w:pPr>
      <w:r w:rsidRPr="008F3998">
        <w:t>Hakimi, A., Hamdi, H., 2016. Trade liberalization, FDI inflows, environmental quality and economic growth: a comparative analysis between Tunisia and Morocco. Renew. and Sustain. Energy Rev. 58, 1445-1456.</w:t>
      </w:r>
    </w:p>
    <w:p w14:paraId="1285B5C5" w14:textId="77777777" w:rsidR="00C004F7" w:rsidRPr="008F3998" w:rsidRDefault="00C004F7" w:rsidP="00C004F7">
      <w:pPr>
        <w:pStyle w:val="EndNoteBibliography"/>
        <w:ind w:left="720" w:hanging="720"/>
        <w:jc w:val="both"/>
      </w:pPr>
      <w:r w:rsidRPr="008F3998">
        <w:t>Han, H., Lee, M.J., Kim, W., 2018. Antecedents of green loyalty in the cruise industry: Sustainable development and environmental management. Bus. Strategy and the Environ. 27(11), 323-335.</w:t>
      </w:r>
    </w:p>
    <w:p w14:paraId="2E9AF1CD" w14:textId="77777777" w:rsidR="00C004F7" w:rsidRPr="008F3998" w:rsidRDefault="00C004F7" w:rsidP="00C004F7">
      <w:pPr>
        <w:pStyle w:val="EndNoteBibliography"/>
        <w:ind w:left="720" w:hanging="720"/>
        <w:jc w:val="both"/>
      </w:pPr>
      <w:r w:rsidRPr="008F3998">
        <w:t>Han, W., Liang, C., Jiang, B., Ma, W., Zhang, Y., 2016. Major natural disasters in China, 1985–2014: occurrence and damages. Int. J. of Environ. Res. and Public Health. 13(11), 1118.</w:t>
      </w:r>
    </w:p>
    <w:p w14:paraId="093B17E6" w14:textId="77777777" w:rsidR="00C004F7" w:rsidRPr="008F3998" w:rsidRDefault="00C004F7" w:rsidP="00C004F7">
      <w:pPr>
        <w:pStyle w:val="EndNoteBibliography"/>
        <w:ind w:left="720" w:hanging="720"/>
        <w:jc w:val="both"/>
      </w:pPr>
      <w:r w:rsidRPr="008F3998">
        <w:t>Hartmann, P., Straetmans, S., Vries, C.d., 2004. Asset market linkages in crisis periods. Rev. of Econ. and Stat. 86, 313-326.</w:t>
      </w:r>
    </w:p>
    <w:p w14:paraId="3B107E8A" w14:textId="77777777" w:rsidR="00C004F7" w:rsidRPr="008F3998" w:rsidRDefault="00C004F7" w:rsidP="00C004F7">
      <w:pPr>
        <w:pStyle w:val="EndNoteBibliography"/>
        <w:ind w:left="720" w:hanging="720"/>
        <w:jc w:val="both"/>
      </w:pPr>
      <w:r w:rsidRPr="008F3998">
        <w:t>Hausman, J.A., 1978. Specification tests in econometrics. Econometrica: J. of the Econom. Soc., 1251-1271.</w:t>
      </w:r>
    </w:p>
    <w:p w14:paraId="02D33F84" w14:textId="77777777" w:rsidR="00C004F7" w:rsidRPr="008F3998" w:rsidRDefault="00C004F7" w:rsidP="00C004F7">
      <w:pPr>
        <w:pStyle w:val="EndNoteBibliography"/>
        <w:ind w:left="720" w:hanging="720"/>
        <w:jc w:val="both"/>
      </w:pPr>
      <w:r w:rsidRPr="008F3998">
        <w:t>He, J., 2006. Pollution haven hypothesis and environmental impacts of foreign direct investment: The case of industrial emission of sulfur dioxide (SO2) in Chinese provinces. Ecol. econ. 60(1), 228-245.</w:t>
      </w:r>
    </w:p>
    <w:p w14:paraId="7D385416" w14:textId="77777777" w:rsidR="00C004F7" w:rsidRPr="008F3998" w:rsidRDefault="00C004F7" w:rsidP="00C004F7">
      <w:pPr>
        <w:pStyle w:val="EndNoteBibliography"/>
        <w:ind w:left="720" w:hanging="720"/>
        <w:jc w:val="both"/>
      </w:pPr>
      <w:r w:rsidRPr="008F3998">
        <w:t>He, P., Ng, T.S., Su, B., 2017. Energy-economic recovery resilience with Input-Output linear programming models. Energy Econ. 68, 177-191.</w:t>
      </w:r>
    </w:p>
    <w:p w14:paraId="74FEC57B" w14:textId="77777777" w:rsidR="00C004F7" w:rsidRPr="008F3998" w:rsidRDefault="00C004F7" w:rsidP="00C004F7">
      <w:pPr>
        <w:pStyle w:val="EndNoteBibliography"/>
        <w:ind w:left="720" w:hanging="720"/>
        <w:jc w:val="both"/>
      </w:pPr>
      <w:r w:rsidRPr="008F3998">
        <w:t>Hill, B.M., 1975. A simple general approach to inference about the tail of a distribution. The Ann. of Stat. 3(5), 1163-1174.</w:t>
      </w:r>
    </w:p>
    <w:p w14:paraId="6CEAE968" w14:textId="77777777" w:rsidR="00C004F7" w:rsidRPr="008F3998" w:rsidRDefault="00C004F7" w:rsidP="00C004F7">
      <w:pPr>
        <w:pStyle w:val="EndNoteBibliography"/>
        <w:ind w:left="720" w:hanging="720"/>
        <w:jc w:val="both"/>
      </w:pPr>
      <w:r w:rsidRPr="008F3998">
        <w:t>Hilscher, J., Nosbusch, Y., 2010. Determinants of sovereign risk: Macroeconomic fundamentals and the pricing of sovereign debt. Rev. of Finance. 14, 235-262.</w:t>
      </w:r>
    </w:p>
    <w:p w14:paraId="781DD5D9"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r w:rsidRPr="008F3998">
        <w:rPr>
          <w:rFonts w:ascii="Times New Roman" w:hAnsi="Times New Roman" w:cs="Times New Roman"/>
          <w:sz w:val="24"/>
          <w:szCs w:val="24"/>
          <w:shd w:val="clear" w:color="auto" w:fill="FFFFFF"/>
        </w:rPr>
        <w:t>IPCC 2001. Climate Change 2001: Impacts, Adaptation and Vulnerability. Contribution of Working Group II to the Third Assessment Report of the Intergovernmental Panel on Climate Change, World Meteorological Organisation and United Nations Environment Programme. Cambridge University Press, 1032.</w:t>
      </w:r>
    </w:p>
    <w:p w14:paraId="2BA1DFF7" w14:textId="77777777" w:rsidR="00C004F7" w:rsidRPr="008F3998" w:rsidRDefault="00C004F7" w:rsidP="00C004F7">
      <w:pPr>
        <w:pStyle w:val="EndNoteBibliography"/>
        <w:ind w:left="720" w:hanging="720"/>
        <w:jc w:val="both"/>
      </w:pPr>
      <w:r w:rsidRPr="008F3998">
        <w:t>Jansen, D.W., De Vries, C.G., 1991. On the frequency of large stock returns: Putting booms and busts into perspective. The Rev. of Econ. and Stat. 73(1), 18-24.</w:t>
      </w:r>
    </w:p>
    <w:p w14:paraId="7C19E390" w14:textId="77777777" w:rsidR="00C004F7" w:rsidRPr="008F3998" w:rsidRDefault="00C004F7" w:rsidP="00C004F7">
      <w:pPr>
        <w:pStyle w:val="EndNoteBibliography"/>
        <w:ind w:left="720" w:hanging="720"/>
        <w:jc w:val="both"/>
      </w:pPr>
      <w:r w:rsidRPr="008F3998">
        <w:t>Konar, S., Cohen, M.A., 2001. Does the market value environmental performance? Rev. of Econ. and Stat. 83(2), 281-289.</w:t>
      </w:r>
    </w:p>
    <w:p w14:paraId="083C0D8B" w14:textId="77777777" w:rsidR="00C004F7" w:rsidRPr="008F3998" w:rsidRDefault="00C004F7" w:rsidP="00C004F7">
      <w:pPr>
        <w:pStyle w:val="EndNoteBibliography"/>
        <w:ind w:left="720" w:hanging="720"/>
        <w:jc w:val="both"/>
      </w:pPr>
      <w:r w:rsidRPr="008F3998">
        <w:t>Kraemer, M., Negrila, L., 2014. Climate change is a global mega-trend for sovereign risk. Credit Week 28, 9-15.</w:t>
      </w:r>
    </w:p>
    <w:p w14:paraId="02E03549" w14:textId="77777777" w:rsidR="00C004F7" w:rsidRPr="008F3998" w:rsidRDefault="00C004F7" w:rsidP="00C004F7">
      <w:pPr>
        <w:pStyle w:val="EndNoteBibliography"/>
        <w:ind w:left="720" w:hanging="720"/>
        <w:jc w:val="both"/>
      </w:pPr>
      <w:r w:rsidRPr="008F3998">
        <w:t>Lee, C.-C., 2006. The causality relationship between energy consumption and GDP in G-11 countries revisited. Energy Policy. 34(9), 1086-1093.</w:t>
      </w:r>
    </w:p>
    <w:p w14:paraId="4BBDDE70" w14:textId="77777777" w:rsidR="00C004F7" w:rsidRPr="008F3998" w:rsidRDefault="00C004F7" w:rsidP="00C004F7">
      <w:pPr>
        <w:pStyle w:val="EndNoteBibliography"/>
        <w:ind w:left="720" w:hanging="720"/>
        <w:jc w:val="both"/>
      </w:pPr>
      <w:r w:rsidRPr="008F3998">
        <w:t>Li, J.P., Tang, L., Sun, X.L., He, W., Yang, Y.Y., 2012. Country risk forecasting for major oil exporting countries: a decomposition hybrid approach. Computers &amp; Ind. Eng. 63(3), 641-651.</w:t>
      </w:r>
    </w:p>
    <w:p w14:paraId="4E0B3FD6" w14:textId="77777777" w:rsidR="00C004F7" w:rsidRPr="008F3998" w:rsidRDefault="00C004F7" w:rsidP="00C004F7">
      <w:pPr>
        <w:pStyle w:val="EndNoteBibliography"/>
        <w:ind w:left="720" w:hanging="720"/>
        <w:jc w:val="both"/>
      </w:pPr>
      <w:r w:rsidRPr="008F3998">
        <w:t>Liedtke, S., 2017. Chinese energy investments in Europe: an analysis of policy drivers and approaches. Energy Policy. 101, 659-669.</w:t>
      </w:r>
    </w:p>
    <w:p w14:paraId="209CC3B8" w14:textId="77777777" w:rsidR="00C004F7" w:rsidRPr="008F3998" w:rsidRDefault="00C004F7" w:rsidP="00C004F7">
      <w:pPr>
        <w:pStyle w:val="EndNoteBibliography"/>
        <w:ind w:left="720" w:hanging="720"/>
        <w:jc w:val="both"/>
      </w:pPr>
      <w:r w:rsidRPr="008F3998">
        <w:t>Liu, C., Xiong, K., Wang, W., Zhang, T., Tang, J., 2016. An empirical research on the determinants of Chinese college students’ carbon label cognition and interpersonal communication willingness. Chinese J. of Popul. Resour. and Environ. 14(4), 309-318.</w:t>
      </w:r>
    </w:p>
    <w:p w14:paraId="2B7CECD7"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proofErr w:type="spellStart"/>
      <w:r w:rsidRPr="008F3998">
        <w:rPr>
          <w:rFonts w:ascii="Times New Roman" w:hAnsi="Times New Roman" w:cs="Times New Roman"/>
          <w:sz w:val="24"/>
          <w:szCs w:val="24"/>
          <w:shd w:val="clear" w:color="auto" w:fill="FFFFFF"/>
        </w:rPr>
        <w:t>Manganelli</w:t>
      </w:r>
      <w:proofErr w:type="spellEnd"/>
      <w:r w:rsidRPr="008F3998">
        <w:rPr>
          <w:rFonts w:ascii="Times New Roman" w:hAnsi="Times New Roman" w:cs="Times New Roman"/>
          <w:sz w:val="24"/>
          <w:szCs w:val="24"/>
          <w:shd w:val="clear" w:color="auto" w:fill="FFFFFF"/>
        </w:rPr>
        <w:t xml:space="preserve">, S. and </w:t>
      </w:r>
      <w:proofErr w:type="spellStart"/>
      <w:r w:rsidRPr="008F3998">
        <w:rPr>
          <w:rFonts w:ascii="Times New Roman" w:hAnsi="Times New Roman" w:cs="Times New Roman"/>
          <w:sz w:val="24"/>
          <w:szCs w:val="24"/>
          <w:shd w:val="clear" w:color="auto" w:fill="FFFFFF"/>
        </w:rPr>
        <w:t>Wolswijk</w:t>
      </w:r>
      <w:proofErr w:type="spellEnd"/>
      <w:r w:rsidRPr="008F3998">
        <w:rPr>
          <w:rFonts w:ascii="Times New Roman" w:hAnsi="Times New Roman" w:cs="Times New Roman"/>
          <w:sz w:val="24"/>
          <w:szCs w:val="24"/>
          <w:shd w:val="clear" w:color="auto" w:fill="FFFFFF"/>
        </w:rPr>
        <w:t>, G., 2007. Market discipline, financial integration and fiscal rules: What drives spreads in the euro area government bond market? European Central Bank Working Paper No. 745.</w:t>
      </w:r>
    </w:p>
    <w:p w14:paraId="7296BB82" w14:textId="77777777" w:rsidR="00C004F7" w:rsidRPr="008F3998" w:rsidRDefault="00C004F7" w:rsidP="00C004F7">
      <w:pPr>
        <w:pStyle w:val="EndNoteBibliography"/>
        <w:ind w:left="720" w:hanging="720"/>
        <w:jc w:val="both"/>
      </w:pPr>
      <w:r w:rsidRPr="008F3998">
        <w:t>Mardani, A., Streimikiene, D., Cavallaro, F., Loganathan, N., Khoshnoudi, M., 2019. Carbon dioxide (CO2) emissions and economic growth: A systematic review of two decades of research from 1995 to 2017. Sci. of the Total Environ. 649, 31-49.</w:t>
      </w:r>
    </w:p>
    <w:p w14:paraId="1BA46E67" w14:textId="77777777" w:rsidR="00C004F7" w:rsidRPr="008F3998" w:rsidRDefault="00C004F7" w:rsidP="00C004F7">
      <w:pPr>
        <w:pStyle w:val="EndNoteBibliography"/>
        <w:ind w:left="720" w:hanging="720"/>
        <w:jc w:val="both"/>
      </w:pPr>
      <w:r w:rsidRPr="008F3998">
        <w:t>Menyah, K., Wolde-Rufael, Y., 2010. CO2 emissions, nuclear energy, renewable energy and economic growth in the US. Energy Policy. 38(6), 2911-2915.</w:t>
      </w:r>
    </w:p>
    <w:p w14:paraId="0E2C28C8" w14:textId="77777777" w:rsidR="00C004F7" w:rsidRPr="008F3998" w:rsidRDefault="00C004F7" w:rsidP="00C004F7">
      <w:pPr>
        <w:pStyle w:val="EndNoteBibliography"/>
        <w:ind w:left="720" w:hanging="720"/>
        <w:jc w:val="both"/>
      </w:pPr>
      <w:r w:rsidRPr="008F3998">
        <w:t>Miller, K.D., 1992. A framework for integrated risk management in international business. J. of Int. Bus. Studies. 23(2), 311-331.</w:t>
      </w:r>
    </w:p>
    <w:p w14:paraId="4F253F72" w14:textId="77777777" w:rsidR="00C004F7" w:rsidRPr="008F3998" w:rsidRDefault="00C004F7" w:rsidP="00C004F7">
      <w:pPr>
        <w:pStyle w:val="EndNoteBibliography"/>
        <w:ind w:left="720" w:hanging="720"/>
        <w:jc w:val="both"/>
      </w:pPr>
      <w:r w:rsidRPr="008F3998">
        <w:t>Nasir, M.A., Huynh, T.L.D., Tram, H.T.X., 2019. Role of financial development, economic growth &amp; foreign direct investment in driving climate change: A case of emerging ASEAN. J. of Environ. Manag. 242, 131-141.</w:t>
      </w:r>
    </w:p>
    <w:p w14:paraId="62FFDA7E" w14:textId="77777777" w:rsidR="00C004F7" w:rsidRPr="008F3998" w:rsidRDefault="00C004F7" w:rsidP="00C004F7">
      <w:pPr>
        <w:pStyle w:val="EndNoteBibliography"/>
        <w:ind w:left="720" w:hanging="720"/>
        <w:jc w:val="both"/>
      </w:pPr>
      <w:r w:rsidRPr="008F3998">
        <w:t>Nordhaus, W.D., 2010. Economic aspects of global warming in a post-Copenhagen environment. Proceedings of the National Academy of Sciences. 107(26), 11721-11726.</w:t>
      </w:r>
    </w:p>
    <w:p w14:paraId="0C6E0B10" w14:textId="77777777" w:rsidR="00C004F7" w:rsidRPr="008F3998" w:rsidRDefault="00C004F7" w:rsidP="00C004F7">
      <w:pPr>
        <w:pStyle w:val="EndNoteBibliography"/>
        <w:ind w:left="720" w:hanging="720"/>
        <w:jc w:val="both"/>
      </w:pPr>
      <w:r w:rsidRPr="008F3998">
        <w:t>Omri, A., Nguyen, D.K., Rault, C., 2014. Causal interactions between CO2 emissions, FDI, and economic growth: Evidence from dynamic simultaneous-equation models. Econ. Model. 42, 382-389.</w:t>
      </w:r>
    </w:p>
    <w:p w14:paraId="63CC952C" w14:textId="77777777" w:rsidR="00C004F7" w:rsidRPr="008F3998" w:rsidRDefault="00C004F7" w:rsidP="00C004F7">
      <w:pPr>
        <w:pStyle w:val="EndNoteBibliography"/>
        <w:ind w:left="720" w:hanging="720"/>
        <w:jc w:val="both"/>
      </w:pPr>
      <w:r w:rsidRPr="008F3998">
        <w:t>Rhodes, C.J., 2017. US withdrawal from the COP21 Paris Climate Change Agreement, and its possible implications. Sci. Prog. 100(4), 411-419.</w:t>
      </w:r>
    </w:p>
    <w:p w14:paraId="3A83A781" w14:textId="77777777" w:rsidR="00C004F7" w:rsidRPr="008F3998" w:rsidRDefault="00C004F7" w:rsidP="00C004F7">
      <w:pPr>
        <w:pStyle w:val="EndNoteBibliography"/>
        <w:ind w:left="720" w:hanging="720"/>
        <w:jc w:val="both"/>
      </w:pPr>
      <w:r w:rsidRPr="008F3998">
        <w:t>Riti, J.S., Song, D., Shu, Y., Kamah, M., 2017. Decoupling CO2 emission and economic growth in China: Is there consistency in estimation results in analyzing environmental Kuznets curve? J. of Clean. Prod. 166, 1448-1461.</w:t>
      </w:r>
    </w:p>
    <w:p w14:paraId="67BDD6A1" w14:textId="77777777" w:rsidR="00C004F7" w:rsidRPr="008F3998" w:rsidRDefault="00C004F7" w:rsidP="00C004F7">
      <w:pPr>
        <w:pStyle w:val="EndNoteBibliography"/>
        <w:ind w:left="720" w:hanging="720"/>
        <w:jc w:val="both"/>
      </w:pPr>
      <w:r w:rsidRPr="008F3998">
        <w:t>Roberts, M.R., Whited, T.M., 2013. Endogeneity in empirical corporate finance1, Handb. of the Econ. of Finance 493-572.</w:t>
      </w:r>
    </w:p>
    <w:p w14:paraId="78DFC55D"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r w:rsidRPr="008F3998">
        <w:rPr>
          <w:rFonts w:ascii="Times New Roman" w:hAnsi="Times New Roman" w:cs="Times New Roman"/>
          <w:sz w:val="24"/>
          <w:szCs w:val="24"/>
          <w:shd w:val="clear" w:color="auto" w:fill="FFFFFF"/>
        </w:rPr>
        <w:t xml:space="preserve">S&amp;P, 2012. Will Securitization Help Fuel the U.S. Solar Power </w:t>
      </w:r>
      <w:proofErr w:type="gramStart"/>
      <w:r w:rsidRPr="008F3998">
        <w:rPr>
          <w:rFonts w:ascii="Times New Roman" w:hAnsi="Times New Roman" w:cs="Times New Roman"/>
          <w:sz w:val="24"/>
          <w:szCs w:val="24"/>
          <w:shd w:val="clear" w:color="auto" w:fill="FFFFFF"/>
        </w:rPr>
        <w:t>Industry.</w:t>
      </w:r>
      <w:proofErr w:type="gramEnd"/>
      <w:r w:rsidRPr="008F3998">
        <w:rPr>
          <w:rFonts w:ascii="Times New Roman" w:hAnsi="Times New Roman" w:cs="Times New Roman"/>
          <w:sz w:val="24"/>
          <w:szCs w:val="24"/>
          <w:shd w:val="clear" w:color="auto" w:fill="FFFFFF"/>
        </w:rPr>
        <w:t xml:space="preserve"> Standard &amp; Poor’s Financial Services LLC. Available from: </w:t>
      </w:r>
      <w:hyperlink r:id="rId12" w:tgtFrame="_blank" w:history="1">
        <w:r w:rsidRPr="008F3998">
          <w:rPr>
            <w:rFonts w:ascii="MS Gothic" w:eastAsia="MS Gothic" w:hAnsi="MS Gothic" w:cs="MS Gothic" w:hint="eastAsia"/>
            <w:sz w:val="24"/>
            <w:szCs w:val="24"/>
            <w:shd w:val="clear" w:color="auto" w:fill="FFFFFF"/>
          </w:rPr>
          <w:t>〈</w:t>
        </w:r>
        <w:r w:rsidRPr="008F3998">
          <w:rPr>
            <w:rFonts w:ascii="Times New Roman" w:hAnsi="Times New Roman" w:cs="Times New Roman"/>
            <w:sz w:val="24"/>
            <w:szCs w:val="24"/>
            <w:shd w:val="clear" w:color="auto" w:fill="FFFFFF"/>
          </w:rPr>
          <w:t>http://www.cleanenergyfinancecenter.org/wp-content/uploads/WillSecuritizationHelpFuelTheUSSolarPowerIndustry_Jan2012_tsr-copy.pdf</w:t>
        </w:r>
        <w:r w:rsidRPr="008F3998">
          <w:rPr>
            <w:rFonts w:ascii="MS Gothic" w:eastAsia="MS Gothic" w:hAnsi="MS Gothic" w:cs="MS Gothic" w:hint="eastAsia"/>
            <w:sz w:val="24"/>
            <w:szCs w:val="24"/>
            <w:shd w:val="clear" w:color="auto" w:fill="FFFFFF"/>
          </w:rPr>
          <w:t>〉</w:t>
        </w:r>
      </w:hyperlink>
    </w:p>
    <w:p w14:paraId="3BA369AF" w14:textId="77777777" w:rsidR="00C004F7" w:rsidRPr="008F3998" w:rsidRDefault="00C004F7" w:rsidP="00C004F7">
      <w:pPr>
        <w:pStyle w:val="EndNoteBibliography"/>
        <w:ind w:left="720" w:hanging="720"/>
        <w:jc w:val="both"/>
      </w:pPr>
      <w:r w:rsidRPr="008F3998">
        <w:t>Sánchez-Monedero, J., Campoy-Muñoz, P., Gutiérrez, P.A., Hervás-Martínez, C., 2014. A guided data projection technique for classification of sovereign ratings: the case of European Union 27. Appl. Soft Comput. 22, 339-350.</w:t>
      </w:r>
    </w:p>
    <w:p w14:paraId="071A43CE" w14:textId="77777777" w:rsidR="00C004F7" w:rsidRPr="008F3998" w:rsidRDefault="00C004F7" w:rsidP="00C004F7">
      <w:pPr>
        <w:pStyle w:val="EndNoteBibliography"/>
        <w:ind w:left="720" w:hanging="720"/>
        <w:jc w:val="both"/>
      </w:pPr>
      <w:r w:rsidRPr="008F3998">
        <w:t>Sanglimsuwan, K., 2011. Carbon dioxide emissions and economic growth: an econometric analysis. Int. Res. J. of Finance and Econ. 67(1), 97-102.</w:t>
      </w:r>
    </w:p>
    <w:p w14:paraId="67F5F97B" w14:textId="77777777" w:rsidR="00C004F7" w:rsidRPr="008F3998" w:rsidRDefault="00C004F7" w:rsidP="00C004F7">
      <w:pPr>
        <w:spacing w:after="0" w:line="240" w:lineRule="auto"/>
        <w:ind w:left="720" w:hanging="720"/>
        <w:contextualSpacing/>
        <w:jc w:val="both"/>
        <w:rPr>
          <w:rFonts w:ascii="Times New Roman" w:hAnsi="Times New Roman" w:cs="Times New Roman"/>
          <w:sz w:val="24"/>
          <w:szCs w:val="24"/>
          <w:shd w:val="clear" w:color="auto" w:fill="FFFFFF"/>
        </w:rPr>
      </w:pPr>
      <w:proofErr w:type="spellStart"/>
      <w:r w:rsidRPr="008F3998">
        <w:rPr>
          <w:rFonts w:ascii="Times New Roman" w:hAnsi="Times New Roman" w:cs="Times New Roman"/>
          <w:sz w:val="24"/>
          <w:szCs w:val="24"/>
          <w:shd w:val="clear" w:color="auto" w:fill="FFFFFF"/>
        </w:rPr>
        <w:t>Schuknecht</w:t>
      </w:r>
      <w:proofErr w:type="spellEnd"/>
      <w:r w:rsidRPr="008F3998">
        <w:rPr>
          <w:rFonts w:ascii="Times New Roman" w:hAnsi="Times New Roman" w:cs="Times New Roman"/>
          <w:sz w:val="24"/>
          <w:szCs w:val="24"/>
          <w:shd w:val="clear" w:color="auto" w:fill="FFFFFF"/>
        </w:rPr>
        <w:t xml:space="preserve">, L., Hagen, J.V. and </w:t>
      </w:r>
      <w:proofErr w:type="spellStart"/>
      <w:r w:rsidRPr="008F3998">
        <w:rPr>
          <w:rFonts w:ascii="Times New Roman" w:hAnsi="Times New Roman" w:cs="Times New Roman"/>
          <w:sz w:val="24"/>
          <w:szCs w:val="24"/>
          <w:shd w:val="clear" w:color="auto" w:fill="FFFFFF"/>
        </w:rPr>
        <w:t>Wolswijk</w:t>
      </w:r>
      <w:proofErr w:type="spellEnd"/>
      <w:r w:rsidRPr="008F3998">
        <w:rPr>
          <w:rFonts w:ascii="Times New Roman" w:hAnsi="Times New Roman" w:cs="Times New Roman"/>
          <w:sz w:val="24"/>
          <w:szCs w:val="24"/>
          <w:shd w:val="clear" w:color="auto" w:fill="FFFFFF"/>
        </w:rPr>
        <w:t>, G., 2010. Government bond risk premiums in the EU revisited: The Impact of the financial crisis. European Central Bank Working Paper No. 1151.</w:t>
      </w:r>
    </w:p>
    <w:p w14:paraId="6270C47D" w14:textId="77777777" w:rsidR="00C004F7" w:rsidRPr="008F3998" w:rsidRDefault="00C004F7" w:rsidP="00C004F7">
      <w:pPr>
        <w:pStyle w:val="EndNoteBibliography"/>
        <w:ind w:left="720" w:hanging="720"/>
        <w:jc w:val="both"/>
      </w:pPr>
      <w:r w:rsidRPr="008F3998">
        <w:t>Shahbaz, M., Hye, Q.M.A., Tiwari, A.K., Leitão, N.C., 2013a. Economic growth, energy consumption, financial development, international trade and CO2 emissions in Indonesia. Renew. and Sustain. Energy Rev. 25, 109-121.</w:t>
      </w:r>
    </w:p>
    <w:p w14:paraId="1B2EE354" w14:textId="77777777" w:rsidR="00C004F7" w:rsidRPr="008F3998" w:rsidRDefault="00C004F7" w:rsidP="00C004F7">
      <w:pPr>
        <w:pStyle w:val="EndNoteBibliography"/>
        <w:ind w:left="720" w:hanging="720"/>
        <w:jc w:val="both"/>
      </w:pPr>
      <w:r w:rsidRPr="008F3998">
        <w:t>Shahbaz, M., Solarin, S.A., Mahmood, H., Arouri, M., 2013b. Does financial development reduce CO2 emissions in Malaysian economy? A time series analysis. Econ. Model. 35, 145-152.</w:t>
      </w:r>
    </w:p>
    <w:p w14:paraId="70D3C0EA" w14:textId="77777777" w:rsidR="00C004F7" w:rsidRPr="008F3998" w:rsidRDefault="00C004F7" w:rsidP="00C004F7">
      <w:pPr>
        <w:pStyle w:val="EndNoteBibliography"/>
        <w:ind w:left="720" w:hanging="720"/>
        <w:jc w:val="both"/>
      </w:pPr>
      <w:r w:rsidRPr="008F3998">
        <w:t>Shahbaz, M., Tang, C.F., Shabbir, M.S., 2011. Electricity consumption and economic growth nexus in Portugal using cointegration and causality approaches. Energy Policy. 39(6), 3529-3536.</w:t>
      </w:r>
    </w:p>
    <w:p w14:paraId="46CE307D" w14:textId="0F5370BE" w:rsidR="00C004F7" w:rsidRPr="008F3998" w:rsidRDefault="00C004F7" w:rsidP="00C004F7">
      <w:pPr>
        <w:pStyle w:val="EndNoteBibliography"/>
        <w:ind w:left="720" w:hanging="720"/>
        <w:jc w:val="both"/>
      </w:pPr>
      <w:r w:rsidRPr="008F3998">
        <w:t>Song, J., Chen, C., Zhu, S., Zhu, M., Dai, J., Ray, U., Li, Y., Kuang, Y., Li, Y., Quispe, N., 2018. Processing bulk natural wood into a high-performance structural material. Nat. 554(7691), 224-228.</w:t>
      </w:r>
    </w:p>
    <w:p w14:paraId="4640A296" w14:textId="77777777" w:rsidR="00C004F7" w:rsidRPr="008F3998" w:rsidRDefault="00C004F7" w:rsidP="00C004F7">
      <w:pPr>
        <w:pStyle w:val="EndNoteBibliography"/>
        <w:ind w:left="720" w:hanging="720"/>
        <w:jc w:val="both"/>
      </w:pPr>
      <w:r w:rsidRPr="008F3998">
        <w:t>Soytas, U., Sari, R., 2006. Energy consumption and income in G-7 countries. J. of Policy Model. 28(7), 739-750.</w:t>
      </w:r>
    </w:p>
    <w:p w14:paraId="74D43822" w14:textId="77777777" w:rsidR="00C004F7" w:rsidRPr="008F3998" w:rsidRDefault="00C004F7" w:rsidP="00C004F7">
      <w:pPr>
        <w:pStyle w:val="EndNoteBibliography"/>
        <w:ind w:left="720" w:hanging="720"/>
        <w:jc w:val="both"/>
      </w:pPr>
      <w:r w:rsidRPr="008F3998">
        <w:t>Straetmans, S.T., Verschoor, W.F., Wolff, C.C., 2008. Extreme US stock market fluctuations in the wake of 9/11. J. of Appl. Econom. 23(1), 17-42.</w:t>
      </w:r>
    </w:p>
    <w:p w14:paraId="368FBBC9" w14:textId="20768AD6" w:rsidR="00C004F7" w:rsidRPr="008F3998" w:rsidRDefault="00C004F7" w:rsidP="00C004F7">
      <w:pPr>
        <w:pStyle w:val="EndNoteBibliography"/>
        <w:ind w:left="720" w:hanging="720"/>
        <w:jc w:val="both"/>
      </w:pPr>
      <w:r w:rsidRPr="008F3998">
        <w:t xml:space="preserve">Straetmans, S.T., Chaudhry, S.M., 2015. Tail risk and systemic risk of </w:t>
      </w:r>
      <w:r w:rsidR="00CD422B" w:rsidRPr="008F3998">
        <w:t xml:space="preserve">US and Eurozone </w:t>
      </w:r>
      <w:r w:rsidRPr="008F3998">
        <w:t>financial institutions in the wake of the global financial crisis. J. of Int. Money and Finance. 58, 191-223.</w:t>
      </w:r>
    </w:p>
    <w:p w14:paraId="4E5F9ECD" w14:textId="77777777" w:rsidR="00C004F7" w:rsidRPr="008F3998" w:rsidRDefault="00C004F7" w:rsidP="00C004F7">
      <w:pPr>
        <w:pStyle w:val="EndNoteBibliography"/>
        <w:ind w:left="720" w:hanging="720"/>
        <w:jc w:val="both"/>
      </w:pPr>
      <w:r w:rsidRPr="008F3998">
        <w:t>Sun, X., Li, J., Wang, Y., Clark, W.W., 2014. China's Sovereign Wealth Fund Investments in overseas energy: The energy security perspective. Energy Policy. 65, 654-661.</w:t>
      </w:r>
    </w:p>
    <w:p w14:paraId="455BF863" w14:textId="77777777" w:rsidR="00C004F7" w:rsidRPr="008F3998" w:rsidRDefault="00C004F7" w:rsidP="00C004F7">
      <w:pPr>
        <w:pStyle w:val="EndNoteBibliography"/>
        <w:ind w:left="720" w:hanging="720"/>
        <w:jc w:val="both"/>
      </w:pPr>
      <w:r w:rsidRPr="008F3998">
        <w:t>Tan, Z., Ngan, H., Wu, Y., Zhang, H., Song, Y., Yu, C., 2013. Potential and policy issues for sustainable development of wind power in China. J. of Mod. Power Syst. and Clean Energy 1(13), 204-215.</w:t>
      </w:r>
    </w:p>
    <w:p w14:paraId="7454C69A" w14:textId="77777777" w:rsidR="00C004F7" w:rsidRPr="008F3998" w:rsidRDefault="00C004F7" w:rsidP="00C004F7">
      <w:pPr>
        <w:pStyle w:val="EndNoteBibliography"/>
        <w:ind w:left="720" w:hanging="720"/>
        <w:jc w:val="both"/>
      </w:pPr>
      <w:r w:rsidRPr="008F3998">
        <w:t>Ullah, S., Akhtar, P., Zaefarian, G., 2018. Dealing with endogeneity bias: The generalized method of moments (GMM) for panel data. Ind. Mark. Manag. 71, 69-78.</w:t>
      </w:r>
    </w:p>
    <w:p w14:paraId="7353FD93" w14:textId="77777777" w:rsidR="00C004F7" w:rsidRPr="008F3998" w:rsidRDefault="00C004F7" w:rsidP="00C004F7">
      <w:pPr>
        <w:pStyle w:val="EndNoteBibliography"/>
        <w:ind w:left="720" w:hanging="720"/>
        <w:jc w:val="both"/>
      </w:pPr>
      <w:r w:rsidRPr="008F3998">
        <w:t>Ullah, S., Wang, Z., Stokes, P., Xiao, W., 2019. Risk perceptions and risk management approaches of Chinese overseas investors: An empirical investigation. Res. in Int. Bus. and Finance 47, 470-486.</w:t>
      </w:r>
    </w:p>
    <w:p w14:paraId="7833E583" w14:textId="77777777" w:rsidR="00C004F7" w:rsidRPr="008F3998" w:rsidRDefault="00C004F7" w:rsidP="00C004F7">
      <w:pPr>
        <w:spacing w:after="0" w:line="240" w:lineRule="auto"/>
        <w:ind w:left="720" w:hanging="720"/>
        <w:contextualSpacing/>
        <w:jc w:val="both"/>
        <w:rPr>
          <w:rFonts w:ascii="Arial" w:hAnsi="Arial" w:cs="Arial"/>
          <w:sz w:val="24"/>
          <w:szCs w:val="24"/>
        </w:rPr>
      </w:pPr>
      <w:r w:rsidRPr="008F3998">
        <w:rPr>
          <w:rFonts w:ascii="Times New Roman" w:hAnsi="Times New Roman" w:cs="Times New Roman"/>
          <w:sz w:val="24"/>
          <w:szCs w:val="24"/>
          <w:shd w:val="clear" w:color="auto" w:fill="FFFFFF"/>
        </w:rPr>
        <w:t xml:space="preserve">UNPRI and UNEP-FI. 2011. Universal Ownership: Why Environmental Externalities Matter to Institutional Investors. Report Commissioned to </w:t>
      </w:r>
      <w:proofErr w:type="spellStart"/>
      <w:r w:rsidRPr="008F3998">
        <w:rPr>
          <w:rFonts w:ascii="Times New Roman" w:hAnsi="Times New Roman" w:cs="Times New Roman"/>
          <w:sz w:val="24"/>
          <w:szCs w:val="24"/>
          <w:shd w:val="clear" w:color="auto" w:fill="FFFFFF"/>
        </w:rPr>
        <w:t>Trucost</w:t>
      </w:r>
      <w:proofErr w:type="spellEnd"/>
      <w:r w:rsidRPr="008F3998">
        <w:rPr>
          <w:rFonts w:ascii="Arial" w:hAnsi="Arial" w:cs="Arial"/>
          <w:sz w:val="24"/>
          <w:szCs w:val="24"/>
        </w:rPr>
        <w:t>.</w:t>
      </w:r>
    </w:p>
    <w:p w14:paraId="79F8CF31" w14:textId="77777777" w:rsidR="00C004F7" w:rsidRPr="008F3998" w:rsidRDefault="00C004F7" w:rsidP="00C004F7">
      <w:pPr>
        <w:pStyle w:val="EndNoteBibliography"/>
        <w:ind w:left="720" w:hanging="720"/>
        <w:jc w:val="both"/>
      </w:pPr>
      <w:r w:rsidRPr="008F3998">
        <w:t>Wang, Z., He, W., Chen, K., 2016. The integrated efficiency of economic development and CO2 emissions among Asia Pacific Economic Cooperation members. J. of Clean. Prod. 131, 765-772.</w:t>
      </w:r>
    </w:p>
    <w:p w14:paraId="59318DB3" w14:textId="77777777" w:rsidR="00C004F7" w:rsidRPr="008F3998" w:rsidRDefault="00C004F7" w:rsidP="00C004F7">
      <w:pPr>
        <w:pStyle w:val="EndNoteBibliography"/>
        <w:ind w:left="720" w:hanging="720"/>
        <w:jc w:val="both"/>
      </w:pPr>
      <w:r w:rsidRPr="008F3998">
        <w:t>Wu, J., Zhu, Q., Chu, J., Liu, H., Liang, L., 2016. Measuring energy and environmental efficiency of transportation systems in China based on a parallel DEA approach. Transp. Res. Part D: Transp. and Environ. 48, 460-472.</w:t>
      </w:r>
    </w:p>
    <w:p w14:paraId="5D15F274" w14:textId="77777777" w:rsidR="00C004F7" w:rsidRPr="008F3998" w:rsidRDefault="00C004F7" w:rsidP="00C004F7">
      <w:pPr>
        <w:pStyle w:val="EndNoteBibliography"/>
        <w:ind w:left="720" w:hanging="720"/>
        <w:jc w:val="both"/>
      </w:pPr>
      <w:r w:rsidRPr="008F3998">
        <w:t>Yang, L., Wang, J., Shi, J., 2017. Can China meet its 2020 economic growth and carbon emissions reduction targets? J. of Clean. Prod. 142, 993-1001.</w:t>
      </w:r>
    </w:p>
    <w:p w14:paraId="2E033198" w14:textId="77777777" w:rsidR="00C004F7" w:rsidRPr="008F3998" w:rsidRDefault="00C004F7" w:rsidP="00C004F7">
      <w:pPr>
        <w:pStyle w:val="EndNoteBibliography"/>
        <w:ind w:left="720" w:hanging="720"/>
        <w:jc w:val="both"/>
      </w:pPr>
      <w:r w:rsidRPr="008F3998">
        <w:t>Zhang, Y.-J., Da, Y.-B., 2015. The decomposition of energy-related carbon emission and its decoupling with economic growth in China. Renew. and Sustain. Energy Rev. 41, 1255-1266.</w:t>
      </w:r>
    </w:p>
    <w:p w14:paraId="4B926BCF" w14:textId="77777777" w:rsidR="00C004F7" w:rsidRPr="008F3998" w:rsidRDefault="00C004F7" w:rsidP="00C004F7">
      <w:pPr>
        <w:pStyle w:val="EndNoteBibliography"/>
        <w:ind w:left="720" w:hanging="720"/>
        <w:jc w:val="both"/>
      </w:pPr>
      <w:r w:rsidRPr="008F3998">
        <w:t>Zhu, H., Duan, L., Guo, Y., Yu, K., 2016. The effects of FDI, economic growth and energy consumption on carbon emissions in ASEAN-5: evidence from panel quantile regression. Econ. Model. 58, 237-248.</w:t>
      </w:r>
    </w:p>
    <w:p w14:paraId="27EACA70" w14:textId="77777777" w:rsidR="00712CCF" w:rsidRPr="008F3998" w:rsidRDefault="00712CCF" w:rsidP="008A31A7">
      <w:pPr>
        <w:jc w:val="both"/>
        <w:rPr>
          <w:rFonts w:ascii="Times New Roman" w:hAnsi="Times New Roman" w:cs="Times New Roman"/>
          <w:b/>
          <w:sz w:val="24"/>
          <w:szCs w:val="24"/>
        </w:rPr>
      </w:pPr>
      <w:r w:rsidRPr="008F3998">
        <w:rPr>
          <w:rFonts w:ascii="Times New Roman" w:hAnsi="Times New Roman" w:cs="Times New Roman"/>
          <w:b/>
          <w:sz w:val="24"/>
          <w:szCs w:val="24"/>
        </w:rPr>
        <w:br w:type="page"/>
      </w:r>
    </w:p>
    <w:p w14:paraId="14678A95" w14:textId="2BC2779A" w:rsidR="00B70738" w:rsidRPr="008F3998" w:rsidRDefault="00B70738" w:rsidP="00472CAC">
      <w:pPr>
        <w:rPr>
          <w:rFonts w:ascii="Times New Roman" w:hAnsi="Times New Roman" w:cs="Times New Roman"/>
          <w:b/>
          <w:sz w:val="24"/>
          <w:szCs w:val="24"/>
        </w:rPr>
      </w:pPr>
      <w:r w:rsidRPr="008F3998">
        <w:rPr>
          <w:rFonts w:ascii="Times New Roman" w:hAnsi="Times New Roman" w:cs="Times New Roman"/>
          <w:b/>
          <w:sz w:val="24"/>
          <w:szCs w:val="24"/>
        </w:rPr>
        <w:t>Appendix</w:t>
      </w:r>
      <w:r w:rsidR="009A67D8" w:rsidRPr="008F3998">
        <w:rPr>
          <w:rFonts w:ascii="Times New Roman" w:hAnsi="Times New Roman" w:cs="Times New Roman"/>
          <w:b/>
          <w:sz w:val="24"/>
          <w:szCs w:val="24"/>
        </w:rPr>
        <w:t xml:space="preserve"> A. Supplementary data</w:t>
      </w:r>
    </w:p>
    <w:p w14:paraId="6A264F66" w14:textId="77777777" w:rsidR="00E5643A" w:rsidRPr="008F3998" w:rsidRDefault="00E5643A" w:rsidP="00E5643A">
      <w:pPr>
        <w:jc w:val="both"/>
        <w:rPr>
          <w:rFonts w:ascii="Times New Roman" w:hAnsi="Times New Roman" w:cs="Times New Roman"/>
          <w:sz w:val="24"/>
          <w:szCs w:val="24"/>
        </w:rPr>
      </w:pPr>
    </w:p>
    <w:p w14:paraId="4913E33C" w14:textId="1D95DBFE" w:rsidR="00E76BCB" w:rsidRPr="008F3998" w:rsidRDefault="00E76BCB" w:rsidP="00712CCF">
      <w:pPr>
        <w:spacing w:after="0" w:line="240" w:lineRule="auto"/>
        <w:rPr>
          <w:rFonts w:ascii="Times New Roman" w:hAnsi="Times New Roman" w:cs="Times New Roman"/>
          <w:b/>
          <w:bCs/>
        </w:rPr>
      </w:pPr>
      <w:r w:rsidRPr="008F3998">
        <w:rPr>
          <w:rFonts w:ascii="Times New Roman" w:hAnsi="Times New Roman" w:cs="Times New Roman"/>
          <w:b/>
          <w:bCs/>
        </w:rPr>
        <w:t xml:space="preserve">Table A1: Variable </w:t>
      </w:r>
      <w:r w:rsidR="00E5643A" w:rsidRPr="008F3998">
        <w:rPr>
          <w:rFonts w:ascii="Times New Roman" w:hAnsi="Times New Roman" w:cs="Times New Roman"/>
          <w:b/>
          <w:bCs/>
        </w:rPr>
        <w:t>d</w:t>
      </w:r>
      <w:r w:rsidRPr="008F3998">
        <w:rPr>
          <w:rFonts w:ascii="Times New Roman" w:hAnsi="Times New Roman" w:cs="Times New Roman"/>
          <w:b/>
          <w:bCs/>
        </w:rPr>
        <w:t xml:space="preserve">efinition and </w:t>
      </w:r>
      <w:r w:rsidR="00E5643A" w:rsidRPr="008F3998">
        <w:rPr>
          <w:rFonts w:ascii="Times New Roman" w:hAnsi="Times New Roman" w:cs="Times New Roman"/>
          <w:b/>
          <w:bCs/>
        </w:rPr>
        <w:t>s</w:t>
      </w:r>
      <w:r w:rsidRPr="008F3998">
        <w:rPr>
          <w:rFonts w:ascii="Times New Roman" w:hAnsi="Times New Roman" w:cs="Times New Roman"/>
          <w:b/>
          <w:bCs/>
        </w:rPr>
        <w:t>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F3998" w:rsidRPr="008F3998" w14:paraId="48FF6B67" w14:textId="77777777" w:rsidTr="00E76BCB">
        <w:tc>
          <w:tcPr>
            <w:tcW w:w="3116" w:type="dxa"/>
            <w:tcBorders>
              <w:top w:val="single" w:sz="4" w:space="0" w:color="auto"/>
              <w:bottom w:val="single" w:sz="4" w:space="0" w:color="auto"/>
            </w:tcBorders>
          </w:tcPr>
          <w:p w14:paraId="1B0159F4"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Variable</w:t>
            </w:r>
          </w:p>
        </w:tc>
        <w:tc>
          <w:tcPr>
            <w:tcW w:w="3117" w:type="dxa"/>
            <w:tcBorders>
              <w:top w:val="single" w:sz="4" w:space="0" w:color="auto"/>
              <w:bottom w:val="single" w:sz="4" w:space="0" w:color="auto"/>
            </w:tcBorders>
          </w:tcPr>
          <w:p w14:paraId="1DE4A15C"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Definition</w:t>
            </w:r>
          </w:p>
        </w:tc>
        <w:tc>
          <w:tcPr>
            <w:tcW w:w="3117" w:type="dxa"/>
            <w:tcBorders>
              <w:top w:val="single" w:sz="4" w:space="0" w:color="auto"/>
              <w:bottom w:val="single" w:sz="4" w:space="0" w:color="auto"/>
            </w:tcBorders>
          </w:tcPr>
          <w:p w14:paraId="670F1758" w14:textId="77F4B80B" w:rsidR="00E76BCB" w:rsidRPr="008F3998" w:rsidRDefault="005B4D19" w:rsidP="00E76BCB">
            <w:pPr>
              <w:rPr>
                <w:rFonts w:ascii="Times New Roman" w:hAnsi="Times New Roman" w:cs="Times New Roman"/>
                <w:sz w:val="20"/>
                <w:szCs w:val="20"/>
              </w:rPr>
            </w:pPr>
            <w:r w:rsidRPr="008F3998">
              <w:rPr>
                <w:rFonts w:ascii="Times New Roman" w:hAnsi="Times New Roman" w:cs="Times New Roman"/>
                <w:sz w:val="20"/>
                <w:szCs w:val="20"/>
              </w:rPr>
              <w:t>Data s</w:t>
            </w:r>
            <w:r w:rsidR="00E76BCB" w:rsidRPr="008F3998">
              <w:rPr>
                <w:rFonts w:ascii="Times New Roman" w:hAnsi="Times New Roman" w:cs="Times New Roman"/>
                <w:sz w:val="20"/>
                <w:szCs w:val="20"/>
              </w:rPr>
              <w:t>ource</w:t>
            </w:r>
          </w:p>
        </w:tc>
      </w:tr>
      <w:tr w:rsidR="008F3998" w:rsidRPr="008F3998" w14:paraId="2B0EED2B" w14:textId="77777777" w:rsidTr="00E76BCB">
        <w:tc>
          <w:tcPr>
            <w:tcW w:w="3116" w:type="dxa"/>
            <w:tcBorders>
              <w:top w:val="single" w:sz="4" w:space="0" w:color="auto"/>
            </w:tcBorders>
          </w:tcPr>
          <w:p w14:paraId="09C81F7E" w14:textId="2FC32076"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3117" w:type="dxa"/>
            <w:tcBorders>
              <w:top w:val="single" w:sz="4" w:space="0" w:color="auto"/>
            </w:tcBorders>
          </w:tcPr>
          <w:p w14:paraId="5D6CECC7" w14:textId="0AD2B994" w:rsidR="00E76BCB" w:rsidRPr="008F3998" w:rsidRDefault="005B4D19" w:rsidP="00E76BCB">
            <w:pPr>
              <w:rPr>
                <w:rFonts w:ascii="Times New Roman" w:hAnsi="Times New Roman" w:cs="Times New Roman"/>
                <w:sz w:val="20"/>
                <w:szCs w:val="20"/>
              </w:rPr>
            </w:pPr>
            <w:r w:rsidRPr="008F3998">
              <w:rPr>
                <w:rFonts w:ascii="Times New Roman" w:hAnsi="Times New Roman" w:cs="Times New Roman"/>
                <w:sz w:val="20"/>
                <w:szCs w:val="20"/>
              </w:rPr>
              <w:t>E</w:t>
            </w:r>
            <w:r w:rsidR="00E5643A" w:rsidRPr="008F3998">
              <w:rPr>
                <w:rFonts w:ascii="Times New Roman" w:hAnsi="Times New Roman" w:cs="Times New Roman"/>
                <w:sz w:val="20"/>
                <w:szCs w:val="20"/>
              </w:rPr>
              <w:t>stimat</w:t>
            </w:r>
            <w:r w:rsidRPr="008F3998">
              <w:rPr>
                <w:rFonts w:ascii="Times New Roman" w:hAnsi="Times New Roman" w:cs="Times New Roman"/>
                <w:sz w:val="20"/>
                <w:szCs w:val="20"/>
              </w:rPr>
              <w:t>ed</w:t>
            </w:r>
            <w:r w:rsidR="00E5643A" w:rsidRPr="008F3998">
              <w:rPr>
                <w:rFonts w:ascii="Times New Roman" w:hAnsi="Times New Roman" w:cs="Times New Roman"/>
                <w:sz w:val="20"/>
                <w:szCs w:val="20"/>
              </w:rPr>
              <w:t xml:space="preserve"> using equation (1)</w:t>
            </w:r>
            <w:r w:rsidR="00FA31C8" w:rsidRPr="008F3998">
              <w:rPr>
                <w:rFonts w:ascii="Times New Roman" w:hAnsi="Times New Roman" w:cs="Times New Roman"/>
                <w:sz w:val="20"/>
                <w:szCs w:val="20"/>
              </w:rPr>
              <w:t>;</w:t>
            </w:r>
            <w:r w:rsidR="00E5643A" w:rsidRPr="008F3998">
              <w:rPr>
                <w:rFonts w:ascii="Times New Roman" w:hAnsi="Times New Roman" w:cs="Times New Roman"/>
                <w:sz w:val="20"/>
                <w:szCs w:val="20"/>
              </w:rPr>
              <w:t xml:space="preserve"> </w:t>
            </w:r>
            <w:r w:rsidR="00FA31C8" w:rsidRPr="008F3998">
              <w:rPr>
                <w:rFonts w:ascii="Times New Roman" w:hAnsi="Times New Roman" w:cs="Times New Roman"/>
                <w:sz w:val="20"/>
                <w:szCs w:val="20"/>
              </w:rPr>
              <w:t>s</w:t>
            </w:r>
            <w:r w:rsidR="00E5643A" w:rsidRPr="008F3998">
              <w:rPr>
                <w:rFonts w:ascii="Times New Roman" w:hAnsi="Times New Roman" w:cs="Times New Roman"/>
                <w:sz w:val="20"/>
                <w:szCs w:val="20"/>
              </w:rPr>
              <w:t>ee Section 3.1 for details</w:t>
            </w:r>
          </w:p>
        </w:tc>
        <w:tc>
          <w:tcPr>
            <w:tcW w:w="3117" w:type="dxa"/>
            <w:tcBorders>
              <w:top w:val="single" w:sz="4" w:space="0" w:color="auto"/>
            </w:tcBorders>
          </w:tcPr>
          <w:p w14:paraId="36C47D7D"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Datastream</w:t>
            </w:r>
            <w:proofErr w:type="spellEnd"/>
          </w:p>
        </w:tc>
      </w:tr>
      <w:tr w:rsidR="008F3998" w:rsidRPr="008F3998" w14:paraId="50A0B0C3" w14:textId="77777777" w:rsidTr="00E76BCB">
        <w:tc>
          <w:tcPr>
            <w:tcW w:w="3116" w:type="dxa"/>
          </w:tcPr>
          <w:p w14:paraId="76AD4C68" w14:textId="54EC24A9"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Expected shortfall</w:t>
            </w:r>
          </w:p>
        </w:tc>
        <w:tc>
          <w:tcPr>
            <w:tcW w:w="3117" w:type="dxa"/>
          </w:tcPr>
          <w:p w14:paraId="71591E0D" w14:textId="3F771A9E" w:rsidR="00E76BCB" w:rsidRPr="008F3998" w:rsidRDefault="005B4D19" w:rsidP="00E76BCB">
            <w:pPr>
              <w:rPr>
                <w:rFonts w:ascii="Times New Roman" w:hAnsi="Times New Roman" w:cs="Times New Roman"/>
                <w:sz w:val="20"/>
                <w:szCs w:val="20"/>
              </w:rPr>
            </w:pPr>
            <w:r w:rsidRPr="008F3998">
              <w:rPr>
                <w:rFonts w:ascii="Times New Roman" w:hAnsi="Times New Roman" w:cs="Times New Roman"/>
                <w:sz w:val="20"/>
                <w:szCs w:val="20"/>
              </w:rPr>
              <w:t>E</w:t>
            </w:r>
            <w:r w:rsidR="00314F66" w:rsidRPr="008F3998">
              <w:rPr>
                <w:rFonts w:ascii="Times New Roman" w:hAnsi="Times New Roman" w:cs="Times New Roman"/>
                <w:sz w:val="20"/>
                <w:szCs w:val="20"/>
              </w:rPr>
              <w:t>stimat</w:t>
            </w:r>
            <w:r w:rsidRPr="008F3998">
              <w:rPr>
                <w:rFonts w:ascii="Times New Roman" w:hAnsi="Times New Roman" w:cs="Times New Roman"/>
                <w:sz w:val="20"/>
                <w:szCs w:val="20"/>
              </w:rPr>
              <w:t>ed</w:t>
            </w:r>
            <w:r w:rsidR="00E5643A" w:rsidRPr="008F3998">
              <w:rPr>
                <w:rFonts w:ascii="Times New Roman" w:hAnsi="Times New Roman" w:cs="Times New Roman"/>
                <w:sz w:val="20"/>
                <w:szCs w:val="20"/>
              </w:rPr>
              <w:t xml:space="preserve"> using equation (5)</w:t>
            </w:r>
            <w:r w:rsidR="00FA31C8" w:rsidRPr="008F3998">
              <w:rPr>
                <w:rFonts w:ascii="Times New Roman" w:hAnsi="Times New Roman" w:cs="Times New Roman"/>
                <w:sz w:val="20"/>
                <w:szCs w:val="20"/>
              </w:rPr>
              <w:t>;</w:t>
            </w:r>
            <w:r w:rsidR="00E5643A" w:rsidRPr="008F3998">
              <w:rPr>
                <w:rFonts w:ascii="Times New Roman" w:hAnsi="Times New Roman" w:cs="Times New Roman"/>
                <w:sz w:val="20"/>
                <w:szCs w:val="20"/>
              </w:rPr>
              <w:t xml:space="preserve"> </w:t>
            </w:r>
            <w:r w:rsidR="00FA31C8" w:rsidRPr="008F3998">
              <w:rPr>
                <w:rFonts w:ascii="Times New Roman" w:hAnsi="Times New Roman" w:cs="Times New Roman"/>
                <w:sz w:val="20"/>
                <w:szCs w:val="20"/>
              </w:rPr>
              <w:t>s</w:t>
            </w:r>
            <w:r w:rsidR="00E5643A" w:rsidRPr="008F3998">
              <w:rPr>
                <w:rFonts w:ascii="Times New Roman" w:hAnsi="Times New Roman" w:cs="Times New Roman"/>
                <w:sz w:val="20"/>
                <w:szCs w:val="20"/>
              </w:rPr>
              <w:t>ee Section 3.1 for details</w:t>
            </w:r>
          </w:p>
        </w:tc>
        <w:tc>
          <w:tcPr>
            <w:tcW w:w="3117" w:type="dxa"/>
          </w:tcPr>
          <w:p w14:paraId="02E2C4B3"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Datastream</w:t>
            </w:r>
            <w:proofErr w:type="spellEnd"/>
          </w:p>
        </w:tc>
      </w:tr>
      <w:tr w:rsidR="008F3998" w:rsidRPr="008F3998" w14:paraId="27FA178E" w14:textId="77777777" w:rsidTr="00E76BCB">
        <w:tc>
          <w:tcPr>
            <w:tcW w:w="3116" w:type="dxa"/>
          </w:tcPr>
          <w:p w14:paraId="3FAA095A" w14:textId="59CAD273" w:rsidR="00E76BCB" w:rsidRPr="008F3998" w:rsidRDefault="00D552A7" w:rsidP="00E76BCB">
            <w:pPr>
              <w:rPr>
                <w:rFonts w:ascii="Times New Roman" w:hAnsi="Times New Roman" w:cs="Times New Roman"/>
                <w:sz w:val="20"/>
                <w:szCs w:val="20"/>
              </w:rPr>
            </w:pPr>
            <w:r w:rsidRPr="008F3998">
              <w:rPr>
                <w:rFonts w:ascii="Times New Roman" w:hAnsi="Times New Roman" w:cs="Times New Roman"/>
                <w:sz w:val="20"/>
                <w:szCs w:val="20"/>
              </w:rPr>
              <w:t>CO</w:t>
            </w:r>
            <w:r w:rsidR="00E76BCB" w:rsidRPr="008F3998">
              <w:rPr>
                <w:rFonts w:ascii="Times New Roman" w:hAnsi="Times New Roman" w:cs="Times New Roman"/>
                <w:sz w:val="20"/>
                <w:szCs w:val="20"/>
                <w:vertAlign w:val="subscript"/>
              </w:rPr>
              <w:t>2</w:t>
            </w:r>
          </w:p>
        </w:tc>
        <w:tc>
          <w:tcPr>
            <w:tcW w:w="3117" w:type="dxa"/>
          </w:tcPr>
          <w:p w14:paraId="79358A5F" w14:textId="7E715050" w:rsidR="00E76BCB" w:rsidRPr="008F3998" w:rsidRDefault="00D552A7" w:rsidP="00E76BCB">
            <w:pPr>
              <w:rPr>
                <w:rFonts w:ascii="Times New Roman" w:hAnsi="Times New Roman" w:cs="Times New Roman"/>
                <w:sz w:val="20"/>
                <w:szCs w:val="20"/>
              </w:rPr>
            </w:pPr>
            <w:r w:rsidRPr="008F3998">
              <w:rPr>
                <w:rFonts w:ascii="Times New Roman" w:hAnsi="Times New Roman" w:cs="Times New Roman"/>
                <w:sz w:val="20"/>
                <w:szCs w:val="20"/>
              </w:rPr>
              <w:t>Carbon dioxide (</w:t>
            </w:r>
            <w:r w:rsidR="00E76BCB" w:rsidRPr="008F3998">
              <w:rPr>
                <w:rFonts w:ascii="Times New Roman" w:hAnsi="Times New Roman" w:cs="Times New Roman"/>
                <w:sz w:val="20"/>
                <w:szCs w:val="20"/>
              </w:rPr>
              <w:t>CO</w:t>
            </w:r>
            <w:r w:rsidR="00E76BCB" w:rsidRPr="008F3998">
              <w:rPr>
                <w:rFonts w:ascii="Times New Roman" w:hAnsi="Times New Roman" w:cs="Times New Roman"/>
                <w:sz w:val="20"/>
                <w:szCs w:val="20"/>
                <w:vertAlign w:val="subscript"/>
              </w:rPr>
              <w:t>2</w:t>
            </w:r>
            <w:r w:rsidRPr="008F3998">
              <w:rPr>
                <w:rFonts w:ascii="Times New Roman" w:hAnsi="Times New Roman" w:cs="Times New Roman"/>
                <w:sz w:val="20"/>
                <w:szCs w:val="20"/>
              </w:rPr>
              <w:t xml:space="preserve">) </w:t>
            </w:r>
            <w:r w:rsidR="00E76BCB" w:rsidRPr="008F3998">
              <w:rPr>
                <w:rFonts w:ascii="Times New Roman" w:hAnsi="Times New Roman" w:cs="Times New Roman"/>
                <w:sz w:val="20"/>
                <w:szCs w:val="20"/>
              </w:rPr>
              <w:t>emissions (metric tons per capita)</w:t>
            </w:r>
          </w:p>
        </w:tc>
        <w:tc>
          <w:tcPr>
            <w:tcW w:w="3117" w:type="dxa"/>
          </w:tcPr>
          <w:p w14:paraId="160A660F"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World Bank</w:t>
            </w:r>
          </w:p>
        </w:tc>
      </w:tr>
      <w:tr w:rsidR="008F3998" w:rsidRPr="008F3998" w14:paraId="77AC7C9F" w14:textId="77777777" w:rsidTr="00E76BCB">
        <w:tc>
          <w:tcPr>
            <w:tcW w:w="3116" w:type="dxa"/>
          </w:tcPr>
          <w:p w14:paraId="40666EB7" w14:textId="7B2B4AD4" w:rsidR="00E76BCB" w:rsidRPr="008F3998" w:rsidRDefault="00D702F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debtgdp</w:t>
            </w:r>
            <w:proofErr w:type="spellEnd"/>
          </w:p>
        </w:tc>
        <w:tc>
          <w:tcPr>
            <w:tcW w:w="3117" w:type="dxa"/>
          </w:tcPr>
          <w:p w14:paraId="34B22AF0"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Gross debt (% of GDP)</w:t>
            </w:r>
          </w:p>
        </w:tc>
        <w:tc>
          <w:tcPr>
            <w:tcW w:w="3117" w:type="dxa"/>
          </w:tcPr>
          <w:p w14:paraId="32260577"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IMF, Federal Reserve Economic Data</w:t>
            </w:r>
          </w:p>
        </w:tc>
      </w:tr>
      <w:tr w:rsidR="008F3998" w:rsidRPr="008F3998" w14:paraId="4609686B" w14:textId="77777777" w:rsidTr="00E76BCB">
        <w:tc>
          <w:tcPr>
            <w:tcW w:w="3116" w:type="dxa"/>
          </w:tcPr>
          <w:p w14:paraId="2F35CA29"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totvol</w:t>
            </w:r>
            <w:proofErr w:type="spellEnd"/>
          </w:p>
        </w:tc>
        <w:tc>
          <w:tcPr>
            <w:tcW w:w="3117" w:type="dxa"/>
          </w:tcPr>
          <w:p w14:paraId="3D995E09" w14:textId="4AD02769"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Terms of Trade (2010=100%) volatility; 3-year moving average standard deviation</w:t>
            </w:r>
          </w:p>
        </w:tc>
        <w:tc>
          <w:tcPr>
            <w:tcW w:w="3117" w:type="dxa"/>
          </w:tcPr>
          <w:p w14:paraId="3FB962A0"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OECD</w:t>
            </w:r>
          </w:p>
        </w:tc>
      </w:tr>
      <w:tr w:rsidR="008F3998" w:rsidRPr="008F3998" w14:paraId="1671397D" w14:textId="77777777" w:rsidTr="00E76BCB">
        <w:tc>
          <w:tcPr>
            <w:tcW w:w="3116" w:type="dxa"/>
          </w:tcPr>
          <w:p w14:paraId="71F7B7F8"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exr</w:t>
            </w:r>
            <w:proofErr w:type="spellEnd"/>
          </w:p>
        </w:tc>
        <w:tc>
          <w:tcPr>
            <w:tcW w:w="3117" w:type="dxa"/>
          </w:tcPr>
          <w:p w14:paraId="54CB2A7E" w14:textId="4C5BB4D8"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Exchange Rates, Domestic Currency per U.S</w:t>
            </w:r>
            <w:r w:rsidR="00A94332" w:rsidRPr="008F3998">
              <w:rPr>
                <w:rFonts w:ascii="Times New Roman" w:hAnsi="Times New Roman" w:cs="Times New Roman"/>
                <w:sz w:val="20"/>
                <w:szCs w:val="20"/>
              </w:rPr>
              <w:t>. Dollar, Period Average, Rate;</w:t>
            </w:r>
          </w:p>
        </w:tc>
        <w:tc>
          <w:tcPr>
            <w:tcW w:w="3117" w:type="dxa"/>
          </w:tcPr>
          <w:p w14:paraId="112A14EB"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IMF</w:t>
            </w:r>
          </w:p>
        </w:tc>
      </w:tr>
      <w:tr w:rsidR="008F3998" w:rsidRPr="008F3998" w14:paraId="496C5341" w14:textId="77777777" w:rsidTr="00E76BCB">
        <w:tc>
          <w:tcPr>
            <w:tcW w:w="3116" w:type="dxa"/>
          </w:tcPr>
          <w:p w14:paraId="10B73A25"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reserves</w:t>
            </w:r>
          </w:p>
        </w:tc>
        <w:tc>
          <w:tcPr>
            <w:tcW w:w="3117" w:type="dxa"/>
          </w:tcPr>
          <w:p w14:paraId="603E46BA"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International Liquidity, Total Reserves excluding Gold, US Dollars</w:t>
            </w:r>
          </w:p>
        </w:tc>
        <w:tc>
          <w:tcPr>
            <w:tcW w:w="3117" w:type="dxa"/>
          </w:tcPr>
          <w:p w14:paraId="502C2AA1"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IMF</w:t>
            </w:r>
          </w:p>
        </w:tc>
      </w:tr>
      <w:tr w:rsidR="008F3998" w:rsidRPr="008F3998" w14:paraId="1EB8CA31" w14:textId="77777777" w:rsidTr="00E76BCB">
        <w:tc>
          <w:tcPr>
            <w:tcW w:w="3116" w:type="dxa"/>
          </w:tcPr>
          <w:p w14:paraId="5BC2CC9D"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locfin</w:t>
            </w:r>
            <w:proofErr w:type="spellEnd"/>
            <w:r w:rsidRPr="008F3998">
              <w:rPr>
                <w:rFonts w:ascii="Times New Roman" w:hAnsi="Times New Roman" w:cs="Times New Roman"/>
                <w:sz w:val="20"/>
                <w:szCs w:val="20"/>
              </w:rPr>
              <w:t>, Local financials</w:t>
            </w:r>
          </w:p>
        </w:tc>
        <w:tc>
          <w:tcPr>
            <w:tcW w:w="3117" w:type="dxa"/>
          </w:tcPr>
          <w:p w14:paraId="5B30815E" w14:textId="063FBA08"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 xml:space="preserve">DJTM Financials </w:t>
            </w:r>
            <w:r w:rsidR="002B3560" w:rsidRPr="008F3998">
              <w:rPr>
                <w:rFonts w:ascii="Times New Roman" w:hAnsi="Times New Roman" w:cs="Times New Roman"/>
                <w:sz w:val="20"/>
                <w:szCs w:val="20"/>
              </w:rPr>
              <w:t>I</w:t>
            </w:r>
            <w:r w:rsidRPr="008F3998">
              <w:rPr>
                <w:rFonts w:ascii="Times New Roman" w:hAnsi="Times New Roman" w:cs="Times New Roman"/>
                <w:sz w:val="20"/>
                <w:szCs w:val="20"/>
              </w:rPr>
              <w:t>ndex return (intercept and residuals from a regression</w:t>
            </w:r>
            <w:r w:rsidR="00712CCF" w:rsidRPr="008F3998">
              <w:rPr>
                <w:rFonts w:ascii="Times New Roman" w:hAnsi="Times New Roman" w:cs="Times New Roman"/>
                <w:sz w:val="20"/>
                <w:szCs w:val="20"/>
              </w:rPr>
              <w:t xml:space="preserve"> on</w:t>
            </w:r>
            <w:r w:rsidRPr="008F3998">
              <w:rPr>
                <w:rFonts w:ascii="Times New Roman" w:hAnsi="Times New Roman" w:cs="Times New Roman"/>
                <w:sz w:val="20"/>
                <w:szCs w:val="20"/>
              </w:rPr>
              <w:t xml:space="preserve"> MSCI World Financial index return and domestic </w:t>
            </w:r>
            <w:r w:rsidR="00AE706F" w:rsidRPr="008F3998">
              <w:rPr>
                <w:rFonts w:ascii="Times New Roman" w:hAnsi="Times New Roman" w:cs="Times New Roman"/>
                <w:sz w:val="20"/>
                <w:szCs w:val="20"/>
              </w:rPr>
              <w:t>S</w:t>
            </w:r>
            <w:r w:rsidRPr="008F3998">
              <w:rPr>
                <w:rFonts w:ascii="Times New Roman" w:hAnsi="Times New Roman" w:cs="Times New Roman"/>
                <w:sz w:val="20"/>
                <w:szCs w:val="20"/>
              </w:rPr>
              <w:t xml:space="preserve">tock </w:t>
            </w:r>
            <w:r w:rsidR="00AE706F" w:rsidRPr="008F3998">
              <w:rPr>
                <w:rFonts w:ascii="Times New Roman" w:hAnsi="Times New Roman" w:cs="Times New Roman"/>
                <w:sz w:val="20"/>
                <w:szCs w:val="20"/>
              </w:rPr>
              <w:t>M</w:t>
            </w:r>
            <w:r w:rsidRPr="008F3998">
              <w:rPr>
                <w:rFonts w:ascii="Times New Roman" w:hAnsi="Times New Roman" w:cs="Times New Roman"/>
                <w:sz w:val="20"/>
                <w:szCs w:val="20"/>
              </w:rPr>
              <w:t xml:space="preserve">arket </w:t>
            </w:r>
            <w:r w:rsidR="00AE706F" w:rsidRPr="008F3998">
              <w:rPr>
                <w:rFonts w:ascii="Times New Roman" w:hAnsi="Times New Roman" w:cs="Times New Roman"/>
                <w:sz w:val="20"/>
                <w:szCs w:val="20"/>
              </w:rPr>
              <w:t>I</w:t>
            </w:r>
            <w:r w:rsidRPr="008F3998">
              <w:rPr>
                <w:rFonts w:ascii="Times New Roman" w:hAnsi="Times New Roman" w:cs="Times New Roman"/>
                <w:sz w:val="20"/>
                <w:szCs w:val="20"/>
              </w:rPr>
              <w:t>ndex return)</w:t>
            </w:r>
          </w:p>
        </w:tc>
        <w:tc>
          <w:tcPr>
            <w:tcW w:w="3117" w:type="dxa"/>
          </w:tcPr>
          <w:p w14:paraId="6EDFE749"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Datastream</w:t>
            </w:r>
            <w:proofErr w:type="spellEnd"/>
          </w:p>
        </w:tc>
      </w:tr>
      <w:tr w:rsidR="008F3998" w:rsidRPr="008F3998" w14:paraId="358E9397" w14:textId="77777777" w:rsidTr="00E76BCB">
        <w:tc>
          <w:tcPr>
            <w:tcW w:w="3116" w:type="dxa"/>
          </w:tcPr>
          <w:p w14:paraId="32317838" w14:textId="6DEE1826"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stmvol</w:t>
            </w:r>
            <w:proofErr w:type="spellEnd"/>
            <w:r w:rsidRPr="008F3998">
              <w:rPr>
                <w:rFonts w:ascii="Times New Roman" w:hAnsi="Times New Roman" w:cs="Times New Roman"/>
                <w:sz w:val="20"/>
                <w:szCs w:val="20"/>
              </w:rPr>
              <w:t>, Stock Market Volatility</w:t>
            </w:r>
          </w:p>
        </w:tc>
        <w:tc>
          <w:tcPr>
            <w:tcW w:w="3117" w:type="dxa"/>
          </w:tcPr>
          <w:p w14:paraId="2EDDBB96" w14:textId="58B9283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 xml:space="preserve">360 day rolling volatility of </w:t>
            </w:r>
            <w:r w:rsidR="00AE706F" w:rsidRPr="008F3998">
              <w:rPr>
                <w:rFonts w:ascii="Times New Roman" w:hAnsi="Times New Roman" w:cs="Times New Roman"/>
                <w:sz w:val="20"/>
                <w:szCs w:val="20"/>
              </w:rPr>
              <w:t>S</w:t>
            </w:r>
            <w:r w:rsidRPr="008F3998">
              <w:rPr>
                <w:rFonts w:ascii="Times New Roman" w:hAnsi="Times New Roman" w:cs="Times New Roman"/>
                <w:sz w:val="20"/>
                <w:szCs w:val="20"/>
              </w:rPr>
              <w:t xml:space="preserve">tock </w:t>
            </w:r>
            <w:r w:rsidR="00AE706F" w:rsidRPr="008F3998">
              <w:rPr>
                <w:rFonts w:ascii="Times New Roman" w:hAnsi="Times New Roman" w:cs="Times New Roman"/>
                <w:sz w:val="20"/>
                <w:szCs w:val="20"/>
              </w:rPr>
              <w:t>M</w:t>
            </w:r>
            <w:r w:rsidRPr="008F3998">
              <w:rPr>
                <w:rFonts w:ascii="Times New Roman" w:hAnsi="Times New Roman" w:cs="Times New Roman"/>
                <w:sz w:val="20"/>
                <w:szCs w:val="20"/>
              </w:rPr>
              <w:t xml:space="preserve">arket </w:t>
            </w:r>
            <w:r w:rsidR="00AE706F" w:rsidRPr="008F3998">
              <w:rPr>
                <w:rFonts w:ascii="Times New Roman" w:hAnsi="Times New Roman" w:cs="Times New Roman"/>
                <w:sz w:val="20"/>
                <w:szCs w:val="20"/>
              </w:rPr>
              <w:t>I</w:t>
            </w:r>
            <w:r w:rsidRPr="008F3998">
              <w:rPr>
                <w:rFonts w:ascii="Times New Roman" w:hAnsi="Times New Roman" w:cs="Times New Roman"/>
                <w:sz w:val="20"/>
                <w:szCs w:val="20"/>
              </w:rPr>
              <w:t>ndex</w:t>
            </w:r>
          </w:p>
        </w:tc>
        <w:tc>
          <w:tcPr>
            <w:tcW w:w="3117" w:type="dxa"/>
          </w:tcPr>
          <w:p w14:paraId="0B7228A9"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Bloomberg</w:t>
            </w:r>
          </w:p>
        </w:tc>
      </w:tr>
      <w:tr w:rsidR="008F3998" w:rsidRPr="008F3998" w14:paraId="0A27AC02" w14:textId="77777777" w:rsidTr="00E76BCB">
        <w:tc>
          <w:tcPr>
            <w:tcW w:w="3116" w:type="dxa"/>
          </w:tcPr>
          <w:p w14:paraId="39C0EA89" w14:textId="12245B6A"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finmar</w:t>
            </w:r>
            <w:proofErr w:type="spellEnd"/>
          </w:p>
        </w:tc>
        <w:tc>
          <w:tcPr>
            <w:tcW w:w="3117" w:type="dxa"/>
          </w:tcPr>
          <w:p w14:paraId="38F26C14" w14:textId="20A2954F" w:rsidR="00E76BCB" w:rsidRPr="008F3998" w:rsidRDefault="00ED15DC" w:rsidP="00E76BCB">
            <w:pPr>
              <w:rPr>
                <w:rFonts w:ascii="Times New Roman" w:hAnsi="Times New Roman" w:cs="Times New Roman"/>
                <w:sz w:val="20"/>
                <w:szCs w:val="20"/>
              </w:rPr>
            </w:pPr>
            <w:r w:rsidRPr="008F3998">
              <w:rPr>
                <w:rFonts w:ascii="Times New Roman" w:hAnsi="Times New Roman" w:cs="Times New Roman"/>
                <w:sz w:val="20"/>
                <w:szCs w:val="20"/>
              </w:rPr>
              <w:t xml:space="preserve">Intercept and residuals from a regression of </w:t>
            </w:r>
            <w:r w:rsidR="009C6410" w:rsidRPr="008F3998">
              <w:rPr>
                <w:rFonts w:ascii="Times New Roman" w:hAnsi="Times New Roman" w:cs="Times New Roman"/>
                <w:sz w:val="20"/>
                <w:szCs w:val="20"/>
              </w:rPr>
              <w:t>d</w:t>
            </w:r>
            <w:r w:rsidR="00712CCF" w:rsidRPr="008F3998">
              <w:rPr>
                <w:rFonts w:ascii="Times New Roman" w:hAnsi="Times New Roman" w:cs="Times New Roman"/>
                <w:sz w:val="20"/>
                <w:szCs w:val="20"/>
              </w:rPr>
              <w:t xml:space="preserve">omestic </w:t>
            </w:r>
            <w:r w:rsidR="002B3560" w:rsidRPr="008F3998">
              <w:rPr>
                <w:rFonts w:ascii="Times New Roman" w:hAnsi="Times New Roman" w:cs="Times New Roman"/>
                <w:sz w:val="20"/>
                <w:szCs w:val="20"/>
              </w:rPr>
              <w:t>F</w:t>
            </w:r>
            <w:r w:rsidR="00E76BCB" w:rsidRPr="008F3998">
              <w:rPr>
                <w:rFonts w:ascii="Times New Roman" w:hAnsi="Times New Roman" w:cs="Times New Roman"/>
                <w:sz w:val="20"/>
                <w:szCs w:val="20"/>
              </w:rPr>
              <w:t xml:space="preserve">inancial </w:t>
            </w:r>
            <w:r w:rsidR="002B3560" w:rsidRPr="008F3998">
              <w:rPr>
                <w:rFonts w:ascii="Times New Roman" w:hAnsi="Times New Roman" w:cs="Times New Roman"/>
                <w:sz w:val="20"/>
                <w:szCs w:val="20"/>
              </w:rPr>
              <w:t>I</w:t>
            </w:r>
            <w:r w:rsidR="00E76BCB" w:rsidRPr="008F3998">
              <w:rPr>
                <w:rFonts w:ascii="Times New Roman" w:hAnsi="Times New Roman" w:cs="Times New Roman"/>
                <w:sz w:val="20"/>
                <w:szCs w:val="20"/>
              </w:rPr>
              <w:t xml:space="preserve">ndex on </w:t>
            </w:r>
            <w:r w:rsidR="002B3560" w:rsidRPr="008F3998">
              <w:rPr>
                <w:rFonts w:ascii="Times New Roman" w:hAnsi="Times New Roman" w:cs="Times New Roman"/>
                <w:sz w:val="20"/>
                <w:szCs w:val="20"/>
              </w:rPr>
              <w:t>M</w:t>
            </w:r>
            <w:r w:rsidR="00E76BCB" w:rsidRPr="008F3998">
              <w:rPr>
                <w:rFonts w:ascii="Times New Roman" w:hAnsi="Times New Roman" w:cs="Times New Roman"/>
                <w:sz w:val="20"/>
                <w:szCs w:val="20"/>
              </w:rPr>
              <w:t xml:space="preserve">arket </w:t>
            </w:r>
            <w:r w:rsidR="002B3560" w:rsidRPr="008F3998">
              <w:rPr>
                <w:rFonts w:ascii="Times New Roman" w:hAnsi="Times New Roman" w:cs="Times New Roman"/>
                <w:sz w:val="20"/>
                <w:szCs w:val="20"/>
              </w:rPr>
              <w:t>I</w:t>
            </w:r>
            <w:r w:rsidR="00E76BCB" w:rsidRPr="008F3998">
              <w:rPr>
                <w:rFonts w:ascii="Times New Roman" w:hAnsi="Times New Roman" w:cs="Times New Roman"/>
                <w:sz w:val="20"/>
                <w:szCs w:val="20"/>
              </w:rPr>
              <w:t>ndex</w:t>
            </w:r>
          </w:p>
        </w:tc>
        <w:tc>
          <w:tcPr>
            <w:tcW w:w="3117" w:type="dxa"/>
          </w:tcPr>
          <w:p w14:paraId="4728FABB"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Bloomberg</w:t>
            </w:r>
          </w:p>
        </w:tc>
      </w:tr>
      <w:tr w:rsidR="008F3998" w:rsidRPr="008F3998" w14:paraId="10A25403" w14:textId="77777777" w:rsidTr="00E76BCB">
        <w:tc>
          <w:tcPr>
            <w:tcW w:w="3116" w:type="dxa"/>
          </w:tcPr>
          <w:p w14:paraId="2EFE7490" w14:textId="47BA08D1"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marmsci</w:t>
            </w:r>
            <w:proofErr w:type="spellEnd"/>
          </w:p>
        </w:tc>
        <w:tc>
          <w:tcPr>
            <w:tcW w:w="3117" w:type="dxa"/>
          </w:tcPr>
          <w:p w14:paraId="72CA75C0" w14:textId="075530F0" w:rsidR="00E76BCB" w:rsidRPr="008F3998" w:rsidRDefault="009C6410" w:rsidP="00E76BCB">
            <w:pPr>
              <w:rPr>
                <w:rFonts w:ascii="Times New Roman" w:hAnsi="Times New Roman" w:cs="Times New Roman"/>
                <w:sz w:val="20"/>
                <w:szCs w:val="20"/>
              </w:rPr>
            </w:pPr>
            <w:r w:rsidRPr="008F3998">
              <w:rPr>
                <w:rFonts w:ascii="Times New Roman" w:hAnsi="Times New Roman" w:cs="Times New Roman"/>
                <w:sz w:val="20"/>
                <w:szCs w:val="20"/>
              </w:rPr>
              <w:t xml:space="preserve">Intercept and residuals from a regression of </w:t>
            </w:r>
            <w:r w:rsidR="002B3560" w:rsidRPr="008F3998">
              <w:rPr>
                <w:rFonts w:ascii="Times New Roman" w:hAnsi="Times New Roman" w:cs="Times New Roman"/>
                <w:sz w:val="20"/>
                <w:szCs w:val="20"/>
              </w:rPr>
              <w:t>M</w:t>
            </w:r>
            <w:r w:rsidR="00E76BCB" w:rsidRPr="008F3998">
              <w:rPr>
                <w:rFonts w:ascii="Times New Roman" w:hAnsi="Times New Roman" w:cs="Times New Roman"/>
                <w:sz w:val="20"/>
                <w:szCs w:val="20"/>
              </w:rPr>
              <w:t xml:space="preserve">arket </w:t>
            </w:r>
            <w:r w:rsidR="002B3560" w:rsidRPr="008F3998">
              <w:rPr>
                <w:rFonts w:ascii="Times New Roman" w:hAnsi="Times New Roman" w:cs="Times New Roman"/>
                <w:sz w:val="20"/>
                <w:szCs w:val="20"/>
              </w:rPr>
              <w:t>I</w:t>
            </w:r>
            <w:r w:rsidR="00E76BCB" w:rsidRPr="008F3998">
              <w:rPr>
                <w:rFonts w:ascii="Times New Roman" w:hAnsi="Times New Roman" w:cs="Times New Roman"/>
                <w:sz w:val="20"/>
                <w:szCs w:val="20"/>
              </w:rPr>
              <w:t>ndex on MSCI World</w:t>
            </w:r>
            <w:r w:rsidRPr="008F3998">
              <w:rPr>
                <w:rFonts w:ascii="Times New Roman" w:hAnsi="Times New Roman" w:cs="Times New Roman"/>
                <w:sz w:val="20"/>
                <w:szCs w:val="20"/>
              </w:rPr>
              <w:t xml:space="preserve"> Financial index</w:t>
            </w:r>
          </w:p>
        </w:tc>
        <w:tc>
          <w:tcPr>
            <w:tcW w:w="3117" w:type="dxa"/>
          </w:tcPr>
          <w:p w14:paraId="5C1444DA"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Bloomberg</w:t>
            </w:r>
          </w:p>
        </w:tc>
      </w:tr>
      <w:tr w:rsidR="008F3998" w:rsidRPr="008F3998" w14:paraId="49865AE2" w14:textId="77777777" w:rsidTr="00E76BCB">
        <w:tc>
          <w:tcPr>
            <w:tcW w:w="3116" w:type="dxa"/>
          </w:tcPr>
          <w:p w14:paraId="3E7DB162"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marcap</w:t>
            </w:r>
            <w:proofErr w:type="spellEnd"/>
          </w:p>
        </w:tc>
        <w:tc>
          <w:tcPr>
            <w:tcW w:w="3117" w:type="dxa"/>
          </w:tcPr>
          <w:p w14:paraId="770AE293"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Market capitalization of listed domestic companies (current US$)</w:t>
            </w:r>
          </w:p>
        </w:tc>
        <w:tc>
          <w:tcPr>
            <w:tcW w:w="3117" w:type="dxa"/>
          </w:tcPr>
          <w:p w14:paraId="77A329C5"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World Bank</w:t>
            </w:r>
          </w:p>
        </w:tc>
      </w:tr>
      <w:tr w:rsidR="008F3998" w:rsidRPr="008F3998" w14:paraId="7540B294" w14:textId="77777777" w:rsidTr="00E76BCB">
        <w:tc>
          <w:tcPr>
            <w:tcW w:w="3116" w:type="dxa"/>
          </w:tcPr>
          <w:p w14:paraId="425974BB"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finmsci</w:t>
            </w:r>
            <w:proofErr w:type="spellEnd"/>
          </w:p>
        </w:tc>
        <w:tc>
          <w:tcPr>
            <w:tcW w:w="3117" w:type="dxa"/>
          </w:tcPr>
          <w:p w14:paraId="7CE00199" w14:textId="2150CDBC" w:rsidR="00E76BCB" w:rsidRPr="008F3998" w:rsidRDefault="009C6410" w:rsidP="00E76BCB">
            <w:pPr>
              <w:rPr>
                <w:rFonts w:ascii="Times New Roman" w:hAnsi="Times New Roman" w:cs="Times New Roman"/>
                <w:sz w:val="20"/>
                <w:szCs w:val="20"/>
              </w:rPr>
            </w:pPr>
            <w:r w:rsidRPr="008F3998">
              <w:rPr>
                <w:rFonts w:ascii="Times New Roman" w:hAnsi="Times New Roman" w:cs="Times New Roman"/>
                <w:sz w:val="20"/>
                <w:szCs w:val="20"/>
              </w:rPr>
              <w:t xml:space="preserve">Intercept and residuals from a regression of </w:t>
            </w:r>
            <w:r w:rsidR="002B3560" w:rsidRPr="008F3998">
              <w:rPr>
                <w:rFonts w:ascii="Times New Roman" w:hAnsi="Times New Roman" w:cs="Times New Roman"/>
                <w:sz w:val="20"/>
                <w:szCs w:val="20"/>
              </w:rPr>
              <w:t>F</w:t>
            </w:r>
            <w:r w:rsidR="00E76BCB" w:rsidRPr="008F3998">
              <w:rPr>
                <w:rFonts w:ascii="Times New Roman" w:hAnsi="Times New Roman" w:cs="Times New Roman"/>
                <w:sz w:val="20"/>
                <w:szCs w:val="20"/>
              </w:rPr>
              <w:t xml:space="preserve">inancial </w:t>
            </w:r>
            <w:r w:rsidR="002B3560" w:rsidRPr="008F3998">
              <w:rPr>
                <w:rFonts w:ascii="Times New Roman" w:hAnsi="Times New Roman" w:cs="Times New Roman"/>
                <w:sz w:val="20"/>
                <w:szCs w:val="20"/>
              </w:rPr>
              <w:t>I</w:t>
            </w:r>
            <w:r w:rsidR="00E76BCB" w:rsidRPr="008F3998">
              <w:rPr>
                <w:rFonts w:ascii="Times New Roman" w:hAnsi="Times New Roman" w:cs="Times New Roman"/>
                <w:sz w:val="20"/>
                <w:szCs w:val="20"/>
              </w:rPr>
              <w:t>ndex on MSCI</w:t>
            </w:r>
            <w:r w:rsidRPr="008F3998">
              <w:rPr>
                <w:rFonts w:ascii="Times New Roman" w:hAnsi="Times New Roman" w:cs="Times New Roman"/>
                <w:sz w:val="20"/>
                <w:szCs w:val="20"/>
              </w:rPr>
              <w:t xml:space="preserve"> World Financial</w:t>
            </w:r>
            <w:r w:rsidR="00E76BCB" w:rsidRPr="008F3998">
              <w:rPr>
                <w:rFonts w:ascii="Times New Roman" w:hAnsi="Times New Roman" w:cs="Times New Roman"/>
                <w:sz w:val="20"/>
                <w:szCs w:val="20"/>
              </w:rPr>
              <w:t xml:space="preserve"> </w:t>
            </w:r>
            <w:r w:rsidRPr="008F3998">
              <w:rPr>
                <w:rFonts w:ascii="Times New Roman" w:hAnsi="Times New Roman" w:cs="Times New Roman"/>
                <w:sz w:val="20"/>
                <w:szCs w:val="20"/>
              </w:rPr>
              <w:t>i</w:t>
            </w:r>
            <w:r w:rsidR="00E76BCB" w:rsidRPr="008F3998">
              <w:rPr>
                <w:rFonts w:ascii="Times New Roman" w:hAnsi="Times New Roman" w:cs="Times New Roman"/>
                <w:sz w:val="20"/>
                <w:szCs w:val="20"/>
              </w:rPr>
              <w:t>ndex</w:t>
            </w:r>
          </w:p>
        </w:tc>
        <w:tc>
          <w:tcPr>
            <w:tcW w:w="3117" w:type="dxa"/>
          </w:tcPr>
          <w:p w14:paraId="38AA385A"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Datastream</w:t>
            </w:r>
            <w:proofErr w:type="spellEnd"/>
          </w:p>
        </w:tc>
      </w:tr>
      <w:tr w:rsidR="008F3998" w:rsidRPr="008F3998" w14:paraId="33E95979" w14:textId="77777777" w:rsidTr="00E76BCB">
        <w:tc>
          <w:tcPr>
            <w:tcW w:w="3116" w:type="dxa"/>
          </w:tcPr>
          <w:p w14:paraId="4E0FC875" w14:textId="7ABBBD2E"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stoxx50</w:t>
            </w:r>
          </w:p>
        </w:tc>
        <w:tc>
          <w:tcPr>
            <w:tcW w:w="3117" w:type="dxa"/>
          </w:tcPr>
          <w:p w14:paraId="4E8A1189" w14:textId="756A8AE0" w:rsidR="00E76BCB" w:rsidRPr="008F3998" w:rsidRDefault="009C6410" w:rsidP="00E76BCB">
            <w:pPr>
              <w:rPr>
                <w:rFonts w:ascii="Times New Roman" w:hAnsi="Times New Roman" w:cs="Times New Roman"/>
                <w:sz w:val="20"/>
                <w:szCs w:val="20"/>
              </w:rPr>
            </w:pPr>
            <w:r w:rsidRPr="008F3998">
              <w:rPr>
                <w:rFonts w:ascii="Times New Roman" w:hAnsi="Times New Roman" w:cs="Times New Roman"/>
                <w:sz w:val="20"/>
                <w:szCs w:val="20"/>
              </w:rPr>
              <w:t xml:space="preserve">Intercept and residuals from a regression of </w:t>
            </w:r>
            <w:r w:rsidR="00E76BCB" w:rsidRPr="008F3998">
              <w:rPr>
                <w:rFonts w:ascii="Times New Roman" w:hAnsi="Times New Roman" w:cs="Times New Roman"/>
                <w:sz w:val="20"/>
                <w:szCs w:val="20"/>
              </w:rPr>
              <w:t xml:space="preserve">MSCI World index on </w:t>
            </w:r>
            <w:proofErr w:type="spellStart"/>
            <w:r w:rsidR="00E76BCB" w:rsidRPr="008F3998">
              <w:rPr>
                <w:rFonts w:ascii="Times New Roman" w:hAnsi="Times New Roman" w:cs="Times New Roman"/>
                <w:sz w:val="20"/>
                <w:szCs w:val="20"/>
              </w:rPr>
              <w:t>Stoxx</w:t>
            </w:r>
            <w:proofErr w:type="spellEnd"/>
            <w:r w:rsidR="00E76BCB" w:rsidRPr="008F3998">
              <w:rPr>
                <w:rFonts w:ascii="Times New Roman" w:hAnsi="Times New Roman" w:cs="Times New Roman"/>
                <w:sz w:val="20"/>
                <w:szCs w:val="20"/>
              </w:rPr>
              <w:t xml:space="preserve"> 50 index and S&amp;P 500 index</w:t>
            </w:r>
          </w:p>
        </w:tc>
        <w:tc>
          <w:tcPr>
            <w:tcW w:w="3117" w:type="dxa"/>
          </w:tcPr>
          <w:p w14:paraId="21CF973A" w14:textId="77777777" w:rsidR="00E76BCB" w:rsidRPr="008F3998" w:rsidRDefault="00E76BCB"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Datastream</w:t>
            </w:r>
            <w:proofErr w:type="spellEnd"/>
          </w:p>
        </w:tc>
      </w:tr>
      <w:tr w:rsidR="008F3998" w:rsidRPr="008F3998" w14:paraId="273599D2" w14:textId="77777777" w:rsidTr="00E76BCB">
        <w:tc>
          <w:tcPr>
            <w:tcW w:w="3116" w:type="dxa"/>
          </w:tcPr>
          <w:p w14:paraId="1A1A42C9" w14:textId="75160DA3" w:rsidR="00E76BCB" w:rsidRPr="008F3998" w:rsidRDefault="00324610"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hyy</w:t>
            </w:r>
            <w:r w:rsidR="00E76BCB" w:rsidRPr="008F3998">
              <w:rPr>
                <w:rFonts w:ascii="Times New Roman" w:hAnsi="Times New Roman" w:cs="Times New Roman"/>
                <w:sz w:val="20"/>
                <w:szCs w:val="20"/>
              </w:rPr>
              <w:t>ield</w:t>
            </w:r>
            <w:proofErr w:type="spellEnd"/>
          </w:p>
        </w:tc>
        <w:tc>
          <w:tcPr>
            <w:tcW w:w="3117" w:type="dxa"/>
          </w:tcPr>
          <w:p w14:paraId="7C80EBF6" w14:textId="5AE5F859"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Yield spread between BB- and BBB- rated corporation</w:t>
            </w:r>
            <w:r w:rsidR="00622718" w:rsidRPr="008F3998">
              <w:rPr>
                <w:rFonts w:ascii="Times New Roman" w:hAnsi="Times New Roman" w:cs="Times New Roman"/>
                <w:sz w:val="20"/>
                <w:szCs w:val="20"/>
              </w:rPr>
              <w:t>s</w:t>
            </w:r>
            <w:r w:rsidRPr="008F3998">
              <w:rPr>
                <w:rFonts w:ascii="Times New Roman" w:hAnsi="Times New Roman" w:cs="Times New Roman"/>
                <w:sz w:val="20"/>
                <w:szCs w:val="20"/>
              </w:rPr>
              <w:t xml:space="preserve"> of the respective countries</w:t>
            </w:r>
          </w:p>
        </w:tc>
        <w:tc>
          <w:tcPr>
            <w:tcW w:w="3117" w:type="dxa"/>
          </w:tcPr>
          <w:p w14:paraId="78E93F7D"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Bloomberg</w:t>
            </w:r>
          </w:p>
        </w:tc>
      </w:tr>
      <w:tr w:rsidR="008F3998" w:rsidRPr="008F3998" w14:paraId="6B227075" w14:textId="77777777" w:rsidTr="00E76BCB">
        <w:tc>
          <w:tcPr>
            <w:tcW w:w="3116" w:type="dxa"/>
            <w:tcBorders>
              <w:bottom w:val="single" w:sz="4" w:space="0" w:color="auto"/>
            </w:tcBorders>
          </w:tcPr>
          <w:p w14:paraId="4E5AC70F" w14:textId="1B7EC4AF" w:rsidR="00E76BCB" w:rsidRPr="008F3998" w:rsidRDefault="00324610" w:rsidP="00E76BCB">
            <w:pPr>
              <w:rPr>
                <w:rFonts w:ascii="Times New Roman" w:hAnsi="Times New Roman" w:cs="Times New Roman"/>
                <w:sz w:val="20"/>
                <w:szCs w:val="20"/>
              </w:rPr>
            </w:pPr>
            <w:proofErr w:type="spellStart"/>
            <w:r w:rsidRPr="008F3998">
              <w:rPr>
                <w:rFonts w:ascii="Times New Roman" w:hAnsi="Times New Roman" w:cs="Times New Roman"/>
                <w:sz w:val="20"/>
                <w:szCs w:val="20"/>
              </w:rPr>
              <w:t>igy</w:t>
            </w:r>
            <w:r w:rsidR="00E76BCB" w:rsidRPr="008F3998">
              <w:rPr>
                <w:rFonts w:ascii="Times New Roman" w:hAnsi="Times New Roman" w:cs="Times New Roman"/>
                <w:sz w:val="20"/>
                <w:szCs w:val="20"/>
              </w:rPr>
              <w:t>ield</w:t>
            </w:r>
            <w:proofErr w:type="spellEnd"/>
          </w:p>
        </w:tc>
        <w:tc>
          <w:tcPr>
            <w:tcW w:w="3117" w:type="dxa"/>
            <w:tcBorders>
              <w:bottom w:val="single" w:sz="4" w:space="0" w:color="auto"/>
            </w:tcBorders>
          </w:tcPr>
          <w:p w14:paraId="0B936604" w14:textId="6C678854"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Yield spread between BBB- and AA- rated corporation</w:t>
            </w:r>
            <w:r w:rsidR="00622718" w:rsidRPr="008F3998">
              <w:rPr>
                <w:rFonts w:ascii="Times New Roman" w:hAnsi="Times New Roman" w:cs="Times New Roman"/>
                <w:sz w:val="20"/>
                <w:szCs w:val="20"/>
              </w:rPr>
              <w:t>s</w:t>
            </w:r>
            <w:r w:rsidRPr="008F3998">
              <w:rPr>
                <w:rFonts w:ascii="Times New Roman" w:hAnsi="Times New Roman" w:cs="Times New Roman"/>
                <w:sz w:val="20"/>
                <w:szCs w:val="20"/>
              </w:rPr>
              <w:t xml:space="preserve"> of the respective countries</w:t>
            </w:r>
          </w:p>
        </w:tc>
        <w:tc>
          <w:tcPr>
            <w:tcW w:w="3117" w:type="dxa"/>
            <w:tcBorders>
              <w:bottom w:val="single" w:sz="4" w:space="0" w:color="auto"/>
            </w:tcBorders>
          </w:tcPr>
          <w:p w14:paraId="30BD5995" w14:textId="77777777" w:rsidR="00E76BCB" w:rsidRPr="008F3998" w:rsidRDefault="00E76BCB" w:rsidP="00E76BCB">
            <w:pPr>
              <w:rPr>
                <w:rFonts w:ascii="Times New Roman" w:hAnsi="Times New Roman" w:cs="Times New Roman"/>
                <w:sz w:val="20"/>
                <w:szCs w:val="20"/>
              </w:rPr>
            </w:pPr>
            <w:r w:rsidRPr="008F3998">
              <w:rPr>
                <w:rFonts w:ascii="Times New Roman" w:hAnsi="Times New Roman" w:cs="Times New Roman"/>
                <w:sz w:val="20"/>
                <w:szCs w:val="20"/>
              </w:rPr>
              <w:t>Bloomberg</w:t>
            </w:r>
          </w:p>
        </w:tc>
      </w:tr>
    </w:tbl>
    <w:p w14:paraId="66228D53" w14:textId="77777777" w:rsidR="00E76BCB" w:rsidRPr="008F3998" w:rsidRDefault="00E76BCB" w:rsidP="00712CCF">
      <w:pPr>
        <w:jc w:val="both"/>
        <w:rPr>
          <w:rFonts w:ascii="Times New Roman" w:hAnsi="Times New Roman" w:cs="Times New Roman"/>
          <w:b/>
          <w:sz w:val="24"/>
        </w:rPr>
      </w:pPr>
      <w:r w:rsidRPr="008F3998">
        <w:rPr>
          <w:rFonts w:ascii="Times New Roman" w:hAnsi="Times New Roman" w:cs="Times New Roman"/>
          <w:b/>
          <w:sz w:val="24"/>
        </w:rPr>
        <w:br w:type="page"/>
      </w:r>
    </w:p>
    <w:p w14:paraId="091C79E7" w14:textId="77777777" w:rsidR="00AE7916" w:rsidRPr="008F3998" w:rsidRDefault="00AE7916" w:rsidP="00AE7916">
      <w:pPr>
        <w:spacing w:after="0"/>
        <w:jc w:val="both"/>
        <w:rPr>
          <w:rFonts w:ascii="Times New Roman" w:hAnsi="Times New Roman" w:cs="Times New Roman"/>
          <w:b/>
          <w:sz w:val="24"/>
        </w:rPr>
        <w:sectPr w:rsidR="00AE7916" w:rsidRPr="008F3998" w:rsidSect="00546346">
          <w:headerReference w:type="default" r:id="rId13"/>
          <w:footerReference w:type="default" r:id="rId14"/>
          <w:pgSz w:w="11906" w:h="16838"/>
          <w:pgMar w:top="1440" w:right="1080" w:bottom="1440" w:left="1080" w:header="708" w:footer="708" w:gutter="0"/>
          <w:cols w:space="708"/>
          <w:docGrid w:linePitch="360"/>
        </w:sectPr>
      </w:pPr>
    </w:p>
    <w:p w14:paraId="009766C3" w14:textId="0F7A2F95" w:rsidR="00AE7916" w:rsidRPr="008F3998" w:rsidRDefault="00AE7916" w:rsidP="00AE7916">
      <w:pPr>
        <w:spacing w:after="0"/>
        <w:jc w:val="both"/>
        <w:rPr>
          <w:rFonts w:ascii="Times New Roman" w:hAnsi="Times New Roman" w:cs="Times New Roman"/>
          <w:b/>
          <w:szCs w:val="20"/>
        </w:rPr>
      </w:pPr>
      <w:r w:rsidRPr="008F3998">
        <w:rPr>
          <w:rFonts w:ascii="Times New Roman" w:hAnsi="Times New Roman" w:cs="Times New Roman"/>
          <w:b/>
          <w:szCs w:val="20"/>
        </w:rPr>
        <w:t xml:space="preserve">Table </w:t>
      </w:r>
      <w:r w:rsidR="00727FDD" w:rsidRPr="008F3998">
        <w:rPr>
          <w:rFonts w:ascii="Times New Roman" w:hAnsi="Times New Roman" w:cs="Times New Roman"/>
          <w:b/>
          <w:szCs w:val="20"/>
        </w:rPr>
        <w:t>A</w:t>
      </w:r>
      <w:r w:rsidRPr="008F3998">
        <w:rPr>
          <w:rFonts w:ascii="Times New Roman" w:hAnsi="Times New Roman" w:cs="Times New Roman"/>
          <w:b/>
          <w:szCs w:val="20"/>
        </w:rPr>
        <w:t>2: Correlation coefficients between dependent variables and independent variables</w:t>
      </w:r>
    </w:p>
    <w:tbl>
      <w:tblPr>
        <w:tblW w:w="5000" w:type="pct"/>
        <w:tblLook w:val="0000" w:firstRow="0" w:lastRow="0" w:firstColumn="0" w:lastColumn="0" w:noHBand="0" w:noVBand="0"/>
      </w:tblPr>
      <w:tblGrid>
        <w:gridCol w:w="1976"/>
        <w:gridCol w:w="1423"/>
        <w:gridCol w:w="1934"/>
        <w:gridCol w:w="1423"/>
        <w:gridCol w:w="1934"/>
        <w:gridCol w:w="1423"/>
        <w:gridCol w:w="1934"/>
        <w:gridCol w:w="1423"/>
        <w:gridCol w:w="1928"/>
      </w:tblGrid>
      <w:tr w:rsidR="008F3998" w:rsidRPr="008F3998" w14:paraId="5FAE767E" w14:textId="77777777" w:rsidTr="00063687">
        <w:tc>
          <w:tcPr>
            <w:tcW w:w="642" w:type="pct"/>
            <w:tcBorders>
              <w:top w:val="single" w:sz="4" w:space="0" w:color="auto"/>
              <w:left w:val="nil"/>
              <w:bottom w:val="single" w:sz="4" w:space="0" w:color="auto"/>
              <w:right w:val="nil"/>
            </w:tcBorders>
          </w:tcPr>
          <w:p w14:paraId="4B4DF9F1"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
        </w:tc>
        <w:tc>
          <w:tcPr>
            <w:tcW w:w="462" w:type="pct"/>
            <w:tcBorders>
              <w:top w:val="single" w:sz="4" w:space="0" w:color="auto"/>
              <w:left w:val="nil"/>
              <w:bottom w:val="single" w:sz="4" w:space="0" w:color="auto"/>
              <w:right w:val="nil"/>
            </w:tcBorders>
          </w:tcPr>
          <w:p w14:paraId="097A67C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Tail quantile</w:t>
            </w:r>
          </w:p>
          <w:p w14:paraId="37EADD7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(national)</w:t>
            </w:r>
          </w:p>
        </w:tc>
        <w:tc>
          <w:tcPr>
            <w:tcW w:w="628" w:type="pct"/>
            <w:tcBorders>
              <w:top w:val="single" w:sz="4" w:space="0" w:color="auto"/>
              <w:left w:val="nil"/>
              <w:bottom w:val="single" w:sz="4" w:space="0" w:color="auto"/>
              <w:right w:val="nil"/>
            </w:tcBorders>
          </w:tcPr>
          <w:p w14:paraId="483FA26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Expected shortfall</w:t>
            </w:r>
          </w:p>
          <w:p w14:paraId="4C45564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(national)</w:t>
            </w:r>
          </w:p>
        </w:tc>
        <w:tc>
          <w:tcPr>
            <w:tcW w:w="462" w:type="pct"/>
            <w:tcBorders>
              <w:top w:val="single" w:sz="4" w:space="0" w:color="auto"/>
              <w:left w:val="nil"/>
              <w:bottom w:val="single" w:sz="4" w:space="0" w:color="auto"/>
              <w:right w:val="nil"/>
            </w:tcBorders>
          </w:tcPr>
          <w:p w14:paraId="1B0ACE7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Tail quantile</w:t>
            </w:r>
          </w:p>
          <w:p w14:paraId="08A040D8"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(electricity)</w:t>
            </w:r>
          </w:p>
        </w:tc>
        <w:tc>
          <w:tcPr>
            <w:tcW w:w="628" w:type="pct"/>
            <w:tcBorders>
              <w:top w:val="single" w:sz="4" w:space="0" w:color="auto"/>
              <w:left w:val="nil"/>
              <w:bottom w:val="single" w:sz="4" w:space="0" w:color="auto"/>
              <w:right w:val="nil"/>
            </w:tcBorders>
          </w:tcPr>
          <w:p w14:paraId="06E4512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Expected shortfall</w:t>
            </w:r>
          </w:p>
          <w:p w14:paraId="0008E40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(electricity)</w:t>
            </w:r>
          </w:p>
        </w:tc>
        <w:tc>
          <w:tcPr>
            <w:tcW w:w="462" w:type="pct"/>
            <w:tcBorders>
              <w:top w:val="single" w:sz="4" w:space="0" w:color="auto"/>
              <w:left w:val="nil"/>
              <w:bottom w:val="single" w:sz="4" w:space="0" w:color="auto"/>
              <w:right w:val="nil"/>
            </w:tcBorders>
          </w:tcPr>
          <w:p w14:paraId="7020011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Tail quantile</w:t>
            </w:r>
          </w:p>
          <w:p w14:paraId="16D6731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(industry)</w:t>
            </w:r>
          </w:p>
        </w:tc>
        <w:tc>
          <w:tcPr>
            <w:tcW w:w="628" w:type="pct"/>
            <w:tcBorders>
              <w:top w:val="single" w:sz="4" w:space="0" w:color="auto"/>
              <w:left w:val="nil"/>
              <w:bottom w:val="single" w:sz="4" w:space="0" w:color="auto"/>
              <w:right w:val="nil"/>
            </w:tcBorders>
          </w:tcPr>
          <w:p w14:paraId="3C0A5FE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Expected shortfall</w:t>
            </w:r>
          </w:p>
          <w:p w14:paraId="750EB26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(industry)</w:t>
            </w:r>
          </w:p>
        </w:tc>
        <w:tc>
          <w:tcPr>
            <w:tcW w:w="462" w:type="pct"/>
            <w:tcBorders>
              <w:top w:val="single" w:sz="4" w:space="0" w:color="auto"/>
              <w:left w:val="nil"/>
              <w:bottom w:val="single" w:sz="4" w:space="0" w:color="auto"/>
              <w:right w:val="nil"/>
            </w:tcBorders>
          </w:tcPr>
          <w:p w14:paraId="4FDF192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Tail quantile</w:t>
            </w:r>
          </w:p>
          <w:p w14:paraId="3CD57B49"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(transport)</w:t>
            </w:r>
          </w:p>
        </w:tc>
        <w:tc>
          <w:tcPr>
            <w:tcW w:w="628" w:type="pct"/>
            <w:tcBorders>
              <w:top w:val="single" w:sz="4" w:space="0" w:color="auto"/>
              <w:left w:val="nil"/>
              <w:bottom w:val="single" w:sz="4" w:space="0" w:color="auto"/>
              <w:right w:val="nil"/>
            </w:tcBorders>
          </w:tcPr>
          <w:p w14:paraId="64E7723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Expected shortfall</w:t>
            </w:r>
          </w:p>
          <w:p w14:paraId="1E167C6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(transport)</w:t>
            </w:r>
          </w:p>
        </w:tc>
      </w:tr>
      <w:tr w:rsidR="008F3998" w:rsidRPr="008F3998" w14:paraId="05A0AB8B" w14:textId="77777777" w:rsidTr="00063687">
        <w:trPr>
          <w:gridAfter w:val="1"/>
          <w:wAfter w:w="628" w:type="pct"/>
        </w:trPr>
        <w:tc>
          <w:tcPr>
            <w:tcW w:w="642" w:type="pct"/>
            <w:tcBorders>
              <w:top w:val="nil"/>
              <w:left w:val="nil"/>
              <w:bottom w:val="nil"/>
              <w:right w:val="nil"/>
            </w:tcBorders>
          </w:tcPr>
          <w:p w14:paraId="4304B722"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Tail quantile</w:t>
            </w:r>
          </w:p>
          <w:p w14:paraId="26F27AC1"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(national, sectoral)</w:t>
            </w:r>
          </w:p>
        </w:tc>
        <w:tc>
          <w:tcPr>
            <w:tcW w:w="462" w:type="pct"/>
            <w:tcBorders>
              <w:top w:val="nil"/>
              <w:left w:val="nil"/>
              <w:bottom w:val="nil"/>
              <w:right w:val="nil"/>
            </w:tcBorders>
          </w:tcPr>
          <w:p w14:paraId="3F5C0B1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c>
          <w:tcPr>
            <w:tcW w:w="628" w:type="pct"/>
            <w:tcBorders>
              <w:top w:val="nil"/>
              <w:left w:val="nil"/>
              <w:bottom w:val="nil"/>
              <w:right w:val="nil"/>
            </w:tcBorders>
          </w:tcPr>
          <w:p w14:paraId="4921538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p>
        </w:tc>
        <w:tc>
          <w:tcPr>
            <w:tcW w:w="462" w:type="pct"/>
            <w:tcBorders>
              <w:top w:val="nil"/>
              <w:left w:val="nil"/>
              <w:bottom w:val="nil"/>
              <w:right w:val="nil"/>
            </w:tcBorders>
          </w:tcPr>
          <w:p w14:paraId="1E8F5A4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c>
          <w:tcPr>
            <w:tcW w:w="628" w:type="pct"/>
            <w:tcBorders>
              <w:top w:val="nil"/>
              <w:left w:val="nil"/>
              <w:bottom w:val="nil"/>
              <w:right w:val="nil"/>
            </w:tcBorders>
          </w:tcPr>
          <w:p w14:paraId="7C86707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p>
        </w:tc>
        <w:tc>
          <w:tcPr>
            <w:tcW w:w="462" w:type="pct"/>
            <w:tcBorders>
              <w:top w:val="nil"/>
              <w:left w:val="nil"/>
              <w:bottom w:val="nil"/>
              <w:right w:val="nil"/>
            </w:tcBorders>
          </w:tcPr>
          <w:p w14:paraId="4C96556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c>
          <w:tcPr>
            <w:tcW w:w="628" w:type="pct"/>
            <w:tcBorders>
              <w:top w:val="nil"/>
              <w:left w:val="nil"/>
              <w:bottom w:val="nil"/>
              <w:right w:val="nil"/>
            </w:tcBorders>
          </w:tcPr>
          <w:p w14:paraId="3E585E1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c>
          <w:tcPr>
            <w:tcW w:w="462" w:type="pct"/>
            <w:tcBorders>
              <w:top w:val="nil"/>
              <w:left w:val="nil"/>
              <w:bottom w:val="nil"/>
              <w:right w:val="nil"/>
            </w:tcBorders>
          </w:tcPr>
          <w:p w14:paraId="5F1D646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r>
      <w:tr w:rsidR="008F3998" w:rsidRPr="008F3998" w14:paraId="30D6002E" w14:textId="77777777" w:rsidTr="00063687">
        <w:tc>
          <w:tcPr>
            <w:tcW w:w="642" w:type="pct"/>
            <w:tcBorders>
              <w:top w:val="nil"/>
              <w:left w:val="nil"/>
              <w:bottom w:val="nil"/>
              <w:right w:val="nil"/>
            </w:tcBorders>
          </w:tcPr>
          <w:p w14:paraId="7FE19FDA"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Expected shortfall</w:t>
            </w:r>
          </w:p>
          <w:p w14:paraId="0DBE5C6B"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(national, sectoral)</w:t>
            </w:r>
          </w:p>
        </w:tc>
        <w:tc>
          <w:tcPr>
            <w:tcW w:w="462" w:type="pct"/>
            <w:tcBorders>
              <w:top w:val="nil"/>
              <w:left w:val="nil"/>
              <w:bottom w:val="nil"/>
              <w:right w:val="nil"/>
            </w:tcBorders>
          </w:tcPr>
          <w:p w14:paraId="5AEC2FD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0.884</w:t>
            </w:r>
          </w:p>
        </w:tc>
        <w:tc>
          <w:tcPr>
            <w:tcW w:w="628" w:type="pct"/>
            <w:tcBorders>
              <w:top w:val="nil"/>
              <w:left w:val="nil"/>
              <w:bottom w:val="nil"/>
              <w:right w:val="nil"/>
            </w:tcBorders>
          </w:tcPr>
          <w:p w14:paraId="31F4231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c>
          <w:tcPr>
            <w:tcW w:w="462" w:type="pct"/>
            <w:tcBorders>
              <w:top w:val="nil"/>
              <w:left w:val="nil"/>
              <w:bottom w:val="nil"/>
              <w:right w:val="nil"/>
            </w:tcBorders>
          </w:tcPr>
          <w:p w14:paraId="7DF24CD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0.970</w:t>
            </w:r>
          </w:p>
        </w:tc>
        <w:tc>
          <w:tcPr>
            <w:tcW w:w="628" w:type="pct"/>
            <w:tcBorders>
              <w:top w:val="nil"/>
              <w:left w:val="nil"/>
              <w:bottom w:val="nil"/>
              <w:right w:val="nil"/>
            </w:tcBorders>
          </w:tcPr>
          <w:p w14:paraId="5379E19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1.000</w:t>
            </w:r>
          </w:p>
        </w:tc>
        <w:tc>
          <w:tcPr>
            <w:tcW w:w="462" w:type="pct"/>
            <w:tcBorders>
              <w:top w:val="nil"/>
              <w:left w:val="nil"/>
              <w:bottom w:val="nil"/>
              <w:right w:val="nil"/>
            </w:tcBorders>
          </w:tcPr>
          <w:p w14:paraId="05D12F4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0.923</w:t>
            </w:r>
          </w:p>
        </w:tc>
        <w:tc>
          <w:tcPr>
            <w:tcW w:w="628" w:type="pct"/>
            <w:tcBorders>
              <w:top w:val="nil"/>
              <w:left w:val="nil"/>
              <w:bottom w:val="nil"/>
              <w:right w:val="nil"/>
            </w:tcBorders>
          </w:tcPr>
          <w:p w14:paraId="450ECE0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0.923</w:t>
            </w:r>
          </w:p>
        </w:tc>
        <w:tc>
          <w:tcPr>
            <w:tcW w:w="462" w:type="pct"/>
            <w:tcBorders>
              <w:top w:val="nil"/>
              <w:left w:val="nil"/>
              <w:bottom w:val="nil"/>
              <w:right w:val="nil"/>
            </w:tcBorders>
          </w:tcPr>
          <w:p w14:paraId="6403586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0.952</w:t>
            </w:r>
          </w:p>
        </w:tc>
        <w:tc>
          <w:tcPr>
            <w:tcW w:w="628" w:type="pct"/>
            <w:tcBorders>
              <w:top w:val="nil"/>
              <w:left w:val="nil"/>
              <w:bottom w:val="nil"/>
              <w:right w:val="nil"/>
            </w:tcBorders>
          </w:tcPr>
          <w:p w14:paraId="6F62800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0.952</w:t>
            </w:r>
          </w:p>
        </w:tc>
      </w:tr>
      <w:tr w:rsidR="008F3998" w:rsidRPr="008F3998" w14:paraId="0637DF35" w14:textId="77777777" w:rsidTr="00063687">
        <w:tc>
          <w:tcPr>
            <w:tcW w:w="642" w:type="pct"/>
            <w:tcBorders>
              <w:top w:val="nil"/>
              <w:left w:val="nil"/>
              <w:bottom w:val="nil"/>
              <w:right w:val="nil"/>
            </w:tcBorders>
          </w:tcPr>
          <w:p w14:paraId="1CD1BFC0"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CO</w:t>
            </w:r>
            <w:r w:rsidRPr="008F3998">
              <w:rPr>
                <w:rFonts w:ascii="Times New Roman" w:hAnsi="Times New Roman" w:cs="Times New Roman"/>
                <w:sz w:val="20"/>
                <w:szCs w:val="20"/>
                <w:vertAlign w:val="subscript"/>
              </w:rPr>
              <w:t>2</w:t>
            </w:r>
          </w:p>
        </w:tc>
        <w:tc>
          <w:tcPr>
            <w:tcW w:w="462" w:type="pct"/>
            <w:tcBorders>
              <w:top w:val="nil"/>
              <w:left w:val="nil"/>
              <w:bottom w:val="nil"/>
              <w:right w:val="nil"/>
            </w:tcBorders>
          </w:tcPr>
          <w:p w14:paraId="35B5F6D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0.338</w:t>
            </w:r>
          </w:p>
        </w:tc>
        <w:tc>
          <w:tcPr>
            <w:tcW w:w="628" w:type="pct"/>
            <w:tcBorders>
              <w:top w:val="nil"/>
              <w:left w:val="nil"/>
              <w:bottom w:val="nil"/>
              <w:right w:val="nil"/>
            </w:tcBorders>
          </w:tcPr>
          <w:p w14:paraId="20CAE0D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0.257</w:t>
            </w:r>
          </w:p>
        </w:tc>
        <w:tc>
          <w:tcPr>
            <w:tcW w:w="462" w:type="pct"/>
            <w:tcBorders>
              <w:top w:val="nil"/>
              <w:left w:val="nil"/>
              <w:bottom w:val="nil"/>
              <w:right w:val="nil"/>
            </w:tcBorders>
          </w:tcPr>
          <w:p w14:paraId="22201F9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0.212</w:t>
            </w:r>
          </w:p>
        </w:tc>
        <w:tc>
          <w:tcPr>
            <w:tcW w:w="628" w:type="pct"/>
            <w:tcBorders>
              <w:top w:val="nil"/>
              <w:left w:val="nil"/>
              <w:bottom w:val="nil"/>
              <w:right w:val="nil"/>
            </w:tcBorders>
          </w:tcPr>
          <w:p w14:paraId="456910B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0.109</w:t>
            </w:r>
          </w:p>
        </w:tc>
        <w:tc>
          <w:tcPr>
            <w:tcW w:w="462" w:type="pct"/>
            <w:tcBorders>
              <w:top w:val="nil"/>
              <w:left w:val="nil"/>
              <w:bottom w:val="nil"/>
              <w:right w:val="nil"/>
            </w:tcBorders>
          </w:tcPr>
          <w:p w14:paraId="6AB3180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0.016</w:t>
            </w:r>
          </w:p>
        </w:tc>
        <w:tc>
          <w:tcPr>
            <w:tcW w:w="628" w:type="pct"/>
            <w:tcBorders>
              <w:top w:val="nil"/>
              <w:left w:val="nil"/>
              <w:bottom w:val="nil"/>
              <w:right w:val="nil"/>
            </w:tcBorders>
          </w:tcPr>
          <w:p w14:paraId="73AE367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0.016</w:t>
            </w:r>
          </w:p>
        </w:tc>
        <w:tc>
          <w:tcPr>
            <w:tcW w:w="462" w:type="pct"/>
            <w:tcBorders>
              <w:top w:val="nil"/>
              <w:left w:val="nil"/>
              <w:bottom w:val="nil"/>
              <w:right w:val="nil"/>
            </w:tcBorders>
          </w:tcPr>
          <w:p w14:paraId="7D6D20B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0.033</w:t>
            </w:r>
          </w:p>
        </w:tc>
        <w:tc>
          <w:tcPr>
            <w:tcW w:w="628" w:type="pct"/>
            <w:tcBorders>
              <w:top w:val="nil"/>
              <w:left w:val="nil"/>
              <w:bottom w:val="nil"/>
              <w:right w:val="nil"/>
            </w:tcBorders>
          </w:tcPr>
          <w:p w14:paraId="5E8DEFD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0.033</w:t>
            </w:r>
          </w:p>
        </w:tc>
      </w:tr>
      <w:tr w:rsidR="008F3998" w:rsidRPr="008F3998" w14:paraId="1AC2D568" w14:textId="77777777" w:rsidTr="00063687">
        <w:tc>
          <w:tcPr>
            <w:tcW w:w="642" w:type="pct"/>
            <w:tcBorders>
              <w:top w:val="nil"/>
              <w:left w:val="nil"/>
              <w:bottom w:val="nil"/>
              <w:right w:val="nil"/>
            </w:tcBorders>
          </w:tcPr>
          <w:p w14:paraId="287AB9A4"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debtgdp</w:t>
            </w:r>
            <w:proofErr w:type="spellEnd"/>
          </w:p>
        </w:tc>
        <w:tc>
          <w:tcPr>
            <w:tcW w:w="462" w:type="pct"/>
            <w:tcBorders>
              <w:top w:val="nil"/>
              <w:left w:val="nil"/>
              <w:bottom w:val="nil"/>
              <w:right w:val="nil"/>
            </w:tcBorders>
          </w:tcPr>
          <w:p w14:paraId="073083B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-0.296</w:t>
            </w:r>
          </w:p>
        </w:tc>
        <w:tc>
          <w:tcPr>
            <w:tcW w:w="628" w:type="pct"/>
            <w:tcBorders>
              <w:top w:val="nil"/>
              <w:left w:val="nil"/>
              <w:bottom w:val="nil"/>
              <w:right w:val="nil"/>
            </w:tcBorders>
          </w:tcPr>
          <w:p w14:paraId="6B39299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-0.194</w:t>
            </w:r>
          </w:p>
        </w:tc>
        <w:tc>
          <w:tcPr>
            <w:tcW w:w="462" w:type="pct"/>
            <w:tcBorders>
              <w:top w:val="nil"/>
              <w:left w:val="nil"/>
              <w:bottom w:val="nil"/>
              <w:right w:val="nil"/>
            </w:tcBorders>
          </w:tcPr>
          <w:p w14:paraId="0AFC7AB8"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-0.101</w:t>
            </w:r>
          </w:p>
        </w:tc>
        <w:tc>
          <w:tcPr>
            <w:tcW w:w="628" w:type="pct"/>
            <w:tcBorders>
              <w:top w:val="nil"/>
              <w:left w:val="nil"/>
              <w:bottom w:val="nil"/>
              <w:right w:val="nil"/>
            </w:tcBorders>
          </w:tcPr>
          <w:p w14:paraId="12FC8CA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-0.123</w:t>
            </w:r>
          </w:p>
        </w:tc>
        <w:tc>
          <w:tcPr>
            <w:tcW w:w="462" w:type="pct"/>
            <w:tcBorders>
              <w:top w:val="nil"/>
              <w:left w:val="nil"/>
              <w:bottom w:val="nil"/>
              <w:right w:val="nil"/>
            </w:tcBorders>
          </w:tcPr>
          <w:p w14:paraId="7DABE7A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-0.277</w:t>
            </w:r>
          </w:p>
        </w:tc>
        <w:tc>
          <w:tcPr>
            <w:tcW w:w="628" w:type="pct"/>
            <w:tcBorders>
              <w:top w:val="nil"/>
              <w:left w:val="nil"/>
              <w:bottom w:val="nil"/>
              <w:right w:val="nil"/>
            </w:tcBorders>
          </w:tcPr>
          <w:p w14:paraId="46E2285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-0.277</w:t>
            </w:r>
          </w:p>
        </w:tc>
        <w:tc>
          <w:tcPr>
            <w:tcW w:w="462" w:type="pct"/>
            <w:tcBorders>
              <w:top w:val="nil"/>
              <w:left w:val="nil"/>
              <w:bottom w:val="nil"/>
              <w:right w:val="nil"/>
            </w:tcBorders>
          </w:tcPr>
          <w:p w14:paraId="6D3165A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-0.185</w:t>
            </w:r>
          </w:p>
        </w:tc>
        <w:tc>
          <w:tcPr>
            <w:tcW w:w="628" w:type="pct"/>
            <w:tcBorders>
              <w:top w:val="nil"/>
              <w:left w:val="nil"/>
              <w:bottom w:val="nil"/>
              <w:right w:val="nil"/>
            </w:tcBorders>
          </w:tcPr>
          <w:p w14:paraId="1B1549F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-0.185</w:t>
            </w:r>
          </w:p>
        </w:tc>
      </w:tr>
      <w:tr w:rsidR="008F3998" w:rsidRPr="008F3998" w14:paraId="34244726" w14:textId="77777777" w:rsidTr="00063687">
        <w:tc>
          <w:tcPr>
            <w:tcW w:w="642" w:type="pct"/>
            <w:tcBorders>
              <w:top w:val="nil"/>
              <w:left w:val="nil"/>
              <w:bottom w:val="nil"/>
              <w:right w:val="nil"/>
            </w:tcBorders>
          </w:tcPr>
          <w:p w14:paraId="3F81C05C"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totvol</w:t>
            </w:r>
            <w:proofErr w:type="spellEnd"/>
          </w:p>
        </w:tc>
        <w:tc>
          <w:tcPr>
            <w:tcW w:w="462" w:type="pct"/>
            <w:tcBorders>
              <w:top w:val="nil"/>
              <w:left w:val="nil"/>
              <w:bottom w:val="nil"/>
              <w:right w:val="nil"/>
            </w:tcBorders>
          </w:tcPr>
          <w:p w14:paraId="6FBD717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0.058</w:t>
            </w:r>
          </w:p>
        </w:tc>
        <w:tc>
          <w:tcPr>
            <w:tcW w:w="628" w:type="pct"/>
            <w:tcBorders>
              <w:top w:val="nil"/>
              <w:left w:val="nil"/>
              <w:bottom w:val="nil"/>
              <w:right w:val="nil"/>
            </w:tcBorders>
          </w:tcPr>
          <w:p w14:paraId="51B7FA7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0.032</w:t>
            </w:r>
          </w:p>
        </w:tc>
        <w:tc>
          <w:tcPr>
            <w:tcW w:w="462" w:type="pct"/>
            <w:tcBorders>
              <w:top w:val="nil"/>
              <w:left w:val="nil"/>
              <w:bottom w:val="nil"/>
              <w:right w:val="nil"/>
            </w:tcBorders>
          </w:tcPr>
          <w:p w14:paraId="1A0F8AB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0.160</w:t>
            </w:r>
          </w:p>
        </w:tc>
        <w:tc>
          <w:tcPr>
            <w:tcW w:w="628" w:type="pct"/>
            <w:tcBorders>
              <w:top w:val="nil"/>
              <w:left w:val="nil"/>
              <w:bottom w:val="nil"/>
              <w:right w:val="nil"/>
            </w:tcBorders>
          </w:tcPr>
          <w:p w14:paraId="61490A6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0.123</w:t>
            </w:r>
          </w:p>
        </w:tc>
        <w:tc>
          <w:tcPr>
            <w:tcW w:w="462" w:type="pct"/>
            <w:tcBorders>
              <w:top w:val="nil"/>
              <w:left w:val="nil"/>
              <w:bottom w:val="nil"/>
              <w:right w:val="nil"/>
            </w:tcBorders>
          </w:tcPr>
          <w:p w14:paraId="4A22258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-0.053</w:t>
            </w:r>
          </w:p>
        </w:tc>
        <w:tc>
          <w:tcPr>
            <w:tcW w:w="628" w:type="pct"/>
            <w:tcBorders>
              <w:top w:val="nil"/>
              <w:left w:val="nil"/>
              <w:bottom w:val="nil"/>
              <w:right w:val="nil"/>
            </w:tcBorders>
          </w:tcPr>
          <w:p w14:paraId="1B05B64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-0.053</w:t>
            </w:r>
          </w:p>
        </w:tc>
        <w:tc>
          <w:tcPr>
            <w:tcW w:w="462" w:type="pct"/>
            <w:tcBorders>
              <w:top w:val="nil"/>
              <w:left w:val="nil"/>
              <w:bottom w:val="nil"/>
              <w:right w:val="nil"/>
            </w:tcBorders>
          </w:tcPr>
          <w:p w14:paraId="452DC72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0.002</w:t>
            </w:r>
          </w:p>
        </w:tc>
        <w:tc>
          <w:tcPr>
            <w:tcW w:w="628" w:type="pct"/>
            <w:tcBorders>
              <w:top w:val="nil"/>
              <w:left w:val="nil"/>
              <w:bottom w:val="nil"/>
              <w:right w:val="nil"/>
            </w:tcBorders>
          </w:tcPr>
          <w:p w14:paraId="083D564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0.002</w:t>
            </w:r>
          </w:p>
        </w:tc>
      </w:tr>
      <w:tr w:rsidR="008F3998" w:rsidRPr="008F3998" w14:paraId="413FCC19" w14:textId="77777777" w:rsidTr="00063687">
        <w:tc>
          <w:tcPr>
            <w:tcW w:w="642" w:type="pct"/>
            <w:tcBorders>
              <w:top w:val="nil"/>
              <w:left w:val="nil"/>
              <w:bottom w:val="nil"/>
              <w:right w:val="nil"/>
            </w:tcBorders>
          </w:tcPr>
          <w:p w14:paraId="6ECA56B7"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exr</w:t>
            </w:r>
            <w:proofErr w:type="spellEnd"/>
          </w:p>
        </w:tc>
        <w:tc>
          <w:tcPr>
            <w:tcW w:w="462" w:type="pct"/>
            <w:tcBorders>
              <w:top w:val="nil"/>
              <w:left w:val="nil"/>
              <w:bottom w:val="nil"/>
              <w:right w:val="nil"/>
            </w:tcBorders>
          </w:tcPr>
          <w:p w14:paraId="636DA97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0.055</w:t>
            </w:r>
          </w:p>
        </w:tc>
        <w:tc>
          <w:tcPr>
            <w:tcW w:w="628" w:type="pct"/>
            <w:tcBorders>
              <w:top w:val="nil"/>
              <w:left w:val="nil"/>
              <w:bottom w:val="nil"/>
              <w:right w:val="nil"/>
            </w:tcBorders>
          </w:tcPr>
          <w:p w14:paraId="010BCF6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0.110</w:t>
            </w:r>
          </w:p>
        </w:tc>
        <w:tc>
          <w:tcPr>
            <w:tcW w:w="462" w:type="pct"/>
            <w:tcBorders>
              <w:top w:val="nil"/>
              <w:left w:val="nil"/>
              <w:bottom w:val="nil"/>
              <w:right w:val="nil"/>
            </w:tcBorders>
          </w:tcPr>
          <w:p w14:paraId="3D2004E6"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0.124</w:t>
            </w:r>
          </w:p>
        </w:tc>
        <w:tc>
          <w:tcPr>
            <w:tcW w:w="628" w:type="pct"/>
            <w:tcBorders>
              <w:top w:val="nil"/>
              <w:left w:val="nil"/>
              <w:bottom w:val="nil"/>
              <w:right w:val="nil"/>
            </w:tcBorders>
          </w:tcPr>
          <w:p w14:paraId="1068AFA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0.135</w:t>
            </w:r>
          </w:p>
        </w:tc>
        <w:tc>
          <w:tcPr>
            <w:tcW w:w="462" w:type="pct"/>
            <w:tcBorders>
              <w:top w:val="nil"/>
              <w:left w:val="nil"/>
              <w:bottom w:val="nil"/>
              <w:right w:val="nil"/>
            </w:tcBorders>
          </w:tcPr>
          <w:p w14:paraId="1B27F656"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0.075</w:t>
            </w:r>
          </w:p>
        </w:tc>
        <w:tc>
          <w:tcPr>
            <w:tcW w:w="628" w:type="pct"/>
            <w:tcBorders>
              <w:top w:val="nil"/>
              <w:left w:val="nil"/>
              <w:bottom w:val="nil"/>
              <w:right w:val="nil"/>
            </w:tcBorders>
          </w:tcPr>
          <w:p w14:paraId="6721F218"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0.075</w:t>
            </w:r>
          </w:p>
        </w:tc>
        <w:tc>
          <w:tcPr>
            <w:tcW w:w="462" w:type="pct"/>
            <w:tcBorders>
              <w:top w:val="nil"/>
              <w:left w:val="nil"/>
              <w:bottom w:val="nil"/>
              <w:right w:val="nil"/>
            </w:tcBorders>
          </w:tcPr>
          <w:p w14:paraId="1C516D0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0.183</w:t>
            </w:r>
          </w:p>
        </w:tc>
        <w:tc>
          <w:tcPr>
            <w:tcW w:w="628" w:type="pct"/>
            <w:tcBorders>
              <w:top w:val="nil"/>
              <w:left w:val="nil"/>
              <w:bottom w:val="nil"/>
              <w:right w:val="nil"/>
            </w:tcBorders>
          </w:tcPr>
          <w:p w14:paraId="7AD10F2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0.183</w:t>
            </w:r>
          </w:p>
        </w:tc>
      </w:tr>
      <w:tr w:rsidR="008F3998" w:rsidRPr="008F3998" w14:paraId="12608F30" w14:textId="77777777" w:rsidTr="00063687">
        <w:tc>
          <w:tcPr>
            <w:tcW w:w="642" w:type="pct"/>
            <w:tcBorders>
              <w:top w:val="nil"/>
              <w:left w:val="nil"/>
              <w:bottom w:val="nil"/>
              <w:right w:val="nil"/>
            </w:tcBorders>
          </w:tcPr>
          <w:p w14:paraId="4785AF14"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reserves</w:t>
            </w:r>
          </w:p>
        </w:tc>
        <w:tc>
          <w:tcPr>
            <w:tcW w:w="462" w:type="pct"/>
            <w:tcBorders>
              <w:top w:val="nil"/>
              <w:left w:val="nil"/>
              <w:bottom w:val="nil"/>
              <w:right w:val="nil"/>
            </w:tcBorders>
          </w:tcPr>
          <w:p w14:paraId="6E9A5D7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-0.088</w:t>
            </w:r>
          </w:p>
        </w:tc>
        <w:tc>
          <w:tcPr>
            <w:tcW w:w="628" w:type="pct"/>
            <w:tcBorders>
              <w:top w:val="nil"/>
              <w:left w:val="nil"/>
              <w:bottom w:val="nil"/>
              <w:right w:val="nil"/>
            </w:tcBorders>
          </w:tcPr>
          <w:p w14:paraId="330192B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-0.018</w:t>
            </w:r>
          </w:p>
        </w:tc>
        <w:tc>
          <w:tcPr>
            <w:tcW w:w="462" w:type="pct"/>
            <w:tcBorders>
              <w:top w:val="nil"/>
              <w:left w:val="nil"/>
              <w:bottom w:val="nil"/>
              <w:right w:val="nil"/>
            </w:tcBorders>
          </w:tcPr>
          <w:p w14:paraId="5E65B478"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0.061</w:t>
            </w:r>
          </w:p>
        </w:tc>
        <w:tc>
          <w:tcPr>
            <w:tcW w:w="628" w:type="pct"/>
            <w:tcBorders>
              <w:top w:val="nil"/>
              <w:left w:val="nil"/>
              <w:bottom w:val="nil"/>
              <w:right w:val="nil"/>
            </w:tcBorders>
          </w:tcPr>
          <w:p w14:paraId="7EC9387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0.052</w:t>
            </w:r>
          </w:p>
        </w:tc>
        <w:tc>
          <w:tcPr>
            <w:tcW w:w="462" w:type="pct"/>
            <w:tcBorders>
              <w:top w:val="nil"/>
              <w:left w:val="nil"/>
              <w:bottom w:val="nil"/>
              <w:right w:val="nil"/>
            </w:tcBorders>
          </w:tcPr>
          <w:p w14:paraId="0887CAA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-0.103</w:t>
            </w:r>
          </w:p>
        </w:tc>
        <w:tc>
          <w:tcPr>
            <w:tcW w:w="628" w:type="pct"/>
            <w:tcBorders>
              <w:top w:val="nil"/>
              <w:left w:val="nil"/>
              <w:bottom w:val="nil"/>
              <w:right w:val="nil"/>
            </w:tcBorders>
          </w:tcPr>
          <w:p w14:paraId="5C77378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-0.103</w:t>
            </w:r>
          </w:p>
        </w:tc>
        <w:tc>
          <w:tcPr>
            <w:tcW w:w="462" w:type="pct"/>
            <w:tcBorders>
              <w:top w:val="nil"/>
              <w:left w:val="nil"/>
              <w:bottom w:val="nil"/>
              <w:right w:val="nil"/>
            </w:tcBorders>
          </w:tcPr>
          <w:p w14:paraId="6499E00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0.068</w:t>
            </w:r>
          </w:p>
        </w:tc>
        <w:tc>
          <w:tcPr>
            <w:tcW w:w="628" w:type="pct"/>
            <w:tcBorders>
              <w:top w:val="nil"/>
              <w:left w:val="nil"/>
              <w:bottom w:val="nil"/>
              <w:right w:val="nil"/>
            </w:tcBorders>
          </w:tcPr>
          <w:p w14:paraId="7E335569"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0.068</w:t>
            </w:r>
          </w:p>
        </w:tc>
      </w:tr>
      <w:tr w:rsidR="008F3998" w:rsidRPr="008F3998" w14:paraId="04DED28A" w14:textId="77777777" w:rsidTr="00063687">
        <w:tc>
          <w:tcPr>
            <w:tcW w:w="642" w:type="pct"/>
            <w:tcBorders>
              <w:top w:val="nil"/>
              <w:left w:val="nil"/>
              <w:bottom w:val="nil"/>
              <w:right w:val="nil"/>
            </w:tcBorders>
          </w:tcPr>
          <w:p w14:paraId="1D61E999"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locfin</w:t>
            </w:r>
            <w:proofErr w:type="spellEnd"/>
          </w:p>
        </w:tc>
        <w:tc>
          <w:tcPr>
            <w:tcW w:w="462" w:type="pct"/>
            <w:tcBorders>
              <w:top w:val="nil"/>
              <w:left w:val="nil"/>
              <w:bottom w:val="nil"/>
              <w:right w:val="nil"/>
            </w:tcBorders>
          </w:tcPr>
          <w:p w14:paraId="504B5F28"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0.077</w:t>
            </w:r>
          </w:p>
        </w:tc>
        <w:tc>
          <w:tcPr>
            <w:tcW w:w="628" w:type="pct"/>
            <w:tcBorders>
              <w:top w:val="nil"/>
              <w:left w:val="nil"/>
              <w:bottom w:val="nil"/>
              <w:right w:val="nil"/>
            </w:tcBorders>
          </w:tcPr>
          <w:p w14:paraId="768E73C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0.019</w:t>
            </w:r>
          </w:p>
        </w:tc>
        <w:tc>
          <w:tcPr>
            <w:tcW w:w="462" w:type="pct"/>
            <w:tcBorders>
              <w:top w:val="nil"/>
              <w:left w:val="nil"/>
              <w:bottom w:val="nil"/>
              <w:right w:val="nil"/>
            </w:tcBorders>
          </w:tcPr>
          <w:p w14:paraId="51FD3306"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-0.015</w:t>
            </w:r>
          </w:p>
        </w:tc>
        <w:tc>
          <w:tcPr>
            <w:tcW w:w="628" w:type="pct"/>
            <w:tcBorders>
              <w:top w:val="nil"/>
              <w:left w:val="nil"/>
              <w:bottom w:val="nil"/>
              <w:right w:val="nil"/>
            </w:tcBorders>
          </w:tcPr>
          <w:p w14:paraId="799B45D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0.091</w:t>
            </w:r>
          </w:p>
        </w:tc>
        <w:tc>
          <w:tcPr>
            <w:tcW w:w="462" w:type="pct"/>
            <w:tcBorders>
              <w:top w:val="nil"/>
              <w:left w:val="nil"/>
              <w:bottom w:val="nil"/>
              <w:right w:val="nil"/>
            </w:tcBorders>
          </w:tcPr>
          <w:p w14:paraId="54D25E8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0.220</w:t>
            </w:r>
          </w:p>
        </w:tc>
        <w:tc>
          <w:tcPr>
            <w:tcW w:w="628" w:type="pct"/>
            <w:tcBorders>
              <w:top w:val="nil"/>
              <w:left w:val="nil"/>
              <w:bottom w:val="nil"/>
              <w:right w:val="nil"/>
            </w:tcBorders>
          </w:tcPr>
          <w:p w14:paraId="258262B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0.220</w:t>
            </w:r>
          </w:p>
        </w:tc>
        <w:tc>
          <w:tcPr>
            <w:tcW w:w="462" w:type="pct"/>
            <w:tcBorders>
              <w:top w:val="nil"/>
              <w:left w:val="nil"/>
              <w:bottom w:val="nil"/>
              <w:right w:val="nil"/>
            </w:tcBorders>
          </w:tcPr>
          <w:p w14:paraId="1611433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0.360</w:t>
            </w:r>
          </w:p>
        </w:tc>
        <w:tc>
          <w:tcPr>
            <w:tcW w:w="628" w:type="pct"/>
            <w:tcBorders>
              <w:top w:val="nil"/>
              <w:left w:val="nil"/>
              <w:bottom w:val="nil"/>
              <w:right w:val="nil"/>
            </w:tcBorders>
          </w:tcPr>
          <w:p w14:paraId="2F4BAAA9"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0.360</w:t>
            </w:r>
          </w:p>
        </w:tc>
      </w:tr>
      <w:tr w:rsidR="008F3998" w:rsidRPr="008F3998" w14:paraId="57779F4C" w14:textId="77777777" w:rsidTr="00063687">
        <w:tc>
          <w:tcPr>
            <w:tcW w:w="642" w:type="pct"/>
            <w:tcBorders>
              <w:top w:val="nil"/>
              <w:left w:val="nil"/>
              <w:bottom w:val="nil"/>
              <w:right w:val="nil"/>
            </w:tcBorders>
          </w:tcPr>
          <w:p w14:paraId="733FB3FF"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stmvol</w:t>
            </w:r>
            <w:proofErr w:type="spellEnd"/>
          </w:p>
        </w:tc>
        <w:tc>
          <w:tcPr>
            <w:tcW w:w="462" w:type="pct"/>
            <w:tcBorders>
              <w:top w:val="nil"/>
              <w:left w:val="nil"/>
              <w:bottom w:val="nil"/>
              <w:right w:val="nil"/>
            </w:tcBorders>
          </w:tcPr>
          <w:p w14:paraId="6DE942D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-0.007</w:t>
            </w:r>
          </w:p>
        </w:tc>
        <w:tc>
          <w:tcPr>
            <w:tcW w:w="628" w:type="pct"/>
            <w:tcBorders>
              <w:top w:val="nil"/>
              <w:left w:val="nil"/>
              <w:bottom w:val="nil"/>
              <w:right w:val="nil"/>
            </w:tcBorders>
          </w:tcPr>
          <w:p w14:paraId="28B6CA4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-0.059</w:t>
            </w:r>
          </w:p>
        </w:tc>
        <w:tc>
          <w:tcPr>
            <w:tcW w:w="462" w:type="pct"/>
            <w:tcBorders>
              <w:top w:val="nil"/>
              <w:left w:val="nil"/>
              <w:bottom w:val="nil"/>
              <w:right w:val="nil"/>
            </w:tcBorders>
          </w:tcPr>
          <w:p w14:paraId="077A4C2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-0.207</w:t>
            </w:r>
          </w:p>
        </w:tc>
        <w:tc>
          <w:tcPr>
            <w:tcW w:w="628" w:type="pct"/>
            <w:tcBorders>
              <w:top w:val="nil"/>
              <w:left w:val="nil"/>
              <w:bottom w:val="nil"/>
              <w:right w:val="nil"/>
            </w:tcBorders>
          </w:tcPr>
          <w:p w14:paraId="79C91A09"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-0.114</w:t>
            </w:r>
          </w:p>
        </w:tc>
        <w:tc>
          <w:tcPr>
            <w:tcW w:w="462" w:type="pct"/>
            <w:tcBorders>
              <w:top w:val="nil"/>
              <w:left w:val="nil"/>
              <w:bottom w:val="nil"/>
              <w:right w:val="nil"/>
            </w:tcBorders>
          </w:tcPr>
          <w:p w14:paraId="32F8B43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0.073</w:t>
            </w:r>
          </w:p>
        </w:tc>
        <w:tc>
          <w:tcPr>
            <w:tcW w:w="628" w:type="pct"/>
            <w:tcBorders>
              <w:top w:val="nil"/>
              <w:left w:val="nil"/>
              <w:bottom w:val="nil"/>
              <w:right w:val="nil"/>
            </w:tcBorders>
          </w:tcPr>
          <w:p w14:paraId="0A279AC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0.073</w:t>
            </w:r>
          </w:p>
        </w:tc>
        <w:tc>
          <w:tcPr>
            <w:tcW w:w="462" w:type="pct"/>
            <w:tcBorders>
              <w:top w:val="nil"/>
              <w:left w:val="nil"/>
              <w:bottom w:val="nil"/>
              <w:right w:val="nil"/>
            </w:tcBorders>
          </w:tcPr>
          <w:p w14:paraId="2C6A49A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0.235</w:t>
            </w:r>
          </w:p>
        </w:tc>
        <w:tc>
          <w:tcPr>
            <w:tcW w:w="628" w:type="pct"/>
            <w:tcBorders>
              <w:top w:val="nil"/>
              <w:left w:val="nil"/>
              <w:bottom w:val="nil"/>
              <w:right w:val="nil"/>
            </w:tcBorders>
          </w:tcPr>
          <w:p w14:paraId="0498080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0.235</w:t>
            </w:r>
          </w:p>
        </w:tc>
      </w:tr>
      <w:tr w:rsidR="008F3998" w:rsidRPr="008F3998" w14:paraId="0DD3DF79" w14:textId="77777777" w:rsidTr="00063687">
        <w:tc>
          <w:tcPr>
            <w:tcW w:w="642" w:type="pct"/>
            <w:tcBorders>
              <w:top w:val="nil"/>
              <w:left w:val="nil"/>
              <w:bottom w:val="nil"/>
              <w:right w:val="nil"/>
            </w:tcBorders>
          </w:tcPr>
          <w:p w14:paraId="23270266"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finmar</w:t>
            </w:r>
            <w:proofErr w:type="spellEnd"/>
          </w:p>
        </w:tc>
        <w:tc>
          <w:tcPr>
            <w:tcW w:w="462" w:type="pct"/>
            <w:tcBorders>
              <w:top w:val="nil"/>
              <w:left w:val="nil"/>
              <w:bottom w:val="nil"/>
              <w:right w:val="nil"/>
            </w:tcBorders>
          </w:tcPr>
          <w:p w14:paraId="2A93CA1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0.570</w:t>
            </w:r>
          </w:p>
        </w:tc>
        <w:tc>
          <w:tcPr>
            <w:tcW w:w="628" w:type="pct"/>
            <w:tcBorders>
              <w:top w:val="nil"/>
              <w:left w:val="nil"/>
              <w:bottom w:val="nil"/>
              <w:right w:val="nil"/>
            </w:tcBorders>
          </w:tcPr>
          <w:p w14:paraId="02BC8F5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0.535</w:t>
            </w:r>
          </w:p>
        </w:tc>
        <w:tc>
          <w:tcPr>
            <w:tcW w:w="462" w:type="pct"/>
            <w:tcBorders>
              <w:top w:val="nil"/>
              <w:left w:val="nil"/>
              <w:bottom w:val="nil"/>
              <w:right w:val="nil"/>
            </w:tcBorders>
          </w:tcPr>
          <w:p w14:paraId="16D33B1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0.118</w:t>
            </w:r>
          </w:p>
        </w:tc>
        <w:tc>
          <w:tcPr>
            <w:tcW w:w="628" w:type="pct"/>
            <w:tcBorders>
              <w:top w:val="nil"/>
              <w:left w:val="nil"/>
              <w:bottom w:val="nil"/>
              <w:right w:val="nil"/>
            </w:tcBorders>
          </w:tcPr>
          <w:p w14:paraId="408FD12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0.142</w:t>
            </w:r>
          </w:p>
        </w:tc>
        <w:tc>
          <w:tcPr>
            <w:tcW w:w="462" w:type="pct"/>
            <w:tcBorders>
              <w:top w:val="nil"/>
              <w:left w:val="nil"/>
              <w:bottom w:val="nil"/>
              <w:right w:val="nil"/>
            </w:tcBorders>
          </w:tcPr>
          <w:p w14:paraId="6858B60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0.365</w:t>
            </w:r>
          </w:p>
        </w:tc>
        <w:tc>
          <w:tcPr>
            <w:tcW w:w="628" w:type="pct"/>
            <w:tcBorders>
              <w:top w:val="nil"/>
              <w:left w:val="nil"/>
              <w:bottom w:val="nil"/>
              <w:right w:val="nil"/>
            </w:tcBorders>
          </w:tcPr>
          <w:p w14:paraId="2E4C7FC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0.365</w:t>
            </w:r>
          </w:p>
        </w:tc>
        <w:tc>
          <w:tcPr>
            <w:tcW w:w="462" w:type="pct"/>
            <w:tcBorders>
              <w:top w:val="nil"/>
              <w:left w:val="nil"/>
              <w:bottom w:val="nil"/>
              <w:right w:val="nil"/>
            </w:tcBorders>
          </w:tcPr>
          <w:p w14:paraId="47CF4046"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0.370</w:t>
            </w:r>
          </w:p>
        </w:tc>
        <w:tc>
          <w:tcPr>
            <w:tcW w:w="628" w:type="pct"/>
            <w:tcBorders>
              <w:top w:val="nil"/>
              <w:left w:val="nil"/>
              <w:bottom w:val="nil"/>
              <w:right w:val="nil"/>
            </w:tcBorders>
          </w:tcPr>
          <w:p w14:paraId="74E199B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0.370</w:t>
            </w:r>
          </w:p>
        </w:tc>
      </w:tr>
      <w:tr w:rsidR="008F3998" w:rsidRPr="008F3998" w14:paraId="57E1DEA3" w14:textId="77777777" w:rsidTr="00063687">
        <w:tc>
          <w:tcPr>
            <w:tcW w:w="642" w:type="pct"/>
            <w:tcBorders>
              <w:top w:val="nil"/>
              <w:left w:val="nil"/>
              <w:bottom w:val="nil"/>
              <w:right w:val="nil"/>
            </w:tcBorders>
          </w:tcPr>
          <w:p w14:paraId="1430E985"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marmsci</w:t>
            </w:r>
            <w:proofErr w:type="spellEnd"/>
          </w:p>
        </w:tc>
        <w:tc>
          <w:tcPr>
            <w:tcW w:w="462" w:type="pct"/>
            <w:tcBorders>
              <w:top w:val="nil"/>
              <w:left w:val="nil"/>
              <w:bottom w:val="nil"/>
              <w:right w:val="nil"/>
            </w:tcBorders>
          </w:tcPr>
          <w:p w14:paraId="337B4E8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-0.077</w:t>
            </w:r>
          </w:p>
        </w:tc>
        <w:tc>
          <w:tcPr>
            <w:tcW w:w="628" w:type="pct"/>
            <w:tcBorders>
              <w:top w:val="nil"/>
              <w:left w:val="nil"/>
              <w:bottom w:val="nil"/>
              <w:right w:val="nil"/>
            </w:tcBorders>
          </w:tcPr>
          <w:p w14:paraId="1C7FBE1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-0.042</w:t>
            </w:r>
          </w:p>
        </w:tc>
        <w:tc>
          <w:tcPr>
            <w:tcW w:w="462" w:type="pct"/>
            <w:tcBorders>
              <w:top w:val="nil"/>
              <w:left w:val="nil"/>
              <w:bottom w:val="nil"/>
              <w:right w:val="nil"/>
            </w:tcBorders>
          </w:tcPr>
          <w:p w14:paraId="6BAC9BF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-0.153</w:t>
            </w:r>
          </w:p>
        </w:tc>
        <w:tc>
          <w:tcPr>
            <w:tcW w:w="628" w:type="pct"/>
            <w:tcBorders>
              <w:top w:val="nil"/>
              <w:left w:val="nil"/>
              <w:bottom w:val="nil"/>
              <w:right w:val="nil"/>
            </w:tcBorders>
          </w:tcPr>
          <w:p w14:paraId="57E97A7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-0.137</w:t>
            </w:r>
          </w:p>
        </w:tc>
        <w:tc>
          <w:tcPr>
            <w:tcW w:w="462" w:type="pct"/>
            <w:tcBorders>
              <w:top w:val="nil"/>
              <w:left w:val="nil"/>
              <w:bottom w:val="nil"/>
              <w:right w:val="nil"/>
            </w:tcBorders>
          </w:tcPr>
          <w:p w14:paraId="330B6E8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0.030</w:t>
            </w:r>
          </w:p>
        </w:tc>
        <w:tc>
          <w:tcPr>
            <w:tcW w:w="628" w:type="pct"/>
            <w:tcBorders>
              <w:top w:val="nil"/>
              <w:left w:val="nil"/>
              <w:bottom w:val="nil"/>
              <w:right w:val="nil"/>
            </w:tcBorders>
          </w:tcPr>
          <w:p w14:paraId="589B5E2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0.030</w:t>
            </w:r>
          </w:p>
        </w:tc>
        <w:tc>
          <w:tcPr>
            <w:tcW w:w="462" w:type="pct"/>
            <w:tcBorders>
              <w:top w:val="nil"/>
              <w:left w:val="nil"/>
              <w:bottom w:val="nil"/>
              <w:right w:val="nil"/>
            </w:tcBorders>
          </w:tcPr>
          <w:p w14:paraId="5B789BD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-0.156</w:t>
            </w:r>
          </w:p>
        </w:tc>
        <w:tc>
          <w:tcPr>
            <w:tcW w:w="628" w:type="pct"/>
            <w:tcBorders>
              <w:top w:val="nil"/>
              <w:left w:val="nil"/>
              <w:bottom w:val="nil"/>
              <w:right w:val="nil"/>
            </w:tcBorders>
          </w:tcPr>
          <w:p w14:paraId="3D00845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-0.156</w:t>
            </w:r>
          </w:p>
        </w:tc>
      </w:tr>
      <w:tr w:rsidR="008F3998" w:rsidRPr="008F3998" w14:paraId="64B73F2F" w14:textId="77777777" w:rsidTr="00063687">
        <w:tc>
          <w:tcPr>
            <w:tcW w:w="642" w:type="pct"/>
            <w:tcBorders>
              <w:top w:val="nil"/>
              <w:left w:val="nil"/>
              <w:bottom w:val="nil"/>
              <w:right w:val="nil"/>
            </w:tcBorders>
          </w:tcPr>
          <w:p w14:paraId="0F26F5AD"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marcap</w:t>
            </w:r>
            <w:proofErr w:type="spellEnd"/>
          </w:p>
        </w:tc>
        <w:tc>
          <w:tcPr>
            <w:tcW w:w="462" w:type="pct"/>
            <w:tcBorders>
              <w:top w:val="nil"/>
              <w:left w:val="nil"/>
              <w:bottom w:val="nil"/>
              <w:right w:val="nil"/>
            </w:tcBorders>
          </w:tcPr>
          <w:p w14:paraId="64AB94E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-0.083</w:t>
            </w:r>
          </w:p>
        </w:tc>
        <w:tc>
          <w:tcPr>
            <w:tcW w:w="628" w:type="pct"/>
            <w:tcBorders>
              <w:top w:val="nil"/>
              <w:left w:val="nil"/>
              <w:bottom w:val="nil"/>
              <w:right w:val="nil"/>
            </w:tcBorders>
          </w:tcPr>
          <w:p w14:paraId="257B944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0.022</w:t>
            </w:r>
          </w:p>
        </w:tc>
        <w:tc>
          <w:tcPr>
            <w:tcW w:w="462" w:type="pct"/>
            <w:tcBorders>
              <w:top w:val="nil"/>
              <w:left w:val="nil"/>
              <w:bottom w:val="nil"/>
              <w:right w:val="nil"/>
            </w:tcBorders>
          </w:tcPr>
          <w:p w14:paraId="10F4D43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-0.183</w:t>
            </w:r>
          </w:p>
        </w:tc>
        <w:tc>
          <w:tcPr>
            <w:tcW w:w="628" w:type="pct"/>
            <w:tcBorders>
              <w:top w:val="nil"/>
              <w:left w:val="nil"/>
              <w:bottom w:val="nil"/>
              <w:right w:val="nil"/>
            </w:tcBorders>
          </w:tcPr>
          <w:p w14:paraId="1B7D389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-0.240</w:t>
            </w:r>
          </w:p>
        </w:tc>
        <w:tc>
          <w:tcPr>
            <w:tcW w:w="462" w:type="pct"/>
            <w:tcBorders>
              <w:top w:val="nil"/>
              <w:left w:val="nil"/>
              <w:bottom w:val="nil"/>
              <w:right w:val="nil"/>
            </w:tcBorders>
          </w:tcPr>
          <w:p w14:paraId="2DEFC13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-0.173</w:t>
            </w:r>
          </w:p>
        </w:tc>
        <w:tc>
          <w:tcPr>
            <w:tcW w:w="628" w:type="pct"/>
            <w:tcBorders>
              <w:top w:val="nil"/>
              <w:left w:val="nil"/>
              <w:bottom w:val="nil"/>
              <w:right w:val="nil"/>
            </w:tcBorders>
          </w:tcPr>
          <w:p w14:paraId="61D3E06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-0.173</w:t>
            </w:r>
          </w:p>
        </w:tc>
        <w:tc>
          <w:tcPr>
            <w:tcW w:w="462" w:type="pct"/>
            <w:tcBorders>
              <w:top w:val="nil"/>
              <w:left w:val="nil"/>
              <w:bottom w:val="nil"/>
              <w:right w:val="nil"/>
            </w:tcBorders>
          </w:tcPr>
          <w:p w14:paraId="18539FB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-0.111</w:t>
            </w:r>
          </w:p>
        </w:tc>
        <w:tc>
          <w:tcPr>
            <w:tcW w:w="628" w:type="pct"/>
            <w:tcBorders>
              <w:top w:val="nil"/>
              <w:left w:val="nil"/>
              <w:bottom w:val="nil"/>
              <w:right w:val="nil"/>
            </w:tcBorders>
          </w:tcPr>
          <w:p w14:paraId="5B22E4FA"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-0.111</w:t>
            </w:r>
          </w:p>
        </w:tc>
      </w:tr>
      <w:tr w:rsidR="008F3998" w:rsidRPr="008F3998" w14:paraId="4BE6D354" w14:textId="77777777" w:rsidTr="00063687">
        <w:tc>
          <w:tcPr>
            <w:tcW w:w="642" w:type="pct"/>
            <w:tcBorders>
              <w:top w:val="nil"/>
              <w:left w:val="nil"/>
              <w:bottom w:val="nil"/>
              <w:right w:val="nil"/>
            </w:tcBorders>
          </w:tcPr>
          <w:p w14:paraId="64FFCB48"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finmsci</w:t>
            </w:r>
            <w:proofErr w:type="spellEnd"/>
          </w:p>
        </w:tc>
        <w:tc>
          <w:tcPr>
            <w:tcW w:w="462" w:type="pct"/>
            <w:tcBorders>
              <w:top w:val="nil"/>
              <w:left w:val="nil"/>
              <w:bottom w:val="nil"/>
              <w:right w:val="nil"/>
            </w:tcBorders>
          </w:tcPr>
          <w:p w14:paraId="442687D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0.439</w:t>
            </w:r>
          </w:p>
        </w:tc>
        <w:tc>
          <w:tcPr>
            <w:tcW w:w="628" w:type="pct"/>
            <w:tcBorders>
              <w:top w:val="nil"/>
              <w:left w:val="nil"/>
              <w:bottom w:val="nil"/>
              <w:right w:val="nil"/>
            </w:tcBorders>
          </w:tcPr>
          <w:p w14:paraId="1536E2AF"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0.462</w:t>
            </w:r>
          </w:p>
        </w:tc>
        <w:tc>
          <w:tcPr>
            <w:tcW w:w="462" w:type="pct"/>
            <w:tcBorders>
              <w:top w:val="nil"/>
              <w:left w:val="nil"/>
              <w:bottom w:val="nil"/>
              <w:right w:val="nil"/>
            </w:tcBorders>
          </w:tcPr>
          <w:p w14:paraId="75A30C4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-0.003</w:t>
            </w:r>
          </w:p>
        </w:tc>
        <w:tc>
          <w:tcPr>
            <w:tcW w:w="628" w:type="pct"/>
            <w:tcBorders>
              <w:top w:val="nil"/>
              <w:left w:val="nil"/>
              <w:bottom w:val="nil"/>
              <w:right w:val="nil"/>
            </w:tcBorders>
          </w:tcPr>
          <w:p w14:paraId="0B1B8658"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0.032</w:t>
            </w:r>
          </w:p>
        </w:tc>
        <w:tc>
          <w:tcPr>
            <w:tcW w:w="462" w:type="pct"/>
            <w:tcBorders>
              <w:top w:val="nil"/>
              <w:left w:val="nil"/>
              <w:bottom w:val="nil"/>
              <w:right w:val="nil"/>
            </w:tcBorders>
          </w:tcPr>
          <w:p w14:paraId="39FDA36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0.266</w:t>
            </w:r>
          </w:p>
        </w:tc>
        <w:tc>
          <w:tcPr>
            <w:tcW w:w="628" w:type="pct"/>
            <w:tcBorders>
              <w:top w:val="nil"/>
              <w:left w:val="nil"/>
              <w:bottom w:val="nil"/>
              <w:right w:val="nil"/>
            </w:tcBorders>
          </w:tcPr>
          <w:p w14:paraId="5273750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0.266</w:t>
            </w:r>
          </w:p>
        </w:tc>
        <w:tc>
          <w:tcPr>
            <w:tcW w:w="462" w:type="pct"/>
            <w:tcBorders>
              <w:top w:val="nil"/>
              <w:left w:val="nil"/>
              <w:bottom w:val="nil"/>
              <w:right w:val="nil"/>
            </w:tcBorders>
          </w:tcPr>
          <w:p w14:paraId="325E2F2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0.269</w:t>
            </w:r>
          </w:p>
        </w:tc>
        <w:tc>
          <w:tcPr>
            <w:tcW w:w="628" w:type="pct"/>
            <w:tcBorders>
              <w:top w:val="nil"/>
              <w:left w:val="nil"/>
              <w:bottom w:val="nil"/>
              <w:right w:val="nil"/>
            </w:tcBorders>
          </w:tcPr>
          <w:p w14:paraId="6243537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0.269</w:t>
            </w:r>
          </w:p>
        </w:tc>
      </w:tr>
      <w:tr w:rsidR="008F3998" w:rsidRPr="008F3998" w14:paraId="6C174DA9" w14:textId="77777777" w:rsidTr="00063687">
        <w:tc>
          <w:tcPr>
            <w:tcW w:w="642" w:type="pct"/>
            <w:tcBorders>
              <w:top w:val="nil"/>
              <w:left w:val="nil"/>
              <w:bottom w:val="nil"/>
              <w:right w:val="nil"/>
            </w:tcBorders>
          </w:tcPr>
          <w:p w14:paraId="71460D16"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r w:rsidRPr="008F3998">
              <w:rPr>
                <w:rFonts w:ascii="Times New Roman" w:hAnsi="Times New Roman" w:cs="Times New Roman"/>
                <w:sz w:val="20"/>
                <w:szCs w:val="20"/>
              </w:rPr>
              <w:t>stoxx50</w:t>
            </w:r>
          </w:p>
        </w:tc>
        <w:tc>
          <w:tcPr>
            <w:tcW w:w="462" w:type="pct"/>
            <w:tcBorders>
              <w:top w:val="nil"/>
              <w:left w:val="nil"/>
              <w:bottom w:val="nil"/>
              <w:right w:val="nil"/>
            </w:tcBorders>
          </w:tcPr>
          <w:p w14:paraId="2771017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-0.428</w:t>
            </w:r>
          </w:p>
        </w:tc>
        <w:tc>
          <w:tcPr>
            <w:tcW w:w="628" w:type="pct"/>
            <w:tcBorders>
              <w:top w:val="nil"/>
              <w:left w:val="nil"/>
              <w:bottom w:val="nil"/>
              <w:right w:val="nil"/>
            </w:tcBorders>
          </w:tcPr>
          <w:p w14:paraId="3551676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-0.241</w:t>
            </w:r>
          </w:p>
        </w:tc>
        <w:tc>
          <w:tcPr>
            <w:tcW w:w="462" w:type="pct"/>
            <w:tcBorders>
              <w:top w:val="nil"/>
              <w:left w:val="nil"/>
              <w:bottom w:val="nil"/>
              <w:right w:val="nil"/>
            </w:tcBorders>
          </w:tcPr>
          <w:p w14:paraId="0EF7BC79"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-0.390</w:t>
            </w:r>
          </w:p>
        </w:tc>
        <w:tc>
          <w:tcPr>
            <w:tcW w:w="628" w:type="pct"/>
            <w:tcBorders>
              <w:top w:val="nil"/>
              <w:left w:val="nil"/>
              <w:bottom w:val="nil"/>
              <w:right w:val="nil"/>
            </w:tcBorders>
          </w:tcPr>
          <w:p w14:paraId="5106255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-0.402</w:t>
            </w:r>
          </w:p>
        </w:tc>
        <w:tc>
          <w:tcPr>
            <w:tcW w:w="462" w:type="pct"/>
            <w:tcBorders>
              <w:top w:val="nil"/>
              <w:left w:val="nil"/>
              <w:bottom w:val="nil"/>
              <w:right w:val="nil"/>
            </w:tcBorders>
          </w:tcPr>
          <w:p w14:paraId="73D2EA4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-0.631</w:t>
            </w:r>
          </w:p>
        </w:tc>
        <w:tc>
          <w:tcPr>
            <w:tcW w:w="628" w:type="pct"/>
            <w:tcBorders>
              <w:top w:val="nil"/>
              <w:left w:val="nil"/>
              <w:bottom w:val="nil"/>
              <w:right w:val="nil"/>
            </w:tcBorders>
          </w:tcPr>
          <w:p w14:paraId="7D724256"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-0.631</w:t>
            </w:r>
          </w:p>
        </w:tc>
        <w:tc>
          <w:tcPr>
            <w:tcW w:w="462" w:type="pct"/>
            <w:tcBorders>
              <w:top w:val="nil"/>
              <w:left w:val="nil"/>
              <w:bottom w:val="nil"/>
              <w:right w:val="nil"/>
            </w:tcBorders>
          </w:tcPr>
          <w:p w14:paraId="2367E56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-0.246</w:t>
            </w:r>
          </w:p>
        </w:tc>
        <w:tc>
          <w:tcPr>
            <w:tcW w:w="628" w:type="pct"/>
            <w:tcBorders>
              <w:top w:val="nil"/>
              <w:left w:val="nil"/>
              <w:bottom w:val="nil"/>
              <w:right w:val="nil"/>
            </w:tcBorders>
          </w:tcPr>
          <w:p w14:paraId="63D7E273"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-0.246</w:t>
            </w:r>
          </w:p>
        </w:tc>
      </w:tr>
      <w:tr w:rsidR="008F3998" w:rsidRPr="008F3998" w14:paraId="6BF41DE6" w14:textId="77777777" w:rsidTr="00063687">
        <w:tc>
          <w:tcPr>
            <w:tcW w:w="642" w:type="pct"/>
            <w:tcBorders>
              <w:top w:val="nil"/>
              <w:left w:val="nil"/>
              <w:bottom w:val="nil"/>
              <w:right w:val="nil"/>
            </w:tcBorders>
          </w:tcPr>
          <w:p w14:paraId="550B3E36"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hyyield</w:t>
            </w:r>
            <w:proofErr w:type="spellEnd"/>
          </w:p>
        </w:tc>
        <w:tc>
          <w:tcPr>
            <w:tcW w:w="462" w:type="pct"/>
            <w:tcBorders>
              <w:top w:val="nil"/>
              <w:left w:val="nil"/>
              <w:bottom w:val="nil"/>
              <w:right w:val="nil"/>
            </w:tcBorders>
          </w:tcPr>
          <w:p w14:paraId="2B5E7429"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-0.170</w:t>
            </w:r>
          </w:p>
        </w:tc>
        <w:tc>
          <w:tcPr>
            <w:tcW w:w="628" w:type="pct"/>
            <w:tcBorders>
              <w:top w:val="nil"/>
              <w:left w:val="nil"/>
              <w:bottom w:val="nil"/>
              <w:right w:val="nil"/>
            </w:tcBorders>
          </w:tcPr>
          <w:p w14:paraId="619B1AD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-0.005</w:t>
            </w:r>
          </w:p>
        </w:tc>
        <w:tc>
          <w:tcPr>
            <w:tcW w:w="462" w:type="pct"/>
            <w:tcBorders>
              <w:top w:val="nil"/>
              <w:left w:val="nil"/>
              <w:bottom w:val="nil"/>
              <w:right w:val="nil"/>
            </w:tcBorders>
          </w:tcPr>
          <w:p w14:paraId="1662858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-0.207</w:t>
            </w:r>
          </w:p>
        </w:tc>
        <w:tc>
          <w:tcPr>
            <w:tcW w:w="628" w:type="pct"/>
            <w:tcBorders>
              <w:top w:val="nil"/>
              <w:left w:val="nil"/>
              <w:bottom w:val="nil"/>
              <w:right w:val="nil"/>
            </w:tcBorders>
          </w:tcPr>
          <w:p w14:paraId="5CAA2FF6"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-0.248</w:t>
            </w:r>
          </w:p>
        </w:tc>
        <w:tc>
          <w:tcPr>
            <w:tcW w:w="462" w:type="pct"/>
            <w:tcBorders>
              <w:top w:val="nil"/>
              <w:left w:val="nil"/>
              <w:bottom w:val="nil"/>
              <w:right w:val="nil"/>
            </w:tcBorders>
          </w:tcPr>
          <w:p w14:paraId="07FEE3F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-0.285</w:t>
            </w:r>
          </w:p>
        </w:tc>
        <w:tc>
          <w:tcPr>
            <w:tcW w:w="628" w:type="pct"/>
            <w:tcBorders>
              <w:top w:val="nil"/>
              <w:left w:val="nil"/>
              <w:bottom w:val="nil"/>
              <w:right w:val="nil"/>
            </w:tcBorders>
          </w:tcPr>
          <w:p w14:paraId="587CF87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-0.285</w:t>
            </w:r>
          </w:p>
        </w:tc>
        <w:tc>
          <w:tcPr>
            <w:tcW w:w="462" w:type="pct"/>
            <w:tcBorders>
              <w:top w:val="nil"/>
              <w:left w:val="nil"/>
              <w:bottom w:val="nil"/>
              <w:right w:val="nil"/>
            </w:tcBorders>
          </w:tcPr>
          <w:p w14:paraId="4D53BBE0"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-0.232</w:t>
            </w:r>
          </w:p>
        </w:tc>
        <w:tc>
          <w:tcPr>
            <w:tcW w:w="628" w:type="pct"/>
            <w:tcBorders>
              <w:top w:val="nil"/>
              <w:left w:val="nil"/>
              <w:bottom w:val="nil"/>
              <w:right w:val="nil"/>
            </w:tcBorders>
          </w:tcPr>
          <w:p w14:paraId="205B5C64"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-0.232</w:t>
            </w:r>
          </w:p>
        </w:tc>
      </w:tr>
      <w:tr w:rsidR="008F3998" w:rsidRPr="008F3998" w14:paraId="18CEC419" w14:textId="77777777" w:rsidTr="00063687">
        <w:tc>
          <w:tcPr>
            <w:tcW w:w="642" w:type="pct"/>
            <w:tcBorders>
              <w:top w:val="nil"/>
              <w:left w:val="nil"/>
              <w:bottom w:val="single" w:sz="4" w:space="0" w:color="auto"/>
              <w:right w:val="nil"/>
            </w:tcBorders>
          </w:tcPr>
          <w:p w14:paraId="0F2BFBE4" w14:textId="77777777" w:rsidR="00AE7916" w:rsidRPr="008F3998" w:rsidRDefault="00AE7916" w:rsidP="00063687">
            <w:pPr>
              <w:widowControl w:val="0"/>
              <w:autoSpaceDE w:val="0"/>
              <w:autoSpaceDN w:val="0"/>
              <w:adjustRightInd w:val="0"/>
              <w:spacing w:after="0" w:line="240" w:lineRule="auto"/>
              <w:rPr>
                <w:rFonts w:ascii="Times New Roman" w:hAnsi="Times New Roman" w:cs="Times New Roman"/>
                <w:sz w:val="20"/>
                <w:szCs w:val="20"/>
              </w:rPr>
            </w:pPr>
            <w:proofErr w:type="spellStart"/>
            <w:r w:rsidRPr="008F3998">
              <w:rPr>
                <w:rFonts w:ascii="Times New Roman" w:hAnsi="Times New Roman" w:cs="Times New Roman"/>
                <w:sz w:val="20"/>
                <w:szCs w:val="20"/>
              </w:rPr>
              <w:t>igyield</w:t>
            </w:r>
            <w:proofErr w:type="spellEnd"/>
          </w:p>
        </w:tc>
        <w:tc>
          <w:tcPr>
            <w:tcW w:w="462" w:type="pct"/>
            <w:tcBorders>
              <w:top w:val="nil"/>
              <w:left w:val="nil"/>
              <w:bottom w:val="single" w:sz="4" w:space="0" w:color="auto"/>
              <w:right w:val="nil"/>
            </w:tcBorders>
          </w:tcPr>
          <w:p w14:paraId="256B0CB5"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0.121</w:t>
            </w:r>
          </w:p>
        </w:tc>
        <w:tc>
          <w:tcPr>
            <w:tcW w:w="628" w:type="pct"/>
            <w:tcBorders>
              <w:top w:val="nil"/>
              <w:left w:val="nil"/>
              <w:bottom w:val="single" w:sz="4" w:space="0" w:color="auto"/>
              <w:right w:val="nil"/>
            </w:tcBorders>
          </w:tcPr>
          <w:p w14:paraId="16D33C0C"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0.115</w:t>
            </w:r>
          </w:p>
        </w:tc>
        <w:tc>
          <w:tcPr>
            <w:tcW w:w="462" w:type="pct"/>
            <w:tcBorders>
              <w:top w:val="nil"/>
              <w:left w:val="nil"/>
              <w:bottom w:val="single" w:sz="4" w:space="0" w:color="auto"/>
              <w:right w:val="nil"/>
            </w:tcBorders>
          </w:tcPr>
          <w:p w14:paraId="40B345FE"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-0.024</w:t>
            </w:r>
          </w:p>
        </w:tc>
        <w:tc>
          <w:tcPr>
            <w:tcW w:w="628" w:type="pct"/>
            <w:tcBorders>
              <w:top w:val="nil"/>
              <w:left w:val="nil"/>
              <w:bottom w:val="single" w:sz="4" w:space="0" w:color="auto"/>
              <w:right w:val="nil"/>
            </w:tcBorders>
          </w:tcPr>
          <w:p w14:paraId="3890EC81"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0.025</w:t>
            </w:r>
          </w:p>
        </w:tc>
        <w:tc>
          <w:tcPr>
            <w:tcW w:w="462" w:type="pct"/>
            <w:tcBorders>
              <w:top w:val="nil"/>
              <w:left w:val="nil"/>
              <w:bottom w:val="single" w:sz="4" w:space="0" w:color="auto"/>
              <w:right w:val="nil"/>
            </w:tcBorders>
          </w:tcPr>
          <w:p w14:paraId="2ACDD26D"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0.042</w:t>
            </w:r>
          </w:p>
        </w:tc>
        <w:tc>
          <w:tcPr>
            <w:tcW w:w="628" w:type="pct"/>
            <w:tcBorders>
              <w:top w:val="nil"/>
              <w:left w:val="nil"/>
              <w:bottom w:val="single" w:sz="4" w:space="0" w:color="auto"/>
              <w:right w:val="nil"/>
            </w:tcBorders>
          </w:tcPr>
          <w:p w14:paraId="350E76F7"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0.042</w:t>
            </w:r>
          </w:p>
        </w:tc>
        <w:tc>
          <w:tcPr>
            <w:tcW w:w="462" w:type="pct"/>
            <w:tcBorders>
              <w:top w:val="nil"/>
              <w:left w:val="nil"/>
              <w:bottom w:val="single" w:sz="4" w:space="0" w:color="auto"/>
              <w:right w:val="nil"/>
            </w:tcBorders>
          </w:tcPr>
          <w:p w14:paraId="06F6B3A2"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0.377</w:t>
            </w:r>
          </w:p>
        </w:tc>
        <w:tc>
          <w:tcPr>
            <w:tcW w:w="628" w:type="pct"/>
            <w:tcBorders>
              <w:top w:val="nil"/>
              <w:left w:val="nil"/>
              <w:bottom w:val="single" w:sz="4" w:space="0" w:color="auto"/>
              <w:right w:val="nil"/>
            </w:tcBorders>
          </w:tcPr>
          <w:p w14:paraId="4155EF6B" w14:textId="77777777" w:rsidR="00AE7916" w:rsidRPr="008F3998" w:rsidRDefault="00AE7916" w:rsidP="00063687">
            <w:pPr>
              <w:widowControl w:val="0"/>
              <w:autoSpaceDE w:val="0"/>
              <w:autoSpaceDN w:val="0"/>
              <w:adjustRightInd w:val="0"/>
              <w:spacing w:after="0" w:line="240" w:lineRule="auto"/>
              <w:jc w:val="right"/>
              <w:rPr>
                <w:rFonts w:ascii="Times New Roman" w:hAnsi="Times New Roman" w:cs="Times New Roman"/>
                <w:sz w:val="20"/>
                <w:szCs w:val="20"/>
              </w:rPr>
            </w:pPr>
            <w:r w:rsidRPr="008F3998">
              <w:rPr>
                <w:rFonts w:ascii="Times New Roman" w:hAnsi="Times New Roman" w:cs="Times New Roman"/>
                <w:sz w:val="20"/>
                <w:szCs w:val="20"/>
              </w:rPr>
              <w:t>0.377</w:t>
            </w:r>
          </w:p>
        </w:tc>
      </w:tr>
    </w:tbl>
    <w:p w14:paraId="727E7F54" w14:textId="77777777" w:rsidR="00AE7916" w:rsidRPr="008F3998" w:rsidRDefault="00AE7916">
      <w:pPr>
        <w:rPr>
          <w:rFonts w:ascii="Times New Roman" w:hAnsi="Times New Roman" w:cs="Times New Roman"/>
          <w:b/>
        </w:rPr>
        <w:sectPr w:rsidR="00AE7916" w:rsidRPr="008F3998" w:rsidSect="003C0A6E">
          <w:headerReference w:type="default" r:id="rId15"/>
          <w:footerReference w:type="default" r:id="rId16"/>
          <w:pgSz w:w="16838" w:h="11906" w:orient="landscape"/>
          <w:pgMar w:top="720" w:right="720" w:bottom="720" w:left="720" w:header="709" w:footer="709" w:gutter="0"/>
          <w:cols w:space="708"/>
          <w:docGrid w:linePitch="360"/>
        </w:sectPr>
      </w:pPr>
    </w:p>
    <w:p w14:paraId="633C2FF9" w14:textId="7CF44697" w:rsidR="00B70738" w:rsidRPr="008F3998" w:rsidRDefault="00B70738" w:rsidP="00712CCF">
      <w:pPr>
        <w:spacing w:after="0" w:line="240" w:lineRule="auto"/>
        <w:jc w:val="both"/>
        <w:rPr>
          <w:rFonts w:ascii="Times New Roman" w:hAnsi="Times New Roman" w:cs="Times New Roman"/>
          <w:b/>
          <w:sz w:val="24"/>
          <w:szCs w:val="24"/>
        </w:rPr>
      </w:pPr>
      <w:r w:rsidRPr="008F3998">
        <w:rPr>
          <w:rFonts w:ascii="Times New Roman" w:hAnsi="Times New Roman" w:cs="Times New Roman"/>
          <w:b/>
        </w:rPr>
        <w:t xml:space="preserve">Table </w:t>
      </w:r>
      <w:r w:rsidR="00F84DFB" w:rsidRPr="008F3998">
        <w:rPr>
          <w:rFonts w:ascii="Times New Roman" w:hAnsi="Times New Roman" w:cs="Times New Roman"/>
          <w:b/>
        </w:rPr>
        <w:t>A3</w:t>
      </w:r>
      <w:r w:rsidR="00E76BCB" w:rsidRPr="008F3998">
        <w:rPr>
          <w:rFonts w:ascii="Times New Roman" w:hAnsi="Times New Roman" w:cs="Times New Roman"/>
          <w:b/>
        </w:rPr>
        <w:t>:</w:t>
      </w:r>
      <w:r w:rsidRPr="008F3998">
        <w:rPr>
          <w:rFonts w:ascii="Times New Roman" w:hAnsi="Times New Roman" w:cs="Times New Roman"/>
          <w:b/>
        </w:rPr>
        <w:t xml:space="preserve"> </w:t>
      </w:r>
      <w:r w:rsidR="00E76BCB" w:rsidRPr="008F3998">
        <w:rPr>
          <w:rFonts w:ascii="Times New Roman" w:hAnsi="Times New Roman" w:cs="Times New Roman"/>
          <w:b/>
        </w:rPr>
        <w:t>Dynamic estimations</w:t>
      </w:r>
      <w:r w:rsidR="009D2027" w:rsidRPr="008F3998">
        <w:rPr>
          <w:rFonts w:ascii="Times New Roman" w:hAnsi="Times New Roman" w:cs="Times New Roman"/>
          <w:b/>
        </w:rPr>
        <w:t xml:space="preserve"> of models</w:t>
      </w:r>
      <w:r w:rsidR="00FF7F9F" w:rsidRPr="008F3998">
        <w:rPr>
          <w:rFonts w:ascii="Times New Roman" w:hAnsi="Times New Roman" w:cs="Times New Roman"/>
          <w:b/>
        </w:rPr>
        <w:t xml:space="preserve"> (6)-(8)</w:t>
      </w:r>
      <w:r w:rsidR="00E5643A" w:rsidRPr="008F3998">
        <w:rPr>
          <w:rFonts w:ascii="Times New Roman" w:hAnsi="Times New Roman" w:cs="Times New Roman"/>
          <w:b/>
        </w:rPr>
        <w:t>,</w:t>
      </w:r>
      <w:r w:rsidRPr="008F3998">
        <w:rPr>
          <w:rFonts w:ascii="Times New Roman" w:hAnsi="Times New Roman" w:cs="Times New Roman"/>
          <w:b/>
        </w:rPr>
        <w:t xml:space="preserve"> </w:t>
      </w:r>
      <w:r w:rsidR="00E5643A" w:rsidRPr="008F3998">
        <w:rPr>
          <w:rFonts w:ascii="Times New Roman" w:hAnsi="Times New Roman" w:cs="Times New Roman"/>
          <w:b/>
        </w:rPr>
        <w:t>N</w:t>
      </w:r>
      <w:r w:rsidRPr="008F3998">
        <w:rPr>
          <w:rFonts w:ascii="Times New Roman" w:hAnsi="Times New Roman" w:cs="Times New Roman"/>
          <w:b/>
        </w:rPr>
        <w:t>ational level</w:t>
      </w:r>
    </w:p>
    <w:tbl>
      <w:tblPr>
        <w:tblW w:w="0" w:type="auto"/>
        <w:jc w:val="center"/>
        <w:tblCellMar>
          <w:left w:w="75" w:type="dxa"/>
          <w:right w:w="75" w:type="dxa"/>
        </w:tblCellMar>
        <w:tblLook w:val="0000" w:firstRow="0" w:lastRow="0" w:firstColumn="0" w:lastColumn="0" w:noHBand="0" w:noVBand="0"/>
      </w:tblPr>
      <w:tblGrid>
        <w:gridCol w:w="1789"/>
        <w:gridCol w:w="1150"/>
        <w:gridCol w:w="1480"/>
        <w:gridCol w:w="1150"/>
        <w:gridCol w:w="1480"/>
        <w:gridCol w:w="1187"/>
        <w:gridCol w:w="1510"/>
      </w:tblGrid>
      <w:tr w:rsidR="008F3998" w:rsidRPr="008F3998" w14:paraId="1E4588C6" w14:textId="77777777" w:rsidTr="00B07CD7">
        <w:trPr>
          <w:jc w:val="center"/>
        </w:trPr>
        <w:tc>
          <w:tcPr>
            <w:tcW w:w="0" w:type="auto"/>
            <w:tcBorders>
              <w:top w:val="single" w:sz="6" w:space="0" w:color="auto"/>
              <w:left w:val="nil"/>
              <w:right w:val="nil"/>
            </w:tcBorders>
          </w:tcPr>
          <w:p w14:paraId="5D4A0A4A" w14:textId="77777777" w:rsidR="00B07CD7" w:rsidRPr="008F3998" w:rsidRDefault="00B07CD7" w:rsidP="00A871A9">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gridSpan w:val="6"/>
            <w:tcBorders>
              <w:top w:val="single" w:sz="6" w:space="0" w:color="auto"/>
              <w:left w:val="nil"/>
              <w:bottom w:val="nil"/>
              <w:right w:val="nil"/>
            </w:tcBorders>
          </w:tcPr>
          <w:p w14:paraId="513CA2FC" w14:textId="7A176D4A" w:rsidR="00B07CD7" w:rsidRPr="008F3998" w:rsidRDefault="00B07CD7" w:rsidP="00B07CD7">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Dependent Variable</w:t>
            </w:r>
          </w:p>
        </w:tc>
      </w:tr>
      <w:tr w:rsidR="008F3998" w:rsidRPr="008F3998" w14:paraId="6CB703B8" w14:textId="77777777" w:rsidTr="00314F66">
        <w:trPr>
          <w:jc w:val="center"/>
        </w:trPr>
        <w:tc>
          <w:tcPr>
            <w:tcW w:w="0" w:type="auto"/>
            <w:tcBorders>
              <w:left w:val="nil"/>
              <w:bottom w:val="nil"/>
              <w:right w:val="nil"/>
            </w:tcBorders>
          </w:tcPr>
          <w:p w14:paraId="170945F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6" w:space="0" w:color="auto"/>
              <w:left w:val="nil"/>
              <w:bottom w:val="nil"/>
              <w:right w:val="nil"/>
            </w:tcBorders>
          </w:tcPr>
          <w:p w14:paraId="59CECF47" w14:textId="34C9285B"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0" w:type="auto"/>
            <w:tcBorders>
              <w:top w:val="single" w:sz="6" w:space="0" w:color="auto"/>
              <w:left w:val="nil"/>
              <w:bottom w:val="nil"/>
              <w:right w:val="nil"/>
            </w:tcBorders>
          </w:tcPr>
          <w:p w14:paraId="6DF2C4DC" w14:textId="2F301769"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Expected Shortfall</w:t>
            </w:r>
          </w:p>
        </w:tc>
        <w:tc>
          <w:tcPr>
            <w:tcW w:w="0" w:type="auto"/>
            <w:tcBorders>
              <w:top w:val="single" w:sz="6" w:space="0" w:color="auto"/>
              <w:left w:val="nil"/>
              <w:bottom w:val="nil"/>
              <w:right w:val="nil"/>
            </w:tcBorders>
          </w:tcPr>
          <w:p w14:paraId="1577259C" w14:textId="64931D37"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0" w:type="auto"/>
            <w:tcBorders>
              <w:top w:val="single" w:sz="6" w:space="0" w:color="auto"/>
              <w:left w:val="nil"/>
              <w:bottom w:val="nil"/>
              <w:right w:val="nil"/>
            </w:tcBorders>
          </w:tcPr>
          <w:p w14:paraId="16EA848D" w14:textId="4D0D28B9"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Expected Shortfall</w:t>
            </w:r>
          </w:p>
        </w:tc>
        <w:tc>
          <w:tcPr>
            <w:tcW w:w="0" w:type="auto"/>
            <w:tcBorders>
              <w:top w:val="single" w:sz="6" w:space="0" w:color="auto"/>
              <w:left w:val="nil"/>
              <w:bottom w:val="nil"/>
              <w:right w:val="nil"/>
            </w:tcBorders>
          </w:tcPr>
          <w:p w14:paraId="3DEBD583" w14:textId="0EADD3B0"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Tail Quantile</w:t>
            </w:r>
          </w:p>
        </w:tc>
        <w:tc>
          <w:tcPr>
            <w:tcW w:w="0" w:type="auto"/>
            <w:tcBorders>
              <w:top w:val="single" w:sz="6" w:space="0" w:color="auto"/>
              <w:left w:val="nil"/>
              <w:bottom w:val="nil"/>
              <w:right w:val="nil"/>
            </w:tcBorders>
          </w:tcPr>
          <w:p w14:paraId="1B6AD696" w14:textId="0D008A95"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Expected Shortfall</w:t>
            </w:r>
          </w:p>
        </w:tc>
      </w:tr>
      <w:tr w:rsidR="008F3998" w:rsidRPr="008F3998" w14:paraId="5B83B975" w14:textId="77777777" w:rsidTr="00314F66">
        <w:trPr>
          <w:jc w:val="center"/>
        </w:trPr>
        <w:tc>
          <w:tcPr>
            <w:tcW w:w="0" w:type="auto"/>
            <w:tcBorders>
              <w:top w:val="nil"/>
              <w:left w:val="nil"/>
              <w:bottom w:val="single" w:sz="6" w:space="0" w:color="auto"/>
              <w:right w:val="nil"/>
            </w:tcBorders>
          </w:tcPr>
          <w:p w14:paraId="441691C5" w14:textId="6AA23255"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Independent Variables</w:t>
            </w:r>
          </w:p>
        </w:tc>
        <w:tc>
          <w:tcPr>
            <w:tcW w:w="0" w:type="auto"/>
            <w:tcBorders>
              <w:top w:val="nil"/>
              <w:left w:val="nil"/>
              <w:bottom w:val="single" w:sz="6" w:space="0" w:color="auto"/>
              <w:right w:val="nil"/>
            </w:tcBorders>
            <w:vAlign w:val="bottom"/>
          </w:tcPr>
          <w:p w14:paraId="30E30A02" w14:textId="65537F23"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(1)</w:t>
            </w:r>
          </w:p>
        </w:tc>
        <w:tc>
          <w:tcPr>
            <w:tcW w:w="0" w:type="auto"/>
            <w:tcBorders>
              <w:top w:val="nil"/>
              <w:left w:val="nil"/>
              <w:bottom w:val="single" w:sz="6" w:space="0" w:color="auto"/>
              <w:right w:val="nil"/>
            </w:tcBorders>
            <w:vAlign w:val="bottom"/>
          </w:tcPr>
          <w:p w14:paraId="1103C798" w14:textId="16EC6D5C"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(2)</w:t>
            </w:r>
          </w:p>
        </w:tc>
        <w:tc>
          <w:tcPr>
            <w:tcW w:w="0" w:type="auto"/>
            <w:tcBorders>
              <w:top w:val="nil"/>
              <w:left w:val="nil"/>
              <w:bottom w:val="single" w:sz="6" w:space="0" w:color="auto"/>
              <w:right w:val="nil"/>
            </w:tcBorders>
            <w:vAlign w:val="bottom"/>
          </w:tcPr>
          <w:p w14:paraId="590CD607" w14:textId="45057F8D"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(3)</w:t>
            </w:r>
          </w:p>
        </w:tc>
        <w:tc>
          <w:tcPr>
            <w:tcW w:w="0" w:type="auto"/>
            <w:tcBorders>
              <w:top w:val="nil"/>
              <w:left w:val="nil"/>
              <w:bottom w:val="single" w:sz="6" w:space="0" w:color="auto"/>
              <w:right w:val="nil"/>
            </w:tcBorders>
            <w:vAlign w:val="bottom"/>
          </w:tcPr>
          <w:p w14:paraId="5C7BB324" w14:textId="0016BC02"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(4)</w:t>
            </w:r>
          </w:p>
        </w:tc>
        <w:tc>
          <w:tcPr>
            <w:tcW w:w="0" w:type="auto"/>
            <w:tcBorders>
              <w:top w:val="nil"/>
              <w:left w:val="nil"/>
              <w:bottom w:val="single" w:sz="6" w:space="0" w:color="auto"/>
              <w:right w:val="nil"/>
            </w:tcBorders>
            <w:vAlign w:val="bottom"/>
          </w:tcPr>
          <w:p w14:paraId="10945BCD" w14:textId="7D6D21CD"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(5)</w:t>
            </w:r>
          </w:p>
        </w:tc>
        <w:tc>
          <w:tcPr>
            <w:tcW w:w="0" w:type="auto"/>
            <w:tcBorders>
              <w:top w:val="nil"/>
              <w:left w:val="nil"/>
              <w:bottom w:val="single" w:sz="6" w:space="0" w:color="auto"/>
              <w:right w:val="nil"/>
            </w:tcBorders>
            <w:vAlign w:val="bottom"/>
          </w:tcPr>
          <w:p w14:paraId="26927448" w14:textId="1F295CDE" w:rsidR="00B07CD7" w:rsidRPr="008F3998" w:rsidRDefault="00B07CD7" w:rsidP="00314F66">
            <w:pPr>
              <w:widowControl w:val="0"/>
              <w:autoSpaceDE w:val="0"/>
              <w:autoSpaceDN w:val="0"/>
              <w:adjustRightInd w:val="0"/>
              <w:spacing w:after="0" w:line="240" w:lineRule="auto"/>
              <w:jc w:val="center"/>
              <w:rPr>
                <w:rFonts w:ascii="Times New Roman" w:hAnsi="Times New Roman" w:cs="Times New Roman"/>
                <w:sz w:val="20"/>
                <w:szCs w:val="20"/>
              </w:rPr>
            </w:pPr>
            <w:r w:rsidRPr="008F3998">
              <w:rPr>
                <w:rFonts w:ascii="Times New Roman" w:hAnsi="Times New Roman" w:cs="Times New Roman"/>
                <w:sz w:val="20"/>
                <w:szCs w:val="20"/>
              </w:rPr>
              <w:t>(6)</w:t>
            </w:r>
          </w:p>
        </w:tc>
      </w:tr>
      <w:tr w:rsidR="008F3998" w:rsidRPr="008F3998" w14:paraId="5DC090DB" w14:textId="77777777" w:rsidTr="00A871A9">
        <w:trPr>
          <w:jc w:val="center"/>
        </w:trPr>
        <w:tc>
          <w:tcPr>
            <w:tcW w:w="0" w:type="auto"/>
            <w:tcBorders>
              <w:top w:val="nil"/>
              <w:left w:val="nil"/>
              <w:bottom w:val="nil"/>
              <w:right w:val="nil"/>
            </w:tcBorders>
          </w:tcPr>
          <w:p w14:paraId="4DDA7008" w14:textId="022D7485" w:rsidR="00B07CD7" w:rsidRPr="008F3998" w:rsidRDefault="00A7457D"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w:t>
            </w:r>
            <w:r w:rsidRPr="008F3998">
              <w:rPr>
                <w:rFonts w:ascii="Times New Roman" w:hAnsi="Times New Roman" w:cs="Times New Roman"/>
                <w:sz w:val="20"/>
                <w:szCs w:val="20"/>
                <w:vertAlign w:val="subscript"/>
              </w:rPr>
              <w:t>2</w:t>
            </w:r>
          </w:p>
        </w:tc>
        <w:tc>
          <w:tcPr>
            <w:tcW w:w="0" w:type="auto"/>
            <w:tcBorders>
              <w:top w:val="nil"/>
              <w:left w:val="nil"/>
              <w:bottom w:val="nil"/>
              <w:right w:val="nil"/>
            </w:tcBorders>
          </w:tcPr>
          <w:p w14:paraId="5008CC1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1.063</w:t>
            </w:r>
          </w:p>
        </w:tc>
        <w:tc>
          <w:tcPr>
            <w:tcW w:w="0" w:type="auto"/>
            <w:tcBorders>
              <w:top w:val="nil"/>
              <w:left w:val="nil"/>
              <w:bottom w:val="nil"/>
              <w:right w:val="nil"/>
            </w:tcBorders>
          </w:tcPr>
          <w:p w14:paraId="7C8B028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1.195*</w:t>
            </w:r>
          </w:p>
        </w:tc>
        <w:tc>
          <w:tcPr>
            <w:tcW w:w="0" w:type="auto"/>
            <w:tcBorders>
              <w:top w:val="nil"/>
              <w:left w:val="nil"/>
              <w:bottom w:val="nil"/>
              <w:right w:val="nil"/>
            </w:tcBorders>
          </w:tcPr>
          <w:p w14:paraId="7BED8D6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1.033*</w:t>
            </w:r>
          </w:p>
        </w:tc>
        <w:tc>
          <w:tcPr>
            <w:tcW w:w="0" w:type="auto"/>
            <w:tcBorders>
              <w:top w:val="nil"/>
              <w:left w:val="nil"/>
              <w:bottom w:val="nil"/>
              <w:right w:val="nil"/>
            </w:tcBorders>
          </w:tcPr>
          <w:p w14:paraId="63575D0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1.182*</w:t>
            </w:r>
          </w:p>
        </w:tc>
        <w:tc>
          <w:tcPr>
            <w:tcW w:w="0" w:type="auto"/>
            <w:tcBorders>
              <w:top w:val="nil"/>
              <w:left w:val="nil"/>
              <w:bottom w:val="nil"/>
              <w:right w:val="nil"/>
            </w:tcBorders>
          </w:tcPr>
          <w:p w14:paraId="2999761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1.057***</w:t>
            </w:r>
          </w:p>
        </w:tc>
        <w:tc>
          <w:tcPr>
            <w:tcW w:w="0" w:type="auto"/>
            <w:tcBorders>
              <w:top w:val="nil"/>
              <w:left w:val="nil"/>
              <w:bottom w:val="nil"/>
              <w:right w:val="nil"/>
            </w:tcBorders>
          </w:tcPr>
          <w:p w14:paraId="7F543D4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2.415**</w:t>
            </w:r>
          </w:p>
        </w:tc>
      </w:tr>
      <w:tr w:rsidR="008F3998" w:rsidRPr="008F3998" w14:paraId="748BD09C" w14:textId="77777777" w:rsidTr="00A871A9">
        <w:trPr>
          <w:jc w:val="center"/>
        </w:trPr>
        <w:tc>
          <w:tcPr>
            <w:tcW w:w="0" w:type="auto"/>
            <w:tcBorders>
              <w:top w:val="nil"/>
              <w:left w:val="nil"/>
              <w:bottom w:val="nil"/>
              <w:right w:val="nil"/>
            </w:tcBorders>
          </w:tcPr>
          <w:p w14:paraId="3F82125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C05E22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(0.569)</w:t>
            </w:r>
          </w:p>
        </w:tc>
        <w:tc>
          <w:tcPr>
            <w:tcW w:w="0" w:type="auto"/>
            <w:tcBorders>
              <w:top w:val="nil"/>
              <w:left w:val="nil"/>
              <w:bottom w:val="nil"/>
              <w:right w:val="nil"/>
            </w:tcBorders>
          </w:tcPr>
          <w:p w14:paraId="08C1D08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(0.490)</w:t>
            </w:r>
          </w:p>
        </w:tc>
        <w:tc>
          <w:tcPr>
            <w:tcW w:w="0" w:type="auto"/>
            <w:tcBorders>
              <w:top w:val="nil"/>
              <w:left w:val="nil"/>
              <w:bottom w:val="nil"/>
              <w:right w:val="nil"/>
            </w:tcBorders>
          </w:tcPr>
          <w:p w14:paraId="0E68B2B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(0.519)</w:t>
            </w:r>
          </w:p>
        </w:tc>
        <w:tc>
          <w:tcPr>
            <w:tcW w:w="0" w:type="auto"/>
            <w:tcBorders>
              <w:top w:val="nil"/>
              <w:left w:val="nil"/>
              <w:bottom w:val="nil"/>
              <w:right w:val="nil"/>
            </w:tcBorders>
          </w:tcPr>
          <w:p w14:paraId="619CE5C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(0.500)</w:t>
            </w:r>
          </w:p>
        </w:tc>
        <w:tc>
          <w:tcPr>
            <w:tcW w:w="0" w:type="auto"/>
            <w:tcBorders>
              <w:top w:val="nil"/>
              <w:left w:val="nil"/>
              <w:bottom w:val="nil"/>
              <w:right w:val="nil"/>
            </w:tcBorders>
          </w:tcPr>
          <w:p w14:paraId="5B26FDB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(0.278)</w:t>
            </w:r>
          </w:p>
        </w:tc>
        <w:tc>
          <w:tcPr>
            <w:tcW w:w="0" w:type="auto"/>
            <w:tcBorders>
              <w:top w:val="nil"/>
              <w:left w:val="nil"/>
              <w:bottom w:val="nil"/>
              <w:right w:val="nil"/>
            </w:tcBorders>
          </w:tcPr>
          <w:p w14:paraId="01DF74A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(0.872)</w:t>
            </w:r>
          </w:p>
        </w:tc>
      </w:tr>
      <w:tr w:rsidR="008F3998" w:rsidRPr="008F3998" w14:paraId="25ECAB0B" w14:textId="77777777" w:rsidTr="00A871A9">
        <w:trPr>
          <w:jc w:val="center"/>
        </w:trPr>
        <w:tc>
          <w:tcPr>
            <w:tcW w:w="0" w:type="auto"/>
            <w:tcBorders>
              <w:top w:val="nil"/>
              <w:left w:val="nil"/>
              <w:bottom w:val="nil"/>
              <w:right w:val="nil"/>
            </w:tcBorders>
          </w:tcPr>
          <w:p w14:paraId="32CEE09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debtgdp</w:t>
            </w:r>
            <w:proofErr w:type="spellEnd"/>
          </w:p>
        </w:tc>
        <w:tc>
          <w:tcPr>
            <w:tcW w:w="0" w:type="auto"/>
            <w:tcBorders>
              <w:top w:val="nil"/>
              <w:left w:val="nil"/>
              <w:bottom w:val="nil"/>
              <w:right w:val="nil"/>
            </w:tcBorders>
          </w:tcPr>
          <w:p w14:paraId="458BE63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-0.0693</w:t>
            </w:r>
          </w:p>
        </w:tc>
        <w:tc>
          <w:tcPr>
            <w:tcW w:w="0" w:type="auto"/>
            <w:tcBorders>
              <w:top w:val="nil"/>
              <w:left w:val="nil"/>
              <w:bottom w:val="nil"/>
              <w:right w:val="nil"/>
            </w:tcBorders>
          </w:tcPr>
          <w:p w14:paraId="230AA2A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-0.104</w:t>
            </w:r>
          </w:p>
        </w:tc>
        <w:tc>
          <w:tcPr>
            <w:tcW w:w="0" w:type="auto"/>
            <w:tcBorders>
              <w:top w:val="nil"/>
              <w:left w:val="nil"/>
              <w:bottom w:val="nil"/>
              <w:right w:val="nil"/>
            </w:tcBorders>
          </w:tcPr>
          <w:p w14:paraId="6A0E5A4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-0.0687</w:t>
            </w:r>
          </w:p>
        </w:tc>
        <w:tc>
          <w:tcPr>
            <w:tcW w:w="0" w:type="auto"/>
            <w:tcBorders>
              <w:top w:val="nil"/>
              <w:left w:val="nil"/>
              <w:bottom w:val="nil"/>
              <w:right w:val="nil"/>
            </w:tcBorders>
          </w:tcPr>
          <w:p w14:paraId="43AB04F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-0.106</w:t>
            </w:r>
          </w:p>
        </w:tc>
        <w:tc>
          <w:tcPr>
            <w:tcW w:w="0" w:type="auto"/>
            <w:tcBorders>
              <w:top w:val="nil"/>
              <w:left w:val="nil"/>
              <w:bottom w:val="nil"/>
              <w:right w:val="nil"/>
            </w:tcBorders>
          </w:tcPr>
          <w:p w14:paraId="12E9DB5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-0.000351</w:t>
            </w:r>
          </w:p>
        </w:tc>
        <w:tc>
          <w:tcPr>
            <w:tcW w:w="0" w:type="auto"/>
            <w:tcBorders>
              <w:top w:val="nil"/>
              <w:left w:val="nil"/>
              <w:bottom w:val="nil"/>
              <w:right w:val="nil"/>
            </w:tcBorders>
          </w:tcPr>
          <w:p w14:paraId="30902BC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0.0611</w:t>
            </w:r>
          </w:p>
        </w:tc>
      </w:tr>
      <w:tr w:rsidR="008F3998" w:rsidRPr="008F3998" w14:paraId="10E685D0" w14:textId="77777777" w:rsidTr="00A871A9">
        <w:trPr>
          <w:jc w:val="center"/>
        </w:trPr>
        <w:tc>
          <w:tcPr>
            <w:tcW w:w="0" w:type="auto"/>
            <w:tcBorders>
              <w:top w:val="nil"/>
              <w:left w:val="nil"/>
              <w:bottom w:val="nil"/>
              <w:right w:val="nil"/>
            </w:tcBorders>
          </w:tcPr>
          <w:p w14:paraId="036A837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843189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(0.0685)</w:t>
            </w:r>
          </w:p>
        </w:tc>
        <w:tc>
          <w:tcPr>
            <w:tcW w:w="0" w:type="auto"/>
            <w:tcBorders>
              <w:top w:val="nil"/>
              <w:left w:val="nil"/>
              <w:bottom w:val="nil"/>
              <w:right w:val="nil"/>
            </w:tcBorders>
          </w:tcPr>
          <w:p w14:paraId="311446C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(0.112)</w:t>
            </w:r>
          </w:p>
        </w:tc>
        <w:tc>
          <w:tcPr>
            <w:tcW w:w="0" w:type="auto"/>
            <w:tcBorders>
              <w:top w:val="nil"/>
              <w:left w:val="nil"/>
              <w:bottom w:val="nil"/>
              <w:right w:val="nil"/>
            </w:tcBorders>
          </w:tcPr>
          <w:p w14:paraId="71ED2BC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(0.0702)</w:t>
            </w:r>
          </w:p>
        </w:tc>
        <w:tc>
          <w:tcPr>
            <w:tcW w:w="0" w:type="auto"/>
            <w:tcBorders>
              <w:top w:val="nil"/>
              <w:left w:val="nil"/>
              <w:bottom w:val="nil"/>
              <w:right w:val="nil"/>
            </w:tcBorders>
          </w:tcPr>
          <w:p w14:paraId="32B503B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(0.115)</w:t>
            </w:r>
          </w:p>
        </w:tc>
        <w:tc>
          <w:tcPr>
            <w:tcW w:w="0" w:type="auto"/>
            <w:tcBorders>
              <w:top w:val="nil"/>
              <w:left w:val="nil"/>
              <w:bottom w:val="nil"/>
              <w:right w:val="nil"/>
            </w:tcBorders>
          </w:tcPr>
          <w:p w14:paraId="655CC46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(0.123)</w:t>
            </w:r>
          </w:p>
        </w:tc>
        <w:tc>
          <w:tcPr>
            <w:tcW w:w="0" w:type="auto"/>
            <w:tcBorders>
              <w:top w:val="nil"/>
              <w:left w:val="nil"/>
              <w:bottom w:val="nil"/>
              <w:right w:val="nil"/>
            </w:tcBorders>
          </w:tcPr>
          <w:p w14:paraId="32E8328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(0.328)</w:t>
            </w:r>
          </w:p>
        </w:tc>
      </w:tr>
      <w:tr w:rsidR="008F3998" w:rsidRPr="008F3998" w14:paraId="277F7F99" w14:textId="77777777" w:rsidTr="00A871A9">
        <w:trPr>
          <w:jc w:val="center"/>
        </w:trPr>
        <w:tc>
          <w:tcPr>
            <w:tcW w:w="0" w:type="auto"/>
            <w:tcBorders>
              <w:top w:val="nil"/>
              <w:left w:val="nil"/>
              <w:bottom w:val="nil"/>
              <w:right w:val="nil"/>
            </w:tcBorders>
          </w:tcPr>
          <w:p w14:paraId="76A8353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totvol</w:t>
            </w:r>
            <w:proofErr w:type="spellEnd"/>
          </w:p>
        </w:tc>
        <w:tc>
          <w:tcPr>
            <w:tcW w:w="0" w:type="auto"/>
            <w:tcBorders>
              <w:top w:val="nil"/>
              <w:left w:val="nil"/>
              <w:bottom w:val="nil"/>
              <w:right w:val="nil"/>
            </w:tcBorders>
          </w:tcPr>
          <w:p w14:paraId="2E0E186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-0.0610</w:t>
            </w:r>
          </w:p>
        </w:tc>
        <w:tc>
          <w:tcPr>
            <w:tcW w:w="0" w:type="auto"/>
            <w:tcBorders>
              <w:top w:val="nil"/>
              <w:left w:val="nil"/>
              <w:bottom w:val="nil"/>
              <w:right w:val="nil"/>
            </w:tcBorders>
          </w:tcPr>
          <w:p w14:paraId="6DCA314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-0.200</w:t>
            </w:r>
          </w:p>
        </w:tc>
        <w:tc>
          <w:tcPr>
            <w:tcW w:w="0" w:type="auto"/>
            <w:tcBorders>
              <w:top w:val="nil"/>
              <w:left w:val="nil"/>
              <w:bottom w:val="nil"/>
              <w:right w:val="nil"/>
            </w:tcBorders>
          </w:tcPr>
          <w:p w14:paraId="00D079A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-0.0379</w:t>
            </w:r>
          </w:p>
        </w:tc>
        <w:tc>
          <w:tcPr>
            <w:tcW w:w="0" w:type="auto"/>
            <w:tcBorders>
              <w:top w:val="nil"/>
              <w:left w:val="nil"/>
              <w:bottom w:val="nil"/>
              <w:right w:val="nil"/>
            </w:tcBorders>
          </w:tcPr>
          <w:p w14:paraId="58D8035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-0.200</w:t>
            </w:r>
          </w:p>
        </w:tc>
        <w:tc>
          <w:tcPr>
            <w:tcW w:w="0" w:type="auto"/>
            <w:tcBorders>
              <w:top w:val="nil"/>
              <w:left w:val="nil"/>
              <w:bottom w:val="nil"/>
              <w:right w:val="nil"/>
            </w:tcBorders>
          </w:tcPr>
          <w:p w14:paraId="7205DEC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-0.154</w:t>
            </w:r>
          </w:p>
        </w:tc>
        <w:tc>
          <w:tcPr>
            <w:tcW w:w="0" w:type="auto"/>
            <w:tcBorders>
              <w:top w:val="nil"/>
              <w:left w:val="nil"/>
              <w:bottom w:val="nil"/>
              <w:right w:val="nil"/>
            </w:tcBorders>
          </w:tcPr>
          <w:p w14:paraId="663F5A7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-0.261</w:t>
            </w:r>
          </w:p>
        </w:tc>
      </w:tr>
      <w:tr w:rsidR="008F3998" w:rsidRPr="008F3998" w14:paraId="42A3EBD9" w14:textId="77777777" w:rsidTr="00A871A9">
        <w:trPr>
          <w:jc w:val="center"/>
        </w:trPr>
        <w:tc>
          <w:tcPr>
            <w:tcW w:w="0" w:type="auto"/>
            <w:tcBorders>
              <w:top w:val="nil"/>
              <w:left w:val="nil"/>
              <w:bottom w:val="nil"/>
              <w:right w:val="nil"/>
            </w:tcBorders>
          </w:tcPr>
          <w:p w14:paraId="614ED2A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7F4CBE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(0.134)</w:t>
            </w:r>
          </w:p>
        </w:tc>
        <w:tc>
          <w:tcPr>
            <w:tcW w:w="0" w:type="auto"/>
            <w:tcBorders>
              <w:top w:val="nil"/>
              <w:left w:val="nil"/>
              <w:bottom w:val="nil"/>
              <w:right w:val="nil"/>
            </w:tcBorders>
          </w:tcPr>
          <w:p w14:paraId="753F385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(0.182)</w:t>
            </w:r>
          </w:p>
        </w:tc>
        <w:tc>
          <w:tcPr>
            <w:tcW w:w="0" w:type="auto"/>
            <w:tcBorders>
              <w:top w:val="nil"/>
              <w:left w:val="nil"/>
              <w:bottom w:val="nil"/>
              <w:right w:val="nil"/>
            </w:tcBorders>
          </w:tcPr>
          <w:p w14:paraId="1560DF6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(0.147)</w:t>
            </w:r>
          </w:p>
        </w:tc>
        <w:tc>
          <w:tcPr>
            <w:tcW w:w="0" w:type="auto"/>
            <w:tcBorders>
              <w:top w:val="nil"/>
              <w:left w:val="nil"/>
              <w:bottom w:val="nil"/>
              <w:right w:val="nil"/>
            </w:tcBorders>
          </w:tcPr>
          <w:p w14:paraId="406874F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(0.177)</w:t>
            </w:r>
          </w:p>
        </w:tc>
        <w:tc>
          <w:tcPr>
            <w:tcW w:w="0" w:type="auto"/>
            <w:tcBorders>
              <w:top w:val="nil"/>
              <w:left w:val="nil"/>
              <w:bottom w:val="nil"/>
              <w:right w:val="nil"/>
            </w:tcBorders>
          </w:tcPr>
          <w:p w14:paraId="025C518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(0.208)</w:t>
            </w:r>
          </w:p>
        </w:tc>
        <w:tc>
          <w:tcPr>
            <w:tcW w:w="0" w:type="auto"/>
            <w:tcBorders>
              <w:top w:val="nil"/>
              <w:left w:val="nil"/>
              <w:bottom w:val="nil"/>
              <w:right w:val="nil"/>
            </w:tcBorders>
          </w:tcPr>
          <w:p w14:paraId="2AB025B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(0.440)</w:t>
            </w:r>
          </w:p>
        </w:tc>
      </w:tr>
      <w:tr w:rsidR="008F3998" w:rsidRPr="008F3998" w14:paraId="5D5DDEAA" w14:textId="77777777" w:rsidTr="00A871A9">
        <w:trPr>
          <w:jc w:val="center"/>
        </w:trPr>
        <w:tc>
          <w:tcPr>
            <w:tcW w:w="0" w:type="auto"/>
            <w:tcBorders>
              <w:top w:val="nil"/>
              <w:left w:val="nil"/>
              <w:bottom w:val="nil"/>
              <w:right w:val="nil"/>
            </w:tcBorders>
          </w:tcPr>
          <w:p w14:paraId="259BB2C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exr</w:t>
            </w:r>
            <w:proofErr w:type="spellEnd"/>
          </w:p>
        </w:tc>
        <w:tc>
          <w:tcPr>
            <w:tcW w:w="0" w:type="auto"/>
            <w:tcBorders>
              <w:top w:val="nil"/>
              <w:left w:val="nil"/>
              <w:bottom w:val="nil"/>
              <w:right w:val="nil"/>
            </w:tcBorders>
          </w:tcPr>
          <w:p w14:paraId="612773E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0.0148</w:t>
            </w:r>
          </w:p>
        </w:tc>
        <w:tc>
          <w:tcPr>
            <w:tcW w:w="0" w:type="auto"/>
            <w:tcBorders>
              <w:top w:val="nil"/>
              <w:left w:val="nil"/>
              <w:bottom w:val="nil"/>
              <w:right w:val="nil"/>
            </w:tcBorders>
          </w:tcPr>
          <w:p w14:paraId="41967AC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0.0108</w:t>
            </w:r>
          </w:p>
        </w:tc>
        <w:tc>
          <w:tcPr>
            <w:tcW w:w="0" w:type="auto"/>
            <w:tcBorders>
              <w:top w:val="nil"/>
              <w:left w:val="nil"/>
              <w:bottom w:val="nil"/>
              <w:right w:val="nil"/>
            </w:tcBorders>
          </w:tcPr>
          <w:p w14:paraId="44F0E28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-0.0267</w:t>
            </w:r>
          </w:p>
        </w:tc>
        <w:tc>
          <w:tcPr>
            <w:tcW w:w="0" w:type="auto"/>
            <w:tcBorders>
              <w:top w:val="nil"/>
              <w:left w:val="nil"/>
              <w:bottom w:val="nil"/>
              <w:right w:val="nil"/>
            </w:tcBorders>
          </w:tcPr>
          <w:p w14:paraId="68305F9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0.00613</w:t>
            </w:r>
          </w:p>
        </w:tc>
        <w:tc>
          <w:tcPr>
            <w:tcW w:w="0" w:type="auto"/>
            <w:tcBorders>
              <w:top w:val="nil"/>
              <w:left w:val="nil"/>
              <w:bottom w:val="nil"/>
              <w:right w:val="nil"/>
            </w:tcBorders>
          </w:tcPr>
          <w:p w14:paraId="22D0F7C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0.185</w:t>
            </w:r>
          </w:p>
        </w:tc>
        <w:tc>
          <w:tcPr>
            <w:tcW w:w="0" w:type="auto"/>
            <w:tcBorders>
              <w:top w:val="nil"/>
              <w:left w:val="nil"/>
              <w:bottom w:val="nil"/>
              <w:right w:val="nil"/>
            </w:tcBorders>
          </w:tcPr>
          <w:p w14:paraId="45BF77A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-1.682</w:t>
            </w:r>
          </w:p>
        </w:tc>
      </w:tr>
      <w:tr w:rsidR="008F3998" w:rsidRPr="008F3998" w14:paraId="5D5F2040" w14:textId="77777777" w:rsidTr="00A871A9">
        <w:trPr>
          <w:jc w:val="center"/>
        </w:trPr>
        <w:tc>
          <w:tcPr>
            <w:tcW w:w="0" w:type="auto"/>
            <w:tcBorders>
              <w:top w:val="nil"/>
              <w:left w:val="nil"/>
              <w:bottom w:val="nil"/>
              <w:right w:val="nil"/>
            </w:tcBorders>
          </w:tcPr>
          <w:p w14:paraId="753404E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7AD40B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(0.0302)</w:t>
            </w:r>
          </w:p>
        </w:tc>
        <w:tc>
          <w:tcPr>
            <w:tcW w:w="0" w:type="auto"/>
            <w:tcBorders>
              <w:top w:val="nil"/>
              <w:left w:val="nil"/>
              <w:bottom w:val="nil"/>
              <w:right w:val="nil"/>
            </w:tcBorders>
          </w:tcPr>
          <w:p w14:paraId="7C98F09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(0.0347)</w:t>
            </w:r>
          </w:p>
        </w:tc>
        <w:tc>
          <w:tcPr>
            <w:tcW w:w="0" w:type="auto"/>
            <w:tcBorders>
              <w:top w:val="nil"/>
              <w:left w:val="nil"/>
              <w:bottom w:val="nil"/>
              <w:right w:val="nil"/>
            </w:tcBorders>
          </w:tcPr>
          <w:p w14:paraId="1251D21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(0.0454)</w:t>
            </w:r>
          </w:p>
        </w:tc>
        <w:tc>
          <w:tcPr>
            <w:tcW w:w="0" w:type="auto"/>
            <w:tcBorders>
              <w:top w:val="nil"/>
              <w:left w:val="nil"/>
              <w:bottom w:val="nil"/>
              <w:right w:val="nil"/>
            </w:tcBorders>
          </w:tcPr>
          <w:p w14:paraId="67F5163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(0.0653)</w:t>
            </w:r>
          </w:p>
        </w:tc>
        <w:tc>
          <w:tcPr>
            <w:tcW w:w="0" w:type="auto"/>
            <w:tcBorders>
              <w:top w:val="nil"/>
              <w:left w:val="nil"/>
              <w:bottom w:val="nil"/>
              <w:right w:val="nil"/>
            </w:tcBorders>
          </w:tcPr>
          <w:p w14:paraId="40622AB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(3.360)</w:t>
            </w:r>
          </w:p>
        </w:tc>
        <w:tc>
          <w:tcPr>
            <w:tcW w:w="0" w:type="auto"/>
            <w:tcBorders>
              <w:top w:val="nil"/>
              <w:left w:val="nil"/>
              <w:bottom w:val="nil"/>
              <w:right w:val="nil"/>
            </w:tcBorders>
          </w:tcPr>
          <w:p w14:paraId="110DE6E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(7.354)</w:t>
            </w:r>
          </w:p>
        </w:tc>
      </w:tr>
      <w:tr w:rsidR="008F3998" w:rsidRPr="008F3998" w14:paraId="1980FE94" w14:textId="77777777" w:rsidTr="00A871A9">
        <w:trPr>
          <w:jc w:val="center"/>
        </w:trPr>
        <w:tc>
          <w:tcPr>
            <w:tcW w:w="0" w:type="auto"/>
            <w:tcBorders>
              <w:top w:val="nil"/>
              <w:left w:val="nil"/>
              <w:bottom w:val="nil"/>
              <w:right w:val="nil"/>
            </w:tcBorders>
          </w:tcPr>
          <w:p w14:paraId="2565214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reserves</w:t>
            </w:r>
          </w:p>
        </w:tc>
        <w:tc>
          <w:tcPr>
            <w:tcW w:w="0" w:type="auto"/>
            <w:tcBorders>
              <w:top w:val="nil"/>
              <w:left w:val="nil"/>
              <w:bottom w:val="nil"/>
              <w:right w:val="nil"/>
            </w:tcBorders>
          </w:tcPr>
          <w:p w14:paraId="33BA551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E5F4B5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8D934D8" w14:textId="0A25A284"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D96E7D" w:rsidRPr="008F3998">
              <w:rPr>
                <w:rFonts w:ascii="Times New Roman" w:hAnsi="Times New Roman" w:cs="Times New Roman"/>
                <w:sz w:val="20"/>
                <w:szCs w:val="20"/>
              </w:rPr>
              <w:t>5.75e-12</w:t>
            </w:r>
          </w:p>
        </w:tc>
        <w:tc>
          <w:tcPr>
            <w:tcW w:w="0" w:type="auto"/>
            <w:tcBorders>
              <w:top w:val="nil"/>
              <w:left w:val="nil"/>
              <w:bottom w:val="nil"/>
              <w:right w:val="nil"/>
            </w:tcBorders>
          </w:tcPr>
          <w:p w14:paraId="3FCD3B2E" w14:textId="16C11560" w:rsidR="00B07CD7" w:rsidRPr="008F3998" w:rsidRDefault="008D1B4B"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2.84e-13</w:t>
            </w:r>
          </w:p>
        </w:tc>
        <w:tc>
          <w:tcPr>
            <w:tcW w:w="0" w:type="auto"/>
            <w:tcBorders>
              <w:top w:val="nil"/>
              <w:left w:val="nil"/>
              <w:bottom w:val="nil"/>
              <w:right w:val="nil"/>
            </w:tcBorders>
          </w:tcPr>
          <w:p w14:paraId="3F641F2A" w14:textId="1117C775"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2.46e-11</w:t>
            </w:r>
          </w:p>
        </w:tc>
        <w:tc>
          <w:tcPr>
            <w:tcW w:w="0" w:type="auto"/>
            <w:tcBorders>
              <w:top w:val="nil"/>
              <w:left w:val="nil"/>
              <w:bottom w:val="nil"/>
              <w:right w:val="nil"/>
            </w:tcBorders>
          </w:tcPr>
          <w:p w14:paraId="7F0C64B9" w14:textId="20DAD650"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3.74e-11</w:t>
            </w:r>
          </w:p>
        </w:tc>
      </w:tr>
      <w:tr w:rsidR="008F3998" w:rsidRPr="008F3998" w14:paraId="6DACB8D8" w14:textId="77777777" w:rsidTr="00A871A9">
        <w:trPr>
          <w:jc w:val="center"/>
        </w:trPr>
        <w:tc>
          <w:tcPr>
            <w:tcW w:w="0" w:type="auto"/>
            <w:tcBorders>
              <w:top w:val="nil"/>
              <w:left w:val="nil"/>
              <w:bottom w:val="nil"/>
              <w:right w:val="nil"/>
            </w:tcBorders>
          </w:tcPr>
          <w:p w14:paraId="04B3208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6F292D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2F7E86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B9B3D8F" w14:textId="6A5D1E1B"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D96E7D" w:rsidRPr="008F3998">
              <w:rPr>
                <w:rFonts w:ascii="Times New Roman" w:hAnsi="Times New Roman" w:cs="Times New Roman"/>
                <w:sz w:val="20"/>
                <w:szCs w:val="20"/>
              </w:rPr>
              <w:t>4.70e-12</w:t>
            </w:r>
            <w:r w:rsidRPr="008F3998">
              <w:rPr>
                <w:rFonts w:ascii="Times New Roman" w:hAnsi="Times New Roman" w:cs="Times New Roman"/>
                <w:sz w:val="20"/>
                <w:szCs w:val="20"/>
              </w:rPr>
              <w:t>)</w:t>
            </w:r>
          </w:p>
        </w:tc>
        <w:tc>
          <w:tcPr>
            <w:tcW w:w="0" w:type="auto"/>
            <w:tcBorders>
              <w:top w:val="nil"/>
              <w:left w:val="nil"/>
              <w:bottom w:val="nil"/>
              <w:right w:val="nil"/>
            </w:tcBorders>
          </w:tcPr>
          <w:p w14:paraId="0D95931C" w14:textId="2149EF2F"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8.84e-12</w:t>
            </w:r>
            <w:r w:rsidRPr="008F3998">
              <w:rPr>
                <w:rFonts w:ascii="Times New Roman" w:hAnsi="Times New Roman" w:cs="Times New Roman"/>
                <w:sz w:val="20"/>
                <w:szCs w:val="20"/>
              </w:rPr>
              <w:t>)</w:t>
            </w:r>
          </w:p>
        </w:tc>
        <w:tc>
          <w:tcPr>
            <w:tcW w:w="0" w:type="auto"/>
            <w:tcBorders>
              <w:top w:val="nil"/>
              <w:left w:val="nil"/>
              <w:bottom w:val="nil"/>
              <w:right w:val="nil"/>
            </w:tcBorders>
          </w:tcPr>
          <w:p w14:paraId="3E3962D4" w14:textId="4A66FB6D"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2.50e-11</w:t>
            </w:r>
            <w:r w:rsidRPr="008F3998">
              <w:rPr>
                <w:rFonts w:ascii="Times New Roman" w:hAnsi="Times New Roman" w:cs="Times New Roman"/>
                <w:sz w:val="20"/>
                <w:szCs w:val="20"/>
              </w:rPr>
              <w:t>)</w:t>
            </w:r>
          </w:p>
        </w:tc>
        <w:tc>
          <w:tcPr>
            <w:tcW w:w="0" w:type="auto"/>
            <w:tcBorders>
              <w:top w:val="nil"/>
              <w:left w:val="nil"/>
              <w:bottom w:val="nil"/>
              <w:right w:val="nil"/>
            </w:tcBorders>
          </w:tcPr>
          <w:p w14:paraId="3A9127B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(5.48e-11)</w:t>
            </w:r>
          </w:p>
        </w:tc>
      </w:tr>
      <w:tr w:rsidR="008F3998" w:rsidRPr="008F3998" w14:paraId="0445332E" w14:textId="77777777" w:rsidTr="00A871A9">
        <w:trPr>
          <w:jc w:val="center"/>
        </w:trPr>
        <w:tc>
          <w:tcPr>
            <w:tcW w:w="0" w:type="auto"/>
            <w:tcBorders>
              <w:top w:val="nil"/>
              <w:left w:val="nil"/>
              <w:bottom w:val="nil"/>
              <w:right w:val="nil"/>
            </w:tcBorders>
          </w:tcPr>
          <w:p w14:paraId="163C26D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locfin</w:t>
            </w:r>
            <w:proofErr w:type="spellEnd"/>
          </w:p>
        </w:tc>
        <w:tc>
          <w:tcPr>
            <w:tcW w:w="0" w:type="auto"/>
            <w:tcBorders>
              <w:top w:val="nil"/>
              <w:left w:val="nil"/>
              <w:bottom w:val="nil"/>
              <w:right w:val="nil"/>
            </w:tcBorders>
          </w:tcPr>
          <w:p w14:paraId="1CABB17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1C32EF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7EE922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66AA24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3DFD3F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3.257</w:t>
            </w:r>
          </w:p>
        </w:tc>
        <w:tc>
          <w:tcPr>
            <w:tcW w:w="0" w:type="auto"/>
            <w:tcBorders>
              <w:top w:val="nil"/>
              <w:left w:val="nil"/>
              <w:bottom w:val="nil"/>
              <w:right w:val="nil"/>
            </w:tcBorders>
          </w:tcPr>
          <w:p w14:paraId="4CD436C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8.038</w:t>
            </w:r>
          </w:p>
        </w:tc>
      </w:tr>
      <w:tr w:rsidR="008F3998" w:rsidRPr="008F3998" w14:paraId="1268A84F" w14:textId="77777777" w:rsidTr="00A871A9">
        <w:trPr>
          <w:jc w:val="center"/>
        </w:trPr>
        <w:tc>
          <w:tcPr>
            <w:tcW w:w="0" w:type="auto"/>
            <w:tcBorders>
              <w:top w:val="nil"/>
              <w:left w:val="nil"/>
              <w:bottom w:val="nil"/>
              <w:right w:val="nil"/>
            </w:tcBorders>
          </w:tcPr>
          <w:p w14:paraId="6DC90D8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517E4A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0AADB8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5B4276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B595D9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E6806E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(2.902)</w:t>
            </w:r>
          </w:p>
        </w:tc>
        <w:tc>
          <w:tcPr>
            <w:tcW w:w="0" w:type="auto"/>
            <w:tcBorders>
              <w:top w:val="nil"/>
              <w:left w:val="nil"/>
              <w:bottom w:val="nil"/>
              <w:right w:val="nil"/>
            </w:tcBorders>
          </w:tcPr>
          <w:p w14:paraId="57DE9E3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(6.217)</w:t>
            </w:r>
          </w:p>
        </w:tc>
      </w:tr>
      <w:tr w:rsidR="008F3998" w:rsidRPr="008F3998" w14:paraId="4DAE0CDD" w14:textId="77777777" w:rsidTr="00A871A9">
        <w:trPr>
          <w:jc w:val="center"/>
        </w:trPr>
        <w:tc>
          <w:tcPr>
            <w:tcW w:w="0" w:type="auto"/>
            <w:tcBorders>
              <w:top w:val="nil"/>
              <w:left w:val="nil"/>
              <w:bottom w:val="nil"/>
              <w:right w:val="nil"/>
            </w:tcBorders>
          </w:tcPr>
          <w:p w14:paraId="540D89A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stmvol</w:t>
            </w:r>
            <w:proofErr w:type="spellEnd"/>
          </w:p>
        </w:tc>
        <w:tc>
          <w:tcPr>
            <w:tcW w:w="0" w:type="auto"/>
            <w:tcBorders>
              <w:top w:val="nil"/>
              <w:left w:val="nil"/>
              <w:bottom w:val="nil"/>
              <w:right w:val="nil"/>
            </w:tcBorders>
          </w:tcPr>
          <w:p w14:paraId="2665E8C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-0.00573</w:t>
            </w:r>
          </w:p>
        </w:tc>
        <w:tc>
          <w:tcPr>
            <w:tcW w:w="0" w:type="auto"/>
            <w:tcBorders>
              <w:top w:val="nil"/>
              <w:left w:val="nil"/>
              <w:bottom w:val="nil"/>
              <w:right w:val="nil"/>
            </w:tcBorders>
          </w:tcPr>
          <w:p w14:paraId="2E9F63A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-0.0105</w:t>
            </w:r>
          </w:p>
        </w:tc>
        <w:tc>
          <w:tcPr>
            <w:tcW w:w="0" w:type="auto"/>
            <w:tcBorders>
              <w:top w:val="nil"/>
              <w:left w:val="nil"/>
              <w:bottom w:val="nil"/>
              <w:right w:val="nil"/>
            </w:tcBorders>
          </w:tcPr>
          <w:p w14:paraId="33BF875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-0.00307</w:t>
            </w:r>
          </w:p>
        </w:tc>
        <w:tc>
          <w:tcPr>
            <w:tcW w:w="0" w:type="auto"/>
            <w:tcBorders>
              <w:top w:val="nil"/>
              <w:left w:val="nil"/>
              <w:bottom w:val="nil"/>
              <w:right w:val="nil"/>
            </w:tcBorders>
          </w:tcPr>
          <w:p w14:paraId="55B8D85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-0.00987</w:t>
            </w:r>
          </w:p>
        </w:tc>
        <w:tc>
          <w:tcPr>
            <w:tcW w:w="0" w:type="auto"/>
            <w:tcBorders>
              <w:top w:val="nil"/>
              <w:left w:val="nil"/>
              <w:bottom w:val="nil"/>
              <w:right w:val="nil"/>
            </w:tcBorders>
          </w:tcPr>
          <w:p w14:paraId="2F51895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-0.0289***</w:t>
            </w:r>
          </w:p>
        </w:tc>
        <w:tc>
          <w:tcPr>
            <w:tcW w:w="0" w:type="auto"/>
            <w:tcBorders>
              <w:top w:val="nil"/>
              <w:left w:val="nil"/>
              <w:bottom w:val="nil"/>
              <w:right w:val="nil"/>
            </w:tcBorders>
          </w:tcPr>
          <w:p w14:paraId="660E4D0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-0.0577***</w:t>
            </w:r>
          </w:p>
        </w:tc>
      </w:tr>
      <w:tr w:rsidR="008F3998" w:rsidRPr="008F3998" w14:paraId="4835D057" w14:textId="77777777" w:rsidTr="00A871A9">
        <w:trPr>
          <w:jc w:val="center"/>
        </w:trPr>
        <w:tc>
          <w:tcPr>
            <w:tcW w:w="0" w:type="auto"/>
            <w:tcBorders>
              <w:top w:val="nil"/>
              <w:left w:val="nil"/>
              <w:bottom w:val="nil"/>
              <w:right w:val="nil"/>
            </w:tcBorders>
          </w:tcPr>
          <w:p w14:paraId="293055C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E575E7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(0.00904)</w:t>
            </w:r>
          </w:p>
        </w:tc>
        <w:tc>
          <w:tcPr>
            <w:tcW w:w="0" w:type="auto"/>
            <w:tcBorders>
              <w:top w:val="nil"/>
              <w:left w:val="nil"/>
              <w:bottom w:val="nil"/>
              <w:right w:val="nil"/>
            </w:tcBorders>
          </w:tcPr>
          <w:p w14:paraId="38CF539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(0.0168)</w:t>
            </w:r>
          </w:p>
        </w:tc>
        <w:tc>
          <w:tcPr>
            <w:tcW w:w="0" w:type="auto"/>
            <w:tcBorders>
              <w:top w:val="nil"/>
              <w:left w:val="nil"/>
              <w:bottom w:val="nil"/>
              <w:right w:val="nil"/>
            </w:tcBorders>
          </w:tcPr>
          <w:p w14:paraId="04C6C4B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(0.00828)</w:t>
            </w:r>
          </w:p>
        </w:tc>
        <w:tc>
          <w:tcPr>
            <w:tcW w:w="0" w:type="auto"/>
            <w:tcBorders>
              <w:top w:val="nil"/>
              <w:left w:val="nil"/>
              <w:bottom w:val="nil"/>
              <w:right w:val="nil"/>
            </w:tcBorders>
          </w:tcPr>
          <w:p w14:paraId="58745EF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(0.0175)</w:t>
            </w:r>
          </w:p>
        </w:tc>
        <w:tc>
          <w:tcPr>
            <w:tcW w:w="0" w:type="auto"/>
            <w:tcBorders>
              <w:top w:val="nil"/>
              <w:left w:val="nil"/>
              <w:bottom w:val="nil"/>
              <w:right w:val="nil"/>
            </w:tcBorders>
          </w:tcPr>
          <w:p w14:paraId="036B169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(0.00363)</w:t>
            </w:r>
          </w:p>
        </w:tc>
        <w:tc>
          <w:tcPr>
            <w:tcW w:w="0" w:type="auto"/>
            <w:tcBorders>
              <w:top w:val="nil"/>
              <w:left w:val="nil"/>
              <w:bottom w:val="nil"/>
              <w:right w:val="nil"/>
            </w:tcBorders>
          </w:tcPr>
          <w:p w14:paraId="3E4DC2C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(0.00867)</w:t>
            </w:r>
          </w:p>
        </w:tc>
      </w:tr>
      <w:tr w:rsidR="008F3998" w:rsidRPr="008F3998" w14:paraId="7097A14A" w14:textId="77777777" w:rsidTr="00A871A9">
        <w:trPr>
          <w:jc w:val="center"/>
        </w:trPr>
        <w:tc>
          <w:tcPr>
            <w:tcW w:w="0" w:type="auto"/>
            <w:tcBorders>
              <w:top w:val="nil"/>
              <w:left w:val="nil"/>
              <w:bottom w:val="nil"/>
              <w:right w:val="nil"/>
            </w:tcBorders>
          </w:tcPr>
          <w:p w14:paraId="53866C1A" w14:textId="488D7D5F"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finmar</w:t>
            </w:r>
            <w:proofErr w:type="spellEnd"/>
          </w:p>
        </w:tc>
        <w:tc>
          <w:tcPr>
            <w:tcW w:w="0" w:type="auto"/>
            <w:tcBorders>
              <w:top w:val="nil"/>
              <w:left w:val="nil"/>
              <w:bottom w:val="nil"/>
              <w:right w:val="nil"/>
            </w:tcBorders>
          </w:tcPr>
          <w:p w14:paraId="66EDFAC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2B9D21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DBDD8F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738FA9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FF2F0B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0.0123</w:t>
            </w:r>
          </w:p>
        </w:tc>
        <w:tc>
          <w:tcPr>
            <w:tcW w:w="0" w:type="auto"/>
            <w:tcBorders>
              <w:top w:val="nil"/>
              <w:left w:val="nil"/>
              <w:bottom w:val="nil"/>
              <w:right w:val="nil"/>
            </w:tcBorders>
          </w:tcPr>
          <w:p w14:paraId="46095F3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0.00200</w:t>
            </w:r>
          </w:p>
        </w:tc>
      </w:tr>
      <w:tr w:rsidR="008F3998" w:rsidRPr="008F3998" w14:paraId="6AA96850" w14:textId="77777777" w:rsidTr="00A871A9">
        <w:trPr>
          <w:jc w:val="center"/>
        </w:trPr>
        <w:tc>
          <w:tcPr>
            <w:tcW w:w="0" w:type="auto"/>
            <w:tcBorders>
              <w:top w:val="nil"/>
              <w:left w:val="nil"/>
              <w:bottom w:val="nil"/>
              <w:right w:val="nil"/>
            </w:tcBorders>
          </w:tcPr>
          <w:p w14:paraId="041396F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E921CD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668A7D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7FCA1A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1D156E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6FEFB3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(0.0115)</w:t>
            </w:r>
          </w:p>
        </w:tc>
        <w:tc>
          <w:tcPr>
            <w:tcW w:w="0" w:type="auto"/>
            <w:tcBorders>
              <w:top w:val="nil"/>
              <w:left w:val="nil"/>
              <w:bottom w:val="nil"/>
              <w:right w:val="nil"/>
            </w:tcBorders>
          </w:tcPr>
          <w:p w14:paraId="7EF7273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(0.0200)</w:t>
            </w:r>
          </w:p>
        </w:tc>
      </w:tr>
      <w:tr w:rsidR="008F3998" w:rsidRPr="008F3998" w14:paraId="3FD64F8A" w14:textId="77777777" w:rsidTr="00A871A9">
        <w:trPr>
          <w:jc w:val="center"/>
        </w:trPr>
        <w:tc>
          <w:tcPr>
            <w:tcW w:w="0" w:type="auto"/>
            <w:tcBorders>
              <w:top w:val="nil"/>
              <w:left w:val="nil"/>
              <w:bottom w:val="nil"/>
              <w:right w:val="nil"/>
            </w:tcBorders>
          </w:tcPr>
          <w:p w14:paraId="0013A965" w14:textId="1A7DB176"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marmsci</w:t>
            </w:r>
            <w:proofErr w:type="spellEnd"/>
          </w:p>
        </w:tc>
        <w:tc>
          <w:tcPr>
            <w:tcW w:w="0" w:type="auto"/>
            <w:tcBorders>
              <w:top w:val="nil"/>
              <w:left w:val="nil"/>
              <w:bottom w:val="nil"/>
              <w:right w:val="nil"/>
            </w:tcBorders>
          </w:tcPr>
          <w:p w14:paraId="0D56437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167C3F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4D4B82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FA9A25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9C6765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9.72e-05</w:t>
            </w:r>
          </w:p>
        </w:tc>
        <w:tc>
          <w:tcPr>
            <w:tcW w:w="0" w:type="auto"/>
            <w:tcBorders>
              <w:top w:val="nil"/>
              <w:left w:val="nil"/>
              <w:bottom w:val="nil"/>
              <w:right w:val="nil"/>
            </w:tcBorders>
          </w:tcPr>
          <w:p w14:paraId="6DB7D0E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8.90e-05</w:t>
            </w:r>
          </w:p>
        </w:tc>
      </w:tr>
      <w:tr w:rsidR="008F3998" w:rsidRPr="008F3998" w14:paraId="5156F4AD" w14:textId="77777777" w:rsidTr="00A871A9">
        <w:trPr>
          <w:jc w:val="center"/>
        </w:trPr>
        <w:tc>
          <w:tcPr>
            <w:tcW w:w="0" w:type="auto"/>
            <w:tcBorders>
              <w:top w:val="nil"/>
              <w:left w:val="nil"/>
              <w:bottom w:val="nil"/>
              <w:right w:val="nil"/>
            </w:tcBorders>
          </w:tcPr>
          <w:p w14:paraId="1BB6335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7DC015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E2B7E8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5A1F5C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15ED35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DDEC11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(0.000128)</w:t>
            </w:r>
          </w:p>
        </w:tc>
        <w:tc>
          <w:tcPr>
            <w:tcW w:w="0" w:type="auto"/>
            <w:tcBorders>
              <w:top w:val="nil"/>
              <w:left w:val="nil"/>
              <w:bottom w:val="nil"/>
              <w:right w:val="nil"/>
            </w:tcBorders>
          </w:tcPr>
          <w:p w14:paraId="75A18AC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(0.000238)</w:t>
            </w:r>
          </w:p>
        </w:tc>
      </w:tr>
      <w:tr w:rsidR="008F3998" w:rsidRPr="008F3998" w14:paraId="735C18EA" w14:textId="77777777" w:rsidTr="00A871A9">
        <w:trPr>
          <w:jc w:val="center"/>
        </w:trPr>
        <w:tc>
          <w:tcPr>
            <w:tcW w:w="0" w:type="auto"/>
            <w:tcBorders>
              <w:top w:val="nil"/>
              <w:left w:val="nil"/>
              <w:bottom w:val="nil"/>
              <w:right w:val="nil"/>
            </w:tcBorders>
          </w:tcPr>
          <w:p w14:paraId="0FF563C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marcap</w:t>
            </w:r>
            <w:proofErr w:type="spellEnd"/>
          </w:p>
        </w:tc>
        <w:tc>
          <w:tcPr>
            <w:tcW w:w="0" w:type="auto"/>
            <w:tcBorders>
              <w:top w:val="nil"/>
              <w:left w:val="nil"/>
              <w:bottom w:val="nil"/>
              <w:right w:val="nil"/>
            </w:tcBorders>
          </w:tcPr>
          <w:p w14:paraId="54023F8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54B331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0F4FE6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1CFD27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CC8EE8E" w14:textId="237C5DAC" w:rsidR="00B07CD7" w:rsidRPr="008F3998" w:rsidRDefault="008D1B4B"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9.51e-14</w:t>
            </w:r>
          </w:p>
        </w:tc>
        <w:tc>
          <w:tcPr>
            <w:tcW w:w="0" w:type="auto"/>
            <w:tcBorders>
              <w:top w:val="nil"/>
              <w:left w:val="nil"/>
              <w:bottom w:val="nil"/>
              <w:right w:val="nil"/>
            </w:tcBorders>
          </w:tcPr>
          <w:p w14:paraId="1374653A" w14:textId="7AF670F3" w:rsidR="00B07CD7" w:rsidRPr="008F3998" w:rsidRDefault="008D1B4B"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2.94e-13</w:t>
            </w:r>
          </w:p>
        </w:tc>
      </w:tr>
      <w:tr w:rsidR="008F3998" w:rsidRPr="008F3998" w14:paraId="6583E6BB" w14:textId="77777777" w:rsidTr="00A871A9">
        <w:trPr>
          <w:jc w:val="center"/>
        </w:trPr>
        <w:tc>
          <w:tcPr>
            <w:tcW w:w="0" w:type="auto"/>
            <w:tcBorders>
              <w:top w:val="nil"/>
              <w:left w:val="nil"/>
              <w:bottom w:val="nil"/>
              <w:right w:val="nil"/>
            </w:tcBorders>
          </w:tcPr>
          <w:p w14:paraId="2F34C7B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6DE70F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EA0005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B397F7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7DCCAA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C58611C" w14:textId="0640338A"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1.45e-13</w:t>
            </w:r>
            <w:r w:rsidRPr="008F3998">
              <w:rPr>
                <w:rFonts w:ascii="Times New Roman" w:hAnsi="Times New Roman" w:cs="Times New Roman"/>
                <w:sz w:val="20"/>
                <w:szCs w:val="20"/>
              </w:rPr>
              <w:t>)</w:t>
            </w:r>
          </w:p>
        </w:tc>
        <w:tc>
          <w:tcPr>
            <w:tcW w:w="0" w:type="auto"/>
            <w:tcBorders>
              <w:top w:val="nil"/>
              <w:left w:val="nil"/>
              <w:bottom w:val="nil"/>
              <w:right w:val="nil"/>
            </w:tcBorders>
          </w:tcPr>
          <w:p w14:paraId="5592383A" w14:textId="6BAC2156"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2.58e-13</w:t>
            </w:r>
            <w:r w:rsidRPr="008F3998">
              <w:rPr>
                <w:rFonts w:ascii="Times New Roman" w:hAnsi="Times New Roman" w:cs="Times New Roman"/>
                <w:sz w:val="20"/>
                <w:szCs w:val="20"/>
              </w:rPr>
              <w:t>)</w:t>
            </w:r>
          </w:p>
        </w:tc>
      </w:tr>
      <w:tr w:rsidR="008F3998" w:rsidRPr="008F3998" w14:paraId="088C9010" w14:textId="77777777" w:rsidTr="00A871A9">
        <w:trPr>
          <w:jc w:val="center"/>
        </w:trPr>
        <w:tc>
          <w:tcPr>
            <w:tcW w:w="0" w:type="auto"/>
            <w:tcBorders>
              <w:top w:val="nil"/>
              <w:left w:val="nil"/>
              <w:bottom w:val="nil"/>
              <w:right w:val="nil"/>
            </w:tcBorders>
          </w:tcPr>
          <w:p w14:paraId="10376FB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finmsci</w:t>
            </w:r>
            <w:proofErr w:type="spellEnd"/>
          </w:p>
        </w:tc>
        <w:tc>
          <w:tcPr>
            <w:tcW w:w="0" w:type="auto"/>
            <w:tcBorders>
              <w:top w:val="nil"/>
              <w:left w:val="nil"/>
              <w:bottom w:val="nil"/>
              <w:right w:val="nil"/>
            </w:tcBorders>
          </w:tcPr>
          <w:p w14:paraId="39C5D33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545AC7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CF735B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2D5771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246889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-0.0132</w:t>
            </w:r>
          </w:p>
        </w:tc>
        <w:tc>
          <w:tcPr>
            <w:tcW w:w="0" w:type="auto"/>
            <w:tcBorders>
              <w:top w:val="nil"/>
              <w:left w:val="nil"/>
              <w:bottom w:val="nil"/>
              <w:right w:val="nil"/>
            </w:tcBorders>
          </w:tcPr>
          <w:p w14:paraId="76F3F86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-0.0102</w:t>
            </w:r>
          </w:p>
        </w:tc>
      </w:tr>
      <w:tr w:rsidR="008F3998" w:rsidRPr="008F3998" w14:paraId="7CDC1064" w14:textId="77777777" w:rsidTr="00A871A9">
        <w:trPr>
          <w:jc w:val="center"/>
        </w:trPr>
        <w:tc>
          <w:tcPr>
            <w:tcW w:w="0" w:type="auto"/>
            <w:tcBorders>
              <w:top w:val="nil"/>
              <w:left w:val="nil"/>
              <w:bottom w:val="nil"/>
              <w:right w:val="nil"/>
            </w:tcBorders>
          </w:tcPr>
          <w:p w14:paraId="137F5BC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7F1A4D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C4D65A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041B58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3DE9BB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E07BB5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(0.0114)</w:t>
            </w:r>
          </w:p>
        </w:tc>
        <w:tc>
          <w:tcPr>
            <w:tcW w:w="0" w:type="auto"/>
            <w:tcBorders>
              <w:top w:val="nil"/>
              <w:left w:val="nil"/>
              <w:bottom w:val="nil"/>
              <w:right w:val="nil"/>
            </w:tcBorders>
          </w:tcPr>
          <w:p w14:paraId="39AB54A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(0.0205)</w:t>
            </w:r>
          </w:p>
        </w:tc>
      </w:tr>
      <w:tr w:rsidR="008F3998" w:rsidRPr="008F3998" w14:paraId="1077DE68" w14:textId="77777777" w:rsidTr="00A871A9">
        <w:trPr>
          <w:jc w:val="center"/>
        </w:trPr>
        <w:tc>
          <w:tcPr>
            <w:tcW w:w="0" w:type="auto"/>
            <w:tcBorders>
              <w:top w:val="nil"/>
              <w:left w:val="nil"/>
              <w:bottom w:val="nil"/>
              <w:right w:val="nil"/>
            </w:tcBorders>
          </w:tcPr>
          <w:p w14:paraId="216DB83A" w14:textId="22D11FEE"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stoxx50</w:t>
            </w:r>
          </w:p>
        </w:tc>
        <w:tc>
          <w:tcPr>
            <w:tcW w:w="0" w:type="auto"/>
            <w:tcBorders>
              <w:top w:val="nil"/>
              <w:left w:val="nil"/>
              <w:bottom w:val="nil"/>
              <w:right w:val="nil"/>
            </w:tcBorders>
          </w:tcPr>
          <w:p w14:paraId="0941522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9F8734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B6B934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8FF04B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A655B4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0.000911</w:t>
            </w:r>
          </w:p>
        </w:tc>
        <w:tc>
          <w:tcPr>
            <w:tcW w:w="0" w:type="auto"/>
            <w:tcBorders>
              <w:top w:val="nil"/>
              <w:left w:val="nil"/>
              <w:bottom w:val="nil"/>
              <w:right w:val="nil"/>
            </w:tcBorders>
          </w:tcPr>
          <w:p w14:paraId="7D6B17A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0.00253**</w:t>
            </w:r>
          </w:p>
        </w:tc>
      </w:tr>
      <w:tr w:rsidR="008F3998" w:rsidRPr="008F3998" w14:paraId="01660A97" w14:textId="77777777" w:rsidTr="00A871A9">
        <w:trPr>
          <w:jc w:val="center"/>
        </w:trPr>
        <w:tc>
          <w:tcPr>
            <w:tcW w:w="0" w:type="auto"/>
            <w:tcBorders>
              <w:top w:val="nil"/>
              <w:left w:val="nil"/>
              <w:bottom w:val="nil"/>
              <w:right w:val="nil"/>
            </w:tcBorders>
          </w:tcPr>
          <w:p w14:paraId="619BE2D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4595E1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37C77D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90E763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ADA8A5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CF98AA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(0.000488)</w:t>
            </w:r>
          </w:p>
        </w:tc>
        <w:tc>
          <w:tcPr>
            <w:tcW w:w="0" w:type="auto"/>
            <w:tcBorders>
              <w:top w:val="nil"/>
              <w:left w:val="nil"/>
              <w:bottom w:val="nil"/>
              <w:right w:val="nil"/>
            </w:tcBorders>
          </w:tcPr>
          <w:p w14:paraId="7C486C0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(0.000891)</w:t>
            </w:r>
          </w:p>
        </w:tc>
      </w:tr>
      <w:tr w:rsidR="008F3998" w:rsidRPr="008F3998" w14:paraId="3D893A36" w14:textId="77777777" w:rsidTr="00A871A9">
        <w:trPr>
          <w:jc w:val="center"/>
        </w:trPr>
        <w:tc>
          <w:tcPr>
            <w:tcW w:w="0" w:type="auto"/>
            <w:tcBorders>
              <w:top w:val="nil"/>
              <w:left w:val="nil"/>
              <w:bottom w:val="nil"/>
              <w:right w:val="nil"/>
            </w:tcBorders>
          </w:tcPr>
          <w:p w14:paraId="42B0EAA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hyyield</w:t>
            </w:r>
            <w:proofErr w:type="spellEnd"/>
          </w:p>
        </w:tc>
        <w:tc>
          <w:tcPr>
            <w:tcW w:w="0" w:type="auto"/>
            <w:tcBorders>
              <w:top w:val="nil"/>
              <w:left w:val="nil"/>
              <w:bottom w:val="nil"/>
              <w:right w:val="nil"/>
            </w:tcBorders>
          </w:tcPr>
          <w:p w14:paraId="182680B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8253B2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75A5FD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11BA8C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D27975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-0.00757***</w:t>
            </w:r>
          </w:p>
        </w:tc>
        <w:tc>
          <w:tcPr>
            <w:tcW w:w="0" w:type="auto"/>
            <w:tcBorders>
              <w:top w:val="nil"/>
              <w:left w:val="nil"/>
              <w:bottom w:val="nil"/>
              <w:right w:val="nil"/>
            </w:tcBorders>
          </w:tcPr>
          <w:p w14:paraId="22E4C5E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-0.00698</w:t>
            </w:r>
          </w:p>
        </w:tc>
      </w:tr>
      <w:tr w:rsidR="008F3998" w:rsidRPr="008F3998" w14:paraId="198F6900" w14:textId="77777777" w:rsidTr="00A871A9">
        <w:trPr>
          <w:jc w:val="center"/>
        </w:trPr>
        <w:tc>
          <w:tcPr>
            <w:tcW w:w="0" w:type="auto"/>
            <w:tcBorders>
              <w:top w:val="nil"/>
              <w:left w:val="nil"/>
              <w:bottom w:val="nil"/>
              <w:right w:val="nil"/>
            </w:tcBorders>
          </w:tcPr>
          <w:p w14:paraId="548AF6C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22AA70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956BD3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FA5C29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52806D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B9BE92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(0.00177)</w:t>
            </w:r>
          </w:p>
        </w:tc>
        <w:tc>
          <w:tcPr>
            <w:tcW w:w="0" w:type="auto"/>
            <w:tcBorders>
              <w:top w:val="nil"/>
              <w:left w:val="nil"/>
              <w:bottom w:val="nil"/>
              <w:right w:val="nil"/>
            </w:tcBorders>
          </w:tcPr>
          <w:p w14:paraId="274B949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(0.00453)</w:t>
            </w:r>
          </w:p>
        </w:tc>
      </w:tr>
      <w:tr w:rsidR="008F3998" w:rsidRPr="008F3998" w14:paraId="259A4AF7" w14:textId="77777777" w:rsidTr="00A871A9">
        <w:trPr>
          <w:jc w:val="center"/>
        </w:trPr>
        <w:tc>
          <w:tcPr>
            <w:tcW w:w="0" w:type="auto"/>
            <w:tcBorders>
              <w:top w:val="nil"/>
              <w:left w:val="nil"/>
              <w:bottom w:val="nil"/>
              <w:right w:val="nil"/>
            </w:tcBorders>
          </w:tcPr>
          <w:p w14:paraId="2DBBF52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igyield</w:t>
            </w:r>
            <w:proofErr w:type="spellEnd"/>
          </w:p>
        </w:tc>
        <w:tc>
          <w:tcPr>
            <w:tcW w:w="0" w:type="auto"/>
            <w:tcBorders>
              <w:top w:val="nil"/>
              <w:left w:val="nil"/>
              <w:bottom w:val="nil"/>
              <w:right w:val="nil"/>
            </w:tcBorders>
          </w:tcPr>
          <w:p w14:paraId="1EB9807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D8202C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FB1C3A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1AB56A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5270F1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-0.00257</w:t>
            </w:r>
          </w:p>
        </w:tc>
        <w:tc>
          <w:tcPr>
            <w:tcW w:w="0" w:type="auto"/>
            <w:tcBorders>
              <w:top w:val="nil"/>
              <w:left w:val="nil"/>
              <w:bottom w:val="nil"/>
              <w:right w:val="nil"/>
            </w:tcBorders>
          </w:tcPr>
          <w:p w14:paraId="167BC75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-0.000147</w:t>
            </w:r>
          </w:p>
        </w:tc>
      </w:tr>
      <w:tr w:rsidR="008F3998" w:rsidRPr="008F3998" w14:paraId="09BFE7EA" w14:textId="77777777" w:rsidTr="00A871A9">
        <w:trPr>
          <w:jc w:val="center"/>
        </w:trPr>
        <w:tc>
          <w:tcPr>
            <w:tcW w:w="0" w:type="auto"/>
            <w:tcBorders>
              <w:top w:val="nil"/>
              <w:left w:val="nil"/>
              <w:bottom w:val="nil"/>
              <w:right w:val="nil"/>
            </w:tcBorders>
          </w:tcPr>
          <w:p w14:paraId="2B3AA5B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3F4625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16D0C3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F7AF37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ADC349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CDA5C7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(0.00351)</w:t>
            </w:r>
          </w:p>
        </w:tc>
        <w:tc>
          <w:tcPr>
            <w:tcW w:w="0" w:type="auto"/>
            <w:tcBorders>
              <w:top w:val="nil"/>
              <w:left w:val="nil"/>
              <w:bottom w:val="nil"/>
              <w:right w:val="nil"/>
            </w:tcBorders>
          </w:tcPr>
          <w:p w14:paraId="2019683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(0.0102)</w:t>
            </w:r>
          </w:p>
        </w:tc>
      </w:tr>
      <w:tr w:rsidR="008F3998" w:rsidRPr="008F3998" w14:paraId="79C2A9A8" w14:textId="77777777" w:rsidTr="00A871A9">
        <w:trPr>
          <w:jc w:val="center"/>
        </w:trPr>
        <w:tc>
          <w:tcPr>
            <w:tcW w:w="0" w:type="auto"/>
            <w:tcBorders>
              <w:top w:val="nil"/>
              <w:left w:val="nil"/>
              <w:bottom w:val="nil"/>
              <w:right w:val="nil"/>
            </w:tcBorders>
          </w:tcPr>
          <w:p w14:paraId="2230BEFF" w14:textId="70BA0B49"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L.</w:t>
            </w:r>
            <w:r w:rsidR="00697730" w:rsidRPr="008F3998">
              <w:rPr>
                <w:rFonts w:ascii="Times New Roman" w:hAnsi="Times New Roman" w:cs="Times New Roman"/>
                <w:sz w:val="20"/>
                <w:szCs w:val="20"/>
              </w:rPr>
              <w:t>CO</w:t>
            </w:r>
            <w:r w:rsidR="00697730" w:rsidRPr="008F3998">
              <w:rPr>
                <w:rFonts w:ascii="Times New Roman" w:hAnsi="Times New Roman" w:cs="Times New Roman"/>
                <w:sz w:val="20"/>
                <w:szCs w:val="20"/>
                <w:vertAlign w:val="subscript"/>
              </w:rPr>
              <w:t>2</w:t>
            </w:r>
          </w:p>
        </w:tc>
        <w:tc>
          <w:tcPr>
            <w:tcW w:w="0" w:type="auto"/>
            <w:tcBorders>
              <w:top w:val="nil"/>
              <w:left w:val="nil"/>
              <w:bottom w:val="nil"/>
              <w:right w:val="nil"/>
            </w:tcBorders>
          </w:tcPr>
          <w:p w14:paraId="431BFEF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0.529</w:t>
            </w:r>
          </w:p>
        </w:tc>
        <w:tc>
          <w:tcPr>
            <w:tcW w:w="0" w:type="auto"/>
            <w:tcBorders>
              <w:top w:val="nil"/>
              <w:left w:val="nil"/>
              <w:bottom w:val="nil"/>
              <w:right w:val="nil"/>
            </w:tcBorders>
          </w:tcPr>
          <w:p w14:paraId="2410809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0.755</w:t>
            </w:r>
          </w:p>
        </w:tc>
        <w:tc>
          <w:tcPr>
            <w:tcW w:w="0" w:type="auto"/>
            <w:tcBorders>
              <w:top w:val="nil"/>
              <w:left w:val="nil"/>
              <w:bottom w:val="nil"/>
              <w:right w:val="nil"/>
            </w:tcBorders>
          </w:tcPr>
          <w:p w14:paraId="282262F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0.847</w:t>
            </w:r>
          </w:p>
        </w:tc>
        <w:tc>
          <w:tcPr>
            <w:tcW w:w="0" w:type="auto"/>
            <w:tcBorders>
              <w:top w:val="nil"/>
              <w:left w:val="nil"/>
              <w:bottom w:val="nil"/>
              <w:right w:val="nil"/>
            </w:tcBorders>
          </w:tcPr>
          <w:p w14:paraId="4A3C9C5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0.819</w:t>
            </w:r>
          </w:p>
        </w:tc>
        <w:tc>
          <w:tcPr>
            <w:tcW w:w="0" w:type="auto"/>
            <w:tcBorders>
              <w:top w:val="nil"/>
              <w:left w:val="nil"/>
              <w:bottom w:val="nil"/>
              <w:right w:val="nil"/>
            </w:tcBorders>
          </w:tcPr>
          <w:p w14:paraId="1245947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-1.325</w:t>
            </w:r>
          </w:p>
        </w:tc>
        <w:tc>
          <w:tcPr>
            <w:tcW w:w="0" w:type="auto"/>
            <w:tcBorders>
              <w:top w:val="nil"/>
              <w:left w:val="nil"/>
              <w:bottom w:val="nil"/>
              <w:right w:val="nil"/>
            </w:tcBorders>
          </w:tcPr>
          <w:p w14:paraId="125C4B5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-1.731</w:t>
            </w:r>
          </w:p>
        </w:tc>
      </w:tr>
      <w:tr w:rsidR="008F3998" w:rsidRPr="008F3998" w14:paraId="7BA81C53" w14:textId="77777777" w:rsidTr="00A871A9">
        <w:trPr>
          <w:jc w:val="center"/>
        </w:trPr>
        <w:tc>
          <w:tcPr>
            <w:tcW w:w="0" w:type="auto"/>
            <w:tcBorders>
              <w:top w:val="nil"/>
              <w:left w:val="nil"/>
              <w:bottom w:val="nil"/>
              <w:right w:val="nil"/>
            </w:tcBorders>
          </w:tcPr>
          <w:p w14:paraId="3BF3918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A23FAC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(0.531)</w:t>
            </w:r>
          </w:p>
        </w:tc>
        <w:tc>
          <w:tcPr>
            <w:tcW w:w="0" w:type="auto"/>
            <w:tcBorders>
              <w:top w:val="nil"/>
              <w:left w:val="nil"/>
              <w:bottom w:val="nil"/>
              <w:right w:val="nil"/>
            </w:tcBorders>
          </w:tcPr>
          <w:p w14:paraId="2158B0B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(0.620)</w:t>
            </w:r>
          </w:p>
        </w:tc>
        <w:tc>
          <w:tcPr>
            <w:tcW w:w="0" w:type="auto"/>
            <w:tcBorders>
              <w:top w:val="nil"/>
              <w:left w:val="nil"/>
              <w:bottom w:val="nil"/>
              <w:right w:val="nil"/>
            </w:tcBorders>
          </w:tcPr>
          <w:p w14:paraId="627FF8B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(0.610)</w:t>
            </w:r>
          </w:p>
        </w:tc>
        <w:tc>
          <w:tcPr>
            <w:tcW w:w="0" w:type="auto"/>
            <w:tcBorders>
              <w:top w:val="nil"/>
              <w:left w:val="nil"/>
              <w:bottom w:val="nil"/>
              <w:right w:val="nil"/>
            </w:tcBorders>
          </w:tcPr>
          <w:p w14:paraId="6275E3C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(0.847)</w:t>
            </w:r>
          </w:p>
        </w:tc>
        <w:tc>
          <w:tcPr>
            <w:tcW w:w="0" w:type="auto"/>
            <w:tcBorders>
              <w:top w:val="nil"/>
              <w:left w:val="nil"/>
              <w:bottom w:val="nil"/>
              <w:right w:val="nil"/>
            </w:tcBorders>
          </w:tcPr>
          <w:p w14:paraId="5FAFBB2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(1.487)</w:t>
            </w:r>
          </w:p>
        </w:tc>
        <w:tc>
          <w:tcPr>
            <w:tcW w:w="0" w:type="auto"/>
            <w:tcBorders>
              <w:top w:val="nil"/>
              <w:left w:val="nil"/>
              <w:bottom w:val="nil"/>
              <w:right w:val="nil"/>
            </w:tcBorders>
          </w:tcPr>
          <w:p w14:paraId="73AAD48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(2.888)</w:t>
            </w:r>
          </w:p>
        </w:tc>
      </w:tr>
      <w:tr w:rsidR="008F3998" w:rsidRPr="008F3998" w14:paraId="7B8F153D" w14:textId="77777777" w:rsidTr="00A871A9">
        <w:trPr>
          <w:jc w:val="center"/>
        </w:trPr>
        <w:tc>
          <w:tcPr>
            <w:tcW w:w="0" w:type="auto"/>
            <w:tcBorders>
              <w:top w:val="nil"/>
              <w:left w:val="nil"/>
              <w:bottom w:val="nil"/>
              <w:right w:val="nil"/>
            </w:tcBorders>
          </w:tcPr>
          <w:p w14:paraId="7B53A1E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L.debtgdp</w:t>
            </w:r>
            <w:proofErr w:type="spellEnd"/>
          </w:p>
        </w:tc>
        <w:tc>
          <w:tcPr>
            <w:tcW w:w="0" w:type="auto"/>
            <w:tcBorders>
              <w:top w:val="nil"/>
              <w:left w:val="nil"/>
              <w:bottom w:val="nil"/>
              <w:right w:val="nil"/>
            </w:tcBorders>
          </w:tcPr>
          <w:p w14:paraId="5276D73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0.0484</w:t>
            </w:r>
          </w:p>
        </w:tc>
        <w:tc>
          <w:tcPr>
            <w:tcW w:w="0" w:type="auto"/>
            <w:tcBorders>
              <w:top w:val="nil"/>
              <w:left w:val="nil"/>
              <w:bottom w:val="nil"/>
              <w:right w:val="nil"/>
            </w:tcBorders>
          </w:tcPr>
          <w:p w14:paraId="342BFB2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0.0677</w:t>
            </w:r>
          </w:p>
        </w:tc>
        <w:tc>
          <w:tcPr>
            <w:tcW w:w="0" w:type="auto"/>
            <w:tcBorders>
              <w:top w:val="nil"/>
              <w:left w:val="nil"/>
              <w:bottom w:val="nil"/>
              <w:right w:val="nil"/>
            </w:tcBorders>
          </w:tcPr>
          <w:p w14:paraId="164FDA2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0.0767</w:t>
            </w:r>
          </w:p>
        </w:tc>
        <w:tc>
          <w:tcPr>
            <w:tcW w:w="0" w:type="auto"/>
            <w:tcBorders>
              <w:top w:val="nil"/>
              <w:left w:val="nil"/>
              <w:bottom w:val="nil"/>
              <w:right w:val="nil"/>
            </w:tcBorders>
          </w:tcPr>
          <w:p w14:paraId="10708D6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0.0747</w:t>
            </w:r>
          </w:p>
        </w:tc>
        <w:tc>
          <w:tcPr>
            <w:tcW w:w="0" w:type="auto"/>
            <w:tcBorders>
              <w:top w:val="nil"/>
              <w:left w:val="nil"/>
              <w:bottom w:val="nil"/>
              <w:right w:val="nil"/>
            </w:tcBorders>
          </w:tcPr>
          <w:p w14:paraId="48ED07E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-0.0845</w:t>
            </w:r>
          </w:p>
        </w:tc>
        <w:tc>
          <w:tcPr>
            <w:tcW w:w="0" w:type="auto"/>
            <w:tcBorders>
              <w:top w:val="nil"/>
              <w:left w:val="nil"/>
              <w:bottom w:val="nil"/>
              <w:right w:val="nil"/>
            </w:tcBorders>
          </w:tcPr>
          <w:p w14:paraId="4854E2D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-0.207</w:t>
            </w:r>
          </w:p>
        </w:tc>
      </w:tr>
      <w:tr w:rsidR="008F3998" w:rsidRPr="008F3998" w14:paraId="2A6C5B09" w14:textId="77777777" w:rsidTr="00A871A9">
        <w:trPr>
          <w:jc w:val="center"/>
        </w:trPr>
        <w:tc>
          <w:tcPr>
            <w:tcW w:w="0" w:type="auto"/>
            <w:tcBorders>
              <w:top w:val="nil"/>
              <w:left w:val="nil"/>
              <w:bottom w:val="nil"/>
              <w:right w:val="nil"/>
            </w:tcBorders>
          </w:tcPr>
          <w:p w14:paraId="3B2EBBC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AE6631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(0.0641)</w:t>
            </w:r>
          </w:p>
        </w:tc>
        <w:tc>
          <w:tcPr>
            <w:tcW w:w="0" w:type="auto"/>
            <w:tcBorders>
              <w:top w:val="nil"/>
              <w:left w:val="nil"/>
              <w:bottom w:val="nil"/>
              <w:right w:val="nil"/>
            </w:tcBorders>
          </w:tcPr>
          <w:p w14:paraId="437419C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(0.110)</w:t>
            </w:r>
          </w:p>
        </w:tc>
        <w:tc>
          <w:tcPr>
            <w:tcW w:w="0" w:type="auto"/>
            <w:tcBorders>
              <w:top w:val="nil"/>
              <w:left w:val="nil"/>
              <w:bottom w:val="nil"/>
              <w:right w:val="nil"/>
            </w:tcBorders>
          </w:tcPr>
          <w:p w14:paraId="580D0E5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(0.0763)</w:t>
            </w:r>
          </w:p>
        </w:tc>
        <w:tc>
          <w:tcPr>
            <w:tcW w:w="0" w:type="auto"/>
            <w:tcBorders>
              <w:top w:val="nil"/>
              <w:left w:val="nil"/>
              <w:bottom w:val="nil"/>
              <w:right w:val="nil"/>
            </w:tcBorders>
          </w:tcPr>
          <w:p w14:paraId="07EC7B9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(0.133)</w:t>
            </w:r>
          </w:p>
        </w:tc>
        <w:tc>
          <w:tcPr>
            <w:tcW w:w="0" w:type="auto"/>
            <w:tcBorders>
              <w:top w:val="nil"/>
              <w:left w:val="nil"/>
              <w:bottom w:val="nil"/>
              <w:right w:val="nil"/>
            </w:tcBorders>
          </w:tcPr>
          <w:p w14:paraId="164E5B7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(0.106)</w:t>
            </w:r>
          </w:p>
        </w:tc>
        <w:tc>
          <w:tcPr>
            <w:tcW w:w="0" w:type="auto"/>
            <w:tcBorders>
              <w:top w:val="nil"/>
              <w:left w:val="nil"/>
              <w:bottom w:val="nil"/>
              <w:right w:val="nil"/>
            </w:tcBorders>
          </w:tcPr>
          <w:p w14:paraId="57170D7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(0.278)</w:t>
            </w:r>
          </w:p>
        </w:tc>
      </w:tr>
      <w:tr w:rsidR="008F3998" w:rsidRPr="008F3998" w14:paraId="612536EC" w14:textId="77777777" w:rsidTr="00A871A9">
        <w:trPr>
          <w:jc w:val="center"/>
        </w:trPr>
        <w:tc>
          <w:tcPr>
            <w:tcW w:w="0" w:type="auto"/>
            <w:tcBorders>
              <w:top w:val="nil"/>
              <w:left w:val="nil"/>
              <w:bottom w:val="nil"/>
              <w:right w:val="nil"/>
            </w:tcBorders>
          </w:tcPr>
          <w:p w14:paraId="19ED22B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L.totvol</w:t>
            </w:r>
            <w:proofErr w:type="spellEnd"/>
          </w:p>
        </w:tc>
        <w:tc>
          <w:tcPr>
            <w:tcW w:w="0" w:type="auto"/>
            <w:tcBorders>
              <w:top w:val="nil"/>
              <w:left w:val="nil"/>
              <w:bottom w:val="nil"/>
              <w:right w:val="nil"/>
            </w:tcBorders>
          </w:tcPr>
          <w:p w14:paraId="3959940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-0.238</w:t>
            </w:r>
          </w:p>
        </w:tc>
        <w:tc>
          <w:tcPr>
            <w:tcW w:w="0" w:type="auto"/>
            <w:tcBorders>
              <w:top w:val="nil"/>
              <w:left w:val="nil"/>
              <w:bottom w:val="nil"/>
              <w:right w:val="nil"/>
            </w:tcBorders>
          </w:tcPr>
          <w:p w14:paraId="3C90D0A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-0.335</w:t>
            </w:r>
          </w:p>
        </w:tc>
        <w:tc>
          <w:tcPr>
            <w:tcW w:w="0" w:type="auto"/>
            <w:tcBorders>
              <w:top w:val="nil"/>
              <w:left w:val="nil"/>
              <w:bottom w:val="nil"/>
              <w:right w:val="nil"/>
            </w:tcBorders>
          </w:tcPr>
          <w:p w14:paraId="1AA2213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-0.201</w:t>
            </w:r>
          </w:p>
        </w:tc>
        <w:tc>
          <w:tcPr>
            <w:tcW w:w="0" w:type="auto"/>
            <w:tcBorders>
              <w:top w:val="nil"/>
              <w:left w:val="nil"/>
              <w:bottom w:val="nil"/>
              <w:right w:val="nil"/>
            </w:tcBorders>
          </w:tcPr>
          <w:p w14:paraId="58E00BF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-0.318</w:t>
            </w:r>
          </w:p>
        </w:tc>
        <w:tc>
          <w:tcPr>
            <w:tcW w:w="0" w:type="auto"/>
            <w:tcBorders>
              <w:top w:val="nil"/>
              <w:left w:val="nil"/>
              <w:bottom w:val="nil"/>
              <w:right w:val="nil"/>
            </w:tcBorders>
          </w:tcPr>
          <w:p w14:paraId="2637372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-0.213</w:t>
            </w:r>
          </w:p>
        </w:tc>
        <w:tc>
          <w:tcPr>
            <w:tcW w:w="0" w:type="auto"/>
            <w:tcBorders>
              <w:top w:val="nil"/>
              <w:left w:val="nil"/>
              <w:bottom w:val="nil"/>
              <w:right w:val="nil"/>
            </w:tcBorders>
          </w:tcPr>
          <w:p w14:paraId="2F4ABC4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-0.307</w:t>
            </w:r>
          </w:p>
        </w:tc>
      </w:tr>
      <w:tr w:rsidR="008F3998" w:rsidRPr="008F3998" w14:paraId="1221EE11" w14:textId="77777777" w:rsidTr="00A871A9">
        <w:trPr>
          <w:jc w:val="center"/>
        </w:trPr>
        <w:tc>
          <w:tcPr>
            <w:tcW w:w="0" w:type="auto"/>
            <w:tcBorders>
              <w:top w:val="nil"/>
              <w:left w:val="nil"/>
              <w:bottom w:val="nil"/>
              <w:right w:val="nil"/>
            </w:tcBorders>
          </w:tcPr>
          <w:p w14:paraId="6BB8DAB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DAC912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(0.167)</w:t>
            </w:r>
          </w:p>
        </w:tc>
        <w:tc>
          <w:tcPr>
            <w:tcW w:w="0" w:type="auto"/>
            <w:tcBorders>
              <w:top w:val="nil"/>
              <w:left w:val="nil"/>
              <w:bottom w:val="nil"/>
              <w:right w:val="nil"/>
            </w:tcBorders>
          </w:tcPr>
          <w:p w14:paraId="50494ED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(0.192)</w:t>
            </w:r>
          </w:p>
        </w:tc>
        <w:tc>
          <w:tcPr>
            <w:tcW w:w="0" w:type="auto"/>
            <w:tcBorders>
              <w:top w:val="nil"/>
              <w:left w:val="nil"/>
              <w:bottom w:val="nil"/>
              <w:right w:val="nil"/>
            </w:tcBorders>
          </w:tcPr>
          <w:p w14:paraId="2761BD5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(0.185)</w:t>
            </w:r>
          </w:p>
        </w:tc>
        <w:tc>
          <w:tcPr>
            <w:tcW w:w="0" w:type="auto"/>
            <w:tcBorders>
              <w:top w:val="nil"/>
              <w:left w:val="nil"/>
              <w:bottom w:val="nil"/>
              <w:right w:val="nil"/>
            </w:tcBorders>
          </w:tcPr>
          <w:p w14:paraId="6BA9470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(0.262)</w:t>
            </w:r>
          </w:p>
        </w:tc>
        <w:tc>
          <w:tcPr>
            <w:tcW w:w="0" w:type="auto"/>
            <w:tcBorders>
              <w:top w:val="nil"/>
              <w:left w:val="nil"/>
              <w:bottom w:val="nil"/>
              <w:right w:val="nil"/>
            </w:tcBorders>
          </w:tcPr>
          <w:p w14:paraId="5817FAD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(0.305)</w:t>
            </w:r>
          </w:p>
        </w:tc>
        <w:tc>
          <w:tcPr>
            <w:tcW w:w="0" w:type="auto"/>
            <w:tcBorders>
              <w:top w:val="nil"/>
              <w:left w:val="nil"/>
              <w:bottom w:val="nil"/>
              <w:right w:val="nil"/>
            </w:tcBorders>
          </w:tcPr>
          <w:p w14:paraId="2AFEF5A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(0.641)</w:t>
            </w:r>
          </w:p>
        </w:tc>
      </w:tr>
      <w:tr w:rsidR="008F3998" w:rsidRPr="008F3998" w14:paraId="23B83BEE" w14:textId="77777777" w:rsidTr="00A871A9">
        <w:trPr>
          <w:jc w:val="center"/>
        </w:trPr>
        <w:tc>
          <w:tcPr>
            <w:tcW w:w="0" w:type="auto"/>
            <w:tcBorders>
              <w:top w:val="nil"/>
              <w:left w:val="nil"/>
              <w:bottom w:val="nil"/>
              <w:right w:val="nil"/>
            </w:tcBorders>
          </w:tcPr>
          <w:p w14:paraId="3AB6CE1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L.exr</w:t>
            </w:r>
            <w:proofErr w:type="spellEnd"/>
          </w:p>
        </w:tc>
        <w:tc>
          <w:tcPr>
            <w:tcW w:w="0" w:type="auto"/>
            <w:tcBorders>
              <w:top w:val="nil"/>
              <w:left w:val="nil"/>
              <w:bottom w:val="nil"/>
              <w:right w:val="nil"/>
            </w:tcBorders>
          </w:tcPr>
          <w:p w14:paraId="120CAF2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0.0143</w:t>
            </w:r>
          </w:p>
        </w:tc>
        <w:tc>
          <w:tcPr>
            <w:tcW w:w="0" w:type="auto"/>
            <w:tcBorders>
              <w:top w:val="nil"/>
              <w:left w:val="nil"/>
              <w:bottom w:val="nil"/>
              <w:right w:val="nil"/>
            </w:tcBorders>
          </w:tcPr>
          <w:p w14:paraId="0BA9505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0.0203</w:t>
            </w:r>
          </w:p>
        </w:tc>
        <w:tc>
          <w:tcPr>
            <w:tcW w:w="0" w:type="auto"/>
            <w:tcBorders>
              <w:top w:val="nil"/>
              <w:left w:val="nil"/>
              <w:bottom w:val="nil"/>
              <w:right w:val="nil"/>
            </w:tcBorders>
          </w:tcPr>
          <w:p w14:paraId="797C61F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0.0215</w:t>
            </w:r>
          </w:p>
        </w:tc>
        <w:tc>
          <w:tcPr>
            <w:tcW w:w="0" w:type="auto"/>
            <w:tcBorders>
              <w:top w:val="nil"/>
              <w:left w:val="nil"/>
              <w:bottom w:val="nil"/>
              <w:right w:val="nil"/>
            </w:tcBorders>
          </w:tcPr>
          <w:p w14:paraId="33C70F5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0.0168</w:t>
            </w:r>
          </w:p>
        </w:tc>
        <w:tc>
          <w:tcPr>
            <w:tcW w:w="0" w:type="auto"/>
            <w:tcBorders>
              <w:top w:val="nil"/>
              <w:left w:val="nil"/>
              <w:bottom w:val="nil"/>
              <w:right w:val="nil"/>
            </w:tcBorders>
          </w:tcPr>
          <w:p w14:paraId="76A3F82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-0.160</w:t>
            </w:r>
          </w:p>
        </w:tc>
        <w:tc>
          <w:tcPr>
            <w:tcW w:w="0" w:type="auto"/>
            <w:tcBorders>
              <w:top w:val="nil"/>
              <w:left w:val="nil"/>
              <w:bottom w:val="nil"/>
              <w:right w:val="nil"/>
            </w:tcBorders>
          </w:tcPr>
          <w:p w14:paraId="0B7507C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1.000</w:t>
            </w:r>
          </w:p>
        </w:tc>
      </w:tr>
      <w:tr w:rsidR="008F3998" w:rsidRPr="008F3998" w14:paraId="7BDBD6C5" w14:textId="77777777" w:rsidTr="00A871A9">
        <w:trPr>
          <w:jc w:val="center"/>
        </w:trPr>
        <w:tc>
          <w:tcPr>
            <w:tcW w:w="0" w:type="auto"/>
            <w:tcBorders>
              <w:top w:val="nil"/>
              <w:left w:val="nil"/>
              <w:bottom w:val="nil"/>
              <w:right w:val="nil"/>
            </w:tcBorders>
          </w:tcPr>
          <w:p w14:paraId="6DDFDCB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024699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(0.0250)</w:t>
            </w:r>
          </w:p>
        </w:tc>
        <w:tc>
          <w:tcPr>
            <w:tcW w:w="0" w:type="auto"/>
            <w:tcBorders>
              <w:top w:val="nil"/>
              <w:left w:val="nil"/>
              <w:bottom w:val="nil"/>
              <w:right w:val="nil"/>
            </w:tcBorders>
          </w:tcPr>
          <w:p w14:paraId="4FF2EC5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(0.0332)</w:t>
            </w:r>
          </w:p>
        </w:tc>
        <w:tc>
          <w:tcPr>
            <w:tcW w:w="0" w:type="auto"/>
            <w:tcBorders>
              <w:top w:val="nil"/>
              <w:left w:val="nil"/>
              <w:bottom w:val="nil"/>
              <w:right w:val="nil"/>
            </w:tcBorders>
          </w:tcPr>
          <w:p w14:paraId="3560B6F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(0.0218)</w:t>
            </w:r>
          </w:p>
        </w:tc>
        <w:tc>
          <w:tcPr>
            <w:tcW w:w="0" w:type="auto"/>
            <w:tcBorders>
              <w:top w:val="nil"/>
              <w:left w:val="nil"/>
              <w:bottom w:val="nil"/>
              <w:right w:val="nil"/>
            </w:tcBorders>
          </w:tcPr>
          <w:p w14:paraId="5A571B6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(0.0396)</w:t>
            </w:r>
          </w:p>
        </w:tc>
        <w:tc>
          <w:tcPr>
            <w:tcW w:w="0" w:type="auto"/>
            <w:tcBorders>
              <w:top w:val="nil"/>
              <w:left w:val="nil"/>
              <w:bottom w:val="nil"/>
              <w:right w:val="nil"/>
            </w:tcBorders>
          </w:tcPr>
          <w:p w14:paraId="5AC264A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(2.161)</w:t>
            </w:r>
          </w:p>
        </w:tc>
        <w:tc>
          <w:tcPr>
            <w:tcW w:w="0" w:type="auto"/>
            <w:tcBorders>
              <w:top w:val="nil"/>
              <w:left w:val="nil"/>
              <w:bottom w:val="nil"/>
              <w:right w:val="nil"/>
            </w:tcBorders>
          </w:tcPr>
          <w:p w14:paraId="6E9C43A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(4.709)</w:t>
            </w:r>
          </w:p>
        </w:tc>
      </w:tr>
      <w:tr w:rsidR="008F3998" w:rsidRPr="008F3998" w14:paraId="7E1F900C" w14:textId="77777777" w:rsidTr="00A871A9">
        <w:trPr>
          <w:jc w:val="center"/>
        </w:trPr>
        <w:tc>
          <w:tcPr>
            <w:tcW w:w="0" w:type="auto"/>
            <w:tcBorders>
              <w:top w:val="nil"/>
              <w:left w:val="nil"/>
              <w:bottom w:val="nil"/>
              <w:right w:val="nil"/>
            </w:tcBorders>
          </w:tcPr>
          <w:p w14:paraId="3BCB4ED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L.reserves</w:t>
            </w:r>
            <w:proofErr w:type="spellEnd"/>
          </w:p>
        </w:tc>
        <w:tc>
          <w:tcPr>
            <w:tcW w:w="0" w:type="auto"/>
            <w:tcBorders>
              <w:top w:val="nil"/>
              <w:left w:val="nil"/>
              <w:bottom w:val="nil"/>
              <w:right w:val="nil"/>
            </w:tcBorders>
          </w:tcPr>
          <w:p w14:paraId="019D1B2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3284B3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BDB3E5A" w14:textId="519CE563" w:rsidR="00B07CD7" w:rsidRPr="008F3998" w:rsidRDefault="008D1B4B"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1.03e-12</w:t>
            </w:r>
          </w:p>
        </w:tc>
        <w:tc>
          <w:tcPr>
            <w:tcW w:w="0" w:type="auto"/>
            <w:tcBorders>
              <w:top w:val="nil"/>
              <w:left w:val="nil"/>
              <w:bottom w:val="nil"/>
              <w:right w:val="nil"/>
            </w:tcBorders>
          </w:tcPr>
          <w:p w14:paraId="64F3C3D7" w14:textId="795D2681"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1.20e-12</w:t>
            </w:r>
          </w:p>
        </w:tc>
        <w:tc>
          <w:tcPr>
            <w:tcW w:w="0" w:type="auto"/>
            <w:tcBorders>
              <w:top w:val="nil"/>
              <w:left w:val="nil"/>
              <w:bottom w:val="nil"/>
              <w:right w:val="nil"/>
            </w:tcBorders>
          </w:tcPr>
          <w:p w14:paraId="76AD0916" w14:textId="51F855B9"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1.73e-11</w:t>
            </w:r>
          </w:p>
        </w:tc>
        <w:tc>
          <w:tcPr>
            <w:tcW w:w="0" w:type="auto"/>
            <w:tcBorders>
              <w:top w:val="nil"/>
              <w:left w:val="nil"/>
              <w:bottom w:val="nil"/>
              <w:right w:val="nil"/>
            </w:tcBorders>
          </w:tcPr>
          <w:p w14:paraId="6742861A" w14:textId="2014D848"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1.77e-11</w:t>
            </w:r>
          </w:p>
        </w:tc>
      </w:tr>
      <w:tr w:rsidR="008F3998" w:rsidRPr="008F3998" w14:paraId="37EF19D6" w14:textId="77777777" w:rsidTr="00A871A9">
        <w:trPr>
          <w:jc w:val="center"/>
        </w:trPr>
        <w:tc>
          <w:tcPr>
            <w:tcW w:w="0" w:type="auto"/>
            <w:tcBorders>
              <w:top w:val="nil"/>
              <w:left w:val="nil"/>
              <w:bottom w:val="nil"/>
              <w:right w:val="nil"/>
            </w:tcBorders>
          </w:tcPr>
          <w:p w14:paraId="1BE61F3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6472D9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3AD83D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2A8154A" w14:textId="0D3A6794"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1.75e-12</w:t>
            </w:r>
            <w:r w:rsidRPr="008F3998">
              <w:rPr>
                <w:rFonts w:ascii="Times New Roman" w:hAnsi="Times New Roman" w:cs="Times New Roman"/>
                <w:sz w:val="20"/>
                <w:szCs w:val="20"/>
              </w:rPr>
              <w:t>)</w:t>
            </w:r>
          </w:p>
        </w:tc>
        <w:tc>
          <w:tcPr>
            <w:tcW w:w="0" w:type="auto"/>
            <w:tcBorders>
              <w:top w:val="nil"/>
              <w:left w:val="nil"/>
              <w:bottom w:val="nil"/>
              <w:right w:val="nil"/>
            </w:tcBorders>
          </w:tcPr>
          <w:p w14:paraId="4545A295" w14:textId="3DBCFCB9"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6.62e-12</w:t>
            </w:r>
            <w:r w:rsidRPr="008F3998">
              <w:rPr>
                <w:rFonts w:ascii="Times New Roman" w:hAnsi="Times New Roman" w:cs="Times New Roman"/>
                <w:sz w:val="20"/>
                <w:szCs w:val="20"/>
              </w:rPr>
              <w:t>)</w:t>
            </w:r>
          </w:p>
        </w:tc>
        <w:tc>
          <w:tcPr>
            <w:tcW w:w="0" w:type="auto"/>
            <w:tcBorders>
              <w:top w:val="nil"/>
              <w:left w:val="nil"/>
              <w:bottom w:val="nil"/>
              <w:right w:val="nil"/>
            </w:tcBorders>
          </w:tcPr>
          <w:p w14:paraId="1B7AFAC8" w14:textId="4E2D898D"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3.31e-11</w:t>
            </w:r>
            <w:r w:rsidRPr="008F3998">
              <w:rPr>
                <w:rFonts w:ascii="Times New Roman" w:hAnsi="Times New Roman" w:cs="Times New Roman"/>
                <w:sz w:val="20"/>
                <w:szCs w:val="20"/>
              </w:rPr>
              <w:t>)</w:t>
            </w:r>
          </w:p>
        </w:tc>
        <w:tc>
          <w:tcPr>
            <w:tcW w:w="0" w:type="auto"/>
            <w:tcBorders>
              <w:top w:val="nil"/>
              <w:left w:val="nil"/>
              <w:bottom w:val="nil"/>
              <w:right w:val="nil"/>
            </w:tcBorders>
          </w:tcPr>
          <w:p w14:paraId="57F39D87" w14:textId="6487BD5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7.21e-11</w:t>
            </w:r>
            <w:r w:rsidRPr="008F3998">
              <w:rPr>
                <w:rFonts w:ascii="Times New Roman" w:hAnsi="Times New Roman" w:cs="Times New Roman"/>
                <w:sz w:val="20"/>
                <w:szCs w:val="20"/>
              </w:rPr>
              <w:t>)</w:t>
            </w:r>
          </w:p>
        </w:tc>
      </w:tr>
      <w:tr w:rsidR="008F3998" w:rsidRPr="008F3998" w14:paraId="7A9CC679" w14:textId="77777777" w:rsidTr="00A871A9">
        <w:trPr>
          <w:jc w:val="center"/>
        </w:trPr>
        <w:tc>
          <w:tcPr>
            <w:tcW w:w="0" w:type="auto"/>
            <w:tcBorders>
              <w:top w:val="nil"/>
              <w:left w:val="nil"/>
              <w:bottom w:val="nil"/>
              <w:right w:val="nil"/>
            </w:tcBorders>
          </w:tcPr>
          <w:p w14:paraId="6ABEFFC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L.locfin</w:t>
            </w:r>
            <w:proofErr w:type="spellEnd"/>
          </w:p>
        </w:tc>
        <w:tc>
          <w:tcPr>
            <w:tcW w:w="0" w:type="auto"/>
            <w:tcBorders>
              <w:top w:val="nil"/>
              <w:left w:val="nil"/>
              <w:bottom w:val="nil"/>
              <w:right w:val="nil"/>
            </w:tcBorders>
          </w:tcPr>
          <w:p w14:paraId="3C66873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45E761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6E4344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BB67A4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27E0AF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-0.708</w:t>
            </w:r>
          </w:p>
        </w:tc>
        <w:tc>
          <w:tcPr>
            <w:tcW w:w="0" w:type="auto"/>
            <w:tcBorders>
              <w:top w:val="nil"/>
              <w:left w:val="nil"/>
              <w:bottom w:val="nil"/>
              <w:right w:val="nil"/>
            </w:tcBorders>
          </w:tcPr>
          <w:p w14:paraId="0877E51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-3.566</w:t>
            </w:r>
          </w:p>
        </w:tc>
      </w:tr>
      <w:tr w:rsidR="008F3998" w:rsidRPr="008F3998" w14:paraId="720C43F1" w14:textId="77777777" w:rsidTr="00A871A9">
        <w:trPr>
          <w:jc w:val="center"/>
        </w:trPr>
        <w:tc>
          <w:tcPr>
            <w:tcW w:w="0" w:type="auto"/>
            <w:tcBorders>
              <w:top w:val="nil"/>
              <w:left w:val="nil"/>
              <w:bottom w:val="nil"/>
              <w:right w:val="nil"/>
            </w:tcBorders>
          </w:tcPr>
          <w:p w14:paraId="6B76FA5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E6F4C3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ECB23F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22F494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B1A98B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660497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(4.418)</w:t>
            </w:r>
          </w:p>
        </w:tc>
        <w:tc>
          <w:tcPr>
            <w:tcW w:w="0" w:type="auto"/>
            <w:tcBorders>
              <w:top w:val="nil"/>
              <w:left w:val="nil"/>
              <w:bottom w:val="nil"/>
              <w:right w:val="nil"/>
            </w:tcBorders>
          </w:tcPr>
          <w:p w14:paraId="16EF368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(9.861)</w:t>
            </w:r>
          </w:p>
        </w:tc>
      </w:tr>
      <w:tr w:rsidR="008F3998" w:rsidRPr="008F3998" w14:paraId="499A4D76" w14:textId="77777777" w:rsidTr="00A871A9">
        <w:trPr>
          <w:jc w:val="center"/>
        </w:trPr>
        <w:tc>
          <w:tcPr>
            <w:tcW w:w="0" w:type="auto"/>
            <w:tcBorders>
              <w:top w:val="nil"/>
              <w:left w:val="nil"/>
              <w:bottom w:val="nil"/>
              <w:right w:val="nil"/>
            </w:tcBorders>
          </w:tcPr>
          <w:p w14:paraId="5B975F6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L.stmvol</w:t>
            </w:r>
            <w:proofErr w:type="spellEnd"/>
          </w:p>
        </w:tc>
        <w:tc>
          <w:tcPr>
            <w:tcW w:w="0" w:type="auto"/>
            <w:tcBorders>
              <w:top w:val="nil"/>
              <w:left w:val="nil"/>
              <w:bottom w:val="nil"/>
              <w:right w:val="nil"/>
            </w:tcBorders>
          </w:tcPr>
          <w:p w14:paraId="5933A6C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-0.0285**</w:t>
            </w:r>
          </w:p>
        </w:tc>
        <w:tc>
          <w:tcPr>
            <w:tcW w:w="0" w:type="auto"/>
            <w:tcBorders>
              <w:top w:val="nil"/>
              <w:left w:val="nil"/>
              <w:bottom w:val="nil"/>
              <w:right w:val="nil"/>
            </w:tcBorders>
          </w:tcPr>
          <w:p w14:paraId="2D92925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-0.0312**</w:t>
            </w:r>
          </w:p>
        </w:tc>
        <w:tc>
          <w:tcPr>
            <w:tcW w:w="0" w:type="auto"/>
            <w:tcBorders>
              <w:top w:val="nil"/>
              <w:left w:val="nil"/>
              <w:bottom w:val="nil"/>
              <w:right w:val="nil"/>
            </w:tcBorders>
          </w:tcPr>
          <w:p w14:paraId="6B03D55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-0.0281**</w:t>
            </w:r>
          </w:p>
        </w:tc>
        <w:tc>
          <w:tcPr>
            <w:tcW w:w="0" w:type="auto"/>
            <w:tcBorders>
              <w:top w:val="nil"/>
              <w:left w:val="nil"/>
              <w:bottom w:val="nil"/>
              <w:right w:val="nil"/>
            </w:tcBorders>
          </w:tcPr>
          <w:p w14:paraId="0D1D238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-0.0313**</w:t>
            </w:r>
          </w:p>
        </w:tc>
        <w:tc>
          <w:tcPr>
            <w:tcW w:w="0" w:type="auto"/>
            <w:tcBorders>
              <w:top w:val="nil"/>
              <w:left w:val="nil"/>
              <w:bottom w:val="nil"/>
              <w:right w:val="nil"/>
            </w:tcBorders>
          </w:tcPr>
          <w:p w14:paraId="31E7FA1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0.00381</w:t>
            </w:r>
          </w:p>
        </w:tc>
        <w:tc>
          <w:tcPr>
            <w:tcW w:w="0" w:type="auto"/>
            <w:tcBorders>
              <w:top w:val="nil"/>
              <w:left w:val="nil"/>
              <w:bottom w:val="nil"/>
              <w:right w:val="nil"/>
            </w:tcBorders>
          </w:tcPr>
          <w:p w14:paraId="2B71D8E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0.00738</w:t>
            </w:r>
          </w:p>
        </w:tc>
      </w:tr>
      <w:tr w:rsidR="008F3998" w:rsidRPr="008F3998" w14:paraId="2CAB67A2" w14:textId="77777777" w:rsidTr="00A871A9">
        <w:trPr>
          <w:jc w:val="center"/>
        </w:trPr>
        <w:tc>
          <w:tcPr>
            <w:tcW w:w="0" w:type="auto"/>
            <w:tcBorders>
              <w:top w:val="nil"/>
              <w:left w:val="nil"/>
              <w:bottom w:val="nil"/>
              <w:right w:val="nil"/>
            </w:tcBorders>
          </w:tcPr>
          <w:p w14:paraId="3F9A8F4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777170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(0.00927)</w:t>
            </w:r>
          </w:p>
        </w:tc>
        <w:tc>
          <w:tcPr>
            <w:tcW w:w="0" w:type="auto"/>
            <w:tcBorders>
              <w:top w:val="nil"/>
              <w:left w:val="nil"/>
              <w:bottom w:val="nil"/>
              <w:right w:val="nil"/>
            </w:tcBorders>
          </w:tcPr>
          <w:p w14:paraId="1EBAE33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(0.0108)</w:t>
            </w:r>
          </w:p>
        </w:tc>
        <w:tc>
          <w:tcPr>
            <w:tcW w:w="0" w:type="auto"/>
            <w:tcBorders>
              <w:top w:val="nil"/>
              <w:left w:val="nil"/>
              <w:bottom w:val="nil"/>
              <w:right w:val="nil"/>
            </w:tcBorders>
          </w:tcPr>
          <w:p w14:paraId="02AAE0D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(0.00922)</w:t>
            </w:r>
          </w:p>
        </w:tc>
        <w:tc>
          <w:tcPr>
            <w:tcW w:w="0" w:type="auto"/>
            <w:tcBorders>
              <w:top w:val="nil"/>
              <w:left w:val="nil"/>
              <w:bottom w:val="nil"/>
              <w:right w:val="nil"/>
            </w:tcBorders>
          </w:tcPr>
          <w:p w14:paraId="70804C4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(0.0114)</w:t>
            </w:r>
          </w:p>
        </w:tc>
        <w:tc>
          <w:tcPr>
            <w:tcW w:w="0" w:type="auto"/>
            <w:tcBorders>
              <w:top w:val="nil"/>
              <w:left w:val="nil"/>
              <w:bottom w:val="nil"/>
              <w:right w:val="nil"/>
            </w:tcBorders>
          </w:tcPr>
          <w:p w14:paraId="04FA43A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(0.0132)</w:t>
            </w:r>
          </w:p>
        </w:tc>
        <w:tc>
          <w:tcPr>
            <w:tcW w:w="0" w:type="auto"/>
            <w:tcBorders>
              <w:top w:val="nil"/>
              <w:left w:val="nil"/>
              <w:bottom w:val="nil"/>
              <w:right w:val="nil"/>
            </w:tcBorders>
          </w:tcPr>
          <w:p w14:paraId="1001B5E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(0.0296)</w:t>
            </w:r>
          </w:p>
        </w:tc>
      </w:tr>
      <w:tr w:rsidR="008F3998" w:rsidRPr="008F3998" w14:paraId="7983A80F" w14:textId="77777777" w:rsidTr="00A871A9">
        <w:trPr>
          <w:jc w:val="center"/>
        </w:trPr>
        <w:tc>
          <w:tcPr>
            <w:tcW w:w="0" w:type="auto"/>
            <w:tcBorders>
              <w:top w:val="nil"/>
              <w:left w:val="nil"/>
              <w:bottom w:val="nil"/>
              <w:right w:val="nil"/>
            </w:tcBorders>
          </w:tcPr>
          <w:p w14:paraId="46B38519" w14:textId="2C4FDB7E"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L.finmar</w:t>
            </w:r>
            <w:proofErr w:type="spellEnd"/>
          </w:p>
        </w:tc>
        <w:tc>
          <w:tcPr>
            <w:tcW w:w="0" w:type="auto"/>
            <w:tcBorders>
              <w:top w:val="nil"/>
              <w:left w:val="nil"/>
              <w:bottom w:val="nil"/>
              <w:right w:val="nil"/>
            </w:tcBorders>
          </w:tcPr>
          <w:p w14:paraId="7005E25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CC9817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978AC4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576689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A97ADF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0.00634</w:t>
            </w:r>
          </w:p>
        </w:tc>
        <w:tc>
          <w:tcPr>
            <w:tcW w:w="0" w:type="auto"/>
            <w:tcBorders>
              <w:top w:val="nil"/>
              <w:left w:val="nil"/>
              <w:bottom w:val="nil"/>
              <w:right w:val="nil"/>
            </w:tcBorders>
          </w:tcPr>
          <w:p w14:paraId="47FABF2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0.0219</w:t>
            </w:r>
          </w:p>
        </w:tc>
      </w:tr>
      <w:tr w:rsidR="008F3998" w:rsidRPr="008F3998" w14:paraId="77E95C82" w14:textId="77777777" w:rsidTr="00A871A9">
        <w:trPr>
          <w:jc w:val="center"/>
        </w:trPr>
        <w:tc>
          <w:tcPr>
            <w:tcW w:w="0" w:type="auto"/>
            <w:tcBorders>
              <w:top w:val="nil"/>
              <w:left w:val="nil"/>
              <w:bottom w:val="nil"/>
              <w:right w:val="nil"/>
            </w:tcBorders>
          </w:tcPr>
          <w:p w14:paraId="4AD33B7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49C186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361ADD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55608D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09CDDE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CF954D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(0.0139)</w:t>
            </w:r>
          </w:p>
        </w:tc>
        <w:tc>
          <w:tcPr>
            <w:tcW w:w="0" w:type="auto"/>
            <w:tcBorders>
              <w:top w:val="nil"/>
              <w:left w:val="nil"/>
              <w:bottom w:val="nil"/>
              <w:right w:val="nil"/>
            </w:tcBorders>
          </w:tcPr>
          <w:p w14:paraId="14395E7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(0.0360)</w:t>
            </w:r>
          </w:p>
        </w:tc>
      </w:tr>
      <w:tr w:rsidR="008F3998" w:rsidRPr="008F3998" w14:paraId="405A4410" w14:textId="77777777" w:rsidTr="00A871A9">
        <w:trPr>
          <w:jc w:val="center"/>
        </w:trPr>
        <w:tc>
          <w:tcPr>
            <w:tcW w:w="0" w:type="auto"/>
            <w:tcBorders>
              <w:top w:val="nil"/>
              <w:left w:val="nil"/>
              <w:bottom w:val="nil"/>
              <w:right w:val="nil"/>
            </w:tcBorders>
          </w:tcPr>
          <w:p w14:paraId="4E8ED54C" w14:textId="0EA440E0"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L.marmsci</w:t>
            </w:r>
            <w:proofErr w:type="spellEnd"/>
          </w:p>
        </w:tc>
        <w:tc>
          <w:tcPr>
            <w:tcW w:w="0" w:type="auto"/>
            <w:tcBorders>
              <w:top w:val="nil"/>
              <w:left w:val="nil"/>
              <w:bottom w:val="nil"/>
              <w:right w:val="nil"/>
            </w:tcBorders>
          </w:tcPr>
          <w:p w14:paraId="5899980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7693E9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B92499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61D3A6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A5695D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0.000136</w:t>
            </w:r>
          </w:p>
        </w:tc>
        <w:tc>
          <w:tcPr>
            <w:tcW w:w="0" w:type="auto"/>
            <w:tcBorders>
              <w:top w:val="nil"/>
              <w:left w:val="nil"/>
              <w:bottom w:val="nil"/>
              <w:right w:val="nil"/>
            </w:tcBorders>
          </w:tcPr>
          <w:p w14:paraId="46BF9F9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0.000195</w:t>
            </w:r>
          </w:p>
        </w:tc>
      </w:tr>
      <w:tr w:rsidR="008F3998" w:rsidRPr="008F3998" w14:paraId="10DA7814" w14:textId="77777777" w:rsidTr="00A871A9">
        <w:trPr>
          <w:jc w:val="center"/>
        </w:trPr>
        <w:tc>
          <w:tcPr>
            <w:tcW w:w="0" w:type="auto"/>
            <w:tcBorders>
              <w:top w:val="nil"/>
              <w:left w:val="nil"/>
              <w:bottom w:val="nil"/>
              <w:right w:val="nil"/>
            </w:tcBorders>
          </w:tcPr>
          <w:p w14:paraId="61F1FC5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B6A905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230214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B7ACD6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12601D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A217BD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(0.000135)</w:t>
            </w:r>
          </w:p>
        </w:tc>
        <w:tc>
          <w:tcPr>
            <w:tcW w:w="0" w:type="auto"/>
            <w:tcBorders>
              <w:top w:val="nil"/>
              <w:left w:val="nil"/>
              <w:bottom w:val="nil"/>
              <w:right w:val="nil"/>
            </w:tcBorders>
          </w:tcPr>
          <w:p w14:paraId="4198755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(0.000202)</w:t>
            </w:r>
          </w:p>
        </w:tc>
      </w:tr>
      <w:tr w:rsidR="008F3998" w:rsidRPr="008F3998" w14:paraId="76928B42" w14:textId="77777777" w:rsidTr="00A871A9">
        <w:trPr>
          <w:jc w:val="center"/>
        </w:trPr>
        <w:tc>
          <w:tcPr>
            <w:tcW w:w="0" w:type="auto"/>
            <w:tcBorders>
              <w:top w:val="nil"/>
              <w:left w:val="nil"/>
              <w:bottom w:val="nil"/>
              <w:right w:val="nil"/>
            </w:tcBorders>
          </w:tcPr>
          <w:p w14:paraId="283D593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L.marcap</w:t>
            </w:r>
            <w:proofErr w:type="spellEnd"/>
          </w:p>
        </w:tc>
        <w:tc>
          <w:tcPr>
            <w:tcW w:w="0" w:type="auto"/>
            <w:tcBorders>
              <w:top w:val="nil"/>
              <w:left w:val="nil"/>
              <w:bottom w:val="nil"/>
              <w:right w:val="nil"/>
            </w:tcBorders>
          </w:tcPr>
          <w:p w14:paraId="5493F3B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AFA56F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0E6987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973240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13A1FD9" w14:textId="6ABD8DF6"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1.95e-13</w:t>
            </w:r>
            <w:r w:rsidRPr="008F3998">
              <w:rPr>
                <w:rFonts w:ascii="Times New Roman" w:hAnsi="Times New Roman" w:cs="Times New Roman"/>
                <w:sz w:val="20"/>
                <w:szCs w:val="20"/>
              </w:rPr>
              <w:t>*</w:t>
            </w:r>
          </w:p>
        </w:tc>
        <w:tc>
          <w:tcPr>
            <w:tcW w:w="0" w:type="auto"/>
            <w:tcBorders>
              <w:top w:val="nil"/>
              <w:left w:val="nil"/>
              <w:bottom w:val="nil"/>
              <w:right w:val="nil"/>
            </w:tcBorders>
          </w:tcPr>
          <w:p w14:paraId="6DE49E1C" w14:textId="49E68B45"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6.61e-13</w:t>
            </w:r>
            <w:r w:rsidRPr="008F3998">
              <w:rPr>
                <w:rFonts w:ascii="Times New Roman" w:hAnsi="Times New Roman" w:cs="Times New Roman"/>
                <w:sz w:val="20"/>
                <w:szCs w:val="20"/>
              </w:rPr>
              <w:t>**</w:t>
            </w:r>
          </w:p>
        </w:tc>
      </w:tr>
      <w:tr w:rsidR="008F3998" w:rsidRPr="008F3998" w14:paraId="66278550" w14:textId="77777777" w:rsidTr="00A871A9">
        <w:trPr>
          <w:jc w:val="center"/>
        </w:trPr>
        <w:tc>
          <w:tcPr>
            <w:tcW w:w="0" w:type="auto"/>
            <w:tcBorders>
              <w:top w:val="nil"/>
              <w:left w:val="nil"/>
              <w:bottom w:val="nil"/>
              <w:right w:val="nil"/>
            </w:tcBorders>
          </w:tcPr>
          <w:p w14:paraId="6EF5632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6EAAD7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40D41F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BA7654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FE4835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C8FB629" w14:textId="5848A51E"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8.72e-14</w:t>
            </w:r>
            <w:r w:rsidRPr="008F3998">
              <w:rPr>
                <w:rFonts w:ascii="Times New Roman" w:hAnsi="Times New Roman" w:cs="Times New Roman"/>
                <w:sz w:val="20"/>
                <w:szCs w:val="20"/>
              </w:rPr>
              <w:t>)</w:t>
            </w:r>
          </w:p>
        </w:tc>
        <w:tc>
          <w:tcPr>
            <w:tcW w:w="0" w:type="auto"/>
            <w:tcBorders>
              <w:top w:val="nil"/>
              <w:left w:val="nil"/>
              <w:bottom w:val="nil"/>
              <w:right w:val="nil"/>
            </w:tcBorders>
          </w:tcPr>
          <w:p w14:paraId="604C3203" w14:textId="7947D060"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w:t>
            </w:r>
            <w:r w:rsidR="008D1B4B" w:rsidRPr="008F3998">
              <w:rPr>
                <w:rFonts w:ascii="Times New Roman" w:hAnsi="Times New Roman" w:cs="Times New Roman"/>
                <w:sz w:val="20"/>
                <w:szCs w:val="20"/>
              </w:rPr>
              <w:t>2.13e-13</w:t>
            </w:r>
            <w:r w:rsidRPr="008F3998">
              <w:rPr>
                <w:rFonts w:ascii="Times New Roman" w:hAnsi="Times New Roman" w:cs="Times New Roman"/>
                <w:sz w:val="20"/>
                <w:szCs w:val="20"/>
              </w:rPr>
              <w:t>)</w:t>
            </w:r>
          </w:p>
        </w:tc>
      </w:tr>
      <w:tr w:rsidR="008F3998" w:rsidRPr="008F3998" w14:paraId="69A2993B" w14:textId="77777777" w:rsidTr="00A871A9">
        <w:trPr>
          <w:jc w:val="center"/>
        </w:trPr>
        <w:tc>
          <w:tcPr>
            <w:tcW w:w="0" w:type="auto"/>
            <w:tcBorders>
              <w:top w:val="nil"/>
              <w:left w:val="nil"/>
              <w:bottom w:val="nil"/>
              <w:right w:val="nil"/>
            </w:tcBorders>
          </w:tcPr>
          <w:p w14:paraId="1532414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L.finmsci</w:t>
            </w:r>
            <w:proofErr w:type="spellEnd"/>
          </w:p>
        </w:tc>
        <w:tc>
          <w:tcPr>
            <w:tcW w:w="0" w:type="auto"/>
            <w:tcBorders>
              <w:top w:val="nil"/>
              <w:left w:val="nil"/>
              <w:bottom w:val="nil"/>
              <w:right w:val="nil"/>
            </w:tcBorders>
          </w:tcPr>
          <w:p w14:paraId="44000EC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142A52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4C7AFD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BB2056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785232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-0.00403</w:t>
            </w:r>
          </w:p>
        </w:tc>
        <w:tc>
          <w:tcPr>
            <w:tcW w:w="0" w:type="auto"/>
            <w:tcBorders>
              <w:top w:val="nil"/>
              <w:left w:val="nil"/>
              <w:bottom w:val="nil"/>
              <w:right w:val="nil"/>
            </w:tcBorders>
          </w:tcPr>
          <w:p w14:paraId="49A2123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-0.0135</w:t>
            </w:r>
          </w:p>
        </w:tc>
      </w:tr>
      <w:tr w:rsidR="008F3998" w:rsidRPr="008F3998" w14:paraId="2EC51D98" w14:textId="77777777" w:rsidTr="00A871A9">
        <w:trPr>
          <w:jc w:val="center"/>
        </w:trPr>
        <w:tc>
          <w:tcPr>
            <w:tcW w:w="0" w:type="auto"/>
            <w:tcBorders>
              <w:top w:val="nil"/>
              <w:left w:val="nil"/>
              <w:bottom w:val="nil"/>
              <w:right w:val="nil"/>
            </w:tcBorders>
          </w:tcPr>
          <w:p w14:paraId="1DDD5BE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01C77B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F29F23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73ED59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093F99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7D9D3A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(0.00995)</w:t>
            </w:r>
          </w:p>
        </w:tc>
        <w:tc>
          <w:tcPr>
            <w:tcW w:w="0" w:type="auto"/>
            <w:tcBorders>
              <w:top w:val="nil"/>
              <w:left w:val="nil"/>
              <w:bottom w:val="nil"/>
              <w:right w:val="nil"/>
            </w:tcBorders>
          </w:tcPr>
          <w:p w14:paraId="0A991B9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(0.0235)</w:t>
            </w:r>
          </w:p>
        </w:tc>
      </w:tr>
      <w:tr w:rsidR="008F3998" w:rsidRPr="008F3998" w14:paraId="44C7D9A1" w14:textId="77777777" w:rsidTr="00A871A9">
        <w:trPr>
          <w:jc w:val="center"/>
        </w:trPr>
        <w:tc>
          <w:tcPr>
            <w:tcW w:w="0" w:type="auto"/>
            <w:tcBorders>
              <w:top w:val="nil"/>
              <w:left w:val="nil"/>
              <w:bottom w:val="nil"/>
              <w:right w:val="nil"/>
            </w:tcBorders>
          </w:tcPr>
          <w:p w14:paraId="5B0D159A" w14:textId="2AED05E8"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L.stoxx50</w:t>
            </w:r>
          </w:p>
        </w:tc>
        <w:tc>
          <w:tcPr>
            <w:tcW w:w="0" w:type="auto"/>
            <w:tcBorders>
              <w:top w:val="nil"/>
              <w:left w:val="nil"/>
              <w:bottom w:val="nil"/>
              <w:right w:val="nil"/>
            </w:tcBorders>
          </w:tcPr>
          <w:p w14:paraId="2002966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E51B98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0463E8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1DA023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3938F7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0.000598</w:t>
            </w:r>
          </w:p>
        </w:tc>
        <w:tc>
          <w:tcPr>
            <w:tcW w:w="0" w:type="auto"/>
            <w:tcBorders>
              <w:top w:val="nil"/>
              <w:left w:val="nil"/>
              <w:bottom w:val="nil"/>
              <w:right w:val="nil"/>
            </w:tcBorders>
          </w:tcPr>
          <w:p w14:paraId="4EF2698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0.000515</w:t>
            </w:r>
          </w:p>
        </w:tc>
      </w:tr>
      <w:tr w:rsidR="008F3998" w:rsidRPr="008F3998" w14:paraId="2D748504" w14:textId="77777777" w:rsidTr="00A871A9">
        <w:trPr>
          <w:jc w:val="center"/>
        </w:trPr>
        <w:tc>
          <w:tcPr>
            <w:tcW w:w="0" w:type="auto"/>
            <w:tcBorders>
              <w:top w:val="nil"/>
              <w:left w:val="nil"/>
              <w:bottom w:val="nil"/>
              <w:right w:val="nil"/>
            </w:tcBorders>
          </w:tcPr>
          <w:p w14:paraId="41F4D10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804B83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81BDD5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0061CE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58FB7C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589989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(0.000791)</w:t>
            </w:r>
          </w:p>
        </w:tc>
        <w:tc>
          <w:tcPr>
            <w:tcW w:w="0" w:type="auto"/>
            <w:tcBorders>
              <w:top w:val="nil"/>
              <w:left w:val="nil"/>
              <w:bottom w:val="nil"/>
              <w:right w:val="nil"/>
            </w:tcBorders>
          </w:tcPr>
          <w:p w14:paraId="3AB0D8A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(0.00163)</w:t>
            </w:r>
          </w:p>
        </w:tc>
      </w:tr>
      <w:tr w:rsidR="008F3998" w:rsidRPr="008F3998" w14:paraId="39A35218" w14:textId="77777777" w:rsidTr="00A871A9">
        <w:trPr>
          <w:jc w:val="center"/>
        </w:trPr>
        <w:tc>
          <w:tcPr>
            <w:tcW w:w="0" w:type="auto"/>
            <w:tcBorders>
              <w:top w:val="nil"/>
              <w:left w:val="nil"/>
              <w:bottom w:val="nil"/>
              <w:right w:val="nil"/>
            </w:tcBorders>
          </w:tcPr>
          <w:p w14:paraId="6A1FB81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L.hyyield</w:t>
            </w:r>
            <w:proofErr w:type="spellEnd"/>
          </w:p>
        </w:tc>
        <w:tc>
          <w:tcPr>
            <w:tcW w:w="0" w:type="auto"/>
            <w:tcBorders>
              <w:top w:val="nil"/>
              <w:left w:val="nil"/>
              <w:bottom w:val="nil"/>
              <w:right w:val="nil"/>
            </w:tcBorders>
          </w:tcPr>
          <w:p w14:paraId="5DE5B7F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50D09E9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E60980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AB49BC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DC928B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0.00799</w:t>
            </w:r>
          </w:p>
        </w:tc>
        <w:tc>
          <w:tcPr>
            <w:tcW w:w="0" w:type="auto"/>
            <w:tcBorders>
              <w:top w:val="nil"/>
              <w:left w:val="nil"/>
              <w:bottom w:val="nil"/>
              <w:right w:val="nil"/>
            </w:tcBorders>
          </w:tcPr>
          <w:p w14:paraId="392ACA6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0.0261*</w:t>
            </w:r>
          </w:p>
        </w:tc>
      </w:tr>
      <w:tr w:rsidR="008F3998" w:rsidRPr="008F3998" w14:paraId="0E96F585" w14:textId="77777777" w:rsidTr="00A871A9">
        <w:trPr>
          <w:jc w:val="center"/>
        </w:trPr>
        <w:tc>
          <w:tcPr>
            <w:tcW w:w="0" w:type="auto"/>
            <w:tcBorders>
              <w:top w:val="nil"/>
              <w:left w:val="nil"/>
              <w:bottom w:val="nil"/>
              <w:right w:val="nil"/>
            </w:tcBorders>
          </w:tcPr>
          <w:p w14:paraId="49912E8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1B383C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ED4529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2718C7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926F67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6C929E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(0.00546)</w:t>
            </w:r>
          </w:p>
        </w:tc>
        <w:tc>
          <w:tcPr>
            <w:tcW w:w="0" w:type="auto"/>
            <w:tcBorders>
              <w:top w:val="nil"/>
              <w:left w:val="nil"/>
              <w:bottom w:val="nil"/>
              <w:right w:val="nil"/>
            </w:tcBorders>
          </w:tcPr>
          <w:p w14:paraId="5E58C55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(0.0118)</w:t>
            </w:r>
          </w:p>
        </w:tc>
      </w:tr>
      <w:tr w:rsidR="008F3998" w:rsidRPr="008F3998" w14:paraId="77A92206" w14:textId="77777777" w:rsidTr="00A871A9">
        <w:trPr>
          <w:jc w:val="center"/>
        </w:trPr>
        <w:tc>
          <w:tcPr>
            <w:tcW w:w="0" w:type="auto"/>
            <w:tcBorders>
              <w:top w:val="nil"/>
              <w:left w:val="nil"/>
              <w:bottom w:val="nil"/>
              <w:right w:val="nil"/>
            </w:tcBorders>
          </w:tcPr>
          <w:p w14:paraId="5055A62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8F3998">
              <w:rPr>
                <w:rFonts w:ascii="Times New Roman" w:hAnsi="Times New Roman" w:cs="Times New Roman"/>
                <w:sz w:val="20"/>
                <w:szCs w:val="20"/>
              </w:rPr>
              <w:t>L.igyield</w:t>
            </w:r>
            <w:proofErr w:type="spellEnd"/>
          </w:p>
        </w:tc>
        <w:tc>
          <w:tcPr>
            <w:tcW w:w="0" w:type="auto"/>
            <w:tcBorders>
              <w:top w:val="nil"/>
              <w:left w:val="nil"/>
              <w:bottom w:val="nil"/>
              <w:right w:val="nil"/>
            </w:tcBorders>
          </w:tcPr>
          <w:p w14:paraId="00D4719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7116DA5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4C31AB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BE3CAA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0CE20DB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-0.00256</w:t>
            </w:r>
          </w:p>
        </w:tc>
        <w:tc>
          <w:tcPr>
            <w:tcW w:w="0" w:type="auto"/>
            <w:tcBorders>
              <w:top w:val="nil"/>
              <w:left w:val="nil"/>
              <w:bottom w:val="nil"/>
              <w:right w:val="nil"/>
            </w:tcBorders>
          </w:tcPr>
          <w:p w14:paraId="5733C21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-0.00301</w:t>
            </w:r>
          </w:p>
        </w:tc>
      </w:tr>
      <w:tr w:rsidR="008F3998" w:rsidRPr="008F3998" w14:paraId="5C6E9AFB" w14:textId="77777777" w:rsidTr="00A871A9">
        <w:trPr>
          <w:jc w:val="center"/>
        </w:trPr>
        <w:tc>
          <w:tcPr>
            <w:tcW w:w="0" w:type="auto"/>
            <w:tcBorders>
              <w:top w:val="nil"/>
              <w:left w:val="nil"/>
              <w:bottom w:val="nil"/>
              <w:right w:val="nil"/>
            </w:tcBorders>
          </w:tcPr>
          <w:p w14:paraId="2E8B393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2E1DCDC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486B9E3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63A063F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1B26D97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nil"/>
              <w:right w:val="nil"/>
            </w:tcBorders>
          </w:tcPr>
          <w:p w14:paraId="3C724815"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(0.00213)</w:t>
            </w:r>
          </w:p>
        </w:tc>
        <w:tc>
          <w:tcPr>
            <w:tcW w:w="0" w:type="auto"/>
            <w:tcBorders>
              <w:top w:val="nil"/>
              <w:left w:val="nil"/>
              <w:bottom w:val="nil"/>
              <w:right w:val="nil"/>
            </w:tcBorders>
          </w:tcPr>
          <w:p w14:paraId="074425E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(0.00544)</w:t>
            </w:r>
          </w:p>
        </w:tc>
      </w:tr>
      <w:tr w:rsidR="008F3998" w:rsidRPr="008F3998" w14:paraId="44F51449" w14:textId="77777777" w:rsidTr="00B07CD7">
        <w:trPr>
          <w:jc w:val="center"/>
        </w:trPr>
        <w:tc>
          <w:tcPr>
            <w:tcW w:w="0" w:type="auto"/>
            <w:tcBorders>
              <w:top w:val="nil"/>
              <w:left w:val="nil"/>
              <w:right w:val="nil"/>
            </w:tcBorders>
          </w:tcPr>
          <w:p w14:paraId="1A3C726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Constant</w:t>
            </w:r>
          </w:p>
        </w:tc>
        <w:tc>
          <w:tcPr>
            <w:tcW w:w="0" w:type="auto"/>
            <w:tcBorders>
              <w:top w:val="nil"/>
              <w:left w:val="nil"/>
              <w:right w:val="nil"/>
            </w:tcBorders>
          </w:tcPr>
          <w:p w14:paraId="1BFD2CB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-6.724</w:t>
            </w:r>
          </w:p>
        </w:tc>
        <w:tc>
          <w:tcPr>
            <w:tcW w:w="0" w:type="auto"/>
            <w:tcBorders>
              <w:top w:val="nil"/>
              <w:left w:val="nil"/>
              <w:right w:val="nil"/>
            </w:tcBorders>
          </w:tcPr>
          <w:p w14:paraId="5AA824E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-8.983</w:t>
            </w:r>
          </w:p>
        </w:tc>
        <w:tc>
          <w:tcPr>
            <w:tcW w:w="0" w:type="auto"/>
            <w:tcBorders>
              <w:top w:val="nil"/>
              <w:left w:val="nil"/>
              <w:right w:val="nil"/>
            </w:tcBorders>
          </w:tcPr>
          <w:p w14:paraId="7F9D220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-11.31</w:t>
            </w:r>
          </w:p>
        </w:tc>
        <w:tc>
          <w:tcPr>
            <w:tcW w:w="0" w:type="auto"/>
            <w:tcBorders>
              <w:top w:val="nil"/>
              <w:left w:val="nil"/>
              <w:right w:val="nil"/>
            </w:tcBorders>
          </w:tcPr>
          <w:p w14:paraId="4A309FB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-9.780</w:t>
            </w:r>
          </w:p>
        </w:tc>
        <w:tc>
          <w:tcPr>
            <w:tcW w:w="0" w:type="auto"/>
            <w:tcBorders>
              <w:top w:val="nil"/>
              <w:left w:val="nil"/>
              <w:right w:val="nil"/>
            </w:tcBorders>
          </w:tcPr>
          <w:p w14:paraId="466C42D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22.26</w:t>
            </w:r>
          </w:p>
        </w:tc>
        <w:tc>
          <w:tcPr>
            <w:tcW w:w="0" w:type="auto"/>
            <w:tcBorders>
              <w:top w:val="nil"/>
              <w:left w:val="nil"/>
              <w:right w:val="nil"/>
            </w:tcBorders>
          </w:tcPr>
          <w:p w14:paraId="424DFD2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20.26</w:t>
            </w:r>
          </w:p>
        </w:tc>
      </w:tr>
      <w:tr w:rsidR="008F3998" w:rsidRPr="008F3998" w14:paraId="19CB86DF" w14:textId="77777777" w:rsidTr="00B07CD7">
        <w:trPr>
          <w:jc w:val="center"/>
        </w:trPr>
        <w:tc>
          <w:tcPr>
            <w:tcW w:w="0" w:type="auto"/>
            <w:tcBorders>
              <w:top w:val="nil"/>
              <w:left w:val="nil"/>
              <w:bottom w:val="single" w:sz="4" w:space="0" w:color="auto"/>
              <w:right w:val="nil"/>
            </w:tcBorders>
          </w:tcPr>
          <w:p w14:paraId="091815E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nil"/>
              <w:left w:val="nil"/>
              <w:bottom w:val="single" w:sz="4" w:space="0" w:color="auto"/>
              <w:right w:val="nil"/>
            </w:tcBorders>
          </w:tcPr>
          <w:p w14:paraId="7C0E040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(5.809)</w:t>
            </w:r>
          </w:p>
        </w:tc>
        <w:tc>
          <w:tcPr>
            <w:tcW w:w="0" w:type="auto"/>
            <w:tcBorders>
              <w:top w:val="nil"/>
              <w:left w:val="nil"/>
              <w:bottom w:val="single" w:sz="4" w:space="0" w:color="auto"/>
              <w:right w:val="nil"/>
            </w:tcBorders>
          </w:tcPr>
          <w:p w14:paraId="40BD861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(5.508)</w:t>
            </w:r>
          </w:p>
        </w:tc>
        <w:tc>
          <w:tcPr>
            <w:tcW w:w="0" w:type="auto"/>
            <w:tcBorders>
              <w:top w:val="nil"/>
              <w:left w:val="nil"/>
              <w:bottom w:val="single" w:sz="4" w:space="0" w:color="auto"/>
              <w:right w:val="nil"/>
            </w:tcBorders>
          </w:tcPr>
          <w:p w14:paraId="41CD080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(7.260)</w:t>
            </w:r>
          </w:p>
        </w:tc>
        <w:tc>
          <w:tcPr>
            <w:tcW w:w="0" w:type="auto"/>
            <w:tcBorders>
              <w:top w:val="nil"/>
              <w:left w:val="nil"/>
              <w:bottom w:val="single" w:sz="4" w:space="0" w:color="auto"/>
              <w:right w:val="nil"/>
            </w:tcBorders>
          </w:tcPr>
          <w:p w14:paraId="71B9C3D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(9.475)</w:t>
            </w:r>
          </w:p>
        </w:tc>
        <w:tc>
          <w:tcPr>
            <w:tcW w:w="0" w:type="auto"/>
            <w:tcBorders>
              <w:top w:val="nil"/>
              <w:left w:val="nil"/>
              <w:bottom w:val="single" w:sz="4" w:space="0" w:color="auto"/>
              <w:right w:val="nil"/>
            </w:tcBorders>
          </w:tcPr>
          <w:p w14:paraId="7E9A098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(25.86)</w:t>
            </w:r>
          </w:p>
        </w:tc>
        <w:tc>
          <w:tcPr>
            <w:tcW w:w="0" w:type="auto"/>
            <w:tcBorders>
              <w:top w:val="nil"/>
              <w:left w:val="nil"/>
              <w:bottom w:val="single" w:sz="4" w:space="0" w:color="auto"/>
              <w:right w:val="nil"/>
            </w:tcBorders>
          </w:tcPr>
          <w:p w14:paraId="766B9F4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(52.05)</w:t>
            </w:r>
          </w:p>
        </w:tc>
      </w:tr>
      <w:tr w:rsidR="008F3998" w:rsidRPr="008F3998" w14:paraId="0A2422FB" w14:textId="77777777" w:rsidTr="00B07CD7">
        <w:trPr>
          <w:jc w:val="center"/>
        </w:trPr>
        <w:tc>
          <w:tcPr>
            <w:tcW w:w="0" w:type="auto"/>
            <w:tcBorders>
              <w:top w:val="single" w:sz="4" w:space="0" w:color="auto"/>
              <w:left w:val="nil"/>
              <w:bottom w:val="single" w:sz="4" w:space="0" w:color="auto"/>
              <w:right w:val="nil"/>
            </w:tcBorders>
          </w:tcPr>
          <w:p w14:paraId="3001E584" w14:textId="00AF3648"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Diagnostics</w:t>
            </w:r>
          </w:p>
        </w:tc>
        <w:tc>
          <w:tcPr>
            <w:tcW w:w="0" w:type="auto"/>
            <w:tcBorders>
              <w:top w:val="single" w:sz="4" w:space="0" w:color="auto"/>
              <w:left w:val="nil"/>
              <w:bottom w:val="single" w:sz="4" w:space="0" w:color="auto"/>
              <w:right w:val="nil"/>
            </w:tcBorders>
          </w:tcPr>
          <w:p w14:paraId="53CEBDE3"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3D578B8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628F85C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370B88FE"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50935B7A"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14:paraId="4029440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p>
        </w:tc>
      </w:tr>
      <w:tr w:rsidR="008F3998" w:rsidRPr="008F3998" w14:paraId="66ECCCDE" w14:textId="77777777" w:rsidTr="00B07CD7">
        <w:trPr>
          <w:jc w:val="center"/>
        </w:trPr>
        <w:tc>
          <w:tcPr>
            <w:tcW w:w="0" w:type="auto"/>
            <w:tcBorders>
              <w:top w:val="single" w:sz="4" w:space="0" w:color="auto"/>
              <w:left w:val="nil"/>
              <w:bottom w:val="nil"/>
              <w:right w:val="nil"/>
            </w:tcBorders>
          </w:tcPr>
          <w:p w14:paraId="275EA784"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Observations</w:t>
            </w:r>
          </w:p>
        </w:tc>
        <w:tc>
          <w:tcPr>
            <w:tcW w:w="0" w:type="auto"/>
            <w:tcBorders>
              <w:top w:val="single" w:sz="4" w:space="0" w:color="auto"/>
              <w:left w:val="nil"/>
              <w:bottom w:val="nil"/>
              <w:right w:val="nil"/>
            </w:tcBorders>
          </w:tcPr>
          <w:p w14:paraId="754D2C7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2CB0F129"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1B207076"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46872C0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126</w:t>
            </w:r>
          </w:p>
        </w:tc>
        <w:tc>
          <w:tcPr>
            <w:tcW w:w="0" w:type="auto"/>
            <w:tcBorders>
              <w:top w:val="single" w:sz="4" w:space="0" w:color="auto"/>
              <w:left w:val="nil"/>
              <w:bottom w:val="nil"/>
              <w:right w:val="nil"/>
            </w:tcBorders>
          </w:tcPr>
          <w:p w14:paraId="4AB17F4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57</w:t>
            </w:r>
          </w:p>
        </w:tc>
        <w:tc>
          <w:tcPr>
            <w:tcW w:w="0" w:type="auto"/>
            <w:tcBorders>
              <w:top w:val="single" w:sz="4" w:space="0" w:color="auto"/>
              <w:left w:val="nil"/>
              <w:bottom w:val="nil"/>
              <w:right w:val="nil"/>
            </w:tcBorders>
          </w:tcPr>
          <w:p w14:paraId="166CCC7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57</w:t>
            </w:r>
          </w:p>
        </w:tc>
      </w:tr>
      <w:tr w:rsidR="008F3998" w:rsidRPr="008F3998" w14:paraId="044815C5" w14:textId="77777777" w:rsidTr="00A871A9">
        <w:trPr>
          <w:jc w:val="center"/>
        </w:trPr>
        <w:tc>
          <w:tcPr>
            <w:tcW w:w="0" w:type="auto"/>
            <w:tcBorders>
              <w:top w:val="nil"/>
              <w:left w:val="nil"/>
              <w:bottom w:val="nil"/>
              <w:right w:val="nil"/>
            </w:tcBorders>
          </w:tcPr>
          <w:p w14:paraId="257C401C" w14:textId="063DE962" w:rsidR="00B07CD7" w:rsidRPr="008F3998" w:rsidRDefault="008F3998" w:rsidP="00B07CD7">
            <w:pPr>
              <w:widowControl w:val="0"/>
              <w:autoSpaceDE w:val="0"/>
              <w:autoSpaceDN w:val="0"/>
              <w:adjustRightInd w:val="0"/>
              <w:spacing w:after="0" w:line="240" w:lineRule="auto"/>
              <w:jc w:val="both"/>
              <w:rPr>
                <w:rFonts w:ascii="Times New Roman" w:hAnsi="Times New Roman" w:cs="Times New Roman"/>
                <w:sz w:val="20"/>
                <w:szCs w:val="20"/>
              </w:rPr>
            </w:pP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p>
                  <m:r>
                    <w:rPr>
                      <w:rFonts w:ascii="Cambria Math" w:hAnsi="Cambria Math" w:cs="Times New Roman"/>
                      <w:sz w:val="20"/>
                      <w:szCs w:val="20"/>
                    </w:rPr>
                    <m:t>2</m:t>
                  </m:r>
                </m:sup>
              </m:sSup>
            </m:oMath>
            <w:r w:rsidR="002128BB" w:rsidRPr="008F3998">
              <w:rPr>
                <w:rFonts w:ascii="Times New Roman" w:eastAsiaTheme="minorEastAsia" w:hAnsi="Times New Roman" w:cs="Times New Roman"/>
                <w:sz w:val="20"/>
                <w:szCs w:val="20"/>
              </w:rPr>
              <w:t xml:space="preserve"> (within)</w:t>
            </w:r>
          </w:p>
        </w:tc>
        <w:tc>
          <w:tcPr>
            <w:tcW w:w="0" w:type="auto"/>
            <w:tcBorders>
              <w:top w:val="nil"/>
              <w:left w:val="nil"/>
              <w:bottom w:val="nil"/>
              <w:right w:val="nil"/>
            </w:tcBorders>
          </w:tcPr>
          <w:p w14:paraId="2AB43562"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0.532</w:t>
            </w:r>
          </w:p>
        </w:tc>
        <w:tc>
          <w:tcPr>
            <w:tcW w:w="0" w:type="auto"/>
            <w:tcBorders>
              <w:top w:val="nil"/>
              <w:left w:val="nil"/>
              <w:bottom w:val="nil"/>
              <w:right w:val="nil"/>
            </w:tcBorders>
          </w:tcPr>
          <w:p w14:paraId="5E70C7D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0.464</w:t>
            </w:r>
          </w:p>
        </w:tc>
        <w:tc>
          <w:tcPr>
            <w:tcW w:w="0" w:type="auto"/>
            <w:tcBorders>
              <w:top w:val="nil"/>
              <w:left w:val="nil"/>
              <w:bottom w:val="nil"/>
              <w:right w:val="nil"/>
            </w:tcBorders>
          </w:tcPr>
          <w:p w14:paraId="27AE874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0.541</w:t>
            </w:r>
          </w:p>
        </w:tc>
        <w:tc>
          <w:tcPr>
            <w:tcW w:w="0" w:type="auto"/>
            <w:tcBorders>
              <w:top w:val="nil"/>
              <w:left w:val="nil"/>
              <w:bottom w:val="nil"/>
              <w:right w:val="nil"/>
            </w:tcBorders>
          </w:tcPr>
          <w:p w14:paraId="6D87726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0.465</w:t>
            </w:r>
          </w:p>
        </w:tc>
        <w:tc>
          <w:tcPr>
            <w:tcW w:w="0" w:type="auto"/>
            <w:tcBorders>
              <w:top w:val="nil"/>
              <w:left w:val="nil"/>
              <w:bottom w:val="nil"/>
              <w:right w:val="nil"/>
            </w:tcBorders>
          </w:tcPr>
          <w:p w14:paraId="003D80B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0.843</w:t>
            </w:r>
          </w:p>
        </w:tc>
        <w:tc>
          <w:tcPr>
            <w:tcW w:w="0" w:type="auto"/>
            <w:tcBorders>
              <w:top w:val="nil"/>
              <w:left w:val="nil"/>
              <w:bottom w:val="nil"/>
              <w:right w:val="nil"/>
            </w:tcBorders>
          </w:tcPr>
          <w:p w14:paraId="527F9A1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0.775</w:t>
            </w:r>
          </w:p>
        </w:tc>
      </w:tr>
      <w:tr w:rsidR="008F3998" w:rsidRPr="008F3998" w14:paraId="0A667309" w14:textId="77777777" w:rsidTr="00A871A9">
        <w:trPr>
          <w:jc w:val="center"/>
        </w:trPr>
        <w:tc>
          <w:tcPr>
            <w:tcW w:w="0" w:type="auto"/>
            <w:tcBorders>
              <w:top w:val="nil"/>
              <w:left w:val="nil"/>
              <w:bottom w:val="nil"/>
              <w:right w:val="nil"/>
            </w:tcBorders>
          </w:tcPr>
          <w:p w14:paraId="5C77D026" w14:textId="68B84ED8"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Number of countries</w:t>
            </w:r>
          </w:p>
        </w:tc>
        <w:tc>
          <w:tcPr>
            <w:tcW w:w="0" w:type="auto"/>
            <w:tcBorders>
              <w:top w:val="nil"/>
              <w:left w:val="nil"/>
              <w:bottom w:val="nil"/>
              <w:right w:val="nil"/>
            </w:tcBorders>
          </w:tcPr>
          <w:p w14:paraId="7B793AB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bottom w:val="nil"/>
              <w:right w:val="nil"/>
            </w:tcBorders>
          </w:tcPr>
          <w:p w14:paraId="74CF44F1"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bottom w:val="nil"/>
              <w:right w:val="nil"/>
            </w:tcBorders>
          </w:tcPr>
          <w:p w14:paraId="4E94BB20"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bottom w:val="nil"/>
              <w:right w:val="nil"/>
            </w:tcBorders>
          </w:tcPr>
          <w:p w14:paraId="3ADB91E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bottom w:val="nil"/>
              <w:right w:val="nil"/>
            </w:tcBorders>
          </w:tcPr>
          <w:p w14:paraId="1479AF4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c>
          <w:tcPr>
            <w:tcW w:w="0" w:type="auto"/>
            <w:tcBorders>
              <w:top w:val="nil"/>
              <w:left w:val="nil"/>
              <w:bottom w:val="nil"/>
              <w:right w:val="nil"/>
            </w:tcBorders>
          </w:tcPr>
          <w:p w14:paraId="1B46E907"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7</w:t>
            </w:r>
          </w:p>
        </w:tc>
      </w:tr>
      <w:tr w:rsidR="008F3998" w:rsidRPr="008F3998" w14:paraId="69DE0CA1" w14:textId="77777777" w:rsidTr="00A871A9">
        <w:tblPrEx>
          <w:tblBorders>
            <w:bottom w:val="single" w:sz="6" w:space="0" w:color="auto"/>
          </w:tblBorders>
        </w:tblPrEx>
        <w:trPr>
          <w:jc w:val="center"/>
        </w:trPr>
        <w:tc>
          <w:tcPr>
            <w:tcW w:w="0" w:type="auto"/>
            <w:tcBorders>
              <w:top w:val="nil"/>
              <w:left w:val="nil"/>
              <w:bottom w:val="single" w:sz="6" w:space="0" w:color="auto"/>
              <w:right w:val="nil"/>
            </w:tcBorders>
          </w:tcPr>
          <w:p w14:paraId="1757CA4F"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Country FE</w:t>
            </w:r>
          </w:p>
        </w:tc>
        <w:tc>
          <w:tcPr>
            <w:tcW w:w="0" w:type="auto"/>
            <w:tcBorders>
              <w:top w:val="nil"/>
              <w:left w:val="nil"/>
              <w:bottom w:val="single" w:sz="6" w:space="0" w:color="auto"/>
              <w:right w:val="nil"/>
            </w:tcBorders>
          </w:tcPr>
          <w:p w14:paraId="1DF8E85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6" w:space="0" w:color="auto"/>
              <w:right w:val="nil"/>
            </w:tcBorders>
          </w:tcPr>
          <w:p w14:paraId="70F6B29D"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6" w:space="0" w:color="auto"/>
              <w:right w:val="nil"/>
            </w:tcBorders>
          </w:tcPr>
          <w:p w14:paraId="432F1CC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6" w:space="0" w:color="auto"/>
              <w:right w:val="nil"/>
            </w:tcBorders>
          </w:tcPr>
          <w:p w14:paraId="0170064B"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6" w:space="0" w:color="auto"/>
              <w:right w:val="nil"/>
            </w:tcBorders>
          </w:tcPr>
          <w:p w14:paraId="41AE125C"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c>
          <w:tcPr>
            <w:tcW w:w="0" w:type="auto"/>
            <w:tcBorders>
              <w:top w:val="nil"/>
              <w:left w:val="nil"/>
              <w:bottom w:val="single" w:sz="6" w:space="0" w:color="auto"/>
              <w:right w:val="nil"/>
            </w:tcBorders>
          </w:tcPr>
          <w:p w14:paraId="4E032638" w14:textId="77777777" w:rsidR="00B07CD7" w:rsidRPr="008F3998" w:rsidRDefault="00B07CD7" w:rsidP="00B07CD7">
            <w:pPr>
              <w:widowControl w:val="0"/>
              <w:autoSpaceDE w:val="0"/>
              <w:autoSpaceDN w:val="0"/>
              <w:adjustRightInd w:val="0"/>
              <w:spacing w:after="0" w:line="240" w:lineRule="auto"/>
              <w:jc w:val="both"/>
              <w:rPr>
                <w:rFonts w:ascii="Times New Roman" w:hAnsi="Times New Roman" w:cs="Times New Roman"/>
                <w:sz w:val="20"/>
                <w:szCs w:val="20"/>
              </w:rPr>
            </w:pPr>
            <w:r w:rsidRPr="008F3998">
              <w:rPr>
                <w:rFonts w:ascii="Times New Roman" w:hAnsi="Times New Roman" w:cs="Times New Roman"/>
                <w:sz w:val="20"/>
                <w:szCs w:val="20"/>
              </w:rPr>
              <w:t>Yes</w:t>
            </w:r>
          </w:p>
        </w:tc>
      </w:tr>
    </w:tbl>
    <w:p w14:paraId="11D53A36" w14:textId="1E017E6E" w:rsidR="0066600B" w:rsidRPr="008F3998" w:rsidRDefault="00495577" w:rsidP="0066600B">
      <w:pPr>
        <w:widowControl w:val="0"/>
        <w:autoSpaceDE w:val="0"/>
        <w:autoSpaceDN w:val="0"/>
        <w:adjustRightInd w:val="0"/>
        <w:spacing w:after="0" w:line="240" w:lineRule="auto"/>
        <w:jc w:val="both"/>
        <w:rPr>
          <w:rFonts w:ascii="Times New Roman" w:hAnsi="Times New Roman" w:cs="Times New Roman"/>
          <w:b/>
          <w:sz w:val="20"/>
        </w:rPr>
      </w:pPr>
      <w:r w:rsidRPr="008F3998">
        <w:rPr>
          <w:rFonts w:ascii="Times New Roman" w:hAnsi="Times New Roman" w:cs="Times New Roman"/>
          <w:b/>
          <w:sz w:val="20"/>
        </w:rPr>
        <w:t>Notes:</w:t>
      </w:r>
      <w:r w:rsidR="0066600B" w:rsidRPr="008F3998">
        <w:rPr>
          <w:rFonts w:ascii="Times New Roman" w:hAnsi="Times New Roman" w:cs="Times New Roman"/>
          <w:sz w:val="20"/>
        </w:rPr>
        <w:t xml:space="preserve"> The ‘L’ prefix defines the first lag of respective variables.</w:t>
      </w:r>
    </w:p>
    <w:p w14:paraId="20622EE6" w14:textId="0BB957B0" w:rsidR="00B92A53" w:rsidRPr="008F3998" w:rsidRDefault="00495577" w:rsidP="003C0A6E">
      <w:pPr>
        <w:spacing w:after="0" w:line="240" w:lineRule="auto"/>
        <w:jc w:val="both"/>
        <w:rPr>
          <w:rFonts w:ascii="Times New Roman" w:hAnsi="Times New Roman" w:cs="Times New Roman"/>
          <w:sz w:val="20"/>
          <w:szCs w:val="24"/>
        </w:rPr>
      </w:pPr>
      <w:r w:rsidRPr="008F3998">
        <w:rPr>
          <w:rFonts w:ascii="Times New Roman" w:hAnsi="Times New Roman" w:cs="Times New Roman"/>
          <w:sz w:val="20"/>
        </w:rPr>
        <w:t>Parentheses provide robust standard errors. ***, **, &amp; * denote</w:t>
      </w:r>
      <w:r w:rsidR="005A76B3" w:rsidRPr="008F3998">
        <w:rPr>
          <w:rFonts w:ascii="Times New Roman" w:hAnsi="Times New Roman" w:cs="Times New Roman"/>
          <w:sz w:val="20"/>
        </w:rPr>
        <w:t xml:space="preserve"> statistical</w:t>
      </w:r>
      <w:r w:rsidRPr="008F3998">
        <w:rPr>
          <w:rFonts w:ascii="Times New Roman" w:hAnsi="Times New Roman" w:cs="Times New Roman"/>
          <w:sz w:val="20"/>
        </w:rPr>
        <w:t xml:space="preserve"> significance at 1%, 5%, &amp; 10% levels of significance (</w:t>
      </w:r>
      <m:oMath>
        <m:r>
          <w:rPr>
            <w:rFonts w:ascii="Cambria Math" w:hAnsi="Cambria Math" w:cs="Times New Roman"/>
            <w:sz w:val="20"/>
          </w:rPr>
          <m:t>α</m:t>
        </m:r>
      </m:oMath>
      <w:r w:rsidRPr="008F3998">
        <w:rPr>
          <w:rFonts w:ascii="Times New Roman" w:hAnsi="Times New Roman" w:cs="Times New Roman"/>
          <w:sz w:val="20"/>
        </w:rPr>
        <w:t>)</w:t>
      </w:r>
      <w:r w:rsidR="00905295" w:rsidRPr="008F3998">
        <w:rPr>
          <w:rFonts w:ascii="Times New Roman" w:hAnsi="Times New Roman" w:cs="Times New Roman"/>
          <w:sz w:val="20"/>
        </w:rPr>
        <w:t>, res</w:t>
      </w:r>
      <w:bookmarkStart w:id="5" w:name="_GoBack"/>
      <w:bookmarkEnd w:id="5"/>
      <w:r w:rsidR="00905295" w:rsidRPr="008F3998">
        <w:rPr>
          <w:rFonts w:ascii="Times New Roman" w:hAnsi="Times New Roman" w:cs="Times New Roman"/>
          <w:sz w:val="20"/>
        </w:rPr>
        <w:t>pectively</w:t>
      </w:r>
      <w:r w:rsidRPr="008F3998">
        <w:rPr>
          <w:rFonts w:ascii="Times New Roman" w:hAnsi="Times New Roman" w:cs="Times New Roman"/>
          <w:sz w:val="20"/>
        </w:rPr>
        <w:t>.</w:t>
      </w:r>
    </w:p>
    <w:sectPr w:rsidR="00B92A53" w:rsidRPr="008F3998" w:rsidSect="003C0A6E">
      <w:headerReference w:type="default" r:id="rId17"/>
      <w:footerReference w:type="default" r:id="rId18"/>
      <w:pgSz w:w="11906" w:h="16838"/>
      <w:pgMar w:top="1440" w:right="1080" w:bottom="1440"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317D30" w16cid:durableId="21FE816F"/>
  <w16cid:commentId w16cid:paraId="141A3AB9" w16cid:durableId="21FE81F3"/>
  <w16cid:commentId w16cid:paraId="7EAC9047" w16cid:durableId="21FE852E"/>
  <w16cid:commentId w16cid:paraId="138B7EEA" w16cid:durableId="2200E8A4"/>
  <w16cid:commentId w16cid:paraId="1ED3EAC0" w16cid:durableId="21D9975F"/>
  <w16cid:commentId w16cid:paraId="1637F4E7" w16cid:durableId="2202B5B4"/>
  <w16cid:commentId w16cid:paraId="2C20E626" w16cid:durableId="2202B5E8"/>
  <w16cid:commentId w16cid:paraId="6F180911" w16cid:durableId="4219B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B839" w14:textId="77777777" w:rsidR="00CF5902" w:rsidRDefault="00CF5902" w:rsidP="00E526FC">
      <w:pPr>
        <w:spacing w:after="0" w:line="240" w:lineRule="auto"/>
      </w:pPr>
      <w:r>
        <w:separator/>
      </w:r>
    </w:p>
  </w:endnote>
  <w:endnote w:type="continuationSeparator" w:id="0">
    <w:p w14:paraId="1F8613D2" w14:textId="77777777" w:rsidR="00CF5902" w:rsidRDefault="00CF5902" w:rsidP="00E5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9638"/>
      <w:docPartObj>
        <w:docPartGallery w:val="Page Numbers (Bottom of Page)"/>
        <w:docPartUnique/>
      </w:docPartObj>
    </w:sdtPr>
    <w:sdtEndPr>
      <w:rPr>
        <w:noProof/>
      </w:rPr>
    </w:sdtEndPr>
    <w:sdtContent>
      <w:p w14:paraId="3276782A" w14:textId="3B7ABBA3" w:rsidR="007C7544" w:rsidRDefault="007C7544">
        <w:pPr>
          <w:pStyle w:val="Footer"/>
          <w:jc w:val="right"/>
        </w:pPr>
        <w:r>
          <w:fldChar w:fldCharType="begin"/>
        </w:r>
        <w:r>
          <w:instrText xml:space="preserve"> PAGE   \* MERGEFORMAT </w:instrText>
        </w:r>
        <w:r>
          <w:fldChar w:fldCharType="separate"/>
        </w:r>
        <w:r w:rsidR="008F3998">
          <w:rPr>
            <w:noProof/>
          </w:rPr>
          <w:t>16</w:t>
        </w:r>
        <w:r>
          <w:rPr>
            <w:noProof/>
          </w:rPr>
          <w:fldChar w:fldCharType="end"/>
        </w:r>
      </w:p>
    </w:sdtContent>
  </w:sdt>
  <w:p w14:paraId="1F866FB2" w14:textId="70DC3EA0" w:rsidR="00F44F3F" w:rsidRDefault="00F44F3F" w:rsidP="003C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59244"/>
      <w:docPartObj>
        <w:docPartGallery w:val="Page Numbers (Bottom of Page)"/>
        <w:docPartUnique/>
      </w:docPartObj>
    </w:sdtPr>
    <w:sdtEndPr>
      <w:rPr>
        <w:noProof/>
      </w:rPr>
    </w:sdtEndPr>
    <w:sdtContent>
      <w:p w14:paraId="3776CBCD" w14:textId="2C921392" w:rsidR="009A633C" w:rsidRDefault="009A633C">
        <w:pPr>
          <w:pStyle w:val="Footer"/>
          <w:jc w:val="right"/>
        </w:pPr>
        <w:r>
          <w:fldChar w:fldCharType="begin"/>
        </w:r>
        <w:r>
          <w:instrText xml:space="preserve"> PAGE   \* MERGEFORMAT </w:instrText>
        </w:r>
        <w:r>
          <w:fldChar w:fldCharType="separate"/>
        </w:r>
        <w:r w:rsidR="008F3998">
          <w:rPr>
            <w:noProof/>
          </w:rPr>
          <w:t>18</w:t>
        </w:r>
        <w:r>
          <w:rPr>
            <w:noProof/>
          </w:rPr>
          <w:fldChar w:fldCharType="end"/>
        </w:r>
      </w:p>
    </w:sdtContent>
  </w:sdt>
  <w:p w14:paraId="7B6F3235" w14:textId="29DE9C6C" w:rsidR="00F44F3F" w:rsidRDefault="00F44F3F" w:rsidP="003C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F44F3F" w14:paraId="26A10AA9" w14:textId="77777777" w:rsidTr="45FFCBE6">
      <w:tc>
        <w:tcPr>
          <w:tcW w:w="5133" w:type="dxa"/>
        </w:tcPr>
        <w:p w14:paraId="3F281EFF" w14:textId="75FC17D8" w:rsidR="00F44F3F" w:rsidRDefault="00F44F3F" w:rsidP="003C0A6E">
          <w:pPr>
            <w:pStyle w:val="Header"/>
            <w:ind w:left="-115"/>
          </w:pPr>
        </w:p>
      </w:tc>
      <w:tc>
        <w:tcPr>
          <w:tcW w:w="5133" w:type="dxa"/>
        </w:tcPr>
        <w:p w14:paraId="3767C368" w14:textId="1F6C77BE" w:rsidR="00F44F3F" w:rsidRDefault="00F44F3F" w:rsidP="003C0A6E">
          <w:pPr>
            <w:pStyle w:val="Header"/>
            <w:jc w:val="center"/>
          </w:pPr>
        </w:p>
      </w:tc>
      <w:tc>
        <w:tcPr>
          <w:tcW w:w="5133" w:type="dxa"/>
        </w:tcPr>
        <w:p w14:paraId="532CD61B" w14:textId="783BE5D4" w:rsidR="00F44F3F" w:rsidRDefault="00F44F3F" w:rsidP="003C0A6E">
          <w:pPr>
            <w:pStyle w:val="Header"/>
            <w:ind w:right="-115"/>
            <w:jc w:val="right"/>
          </w:pPr>
        </w:p>
      </w:tc>
    </w:tr>
  </w:tbl>
  <w:p w14:paraId="51EC1B65" w14:textId="5C87382C" w:rsidR="00F44F3F" w:rsidRDefault="00F44F3F" w:rsidP="003C0A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8445" w14:textId="6435856D" w:rsidR="00F44F3F" w:rsidRDefault="00F44F3F" w:rsidP="003C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7C97" w14:textId="77777777" w:rsidR="00CF5902" w:rsidRDefault="00CF5902" w:rsidP="00E526FC">
      <w:pPr>
        <w:spacing w:after="0" w:line="240" w:lineRule="auto"/>
      </w:pPr>
      <w:r>
        <w:separator/>
      </w:r>
    </w:p>
  </w:footnote>
  <w:footnote w:type="continuationSeparator" w:id="0">
    <w:p w14:paraId="6A469733" w14:textId="77777777" w:rsidR="00CF5902" w:rsidRDefault="00CF5902" w:rsidP="00E526FC">
      <w:pPr>
        <w:spacing w:after="0" w:line="240" w:lineRule="auto"/>
      </w:pPr>
      <w:r>
        <w:continuationSeparator/>
      </w:r>
    </w:p>
  </w:footnote>
  <w:footnote w:id="1">
    <w:p w14:paraId="675B879C" w14:textId="77777777" w:rsidR="00F44F3F" w:rsidRDefault="00F44F3F" w:rsidP="00F026EB">
      <w:pPr>
        <w:pStyle w:val="FootnoteText"/>
      </w:pPr>
      <w:r w:rsidRPr="00731D19">
        <w:rPr>
          <w:rStyle w:val="FootnoteReference"/>
        </w:rPr>
        <w:footnoteRef/>
      </w:r>
      <w:r w:rsidRPr="45FFCBE6">
        <w:t xml:space="preserve"> </w:t>
      </w:r>
      <w:r w:rsidRPr="3DB37D9B">
        <w:t>See Ullah et al. (2019) for a systematic discussion on the definition and types of risks.</w:t>
      </w:r>
    </w:p>
  </w:footnote>
  <w:footnote w:id="2">
    <w:p w14:paraId="1FB78BCE" w14:textId="30A825DF" w:rsidR="00F44F3F" w:rsidRPr="00C73594" w:rsidRDefault="00F44F3F" w:rsidP="00C73594">
      <w:pPr>
        <w:pStyle w:val="FootnoteText"/>
        <w:jc w:val="both"/>
        <w:rPr>
          <w:color w:val="FF0000"/>
        </w:rPr>
      </w:pPr>
      <w:r w:rsidRPr="00A94332">
        <w:rPr>
          <w:rStyle w:val="FootnoteReference"/>
        </w:rPr>
        <w:footnoteRef/>
      </w:r>
      <w:r w:rsidRPr="00A94332">
        <w:t xml:space="preserve"> See more on ‘Ash to cash’: Montserrat gambles future on the volcano that nearly destroyed it (</w:t>
      </w:r>
      <w:hyperlink r:id="rId1" w:history="1">
        <w:r w:rsidRPr="00836E47">
          <w:rPr>
            <w:rStyle w:val="Hyperlink"/>
          </w:rPr>
          <w:t>https://www.theguardian.com/world/2016/jan/28/montserrat-volcano-british-territory-geothermal-energy-tourism-sand-mining</w:t>
        </w:r>
      </w:hyperlink>
      <w:r w:rsidRPr="00A94332">
        <w:t>)</w:t>
      </w:r>
      <w:r>
        <w:t>.</w:t>
      </w:r>
    </w:p>
  </w:footnote>
  <w:footnote w:id="3">
    <w:p w14:paraId="7EB8ABD1" w14:textId="77777777" w:rsidR="00F44F3F" w:rsidRPr="00F9560E" w:rsidRDefault="00F44F3F" w:rsidP="00C03DD9">
      <w:pPr>
        <w:pStyle w:val="FootnoteText"/>
        <w:rPr>
          <w:lang w:val="en-US"/>
        </w:rPr>
      </w:pPr>
      <w:r>
        <w:rPr>
          <w:rStyle w:val="FootnoteReference"/>
        </w:rPr>
        <w:footnoteRef/>
      </w:r>
      <w:r>
        <w:t xml:space="preserve"> </w:t>
      </w:r>
      <w:hyperlink r:id="rId2" w:history="1">
        <w:r w:rsidRPr="00B17021">
          <w:rPr>
            <w:rStyle w:val="Hyperlink"/>
          </w:rPr>
          <w:t>https://www.climate-transparency.org/</w:t>
        </w:r>
      </w:hyperlink>
      <w:r>
        <w:t>.</w:t>
      </w:r>
    </w:p>
  </w:footnote>
  <w:footnote w:id="4">
    <w:p w14:paraId="1C3DFA60" w14:textId="734E1CCC" w:rsidR="00F44F3F" w:rsidRDefault="00F44F3F">
      <w:pPr>
        <w:pStyle w:val="FootnoteText"/>
      </w:pPr>
      <w:r>
        <w:rPr>
          <w:rStyle w:val="FootnoteReference"/>
        </w:rPr>
        <w:footnoteRef/>
      </w:r>
      <w:r>
        <w:t xml:space="preserve"> See the link below for further detail on carbon emissions by sector (</w:t>
      </w:r>
      <w:hyperlink r:id="rId3" w:history="1">
        <w:r>
          <w:rPr>
            <w:rStyle w:val="Hyperlink"/>
          </w:rPr>
          <w:t>https://www.epa.gov/ghgemissions/sources-greenhouse-gas-emissions</w:t>
        </w:r>
      </w:hyperlink>
      <w:r>
        <w:t>).</w:t>
      </w:r>
    </w:p>
  </w:footnote>
  <w:footnote w:id="5">
    <w:p w14:paraId="43FFC3AB" w14:textId="7FF52F80" w:rsidR="00F44F3F" w:rsidRPr="003F3E0E" w:rsidRDefault="00F44F3F" w:rsidP="00E526FC">
      <w:pPr>
        <w:pStyle w:val="FootnoteText"/>
      </w:pPr>
      <w:r>
        <w:rPr>
          <w:rStyle w:val="FootnoteReference"/>
        </w:rPr>
        <w:footnoteRef/>
      </w:r>
      <w:r>
        <w:t xml:space="preserve"> See for </w:t>
      </w:r>
      <w:r w:rsidRPr="00A94332">
        <w:t xml:space="preserve">example Jansen and de </w:t>
      </w:r>
      <w:proofErr w:type="spellStart"/>
      <w:r w:rsidRPr="00A94332">
        <w:t>Vries</w:t>
      </w:r>
      <w:proofErr w:type="spellEnd"/>
      <w:r w:rsidRPr="00A94332">
        <w:t xml:space="preserve"> (1991), </w:t>
      </w:r>
      <w:proofErr w:type="spellStart"/>
      <w:r w:rsidRPr="00A94332">
        <w:t>Danielsson</w:t>
      </w:r>
      <w:proofErr w:type="spellEnd"/>
      <w:r w:rsidRPr="00A94332">
        <w:t xml:space="preserve"> and de </w:t>
      </w:r>
      <w:proofErr w:type="spellStart"/>
      <w:r w:rsidRPr="00A94332">
        <w:t>Vries</w:t>
      </w:r>
      <w:proofErr w:type="spellEnd"/>
      <w:r w:rsidRPr="00A94332">
        <w:t xml:space="preserve"> (1997) </w:t>
      </w:r>
      <w:r w:rsidRPr="00B30551">
        <w:t xml:space="preserve">and </w:t>
      </w:r>
      <w:proofErr w:type="spellStart"/>
      <w:r w:rsidRPr="00B30551">
        <w:t>Straetmans</w:t>
      </w:r>
      <w:proofErr w:type="spellEnd"/>
      <w:r w:rsidRPr="00B30551">
        <w:t xml:space="preserve"> and Chaudhry (2015) among others for semi-parametric tail estimation approaches.</w:t>
      </w:r>
    </w:p>
  </w:footnote>
  <w:footnote w:id="6">
    <w:p w14:paraId="5AEA007F" w14:textId="77777777" w:rsidR="00F44F3F" w:rsidRPr="00204DA3" w:rsidRDefault="00F44F3F" w:rsidP="00657244">
      <w:pPr>
        <w:pStyle w:val="FootnoteText"/>
        <w:jc w:val="both"/>
        <w:rPr>
          <w:lang w:val="en-US"/>
        </w:rPr>
      </w:pPr>
      <w:r>
        <w:rPr>
          <w:rStyle w:val="FootnoteReference"/>
        </w:rPr>
        <w:footnoteRef/>
      </w:r>
      <w:r>
        <w:t xml:space="preserve"> </w:t>
      </w:r>
      <w:r>
        <w:rPr>
          <w:lang w:val="en-US"/>
        </w:rPr>
        <w:t>Results estimated using the 5-year government bond data are not provided here but will be available upon request from the author(s).</w:t>
      </w:r>
    </w:p>
  </w:footnote>
  <w:footnote w:id="7">
    <w:p w14:paraId="729FC35A" w14:textId="3521ADF5" w:rsidR="00F44F3F" w:rsidRPr="003C0A6E" w:rsidRDefault="00F44F3F">
      <w:pPr>
        <w:pStyle w:val="FootnoteText"/>
        <w:rPr>
          <w:lang w:val="en-US"/>
        </w:rPr>
      </w:pPr>
      <w:r>
        <w:rPr>
          <w:rStyle w:val="FootnoteReference"/>
        </w:rPr>
        <w:footnoteRef/>
      </w:r>
      <w:r>
        <w:t xml:space="preserve"> </w:t>
      </w:r>
      <w:r w:rsidRPr="008323B5">
        <w:t>The</w:t>
      </w:r>
      <w:r>
        <w:t>se</w:t>
      </w:r>
      <w:r w:rsidRPr="008323B5">
        <w:t xml:space="preserve"> results </w:t>
      </w:r>
      <w:r>
        <w:t>will be</w:t>
      </w:r>
      <w:r w:rsidRPr="008323B5">
        <w:t xml:space="preserve"> available upon request</w:t>
      </w:r>
      <w:r>
        <w:t xml:space="preserve"> from the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6A5" w14:textId="6B98FB42" w:rsidR="00F44F3F" w:rsidRDefault="00F44F3F" w:rsidP="003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F44F3F" w14:paraId="4EBEF0BB" w14:textId="77777777" w:rsidTr="45FFCBE6">
      <w:tc>
        <w:tcPr>
          <w:tcW w:w="5133" w:type="dxa"/>
        </w:tcPr>
        <w:p w14:paraId="2956E6BB" w14:textId="277D4F81" w:rsidR="00F44F3F" w:rsidRDefault="00F44F3F" w:rsidP="003C0A6E">
          <w:pPr>
            <w:pStyle w:val="Header"/>
            <w:ind w:left="-115"/>
          </w:pPr>
        </w:p>
      </w:tc>
      <w:tc>
        <w:tcPr>
          <w:tcW w:w="5133" w:type="dxa"/>
        </w:tcPr>
        <w:p w14:paraId="0852C3CB" w14:textId="3BC11FF4" w:rsidR="00F44F3F" w:rsidRDefault="00F44F3F" w:rsidP="003C0A6E">
          <w:pPr>
            <w:pStyle w:val="Header"/>
            <w:jc w:val="center"/>
          </w:pPr>
        </w:p>
      </w:tc>
      <w:tc>
        <w:tcPr>
          <w:tcW w:w="5133" w:type="dxa"/>
        </w:tcPr>
        <w:p w14:paraId="698734AC" w14:textId="78B50D2A" w:rsidR="00F44F3F" w:rsidRDefault="00F44F3F" w:rsidP="003C0A6E">
          <w:pPr>
            <w:pStyle w:val="Header"/>
            <w:ind w:right="-115"/>
            <w:jc w:val="right"/>
          </w:pPr>
        </w:p>
      </w:tc>
    </w:tr>
  </w:tbl>
  <w:p w14:paraId="2CF458B9" w14:textId="143B2C62" w:rsidR="00F44F3F" w:rsidRDefault="00F44F3F" w:rsidP="003C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9"/>
      <w:gridCol w:w="3249"/>
      <w:gridCol w:w="3249"/>
    </w:tblGrid>
    <w:tr w:rsidR="00F44F3F" w14:paraId="0189A8BE" w14:textId="77777777" w:rsidTr="45FFCBE6">
      <w:tc>
        <w:tcPr>
          <w:tcW w:w="3249" w:type="dxa"/>
        </w:tcPr>
        <w:p w14:paraId="2D9FFC5F" w14:textId="2C5A8F01" w:rsidR="00F44F3F" w:rsidRDefault="00F44F3F" w:rsidP="003C0A6E">
          <w:pPr>
            <w:pStyle w:val="Header"/>
            <w:ind w:left="-115"/>
          </w:pPr>
        </w:p>
      </w:tc>
      <w:tc>
        <w:tcPr>
          <w:tcW w:w="3249" w:type="dxa"/>
        </w:tcPr>
        <w:p w14:paraId="05BAC49A" w14:textId="1B01DFF8" w:rsidR="00F44F3F" w:rsidRDefault="00F44F3F" w:rsidP="003C0A6E">
          <w:pPr>
            <w:pStyle w:val="Header"/>
            <w:jc w:val="center"/>
          </w:pPr>
        </w:p>
      </w:tc>
      <w:tc>
        <w:tcPr>
          <w:tcW w:w="3249" w:type="dxa"/>
        </w:tcPr>
        <w:p w14:paraId="0618E0AD" w14:textId="06D2FC98" w:rsidR="00F44F3F" w:rsidRDefault="00F44F3F" w:rsidP="003C0A6E">
          <w:pPr>
            <w:pStyle w:val="Header"/>
            <w:ind w:right="-115"/>
            <w:jc w:val="right"/>
          </w:pPr>
        </w:p>
      </w:tc>
    </w:tr>
  </w:tbl>
  <w:p w14:paraId="3262149E" w14:textId="2B3038C7" w:rsidR="00F44F3F" w:rsidRDefault="00F44F3F" w:rsidP="003C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155"/>
    <w:multiLevelType w:val="hybridMultilevel"/>
    <w:tmpl w:val="E55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A3975"/>
    <w:multiLevelType w:val="multilevel"/>
    <w:tmpl w:val="7B38B95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7I0NbM0NjS3NDNR0lEKTi0uzszPAykwtqgFAPOW/lstAAAA"/>
  </w:docVars>
  <w:rsids>
    <w:rsidRoot w:val="009968FF"/>
    <w:rsid w:val="000032FD"/>
    <w:rsid w:val="00003458"/>
    <w:rsid w:val="00013B5A"/>
    <w:rsid w:val="0001422F"/>
    <w:rsid w:val="00016C8F"/>
    <w:rsid w:val="00017915"/>
    <w:rsid w:val="0002289B"/>
    <w:rsid w:val="00044CB7"/>
    <w:rsid w:val="00046A27"/>
    <w:rsid w:val="00063687"/>
    <w:rsid w:val="000655AC"/>
    <w:rsid w:val="00070196"/>
    <w:rsid w:val="00075F2C"/>
    <w:rsid w:val="00084704"/>
    <w:rsid w:val="000A1D8B"/>
    <w:rsid w:val="000A2F26"/>
    <w:rsid w:val="000A3ADD"/>
    <w:rsid w:val="000A4A92"/>
    <w:rsid w:val="000A65A6"/>
    <w:rsid w:val="000B1D6E"/>
    <w:rsid w:val="000B454D"/>
    <w:rsid w:val="000C2448"/>
    <w:rsid w:val="000D0211"/>
    <w:rsid w:val="000D1BAF"/>
    <w:rsid w:val="000D1D82"/>
    <w:rsid w:val="000D31DD"/>
    <w:rsid w:val="000E5A8D"/>
    <w:rsid w:val="000F2C04"/>
    <w:rsid w:val="000F473C"/>
    <w:rsid w:val="000F506E"/>
    <w:rsid w:val="000F668F"/>
    <w:rsid w:val="000F7DDB"/>
    <w:rsid w:val="000F7E8B"/>
    <w:rsid w:val="00100068"/>
    <w:rsid w:val="00110A1E"/>
    <w:rsid w:val="00114ED4"/>
    <w:rsid w:val="00120527"/>
    <w:rsid w:val="00122539"/>
    <w:rsid w:val="00123D99"/>
    <w:rsid w:val="00124114"/>
    <w:rsid w:val="001243B5"/>
    <w:rsid w:val="00126134"/>
    <w:rsid w:val="00127CB3"/>
    <w:rsid w:val="00131022"/>
    <w:rsid w:val="0013468C"/>
    <w:rsid w:val="001351D2"/>
    <w:rsid w:val="00136896"/>
    <w:rsid w:val="00136D8B"/>
    <w:rsid w:val="00137642"/>
    <w:rsid w:val="001437F9"/>
    <w:rsid w:val="0014471C"/>
    <w:rsid w:val="00147DD1"/>
    <w:rsid w:val="00151EB6"/>
    <w:rsid w:val="00161F95"/>
    <w:rsid w:val="00167BF1"/>
    <w:rsid w:val="00170CEA"/>
    <w:rsid w:val="00172C87"/>
    <w:rsid w:val="001739D1"/>
    <w:rsid w:val="00181D14"/>
    <w:rsid w:val="00183F30"/>
    <w:rsid w:val="001917AF"/>
    <w:rsid w:val="001944E0"/>
    <w:rsid w:val="00194B75"/>
    <w:rsid w:val="00194F73"/>
    <w:rsid w:val="001B0D58"/>
    <w:rsid w:val="001C29F3"/>
    <w:rsid w:val="001C2B97"/>
    <w:rsid w:val="001C44C0"/>
    <w:rsid w:val="001C6231"/>
    <w:rsid w:val="001C7EDE"/>
    <w:rsid w:val="001D288F"/>
    <w:rsid w:val="001E5E29"/>
    <w:rsid w:val="001F0276"/>
    <w:rsid w:val="001F0BE6"/>
    <w:rsid w:val="001F21EE"/>
    <w:rsid w:val="001F2D8D"/>
    <w:rsid w:val="001F4843"/>
    <w:rsid w:val="00204DA3"/>
    <w:rsid w:val="00205496"/>
    <w:rsid w:val="00205DB2"/>
    <w:rsid w:val="002128BB"/>
    <w:rsid w:val="00214962"/>
    <w:rsid w:val="00214C0E"/>
    <w:rsid w:val="00216958"/>
    <w:rsid w:val="00220696"/>
    <w:rsid w:val="0022172C"/>
    <w:rsid w:val="002228D0"/>
    <w:rsid w:val="00222986"/>
    <w:rsid w:val="00222A1F"/>
    <w:rsid w:val="00224FBA"/>
    <w:rsid w:val="00226BC0"/>
    <w:rsid w:val="00226D17"/>
    <w:rsid w:val="002274C3"/>
    <w:rsid w:val="0022798E"/>
    <w:rsid w:val="00227E1B"/>
    <w:rsid w:val="00230443"/>
    <w:rsid w:val="002307E0"/>
    <w:rsid w:val="00232917"/>
    <w:rsid w:val="00235613"/>
    <w:rsid w:val="00235FA9"/>
    <w:rsid w:val="002401D4"/>
    <w:rsid w:val="002411C0"/>
    <w:rsid w:val="002446BD"/>
    <w:rsid w:val="00247CFC"/>
    <w:rsid w:val="0025100A"/>
    <w:rsid w:val="00252D90"/>
    <w:rsid w:val="00255388"/>
    <w:rsid w:val="00271090"/>
    <w:rsid w:val="00286337"/>
    <w:rsid w:val="00296504"/>
    <w:rsid w:val="002976E0"/>
    <w:rsid w:val="002A24ED"/>
    <w:rsid w:val="002A534C"/>
    <w:rsid w:val="002B01E3"/>
    <w:rsid w:val="002B3560"/>
    <w:rsid w:val="002B78E7"/>
    <w:rsid w:val="002B7A62"/>
    <w:rsid w:val="002C4000"/>
    <w:rsid w:val="002D0EFA"/>
    <w:rsid w:val="002D11DD"/>
    <w:rsid w:val="002D345C"/>
    <w:rsid w:val="002E18A8"/>
    <w:rsid w:val="002F0C58"/>
    <w:rsid w:val="002F1621"/>
    <w:rsid w:val="002F248D"/>
    <w:rsid w:val="002F3AB1"/>
    <w:rsid w:val="002F7771"/>
    <w:rsid w:val="00302D9B"/>
    <w:rsid w:val="003077E5"/>
    <w:rsid w:val="00310892"/>
    <w:rsid w:val="00311D13"/>
    <w:rsid w:val="00312D5C"/>
    <w:rsid w:val="00314F66"/>
    <w:rsid w:val="0031539A"/>
    <w:rsid w:val="00324610"/>
    <w:rsid w:val="00327C58"/>
    <w:rsid w:val="00327F77"/>
    <w:rsid w:val="0033039A"/>
    <w:rsid w:val="00331322"/>
    <w:rsid w:val="0033640F"/>
    <w:rsid w:val="00343848"/>
    <w:rsid w:val="00343F5B"/>
    <w:rsid w:val="0034449A"/>
    <w:rsid w:val="003457EB"/>
    <w:rsid w:val="00354BAE"/>
    <w:rsid w:val="00365EA6"/>
    <w:rsid w:val="00370BFF"/>
    <w:rsid w:val="00377D00"/>
    <w:rsid w:val="0038130B"/>
    <w:rsid w:val="00382EA2"/>
    <w:rsid w:val="00382F7E"/>
    <w:rsid w:val="00384F6D"/>
    <w:rsid w:val="003922A2"/>
    <w:rsid w:val="003A05F1"/>
    <w:rsid w:val="003A16DD"/>
    <w:rsid w:val="003A299B"/>
    <w:rsid w:val="003A5D68"/>
    <w:rsid w:val="003B1075"/>
    <w:rsid w:val="003B1559"/>
    <w:rsid w:val="003B55C6"/>
    <w:rsid w:val="003B6875"/>
    <w:rsid w:val="003C0A6E"/>
    <w:rsid w:val="003C5081"/>
    <w:rsid w:val="003C5567"/>
    <w:rsid w:val="003C669A"/>
    <w:rsid w:val="003E06D0"/>
    <w:rsid w:val="003E2F2C"/>
    <w:rsid w:val="003E47B7"/>
    <w:rsid w:val="003E4F79"/>
    <w:rsid w:val="003E6596"/>
    <w:rsid w:val="003F5736"/>
    <w:rsid w:val="003F7455"/>
    <w:rsid w:val="004054B4"/>
    <w:rsid w:val="004145AF"/>
    <w:rsid w:val="004149FC"/>
    <w:rsid w:val="00420CCE"/>
    <w:rsid w:val="00423912"/>
    <w:rsid w:val="00423ACE"/>
    <w:rsid w:val="00424518"/>
    <w:rsid w:val="00424F3D"/>
    <w:rsid w:val="0042594B"/>
    <w:rsid w:val="0042644A"/>
    <w:rsid w:val="00434B8B"/>
    <w:rsid w:val="00442905"/>
    <w:rsid w:val="00443F53"/>
    <w:rsid w:val="0047024D"/>
    <w:rsid w:val="00472CAC"/>
    <w:rsid w:val="00477647"/>
    <w:rsid w:val="00484856"/>
    <w:rsid w:val="00485847"/>
    <w:rsid w:val="00485AD6"/>
    <w:rsid w:val="00495577"/>
    <w:rsid w:val="004A05C5"/>
    <w:rsid w:val="004B0795"/>
    <w:rsid w:val="004B1872"/>
    <w:rsid w:val="004C12A8"/>
    <w:rsid w:val="004C6A2C"/>
    <w:rsid w:val="004C7CBC"/>
    <w:rsid w:val="004D1083"/>
    <w:rsid w:val="004D45F0"/>
    <w:rsid w:val="004F0A86"/>
    <w:rsid w:val="004F0DCA"/>
    <w:rsid w:val="004F17BD"/>
    <w:rsid w:val="004F41A3"/>
    <w:rsid w:val="004F4631"/>
    <w:rsid w:val="004F4A23"/>
    <w:rsid w:val="005010E8"/>
    <w:rsid w:val="00501803"/>
    <w:rsid w:val="0050413F"/>
    <w:rsid w:val="0050658B"/>
    <w:rsid w:val="005077E1"/>
    <w:rsid w:val="00516273"/>
    <w:rsid w:val="00521379"/>
    <w:rsid w:val="005215E1"/>
    <w:rsid w:val="00522D83"/>
    <w:rsid w:val="005236AB"/>
    <w:rsid w:val="00524B53"/>
    <w:rsid w:val="00531D85"/>
    <w:rsid w:val="0054621E"/>
    <w:rsid w:val="00546346"/>
    <w:rsid w:val="00550D22"/>
    <w:rsid w:val="00553AA5"/>
    <w:rsid w:val="00554CF6"/>
    <w:rsid w:val="00556EB6"/>
    <w:rsid w:val="005637FF"/>
    <w:rsid w:val="00565B45"/>
    <w:rsid w:val="00580DCB"/>
    <w:rsid w:val="0058213E"/>
    <w:rsid w:val="00582BBF"/>
    <w:rsid w:val="005853C4"/>
    <w:rsid w:val="005900D3"/>
    <w:rsid w:val="00591706"/>
    <w:rsid w:val="00597272"/>
    <w:rsid w:val="00597AB3"/>
    <w:rsid w:val="005A0987"/>
    <w:rsid w:val="005A281A"/>
    <w:rsid w:val="005A38C8"/>
    <w:rsid w:val="005A4E1B"/>
    <w:rsid w:val="005A76B3"/>
    <w:rsid w:val="005B2CFC"/>
    <w:rsid w:val="005B4D19"/>
    <w:rsid w:val="005B795C"/>
    <w:rsid w:val="005C0B6E"/>
    <w:rsid w:val="005C2E59"/>
    <w:rsid w:val="005C3156"/>
    <w:rsid w:val="005C38AF"/>
    <w:rsid w:val="005D24DA"/>
    <w:rsid w:val="005D2864"/>
    <w:rsid w:val="005F1E11"/>
    <w:rsid w:val="005F3745"/>
    <w:rsid w:val="005F3C8C"/>
    <w:rsid w:val="005F4627"/>
    <w:rsid w:val="005F4CAE"/>
    <w:rsid w:val="005F56ED"/>
    <w:rsid w:val="005F77D4"/>
    <w:rsid w:val="00601C3B"/>
    <w:rsid w:val="0060712C"/>
    <w:rsid w:val="00622718"/>
    <w:rsid w:val="00640603"/>
    <w:rsid w:val="00641034"/>
    <w:rsid w:val="0064358F"/>
    <w:rsid w:val="00644ECC"/>
    <w:rsid w:val="0064563F"/>
    <w:rsid w:val="00645C7A"/>
    <w:rsid w:val="00651E7F"/>
    <w:rsid w:val="00657244"/>
    <w:rsid w:val="0066600B"/>
    <w:rsid w:val="0066670E"/>
    <w:rsid w:val="006672BC"/>
    <w:rsid w:val="00681DFD"/>
    <w:rsid w:val="00684816"/>
    <w:rsid w:val="00691620"/>
    <w:rsid w:val="00697730"/>
    <w:rsid w:val="006A1534"/>
    <w:rsid w:val="006A5146"/>
    <w:rsid w:val="006A5669"/>
    <w:rsid w:val="006A6E8F"/>
    <w:rsid w:val="006B085D"/>
    <w:rsid w:val="006B4496"/>
    <w:rsid w:val="006B771F"/>
    <w:rsid w:val="006D3181"/>
    <w:rsid w:val="006D63AB"/>
    <w:rsid w:val="006D7216"/>
    <w:rsid w:val="006E40A9"/>
    <w:rsid w:val="006E7A93"/>
    <w:rsid w:val="006F0F60"/>
    <w:rsid w:val="006F21AB"/>
    <w:rsid w:val="006F292E"/>
    <w:rsid w:val="006F3094"/>
    <w:rsid w:val="006F3DF7"/>
    <w:rsid w:val="006F7792"/>
    <w:rsid w:val="00702F68"/>
    <w:rsid w:val="0070352A"/>
    <w:rsid w:val="0070560F"/>
    <w:rsid w:val="00706399"/>
    <w:rsid w:val="00707225"/>
    <w:rsid w:val="00712C1C"/>
    <w:rsid w:val="00712CCF"/>
    <w:rsid w:val="00712EA1"/>
    <w:rsid w:val="00724123"/>
    <w:rsid w:val="00725215"/>
    <w:rsid w:val="007267AF"/>
    <w:rsid w:val="00727FDD"/>
    <w:rsid w:val="00730353"/>
    <w:rsid w:val="00730CEB"/>
    <w:rsid w:val="00730E20"/>
    <w:rsid w:val="0074585F"/>
    <w:rsid w:val="007500D6"/>
    <w:rsid w:val="00753E28"/>
    <w:rsid w:val="007633AD"/>
    <w:rsid w:val="007635C5"/>
    <w:rsid w:val="00765DF5"/>
    <w:rsid w:val="007707ED"/>
    <w:rsid w:val="00771698"/>
    <w:rsid w:val="007716DC"/>
    <w:rsid w:val="00771FA7"/>
    <w:rsid w:val="007747F3"/>
    <w:rsid w:val="00776BC4"/>
    <w:rsid w:val="007816A4"/>
    <w:rsid w:val="00784819"/>
    <w:rsid w:val="007900A4"/>
    <w:rsid w:val="00790126"/>
    <w:rsid w:val="00797CB3"/>
    <w:rsid w:val="007A0D91"/>
    <w:rsid w:val="007A354B"/>
    <w:rsid w:val="007B1982"/>
    <w:rsid w:val="007B3E74"/>
    <w:rsid w:val="007B7E9B"/>
    <w:rsid w:val="007C65CE"/>
    <w:rsid w:val="007C7544"/>
    <w:rsid w:val="007E380E"/>
    <w:rsid w:val="007E3867"/>
    <w:rsid w:val="007E6E48"/>
    <w:rsid w:val="007F0E8D"/>
    <w:rsid w:val="007F0FEC"/>
    <w:rsid w:val="007F3902"/>
    <w:rsid w:val="007F7BF4"/>
    <w:rsid w:val="00806C0E"/>
    <w:rsid w:val="00812275"/>
    <w:rsid w:val="008152B4"/>
    <w:rsid w:val="00815A87"/>
    <w:rsid w:val="00816158"/>
    <w:rsid w:val="00817CE1"/>
    <w:rsid w:val="00820B5F"/>
    <w:rsid w:val="00824AB3"/>
    <w:rsid w:val="008323B5"/>
    <w:rsid w:val="00834D8B"/>
    <w:rsid w:val="00843E9D"/>
    <w:rsid w:val="00844206"/>
    <w:rsid w:val="00845548"/>
    <w:rsid w:val="00845FFE"/>
    <w:rsid w:val="008545FF"/>
    <w:rsid w:val="00856D0C"/>
    <w:rsid w:val="00861A8A"/>
    <w:rsid w:val="00864F2D"/>
    <w:rsid w:val="00873D9B"/>
    <w:rsid w:val="00881D69"/>
    <w:rsid w:val="008832F5"/>
    <w:rsid w:val="00883A62"/>
    <w:rsid w:val="00886647"/>
    <w:rsid w:val="00891367"/>
    <w:rsid w:val="008A31A7"/>
    <w:rsid w:val="008A7EEC"/>
    <w:rsid w:val="008B05F2"/>
    <w:rsid w:val="008B2F57"/>
    <w:rsid w:val="008B4A9C"/>
    <w:rsid w:val="008B4E70"/>
    <w:rsid w:val="008B69A0"/>
    <w:rsid w:val="008C1D3E"/>
    <w:rsid w:val="008C3B72"/>
    <w:rsid w:val="008D1B4B"/>
    <w:rsid w:val="008D5177"/>
    <w:rsid w:val="008E0299"/>
    <w:rsid w:val="008E1021"/>
    <w:rsid w:val="008E3374"/>
    <w:rsid w:val="008E38F8"/>
    <w:rsid w:val="008E41D7"/>
    <w:rsid w:val="008F1B86"/>
    <w:rsid w:val="008F32E4"/>
    <w:rsid w:val="008F3998"/>
    <w:rsid w:val="008F4D2A"/>
    <w:rsid w:val="009001F8"/>
    <w:rsid w:val="00900327"/>
    <w:rsid w:val="0090045C"/>
    <w:rsid w:val="00905295"/>
    <w:rsid w:val="0090595C"/>
    <w:rsid w:val="0090779B"/>
    <w:rsid w:val="00911CC2"/>
    <w:rsid w:val="00914C88"/>
    <w:rsid w:val="00914E17"/>
    <w:rsid w:val="00921466"/>
    <w:rsid w:val="00925CA0"/>
    <w:rsid w:val="009277AC"/>
    <w:rsid w:val="00930CF1"/>
    <w:rsid w:val="00930D3A"/>
    <w:rsid w:val="00931DC7"/>
    <w:rsid w:val="00940B89"/>
    <w:rsid w:val="00943EF4"/>
    <w:rsid w:val="009447CC"/>
    <w:rsid w:val="00951B99"/>
    <w:rsid w:val="009660B2"/>
    <w:rsid w:val="00970223"/>
    <w:rsid w:val="009968FF"/>
    <w:rsid w:val="009A5DD2"/>
    <w:rsid w:val="009A633C"/>
    <w:rsid w:val="009A67D8"/>
    <w:rsid w:val="009A76C7"/>
    <w:rsid w:val="009B0361"/>
    <w:rsid w:val="009B15B7"/>
    <w:rsid w:val="009C024E"/>
    <w:rsid w:val="009C342A"/>
    <w:rsid w:val="009C55A5"/>
    <w:rsid w:val="009C6410"/>
    <w:rsid w:val="009D2027"/>
    <w:rsid w:val="009D4938"/>
    <w:rsid w:val="009D4A8E"/>
    <w:rsid w:val="009D6B4F"/>
    <w:rsid w:val="009E0085"/>
    <w:rsid w:val="009E2366"/>
    <w:rsid w:val="009E2538"/>
    <w:rsid w:val="009E349B"/>
    <w:rsid w:val="009E607D"/>
    <w:rsid w:val="009F122F"/>
    <w:rsid w:val="009F1F5A"/>
    <w:rsid w:val="009F3308"/>
    <w:rsid w:val="009F4D03"/>
    <w:rsid w:val="00A0478B"/>
    <w:rsid w:val="00A05F85"/>
    <w:rsid w:val="00A23E08"/>
    <w:rsid w:val="00A24D88"/>
    <w:rsid w:val="00A357FD"/>
    <w:rsid w:val="00A518B0"/>
    <w:rsid w:val="00A577C4"/>
    <w:rsid w:val="00A66411"/>
    <w:rsid w:val="00A72866"/>
    <w:rsid w:val="00A7457D"/>
    <w:rsid w:val="00A800CE"/>
    <w:rsid w:val="00A809E7"/>
    <w:rsid w:val="00A80EE1"/>
    <w:rsid w:val="00A82422"/>
    <w:rsid w:val="00A82952"/>
    <w:rsid w:val="00A839B2"/>
    <w:rsid w:val="00A871A9"/>
    <w:rsid w:val="00A90C65"/>
    <w:rsid w:val="00A9180C"/>
    <w:rsid w:val="00A94332"/>
    <w:rsid w:val="00A95690"/>
    <w:rsid w:val="00A96543"/>
    <w:rsid w:val="00A97472"/>
    <w:rsid w:val="00AA5C2E"/>
    <w:rsid w:val="00AA60AE"/>
    <w:rsid w:val="00AB26DA"/>
    <w:rsid w:val="00AB7126"/>
    <w:rsid w:val="00AE706F"/>
    <w:rsid w:val="00AE7916"/>
    <w:rsid w:val="00AF4467"/>
    <w:rsid w:val="00AF6295"/>
    <w:rsid w:val="00B00BAF"/>
    <w:rsid w:val="00B04A7D"/>
    <w:rsid w:val="00B07CD7"/>
    <w:rsid w:val="00B1205A"/>
    <w:rsid w:val="00B14C35"/>
    <w:rsid w:val="00B17A39"/>
    <w:rsid w:val="00B207AC"/>
    <w:rsid w:val="00B220EA"/>
    <w:rsid w:val="00B24246"/>
    <w:rsid w:val="00B24B51"/>
    <w:rsid w:val="00B25126"/>
    <w:rsid w:val="00B25D23"/>
    <w:rsid w:val="00B30551"/>
    <w:rsid w:val="00B363C1"/>
    <w:rsid w:val="00B413BE"/>
    <w:rsid w:val="00B45478"/>
    <w:rsid w:val="00B47122"/>
    <w:rsid w:val="00B5162D"/>
    <w:rsid w:val="00B60246"/>
    <w:rsid w:val="00B70738"/>
    <w:rsid w:val="00B70F5E"/>
    <w:rsid w:val="00B72A23"/>
    <w:rsid w:val="00B84D17"/>
    <w:rsid w:val="00B85B5C"/>
    <w:rsid w:val="00B8712A"/>
    <w:rsid w:val="00B87148"/>
    <w:rsid w:val="00B878FD"/>
    <w:rsid w:val="00B919F3"/>
    <w:rsid w:val="00B92A53"/>
    <w:rsid w:val="00B952A2"/>
    <w:rsid w:val="00B96144"/>
    <w:rsid w:val="00BA29F3"/>
    <w:rsid w:val="00BA36F8"/>
    <w:rsid w:val="00BA52EB"/>
    <w:rsid w:val="00BB0710"/>
    <w:rsid w:val="00BB6D96"/>
    <w:rsid w:val="00BC03B2"/>
    <w:rsid w:val="00BC079C"/>
    <w:rsid w:val="00BC08E8"/>
    <w:rsid w:val="00BC1C84"/>
    <w:rsid w:val="00BC3E09"/>
    <w:rsid w:val="00BD3958"/>
    <w:rsid w:val="00BD472A"/>
    <w:rsid w:val="00BE2EC7"/>
    <w:rsid w:val="00BE36C3"/>
    <w:rsid w:val="00BF05DB"/>
    <w:rsid w:val="00C004F7"/>
    <w:rsid w:val="00C01720"/>
    <w:rsid w:val="00C02CB8"/>
    <w:rsid w:val="00C037AB"/>
    <w:rsid w:val="00C03DD9"/>
    <w:rsid w:val="00C06A9A"/>
    <w:rsid w:val="00C110A6"/>
    <w:rsid w:val="00C116A2"/>
    <w:rsid w:val="00C22315"/>
    <w:rsid w:val="00C2281F"/>
    <w:rsid w:val="00C22A1F"/>
    <w:rsid w:val="00C24F7A"/>
    <w:rsid w:val="00C26451"/>
    <w:rsid w:val="00C32E42"/>
    <w:rsid w:val="00C339A5"/>
    <w:rsid w:val="00C341CE"/>
    <w:rsid w:val="00C34ADA"/>
    <w:rsid w:val="00C36051"/>
    <w:rsid w:val="00C37589"/>
    <w:rsid w:val="00C41DDA"/>
    <w:rsid w:val="00C45D78"/>
    <w:rsid w:val="00C463BE"/>
    <w:rsid w:val="00C50CEF"/>
    <w:rsid w:val="00C53F24"/>
    <w:rsid w:val="00C60FB9"/>
    <w:rsid w:val="00C61ED1"/>
    <w:rsid w:val="00C640D3"/>
    <w:rsid w:val="00C648C7"/>
    <w:rsid w:val="00C669D2"/>
    <w:rsid w:val="00C7071C"/>
    <w:rsid w:val="00C720AF"/>
    <w:rsid w:val="00C73594"/>
    <w:rsid w:val="00C84139"/>
    <w:rsid w:val="00C84823"/>
    <w:rsid w:val="00C85C6E"/>
    <w:rsid w:val="00C9131E"/>
    <w:rsid w:val="00C92184"/>
    <w:rsid w:val="00C93A55"/>
    <w:rsid w:val="00C94B30"/>
    <w:rsid w:val="00C9547C"/>
    <w:rsid w:val="00C96F24"/>
    <w:rsid w:val="00CA0F21"/>
    <w:rsid w:val="00CA331C"/>
    <w:rsid w:val="00CA6561"/>
    <w:rsid w:val="00CC24EF"/>
    <w:rsid w:val="00CC2894"/>
    <w:rsid w:val="00CC4C3A"/>
    <w:rsid w:val="00CD0A44"/>
    <w:rsid w:val="00CD1548"/>
    <w:rsid w:val="00CD1691"/>
    <w:rsid w:val="00CD1AAB"/>
    <w:rsid w:val="00CD3155"/>
    <w:rsid w:val="00CD41D5"/>
    <w:rsid w:val="00CD422B"/>
    <w:rsid w:val="00CD7FAA"/>
    <w:rsid w:val="00CE0F8E"/>
    <w:rsid w:val="00CE2CC7"/>
    <w:rsid w:val="00CE44B0"/>
    <w:rsid w:val="00CE4E7C"/>
    <w:rsid w:val="00CF1600"/>
    <w:rsid w:val="00CF217D"/>
    <w:rsid w:val="00CF3161"/>
    <w:rsid w:val="00CF5902"/>
    <w:rsid w:val="00CF5FF8"/>
    <w:rsid w:val="00D05EA0"/>
    <w:rsid w:val="00D173CD"/>
    <w:rsid w:val="00D2005B"/>
    <w:rsid w:val="00D24BF2"/>
    <w:rsid w:val="00D25B87"/>
    <w:rsid w:val="00D439C9"/>
    <w:rsid w:val="00D46E6C"/>
    <w:rsid w:val="00D5335C"/>
    <w:rsid w:val="00D552A7"/>
    <w:rsid w:val="00D55E0A"/>
    <w:rsid w:val="00D60AEE"/>
    <w:rsid w:val="00D60B93"/>
    <w:rsid w:val="00D63369"/>
    <w:rsid w:val="00D702FB"/>
    <w:rsid w:val="00D70533"/>
    <w:rsid w:val="00D7265A"/>
    <w:rsid w:val="00D742CB"/>
    <w:rsid w:val="00D763A3"/>
    <w:rsid w:val="00D905DD"/>
    <w:rsid w:val="00D909E8"/>
    <w:rsid w:val="00D91B90"/>
    <w:rsid w:val="00D96C52"/>
    <w:rsid w:val="00D96E7D"/>
    <w:rsid w:val="00DA675F"/>
    <w:rsid w:val="00DB02D2"/>
    <w:rsid w:val="00DC4F56"/>
    <w:rsid w:val="00DD1420"/>
    <w:rsid w:val="00DD3AA3"/>
    <w:rsid w:val="00DD6757"/>
    <w:rsid w:val="00DE082A"/>
    <w:rsid w:val="00DE7D89"/>
    <w:rsid w:val="00DF018C"/>
    <w:rsid w:val="00DF1830"/>
    <w:rsid w:val="00E01D12"/>
    <w:rsid w:val="00E07FC8"/>
    <w:rsid w:val="00E10F92"/>
    <w:rsid w:val="00E11E65"/>
    <w:rsid w:val="00E149CA"/>
    <w:rsid w:val="00E17228"/>
    <w:rsid w:val="00E23131"/>
    <w:rsid w:val="00E23B1A"/>
    <w:rsid w:val="00E23D92"/>
    <w:rsid w:val="00E24E5F"/>
    <w:rsid w:val="00E27C82"/>
    <w:rsid w:val="00E312C5"/>
    <w:rsid w:val="00E328EE"/>
    <w:rsid w:val="00E334A6"/>
    <w:rsid w:val="00E3379F"/>
    <w:rsid w:val="00E345C3"/>
    <w:rsid w:val="00E369BC"/>
    <w:rsid w:val="00E36AD0"/>
    <w:rsid w:val="00E408C2"/>
    <w:rsid w:val="00E42375"/>
    <w:rsid w:val="00E4594F"/>
    <w:rsid w:val="00E51AB5"/>
    <w:rsid w:val="00E526FC"/>
    <w:rsid w:val="00E5643A"/>
    <w:rsid w:val="00E616F8"/>
    <w:rsid w:val="00E6626D"/>
    <w:rsid w:val="00E67206"/>
    <w:rsid w:val="00E71806"/>
    <w:rsid w:val="00E75F77"/>
    <w:rsid w:val="00E76BCB"/>
    <w:rsid w:val="00E77CC2"/>
    <w:rsid w:val="00E81FAF"/>
    <w:rsid w:val="00E8256B"/>
    <w:rsid w:val="00E86712"/>
    <w:rsid w:val="00E87A20"/>
    <w:rsid w:val="00E908D2"/>
    <w:rsid w:val="00E9216F"/>
    <w:rsid w:val="00E947A2"/>
    <w:rsid w:val="00EA17ED"/>
    <w:rsid w:val="00EA1876"/>
    <w:rsid w:val="00EA39A1"/>
    <w:rsid w:val="00EB78C9"/>
    <w:rsid w:val="00EC693B"/>
    <w:rsid w:val="00EC6A55"/>
    <w:rsid w:val="00ED15DC"/>
    <w:rsid w:val="00EE0720"/>
    <w:rsid w:val="00EE272C"/>
    <w:rsid w:val="00EF0374"/>
    <w:rsid w:val="00EF4AF6"/>
    <w:rsid w:val="00F00EFF"/>
    <w:rsid w:val="00F026EB"/>
    <w:rsid w:val="00F072D3"/>
    <w:rsid w:val="00F15507"/>
    <w:rsid w:val="00F2292F"/>
    <w:rsid w:val="00F22ADF"/>
    <w:rsid w:val="00F23652"/>
    <w:rsid w:val="00F3655F"/>
    <w:rsid w:val="00F429C2"/>
    <w:rsid w:val="00F44F3F"/>
    <w:rsid w:val="00F45689"/>
    <w:rsid w:val="00F546EA"/>
    <w:rsid w:val="00F56515"/>
    <w:rsid w:val="00F56BB5"/>
    <w:rsid w:val="00F60086"/>
    <w:rsid w:val="00F60842"/>
    <w:rsid w:val="00F62821"/>
    <w:rsid w:val="00F65456"/>
    <w:rsid w:val="00F719B2"/>
    <w:rsid w:val="00F72676"/>
    <w:rsid w:val="00F74F25"/>
    <w:rsid w:val="00F75779"/>
    <w:rsid w:val="00F76E36"/>
    <w:rsid w:val="00F84DFB"/>
    <w:rsid w:val="00F91D43"/>
    <w:rsid w:val="00F94A0D"/>
    <w:rsid w:val="00F96A7F"/>
    <w:rsid w:val="00FA2F7F"/>
    <w:rsid w:val="00FA31C8"/>
    <w:rsid w:val="00FB0C28"/>
    <w:rsid w:val="00FB2AF6"/>
    <w:rsid w:val="00FB4D6E"/>
    <w:rsid w:val="00FC187C"/>
    <w:rsid w:val="00FC38CD"/>
    <w:rsid w:val="00FC4A0F"/>
    <w:rsid w:val="00FC583B"/>
    <w:rsid w:val="00FC5B3C"/>
    <w:rsid w:val="00FD081C"/>
    <w:rsid w:val="00FD2BB2"/>
    <w:rsid w:val="00FD2F6E"/>
    <w:rsid w:val="00FD6A6B"/>
    <w:rsid w:val="00FE158B"/>
    <w:rsid w:val="00FF0B40"/>
    <w:rsid w:val="00FF38C9"/>
    <w:rsid w:val="00FF4B71"/>
    <w:rsid w:val="00FF52F0"/>
    <w:rsid w:val="00FF7F9F"/>
    <w:rsid w:val="0562139D"/>
    <w:rsid w:val="0619DE33"/>
    <w:rsid w:val="0648EA61"/>
    <w:rsid w:val="0AC7B8F5"/>
    <w:rsid w:val="0C1CDE50"/>
    <w:rsid w:val="0E88B01D"/>
    <w:rsid w:val="0F41323E"/>
    <w:rsid w:val="1087AD41"/>
    <w:rsid w:val="109E1B38"/>
    <w:rsid w:val="115F5103"/>
    <w:rsid w:val="11651103"/>
    <w:rsid w:val="12F3DB49"/>
    <w:rsid w:val="14AD0288"/>
    <w:rsid w:val="1536B67E"/>
    <w:rsid w:val="1C458887"/>
    <w:rsid w:val="1D895BED"/>
    <w:rsid w:val="1E568AAF"/>
    <w:rsid w:val="1E9BE1B9"/>
    <w:rsid w:val="1F762946"/>
    <w:rsid w:val="208A5524"/>
    <w:rsid w:val="21BF63EA"/>
    <w:rsid w:val="231A1DA7"/>
    <w:rsid w:val="239B2C35"/>
    <w:rsid w:val="247E2164"/>
    <w:rsid w:val="2660F829"/>
    <w:rsid w:val="29D2763D"/>
    <w:rsid w:val="3CA69C1F"/>
    <w:rsid w:val="3DB37D9B"/>
    <w:rsid w:val="3F46A01A"/>
    <w:rsid w:val="400577A9"/>
    <w:rsid w:val="43A47D27"/>
    <w:rsid w:val="45FFCBE6"/>
    <w:rsid w:val="49EC24EC"/>
    <w:rsid w:val="4BA92A2C"/>
    <w:rsid w:val="4D922C16"/>
    <w:rsid w:val="4F80972E"/>
    <w:rsid w:val="51623670"/>
    <w:rsid w:val="51BA2D68"/>
    <w:rsid w:val="54354BDD"/>
    <w:rsid w:val="55367317"/>
    <w:rsid w:val="55CFE677"/>
    <w:rsid w:val="55F346EE"/>
    <w:rsid w:val="56A7FC8E"/>
    <w:rsid w:val="5AD6AEAF"/>
    <w:rsid w:val="5D0AF032"/>
    <w:rsid w:val="68A22DF3"/>
    <w:rsid w:val="69F7BE70"/>
    <w:rsid w:val="6A1D2F52"/>
    <w:rsid w:val="71987F62"/>
    <w:rsid w:val="76D2EDB1"/>
    <w:rsid w:val="7BD43A6C"/>
    <w:rsid w:val="7DD4A62E"/>
    <w:rsid w:val="7FA331B3"/>
    <w:rsid w:val="7FB130DF"/>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B28E7B"/>
  <w15:docId w15:val="{587CADE8-A1BE-47FB-AF0D-5A7F22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C24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3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C2448"/>
    <w:rPr>
      <w:rFonts w:asciiTheme="majorHAnsi" w:eastAsiaTheme="majorEastAsia" w:hAnsiTheme="majorHAnsi" w:cstheme="majorBidi"/>
      <w:color w:val="2E74B5" w:themeColor="accent1" w:themeShade="BF"/>
      <w:sz w:val="26"/>
      <w:szCs w:val="26"/>
    </w:rPr>
  </w:style>
  <w:style w:type="paragraph" w:customStyle="1" w:styleId="MTDisplayEquation">
    <w:name w:val="MTDisplayEquation"/>
    <w:basedOn w:val="Normal"/>
    <w:next w:val="Normal"/>
    <w:link w:val="MTDisplayEquationChar"/>
    <w:rsid w:val="00E526FC"/>
    <w:pPr>
      <w:tabs>
        <w:tab w:val="center" w:pos="4680"/>
        <w:tab w:val="right" w:pos="9360"/>
      </w:tabs>
      <w:spacing w:after="200" w:line="276" w:lineRule="auto"/>
      <w:jc w:val="both"/>
    </w:pPr>
    <w:rPr>
      <w:rFonts w:ascii="Times New Roman" w:eastAsiaTheme="minorEastAsia" w:hAnsi="Times New Roman" w:cs="Times New Roman"/>
      <w:color w:val="000000"/>
      <w:sz w:val="24"/>
      <w:lang w:val="en-US"/>
    </w:rPr>
  </w:style>
  <w:style w:type="character" w:customStyle="1" w:styleId="MTDisplayEquationChar">
    <w:name w:val="MTDisplayEquation Char"/>
    <w:basedOn w:val="DefaultParagraphFont"/>
    <w:link w:val="MTDisplayEquation"/>
    <w:rsid w:val="00E526FC"/>
    <w:rPr>
      <w:rFonts w:ascii="Times New Roman" w:eastAsiaTheme="minorEastAsia" w:hAnsi="Times New Roman" w:cs="Times New Roman"/>
      <w:color w:val="000000"/>
      <w:sz w:val="24"/>
      <w:lang w:val="en-US"/>
    </w:rPr>
  </w:style>
  <w:style w:type="character" w:customStyle="1" w:styleId="CommentTextChar">
    <w:name w:val="Comment Text Char"/>
    <w:basedOn w:val="DefaultParagraphFont"/>
    <w:link w:val="CommentText"/>
    <w:uiPriority w:val="99"/>
    <w:semiHidden/>
    <w:rsid w:val="00E526FC"/>
    <w:rPr>
      <w:rFonts w:eastAsiaTheme="minorEastAsia"/>
      <w:sz w:val="20"/>
      <w:szCs w:val="20"/>
      <w:lang w:val="en-US"/>
    </w:rPr>
  </w:style>
  <w:style w:type="paragraph" w:styleId="CommentText">
    <w:name w:val="annotation text"/>
    <w:basedOn w:val="Normal"/>
    <w:link w:val="CommentTextChar"/>
    <w:uiPriority w:val="99"/>
    <w:semiHidden/>
    <w:unhideWhenUsed/>
    <w:rsid w:val="00E526FC"/>
    <w:pPr>
      <w:spacing w:after="200" w:line="240" w:lineRule="auto"/>
    </w:pPr>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E526FC"/>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E526FC"/>
    <w:rPr>
      <w:b/>
      <w:bCs/>
    </w:rPr>
  </w:style>
  <w:style w:type="character" w:customStyle="1" w:styleId="BalloonTextChar">
    <w:name w:val="Balloon Text Char"/>
    <w:basedOn w:val="DefaultParagraphFont"/>
    <w:link w:val="BalloonText"/>
    <w:uiPriority w:val="99"/>
    <w:semiHidden/>
    <w:rsid w:val="00E526FC"/>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E526FC"/>
    <w:pPr>
      <w:spacing w:after="0" w:line="240" w:lineRule="auto"/>
    </w:pPr>
    <w:rPr>
      <w:rFonts w:ascii="Tahoma" w:eastAsiaTheme="minorEastAsia" w:hAnsi="Tahoma" w:cs="Tahoma"/>
      <w:sz w:val="16"/>
      <w:szCs w:val="16"/>
      <w:lang w:val="en-US"/>
    </w:rPr>
  </w:style>
  <w:style w:type="paragraph" w:styleId="FootnoteText">
    <w:name w:val="footnote text"/>
    <w:basedOn w:val="Normal"/>
    <w:link w:val="FootnoteTextChar"/>
    <w:uiPriority w:val="99"/>
    <w:unhideWhenUsed/>
    <w:rsid w:val="00E526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526FC"/>
    <w:rPr>
      <w:rFonts w:ascii="Times New Roman" w:hAnsi="Times New Roman"/>
      <w:sz w:val="20"/>
      <w:szCs w:val="20"/>
    </w:rPr>
  </w:style>
  <w:style w:type="character" w:styleId="FootnoteReference">
    <w:name w:val="footnote reference"/>
    <w:basedOn w:val="DefaultParagraphFont"/>
    <w:uiPriority w:val="99"/>
    <w:semiHidden/>
    <w:unhideWhenUsed/>
    <w:rsid w:val="00E526FC"/>
    <w:rPr>
      <w:vertAlign w:val="superscript"/>
    </w:rPr>
  </w:style>
  <w:style w:type="character" w:styleId="CommentReference">
    <w:name w:val="annotation reference"/>
    <w:basedOn w:val="DefaultParagraphFont"/>
    <w:uiPriority w:val="99"/>
    <w:semiHidden/>
    <w:unhideWhenUsed/>
    <w:rsid w:val="00E526FC"/>
    <w:rPr>
      <w:sz w:val="16"/>
      <w:szCs w:val="16"/>
    </w:rPr>
  </w:style>
  <w:style w:type="paragraph" w:styleId="ListParagraph">
    <w:name w:val="List Paragraph"/>
    <w:basedOn w:val="Normal"/>
    <w:uiPriority w:val="34"/>
    <w:qFormat/>
    <w:rsid w:val="00227E1B"/>
    <w:pPr>
      <w:spacing w:after="200" w:line="276" w:lineRule="auto"/>
      <w:ind w:left="720"/>
      <w:contextualSpacing/>
    </w:pPr>
    <w:rPr>
      <w:rFonts w:ascii="Times New Roman" w:hAnsi="Times New Roman"/>
      <w:sz w:val="24"/>
    </w:rPr>
  </w:style>
  <w:style w:type="character" w:styleId="PlaceholderText">
    <w:name w:val="Placeholder Text"/>
    <w:basedOn w:val="DefaultParagraphFont"/>
    <w:uiPriority w:val="99"/>
    <w:semiHidden/>
    <w:rsid w:val="00100068"/>
    <w:rPr>
      <w:color w:val="808080"/>
    </w:rPr>
  </w:style>
  <w:style w:type="character" w:styleId="Hyperlink">
    <w:name w:val="Hyperlink"/>
    <w:basedOn w:val="DefaultParagraphFont"/>
    <w:uiPriority w:val="99"/>
    <w:unhideWhenUsed/>
    <w:rsid w:val="009D4938"/>
    <w:rPr>
      <w:color w:val="0563C1" w:themeColor="hyperlink"/>
      <w:u w:val="single"/>
    </w:rPr>
  </w:style>
  <w:style w:type="character" w:customStyle="1" w:styleId="UnresolvedMention1">
    <w:name w:val="Unresolved Mention1"/>
    <w:basedOn w:val="DefaultParagraphFont"/>
    <w:uiPriority w:val="99"/>
    <w:semiHidden/>
    <w:unhideWhenUsed/>
    <w:rsid w:val="009D4938"/>
    <w:rPr>
      <w:color w:val="605E5C"/>
      <w:shd w:val="clear" w:color="auto" w:fill="E1DFDD"/>
    </w:rPr>
  </w:style>
  <w:style w:type="paragraph" w:customStyle="1" w:styleId="TableContents">
    <w:name w:val="Table Contents"/>
    <w:basedOn w:val="Normal"/>
    <w:qFormat/>
    <w:rsid w:val="002F0C58"/>
    <w:pPr>
      <w:spacing w:after="198" w:line="360" w:lineRule="auto"/>
      <w:ind w:firstLine="567"/>
      <w:contextualSpacing/>
      <w:jc w:val="both"/>
    </w:pPr>
    <w:rPr>
      <w:rFonts w:ascii="Times New Roman" w:eastAsia="Segoe UI" w:hAnsi="Times New Roman" w:cs="Times New Roman"/>
      <w:kern w:val="2"/>
      <w:sz w:val="24"/>
      <w:lang w:val="en-AU" w:eastAsia="en-AU"/>
    </w:rPr>
  </w:style>
  <w:style w:type="paragraph" w:styleId="Title">
    <w:name w:val="Title"/>
    <w:basedOn w:val="Normal"/>
    <w:next w:val="Normal"/>
    <w:link w:val="TitleChar"/>
    <w:uiPriority w:val="10"/>
    <w:qFormat/>
    <w:rsid w:val="00C96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F2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76BCB"/>
    <w:pPr>
      <w:spacing w:after="0" w:line="240" w:lineRule="auto"/>
    </w:pPr>
    <w:rPr>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7A39"/>
    <w:pPr>
      <w:spacing w:after="0" w:line="240" w:lineRule="auto"/>
    </w:pPr>
  </w:style>
  <w:style w:type="character" w:styleId="Emphasis">
    <w:name w:val="Emphasis"/>
    <w:basedOn w:val="DefaultParagraphFont"/>
    <w:uiPriority w:val="20"/>
    <w:qFormat/>
    <w:rsid w:val="009B15B7"/>
    <w:rPr>
      <w:i/>
      <w:iCs/>
    </w:rPr>
  </w:style>
  <w:style w:type="paragraph" w:styleId="Header">
    <w:name w:val="header"/>
    <w:basedOn w:val="Normal"/>
    <w:link w:val="HeaderChar"/>
    <w:uiPriority w:val="99"/>
    <w:unhideWhenUsed/>
    <w:rsid w:val="008D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77"/>
  </w:style>
  <w:style w:type="paragraph" w:styleId="Footer">
    <w:name w:val="footer"/>
    <w:basedOn w:val="Normal"/>
    <w:link w:val="FooterChar"/>
    <w:uiPriority w:val="99"/>
    <w:unhideWhenUsed/>
    <w:rsid w:val="008D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77"/>
  </w:style>
  <w:style w:type="character" w:customStyle="1" w:styleId="nlmyear">
    <w:name w:val="nlm_year"/>
    <w:basedOn w:val="DefaultParagraphFont"/>
    <w:rsid w:val="001D288F"/>
  </w:style>
  <w:style w:type="character" w:customStyle="1" w:styleId="nlmpublisher-loc">
    <w:name w:val="nlm_publisher-loc"/>
    <w:basedOn w:val="DefaultParagraphFont"/>
    <w:rsid w:val="001D288F"/>
  </w:style>
  <w:style w:type="character" w:customStyle="1" w:styleId="nlmpublisher-name">
    <w:name w:val="nlm_publisher-name"/>
    <w:basedOn w:val="DefaultParagraphFont"/>
    <w:rsid w:val="001D288F"/>
  </w:style>
  <w:style w:type="character" w:customStyle="1" w:styleId="Heading3Char">
    <w:name w:val="Heading 3 Char"/>
    <w:basedOn w:val="DefaultParagraphFont"/>
    <w:link w:val="Heading3"/>
    <w:uiPriority w:val="9"/>
    <w:semiHidden/>
    <w:rsid w:val="00843E9D"/>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90779B"/>
    <w:rPr>
      <w:color w:val="605E5C"/>
      <w:shd w:val="clear" w:color="auto" w:fill="E1DFDD"/>
    </w:rPr>
  </w:style>
  <w:style w:type="paragraph" w:customStyle="1" w:styleId="EndNoteBibliography">
    <w:name w:val="EndNote Bibliography"/>
    <w:basedOn w:val="Normal"/>
    <w:link w:val="EndNoteBibliographyChar"/>
    <w:rsid w:val="00C004F7"/>
    <w:pPr>
      <w:spacing w:after="0"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004F7"/>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40801">
      <w:bodyDiv w:val="1"/>
      <w:marLeft w:val="0"/>
      <w:marRight w:val="0"/>
      <w:marTop w:val="0"/>
      <w:marBottom w:val="0"/>
      <w:divBdr>
        <w:top w:val="none" w:sz="0" w:space="0" w:color="auto"/>
        <w:left w:val="none" w:sz="0" w:space="0" w:color="auto"/>
        <w:bottom w:val="none" w:sz="0" w:space="0" w:color="auto"/>
        <w:right w:val="none" w:sz="0" w:space="0" w:color="auto"/>
      </w:divBdr>
    </w:div>
    <w:div w:id="1099301471">
      <w:bodyDiv w:val="1"/>
      <w:marLeft w:val="0"/>
      <w:marRight w:val="0"/>
      <w:marTop w:val="0"/>
      <w:marBottom w:val="0"/>
      <w:divBdr>
        <w:top w:val="none" w:sz="0" w:space="0" w:color="auto"/>
        <w:left w:val="none" w:sz="0" w:space="0" w:color="auto"/>
        <w:bottom w:val="none" w:sz="0" w:space="0" w:color="auto"/>
        <w:right w:val="none" w:sz="0" w:space="0" w:color="auto"/>
      </w:divBdr>
    </w:div>
    <w:div w:id="18544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20430795.2013.837810"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nenergyfinancecenter.org/wp-content/uploads/WillSecuritizationHelpFuelTheUSSolarPowerIndustry_Jan2012_tsr-copy.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dfonline.com/doi/full/10.1080/20430795.2013.8378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ghgemissions/sources-greenhouse-gas-emissions" TargetMode="External"/><Relationship Id="rId2" Type="http://schemas.openxmlformats.org/officeDocument/2006/relationships/hyperlink" Target="https://www.climate-transparency.org/" TargetMode="External"/><Relationship Id="rId1" Type="http://schemas.openxmlformats.org/officeDocument/2006/relationships/hyperlink" Target="https://www.theguardian.com/world/2016/jan/28/montserrat-volcano-british-territory-geothermal-energy-tourism-sand-minin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Muhammad%20Shafiullah\Dropbox\Data%20Folder\R&amp;R\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GHG emissions per capita (metric tons)</c:v>
                </c:pt>
              </c:strCache>
            </c:strRef>
          </c:tx>
          <c:spPr>
            <a:solidFill>
              <a:schemeClr val="accent1"/>
            </a:solidFill>
            <a:ln>
              <a:noFill/>
            </a:ln>
            <a:effectLst/>
          </c:spPr>
          <c:invertIfNegative val="0"/>
          <c:cat>
            <c:strRef>
              <c:f>Sheet1!$A$2:$A$8</c:f>
              <c:strCache>
                <c:ptCount val="7"/>
                <c:pt idx="0">
                  <c:v>Canada</c:v>
                </c:pt>
                <c:pt idx="1">
                  <c:v>France</c:v>
                </c:pt>
                <c:pt idx="2">
                  <c:v>Germany</c:v>
                </c:pt>
                <c:pt idx="3">
                  <c:v>Italy</c:v>
                </c:pt>
                <c:pt idx="4">
                  <c:v>Japan</c:v>
                </c:pt>
                <c:pt idx="5">
                  <c:v>UK</c:v>
                </c:pt>
                <c:pt idx="6">
                  <c:v>USA</c:v>
                </c:pt>
              </c:strCache>
            </c:strRef>
          </c:cat>
          <c:val>
            <c:numRef>
              <c:f>Sheet1!$B$2:$B$8</c:f>
              <c:numCache>
                <c:formatCode>General</c:formatCode>
                <c:ptCount val="7"/>
                <c:pt idx="0">
                  <c:v>23.2</c:v>
                </c:pt>
                <c:pt idx="1">
                  <c:v>5.8</c:v>
                </c:pt>
                <c:pt idx="2">
                  <c:v>10.3</c:v>
                </c:pt>
                <c:pt idx="3">
                  <c:v>6.5</c:v>
                </c:pt>
                <c:pt idx="4">
                  <c:v>10.5</c:v>
                </c:pt>
                <c:pt idx="5">
                  <c:v>7.8</c:v>
                </c:pt>
                <c:pt idx="6">
                  <c:v>19.8</c:v>
                </c:pt>
              </c:numCache>
            </c:numRef>
          </c:val>
          <c:extLst>
            <c:ext xmlns:c16="http://schemas.microsoft.com/office/drawing/2014/chart" uri="{C3380CC4-5D6E-409C-BE32-E72D297353CC}">
              <c16:uniqueId val="{00000000-7EFE-4AF9-8CCB-40E89CEE02E3}"/>
            </c:ext>
          </c:extLst>
        </c:ser>
        <c:ser>
          <c:idx val="1"/>
          <c:order val="1"/>
          <c:tx>
            <c:strRef>
              <c:f>Sheet1!$C$1</c:f>
              <c:strCache>
                <c:ptCount val="1"/>
                <c:pt idx="0">
                  <c:v>Share of global GHG emissions (%)</c:v>
                </c:pt>
              </c:strCache>
            </c:strRef>
          </c:tx>
          <c:spPr>
            <a:pattFill prst="wdDnDiag">
              <a:fgClr>
                <a:schemeClr val="accent2"/>
              </a:fgClr>
              <a:bgClr>
                <a:schemeClr val="bg1"/>
              </a:bgClr>
            </a:pattFill>
            <a:ln>
              <a:solidFill>
                <a:schemeClr val="accent2"/>
              </a:solidFill>
            </a:ln>
            <a:effectLst/>
          </c:spPr>
          <c:invertIfNegative val="0"/>
          <c:cat>
            <c:strRef>
              <c:f>Sheet1!$A$2:$A$8</c:f>
              <c:strCache>
                <c:ptCount val="7"/>
                <c:pt idx="0">
                  <c:v>Canada</c:v>
                </c:pt>
                <c:pt idx="1">
                  <c:v>France</c:v>
                </c:pt>
                <c:pt idx="2">
                  <c:v>Germany</c:v>
                </c:pt>
                <c:pt idx="3">
                  <c:v>Italy</c:v>
                </c:pt>
                <c:pt idx="4">
                  <c:v>Japan</c:v>
                </c:pt>
                <c:pt idx="5">
                  <c:v>UK</c:v>
                </c:pt>
                <c:pt idx="6">
                  <c:v>USA</c:v>
                </c:pt>
              </c:strCache>
            </c:strRef>
          </c:cat>
          <c:val>
            <c:numRef>
              <c:f>Sheet1!$C$2:$C$8</c:f>
              <c:numCache>
                <c:formatCode>General</c:formatCode>
                <c:ptCount val="7"/>
                <c:pt idx="0">
                  <c:v>1.7</c:v>
                </c:pt>
                <c:pt idx="1">
                  <c:v>0.8</c:v>
                </c:pt>
                <c:pt idx="2">
                  <c:v>1.7</c:v>
                </c:pt>
                <c:pt idx="3">
                  <c:v>0.8</c:v>
                </c:pt>
                <c:pt idx="4">
                  <c:v>2.7</c:v>
                </c:pt>
                <c:pt idx="5">
                  <c:v>1</c:v>
                </c:pt>
                <c:pt idx="6">
                  <c:v>13</c:v>
                </c:pt>
              </c:numCache>
            </c:numRef>
          </c:val>
          <c:extLst>
            <c:ext xmlns:c16="http://schemas.microsoft.com/office/drawing/2014/chart" uri="{C3380CC4-5D6E-409C-BE32-E72D297353CC}">
              <c16:uniqueId val="{00000001-7EFE-4AF9-8CCB-40E89CEE02E3}"/>
            </c:ext>
          </c:extLst>
        </c:ser>
        <c:dLbls>
          <c:showLegendKey val="0"/>
          <c:showVal val="0"/>
          <c:showCatName val="0"/>
          <c:showSerName val="0"/>
          <c:showPercent val="0"/>
          <c:showBubbleSize val="0"/>
        </c:dLbls>
        <c:gapWidth val="219"/>
        <c:overlap val="-27"/>
        <c:axId val="1907356272"/>
        <c:axId val="1912790768"/>
      </c:barChart>
      <c:catAx>
        <c:axId val="190735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790768"/>
        <c:crosses val="autoZero"/>
        <c:auto val="1"/>
        <c:lblAlgn val="ctr"/>
        <c:lblOffset val="100"/>
        <c:noMultiLvlLbl val="0"/>
      </c:catAx>
      <c:valAx>
        <c:axId val="191279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356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99C7-6387-4814-9AD9-F43997A3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32</Pages>
  <Words>11132</Words>
  <Characters>66025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Ahmed (Birmingham Business School)</dc:creator>
  <cp:keywords/>
  <dc:description/>
  <cp:lastModifiedBy>Rizwan Ahmed (Birmingham Business School)</cp:lastModifiedBy>
  <cp:revision>7</cp:revision>
  <cp:lastPrinted>2019-12-11T07:31:00Z</cp:lastPrinted>
  <dcterms:created xsi:type="dcterms:W3CDTF">2020-03-01T15:28:00Z</dcterms:created>
  <dcterms:modified xsi:type="dcterms:W3CDTF">2021-03-24T15:00:00Z</dcterms:modified>
</cp:coreProperties>
</file>