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264EFD" w14:textId="09092953" w:rsidR="00CE7606" w:rsidRDefault="00CE7606" w:rsidP="00370A2B">
      <w:pPr>
        <w:spacing w:line="480" w:lineRule="auto"/>
        <w:rPr>
          <w:rFonts w:asciiTheme="majorHAnsi" w:eastAsia="Times New Roman" w:hAnsiTheme="majorHAnsi" w:cs="Segoe UI"/>
          <w:b/>
          <w:color w:val="212121"/>
          <w:sz w:val="20"/>
          <w:szCs w:val="20"/>
          <w:shd w:val="clear" w:color="auto" w:fill="FFFFFF"/>
        </w:rPr>
      </w:pPr>
      <w:r>
        <w:rPr>
          <w:rFonts w:asciiTheme="majorHAnsi" w:eastAsia="Times New Roman" w:hAnsiTheme="majorHAnsi" w:cs="Segoe UI"/>
          <w:b/>
          <w:color w:val="212121"/>
          <w:sz w:val="20"/>
          <w:szCs w:val="20"/>
          <w:shd w:val="clear" w:color="auto" w:fill="FFFFFF"/>
        </w:rPr>
        <w:t>Use of Emergency Ambulance Services f</w:t>
      </w:r>
      <w:r w:rsidRPr="00CE7606">
        <w:rPr>
          <w:rFonts w:asciiTheme="majorHAnsi" w:eastAsia="Times New Roman" w:hAnsiTheme="majorHAnsi" w:cs="Segoe UI"/>
          <w:b/>
          <w:color w:val="212121"/>
          <w:sz w:val="20"/>
          <w:szCs w:val="20"/>
          <w:shd w:val="clear" w:color="auto" w:fill="FFFFFF"/>
        </w:rPr>
        <w:t xml:space="preserve">or </w:t>
      </w:r>
      <w:r w:rsidR="00435C19">
        <w:rPr>
          <w:rFonts w:asciiTheme="majorHAnsi" w:eastAsia="Times New Roman" w:hAnsiTheme="majorHAnsi" w:cs="Segoe UI"/>
          <w:b/>
          <w:color w:val="212121"/>
          <w:sz w:val="20"/>
          <w:szCs w:val="20"/>
          <w:shd w:val="clear" w:color="auto" w:fill="FFFFFF"/>
        </w:rPr>
        <w:t xml:space="preserve">Heart Attack and Stroke over the </w:t>
      </w:r>
      <w:r w:rsidRPr="00CE7606">
        <w:rPr>
          <w:rFonts w:asciiTheme="majorHAnsi" w:eastAsia="Times New Roman" w:hAnsiTheme="majorHAnsi" w:cs="Segoe UI"/>
          <w:b/>
          <w:color w:val="212121"/>
          <w:sz w:val="20"/>
          <w:szCs w:val="20"/>
          <w:shd w:val="clear" w:color="auto" w:fill="FFFFFF"/>
        </w:rPr>
        <w:t>COVID</w:t>
      </w:r>
      <w:r>
        <w:rPr>
          <w:rFonts w:asciiTheme="majorHAnsi" w:eastAsia="Times New Roman" w:hAnsiTheme="majorHAnsi" w:cs="Segoe UI"/>
          <w:b/>
          <w:color w:val="212121"/>
          <w:sz w:val="20"/>
          <w:szCs w:val="20"/>
          <w:shd w:val="clear" w:color="auto" w:fill="FFFFFF"/>
        </w:rPr>
        <w:t>-19 Lockdown</w:t>
      </w:r>
    </w:p>
    <w:p w14:paraId="2BB12353" w14:textId="6EAC34B3" w:rsidR="00CE7606" w:rsidRDefault="00CE7606" w:rsidP="00370A2B">
      <w:pPr>
        <w:spacing w:line="480" w:lineRule="auto"/>
        <w:rPr>
          <w:rFonts w:asciiTheme="majorHAnsi" w:eastAsia="Times New Roman" w:hAnsiTheme="majorHAnsi" w:cs="Segoe UI"/>
          <w:i/>
          <w:color w:val="212121"/>
          <w:sz w:val="20"/>
          <w:szCs w:val="20"/>
          <w:shd w:val="clear" w:color="auto" w:fill="FFFFFF"/>
        </w:rPr>
      </w:pPr>
      <w:r w:rsidRPr="00CE7606">
        <w:rPr>
          <w:rFonts w:asciiTheme="majorHAnsi" w:eastAsia="Times New Roman" w:hAnsiTheme="majorHAnsi" w:cs="Segoe UI"/>
          <w:i/>
          <w:color w:val="212121"/>
          <w:sz w:val="20"/>
          <w:szCs w:val="20"/>
          <w:shd w:val="clear" w:color="auto" w:fill="FFFFFF"/>
        </w:rPr>
        <w:t>Jenny Lumley Holmes, Simon Brak</w:t>
      </w:r>
      <w:r w:rsidR="00241FE9">
        <w:rPr>
          <w:rFonts w:asciiTheme="majorHAnsi" w:eastAsia="Times New Roman" w:hAnsiTheme="majorHAnsi" w:cs="Segoe UI"/>
          <w:i/>
          <w:color w:val="212121"/>
          <w:sz w:val="20"/>
          <w:szCs w:val="20"/>
          <w:shd w:val="clear" w:color="auto" w:fill="FFFFFF"/>
        </w:rPr>
        <w:t>e</w:t>
      </w:r>
      <w:r w:rsidRPr="00CE7606">
        <w:rPr>
          <w:rFonts w:asciiTheme="majorHAnsi" w:eastAsia="Times New Roman" w:hAnsiTheme="majorHAnsi" w:cs="Segoe UI"/>
          <w:i/>
          <w:color w:val="212121"/>
          <w:sz w:val="20"/>
          <w:szCs w:val="20"/>
          <w:shd w:val="clear" w:color="auto" w:fill="FFFFFF"/>
        </w:rPr>
        <w:t>, Mark Docherty, Richard Lilford</w:t>
      </w:r>
      <w:r w:rsidR="009656B7">
        <w:rPr>
          <w:rFonts w:asciiTheme="majorHAnsi" w:eastAsia="Times New Roman" w:hAnsiTheme="majorHAnsi" w:cs="Segoe UI"/>
          <w:i/>
          <w:color w:val="212121"/>
          <w:sz w:val="20"/>
          <w:szCs w:val="20"/>
          <w:shd w:val="clear" w:color="auto" w:fill="FFFFFF"/>
          <w:vertAlign w:val="superscript"/>
        </w:rPr>
        <w:t>*</w:t>
      </w:r>
      <w:r w:rsidRPr="00CE7606">
        <w:rPr>
          <w:rFonts w:asciiTheme="majorHAnsi" w:eastAsia="Times New Roman" w:hAnsiTheme="majorHAnsi" w:cs="Segoe UI"/>
          <w:i/>
          <w:color w:val="212121"/>
          <w:sz w:val="20"/>
          <w:szCs w:val="20"/>
          <w:shd w:val="clear" w:color="auto" w:fill="FFFFFF"/>
        </w:rPr>
        <w:t>, Sam Watson</w:t>
      </w:r>
    </w:p>
    <w:p w14:paraId="45A4E3EB" w14:textId="77777777" w:rsidR="00370A2B" w:rsidRDefault="00370A2B" w:rsidP="00370A2B">
      <w:pPr>
        <w:spacing w:line="480" w:lineRule="auto"/>
        <w:rPr>
          <w:rFonts w:asciiTheme="majorHAnsi" w:eastAsia="Times New Roman" w:hAnsiTheme="majorHAnsi" w:cs="Segoe UI"/>
          <w:i/>
          <w:color w:val="212121"/>
          <w:sz w:val="20"/>
          <w:szCs w:val="20"/>
          <w:shd w:val="clear" w:color="auto" w:fill="FFFFFF"/>
        </w:rPr>
      </w:pPr>
    </w:p>
    <w:p w14:paraId="61C8941F" w14:textId="77777777" w:rsidR="00370A2B" w:rsidRPr="00241FE9" w:rsidRDefault="00370A2B" w:rsidP="00CE1AF3">
      <w:pPr>
        <w:spacing w:line="480" w:lineRule="auto"/>
        <w:ind w:left="284" w:hanging="284"/>
        <w:rPr>
          <w:rFonts w:asciiTheme="majorHAnsi" w:eastAsia="Times New Roman" w:hAnsiTheme="majorHAnsi" w:cs="Segoe UI"/>
          <w:color w:val="212121"/>
          <w:sz w:val="20"/>
          <w:szCs w:val="20"/>
          <w:shd w:val="clear" w:color="auto" w:fill="FFFFFF"/>
        </w:rPr>
      </w:pPr>
      <w:r w:rsidRPr="00241FE9">
        <w:rPr>
          <w:rFonts w:asciiTheme="majorHAnsi" w:eastAsia="Times New Roman" w:hAnsiTheme="majorHAnsi" w:cs="Segoe UI"/>
          <w:color w:val="212121"/>
          <w:sz w:val="20"/>
          <w:szCs w:val="20"/>
          <w:shd w:val="clear" w:color="auto" w:fill="FFFFFF"/>
        </w:rPr>
        <w:t>Jennifer Lumley-Holmes, Clinical Audit Manager, West Midlands Ambulance Service, jenny.lumleyholmes@wmas.nhs.uk</w:t>
      </w:r>
    </w:p>
    <w:p w14:paraId="66E75CB9" w14:textId="5FF3FA24" w:rsidR="00370A2B" w:rsidRPr="00241FE9" w:rsidRDefault="00370A2B" w:rsidP="00CE1AF3">
      <w:pPr>
        <w:spacing w:line="480" w:lineRule="auto"/>
        <w:ind w:left="284" w:hanging="284"/>
        <w:rPr>
          <w:rFonts w:asciiTheme="majorHAnsi" w:eastAsia="Times New Roman" w:hAnsiTheme="majorHAnsi" w:cs="Segoe UI"/>
          <w:color w:val="212121"/>
          <w:sz w:val="20"/>
          <w:szCs w:val="20"/>
          <w:shd w:val="clear" w:color="auto" w:fill="FFFFFF"/>
        </w:rPr>
      </w:pPr>
      <w:r w:rsidRPr="00241FE9">
        <w:rPr>
          <w:rFonts w:asciiTheme="majorHAnsi" w:eastAsia="Times New Roman" w:hAnsiTheme="majorHAnsi" w:cs="Segoe UI"/>
          <w:color w:val="212121"/>
          <w:sz w:val="20"/>
          <w:szCs w:val="20"/>
          <w:shd w:val="clear" w:color="auto" w:fill="FFFFFF"/>
        </w:rPr>
        <w:t>Simon Brake, Chief Innovation &amp; Engagement Officer</w:t>
      </w:r>
      <w:r w:rsidR="0062415F" w:rsidRPr="00241FE9">
        <w:rPr>
          <w:rFonts w:asciiTheme="majorHAnsi" w:eastAsia="Times New Roman" w:hAnsiTheme="majorHAnsi" w:cs="Segoe UI"/>
          <w:color w:val="212121"/>
          <w:sz w:val="20"/>
          <w:szCs w:val="20"/>
          <w:shd w:val="clear" w:color="auto" w:fill="FFFFFF"/>
        </w:rPr>
        <w:t>, University of Warwick, s.b</w:t>
      </w:r>
      <w:r w:rsidRPr="00241FE9">
        <w:rPr>
          <w:rFonts w:asciiTheme="majorHAnsi" w:eastAsia="Times New Roman" w:hAnsiTheme="majorHAnsi" w:cs="Segoe UI"/>
          <w:color w:val="212121"/>
          <w:sz w:val="20"/>
          <w:szCs w:val="20"/>
          <w:shd w:val="clear" w:color="auto" w:fill="FFFFFF"/>
        </w:rPr>
        <w:t>rake@warwick.ac.uk</w:t>
      </w:r>
    </w:p>
    <w:p w14:paraId="6A41451E" w14:textId="77777777" w:rsidR="00CE7606" w:rsidRPr="00241FE9" w:rsidRDefault="009E7AD0" w:rsidP="00CE1AF3">
      <w:pPr>
        <w:spacing w:line="480" w:lineRule="auto"/>
        <w:ind w:left="284" w:hanging="284"/>
        <w:rPr>
          <w:rFonts w:asciiTheme="majorHAnsi" w:eastAsia="Times New Roman" w:hAnsiTheme="majorHAnsi" w:cs="Segoe UI"/>
          <w:color w:val="212121"/>
          <w:sz w:val="20"/>
          <w:szCs w:val="20"/>
          <w:shd w:val="clear" w:color="auto" w:fill="FFFFFF"/>
        </w:rPr>
      </w:pPr>
      <w:r w:rsidRPr="00241FE9">
        <w:rPr>
          <w:rFonts w:asciiTheme="majorHAnsi" w:eastAsia="Times New Roman" w:hAnsiTheme="majorHAnsi" w:cs="Segoe UI"/>
          <w:color w:val="212121"/>
          <w:sz w:val="20"/>
          <w:szCs w:val="20"/>
          <w:shd w:val="clear" w:color="auto" w:fill="FFFFFF"/>
        </w:rPr>
        <w:t xml:space="preserve">Mark Docherty, Executive Director of Nursing and Clinical Commissioning, </w:t>
      </w:r>
      <w:r w:rsidR="00370A2B" w:rsidRPr="00241FE9">
        <w:rPr>
          <w:rFonts w:asciiTheme="majorHAnsi" w:eastAsia="Times New Roman" w:hAnsiTheme="majorHAnsi" w:cs="Segoe UI"/>
          <w:color w:val="212121"/>
          <w:sz w:val="20"/>
          <w:szCs w:val="20"/>
          <w:shd w:val="clear" w:color="auto" w:fill="FFFFFF"/>
        </w:rPr>
        <w:t>West Midlands Ambulance Service, mark.docherty@wmas.nhs.uk</w:t>
      </w:r>
    </w:p>
    <w:p w14:paraId="65058E27" w14:textId="5148B435" w:rsidR="009E7AD0" w:rsidRPr="00241FE9" w:rsidRDefault="009E7AD0" w:rsidP="00CE1AF3">
      <w:pPr>
        <w:spacing w:line="480" w:lineRule="auto"/>
        <w:ind w:left="284" w:hanging="284"/>
        <w:rPr>
          <w:rFonts w:asciiTheme="majorHAnsi" w:eastAsia="Times New Roman" w:hAnsiTheme="majorHAnsi" w:cs="Segoe UI"/>
          <w:color w:val="212121"/>
          <w:sz w:val="20"/>
          <w:szCs w:val="20"/>
          <w:shd w:val="clear" w:color="auto" w:fill="FFFFFF"/>
        </w:rPr>
      </w:pPr>
      <w:r w:rsidRPr="00241FE9">
        <w:rPr>
          <w:rFonts w:asciiTheme="majorHAnsi" w:eastAsia="Times New Roman" w:hAnsiTheme="majorHAnsi" w:cs="Segoe UI"/>
          <w:color w:val="212121"/>
          <w:sz w:val="20"/>
          <w:szCs w:val="20"/>
          <w:shd w:val="clear" w:color="auto" w:fill="FFFFFF"/>
        </w:rPr>
        <w:t>Richard Lilford</w:t>
      </w:r>
      <w:r w:rsidR="005D481E" w:rsidRPr="00241FE9">
        <w:rPr>
          <w:rFonts w:asciiTheme="majorHAnsi" w:eastAsia="Times New Roman" w:hAnsiTheme="majorHAnsi" w:cs="Segoe UI"/>
          <w:color w:val="212121"/>
          <w:sz w:val="20"/>
          <w:szCs w:val="20"/>
          <w:shd w:val="clear" w:color="auto" w:fill="FFFFFF"/>
        </w:rPr>
        <w:t xml:space="preserve"> (0000-0002-0634-984X)</w:t>
      </w:r>
      <w:r w:rsidRPr="00241FE9">
        <w:rPr>
          <w:rFonts w:asciiTheme="majorHAnsi" w:eastAsia="Times New Roman" w:hAnsiTheme="majorHAnsi" w:cs="Segoe UI"/>
          <w:color w:val="212121"/>
          <w:sz w:val="20"/>
          <w:szCs w:val="20"/>
          <w:shd w:val="clear" w:color="auto" w:fill="FFFFFF"/>
        </w:rPr>
        <w:t>, Professor of Clinical Health, University of Birmingham, r.j.lilford@bham.ac.uk</w:t>
      </w:r>
    </w:p>
    <w:p w14:paraId="212B4A7B" w14:textId="04A9978A" w:rsidR="009E7AD0" w:rsidRPr="00241FE9" w:rsidRDefault="009E7AD0" w:rsidP="00CE1AF3">
      <w:pPr>
        <w:spacing w:line="480" w:lineRule="auto"/>
        <w:ind w:left="284" w:hanging="284"/>
        <w:rPr>
          <w:rFonts w:asciiTheme="majorHAnsi" w:eastAsia="Times New Roman" w:hAnsiTheme="majorHAnsi" w:cs="Segoe UI"/>
          <w:color w:val="212121"/>
          <w:sz w:val="20"/>
          <w:szCs w:val="20"/>
          <w:shd w:val="clear" w:color="auto" w:fill="FFFFFF"/>
        </w:rPr>
      </w:pPr>
      <w:r w:rsidRPr="00241FE9">
        <w:rPr>
          <w:rFonts w:asciiTheme="majorHAnsi" w:eastAsia="Times New Roman" w:hAnsiTheme="majorHAnsi" w:cs="Segoe UI"/>
          <w:color w:val="212121"/>
          <w:sz w:val="20"/>
          <w:szCs w:val="20"/>
          <w:shd w:val="clear" w:color="auto" w:fill="FFFFFF"/>
        </w:rPr>
        <w:t xml:space="preserve">Samuel Watson, </w:t>
      </w:r>
      <w:r w:rsidR="00FE4CBD" w:rsidRPr="00241FE9">
        <w:rPr>
          <w:rFonts w:asciiTheme="majorHAnsi" w:eastAsia="Times New Roman" w:hAnsiTheme="majorHAnsi" w:cs="Segoe UI"/>
          <w:color w:val="212121"/>
          <w:sz w:val="20"/>
          <w:szCs w:val="20"/>
          <w:shd w:val="clear" w:color="auto" w:fill="FFFFFF"/>
        </w:rPr>
        <w:t>Associate Professor</w:t>
      </w:r>
      <w:r w:rsidR="0062415F" w:rsidRPr="00241FE9">
        <w:rPr>
          <w:rFonts w:asciiTheme="majorHAnsi" w:eastAsia="Times New Roman" w:hAnsiTheme="majorHAnsi" w:cs="Segoe UI"/>
          <w:color w:val="212121"/>
          <w:sz w:val="20"/>
          <w:szCs w:val="20"/>
          <w:shd w:val="clear" w:color="auto" w:fill="FFFFFF"/>
        </w:rPr>
        <w:t>, University of Warwick, s.watson.1@warwick.ac.uk</w:t>
      </w:r>
    </w:p>
    <w:p w14:paraId="28201466" w14:textId="77777777" w:rsidR="009656B7" w:rsidRDefault="009656B7" w:rsidP="009656B7">
      <w:pPr>
        <w:spacing w:line="480" w:lineRule="auto"/>
        <w:rPr>
          <w:rFonts w:asciiTheme="majorHAnsi" w:eastAsia="Times New Roman" w:hAnsiTheme="majorHAnsi" w:cs="Segoe UI"/>
          <w:i/>
          <w:color w:val="212121"/>
          <w:sz w:val="20"/>
          <w:szCs w:val="20"/>
          <w:shd w:val="clear" w:color="auto" w:fill="FFFFFF"/>
        </w:rPr>
      </w:pPr>
    </w:p>
    <w:p w14:paraId="187788AE" w14:textId="77777777" w:rsidR="00FB3753" w:rsidRDefault="009656B7" w:rsidP="00241FE9">
      <w:pPr>
        <w:spacing w:line="480" w:lineRule="auto"/>
        <w:rPr>
          <w:rFonts w:asciiTheme="majorHAnsi" w:eastAsia="Times New Roman" w:hAnsiTheme="majorHAnsi" w:cs="Segoe UI"/>
          <w:color w:val="212121"/>
          <w:sz w:val="20"/>
          <w:szCs w:val="20"/>
          <w:shd w:val="clear" w:color="auto" w:fill="FFFFFF"/>
        </w:rPr>
      </w:pPr>
      <w:r w:rsidRPr="00241FE9">
        <w:rPr>
          <w:rFonts w:asciiTheme="majorHAnsi" w:eastAsia="Times New Roman" w:hAnsiTheme="majorHAnsi" w:cs="Segoe UI"/>
          <w:color w:val="212121"/>
          <w:sz w:val="20"/>
          <w:szCs w:val="20"/>
          <w:shd w:val="clear" w:color="auto" w:fill="FFFFFF"/>
        </w:rPr>
        <w:t>* Corresponding Author: Richard Lilford, Murray Learning Centre, University of Birmingham, Edgbaston B15 2TT, United Kingdom</w:t>
      </w:r>
      <w:r w:rsidR="005D481E" w:rsidRPr="00241FE9">
        <w:rPr>
          <w:rFonts w:asciiTheme="majorHAnsi" w:eastAsia="Times New Roman" w:hAnsiTheme="majorHAnsi" w:cs="Segoe UI"/>
          <w:color w:val="212121"/>
          <w:sz w:val="20"/>
          <w:szCs w:val="20"/>
          <w:shd w:val="clear" w:color="auto" w:fill="FFFFFF"/>
        </w:rPr>
        <w:t xml:space="preserve"> </w:t>
      </w:r>
      <w:hyperlink r:id="rId6" w:history="1">
        <w:r w:rsidR="003B11E4" w:rsidRPr="00BC7999">
          <w:rPr>
            <w:rStyle w:val="Hyperlink"/>
            <w:rFonts w:asciiTheme="majorHAnsi" w:eastAsia="Times New Roman" w:hAnsiTheme="majorHAnsi" w:cs="Segoe UI"/>
            <w:sz w:val="20"/>
            <w:szCs w:val="20"/>
            <w:shd w:val="clear" w:color="auto" w:fill="FFFFFF"/>
          </w:rPr>
          <w:t>r.j.lilford@bham.ac.uk</w:t>
        </w:r>
      </w:hyperlink>
      <w:r w:rsidR="003B11E4">
        <w:rPr>
          <w:rFonts w:asciiTheme="majorHAnsi" w:eastAsia="Times New Roman" w:hAnsiTheme="majorHAnsi" w:cs="Segoe UI"/>
          <w:color w:val="212121"/>
          <w:sz w:val="20"/>
          <w:szCs w:val="20"/>
          <w:shd w:val="clear" w:color="auto" w:fill="FFFFFF"/>
        </w:rPr>
        <w:t xml:space="preserve"> @</w:t>
      </w:r>
      <w:proofErr w:type="spellStart"/>
      <w:r w:rsidR="003B11E4">
        <w:rPr>
          <w:rFonts w:asciiTheme="majorHAnsi" w:eastAsia="Times New Roman" w:hAnsiTheme="majorHAnsi" w:cs="Segoe UI"/>
          <w:color w:val="212121"/>
          <w:sz w:val="20"/>
          <w:szCs w:val="20"/>
          <w:shd w:val="clear" w:color="auto" w:fill="FFFFFF"/>
        </w:rPr>
        <w:t>rjlilford</w:t>
      </w:r>
      <w:proofErr w:type="spellEnd"/>
    </w:p>
    <w:p w14:paraId="44EEDD17" w14:textId="77777777" w:rsidR="00FB3753" w:rsidRDefault="00FB3753" w:rsidP="00241FE9">
      <w:pPr>
        <w:spacing w:line="480" w:lineRule="auto"/>
        <w:rPr>
          <w:rFonts w:asciiTheme="majorHAnsi" w:eastAsia="Times New Roman" w:hAnsiTheme="majorHAnsi" w:cs="Segoe UI"/>
          <w:color w:val="212121"/>
          <w:sz w:val="20"/>
          <w:szCs w:val="20"/>
          <w:shd w:val="clear" w:color="auto" w:fill="FFFFFF"/>
        </w:rPr>
      </w:pPr>
    </w:p>
    <w:p w14:paraId="49EF81F0" w14:textId="77777777" w:rsidR="00D15104" w:rsidRDefault="00FB3753" w:rsidP="00241FE9">
      <w:pPr>
        <w:spacing w:line="480" w:lineRule="auto"/>
        <w:rPr>
          <w:rFonts w:asciiTheme="majorHAnsi" w:eastAsia="Times New Roman" w:hAnsiTheme="majorHAnsi" w:cs="Segoe UI"/>
          <w:i/>
          <w:color w:val="212121"/>
          <w:sz w:val="20"/>
          <w:szCs w:val="20"/>
          <w:shd w:val="clear" w:color="auto" w:fill="FFFFFF"/>
        </w:rPr>
      </w:pPr>
      <w:r w:rsidRPr="00FB3753">
        <w:rPr>
          <w:rFonts w:asciiTheme="majorHAnsi" w:eastAsia="Times New Roman" w:hAnsiTheme="majorHAnsi" w:cs="Segoe UI"/>
          <w:i/>
          <w:color w:val="212121"/>
          <w:sz w:val="20"/>
          <w:szCs w:val="20"/>
          <w:shd w:val="clear" w:color="auto" w:fill="FFFFFF"/>
        </w:rPr>
        <w:t>The authors declare no conflicts of interest.</w:t>
      </w:r>
    </w:p>
    <w:p w14:paraId="577E06B5" w14:textId="77777777" w:rsidR="00D15104" w:rsidRDefault="00D15104" w:rsidP="00241FE9">
      <w:pPr>
        <w:spacing w:line="480" w:lineRule="auto"/>
        <w:rPr>
          <w:rFonts w:asciiTheme="majorHAnsi" w:eastAsia="Times New Roman" w:hAnsiTheme="majorHAnsi" w:cs="Segoe UI"/>
          <w:i/>
          <w:color w:val="212121"/>
          <w:sz w:val="20"/>
          <w:szCs w:val="20"/>
          <w:shd w:val="clear" w:color="auto" w:fill="FFFFFF"/>
        </w:rPr>
      </w:pPr>
    </w:p>
    <w:p w14:paraId="72457589" w14:textId="18D43502" w:rsidR="00370A2B" w:rsidRPr="00FB3753" w:rsidRDefault="00370A2B" w:rsidP="00241FE9">
      <w:pPr>
        <w:spacing w:line="480" w:lineRule="auto"/>
        <w:rPr>
          <w:rFonts w:asciiTheme="majorHAnsi" w:eastAsia="Times New Roman" w:hAnsiTheme="majorHAnsi" w:cs="Segoe UI"/>
          <w:i/>
          <w:color w:val="212121"/>
          <w:sz w:val="20"/>
          <w:szCs w:val="20"/>
          <w:shd w:val="clear" w:color="auto" w:fill="FFFFFF"/>
        </w:rPr>
      </w:pPr>
      <w:r w:rsidRPr="00FB3753">
        <w:rPr>
          <w:rFonts w:asciiTheme="majorHAnsi" w:eastAsia="Times New Roman" w:hAnsiTheme="majorHAnsi" w:cs="Segoe UI"/>
          <w:i/>
          <w:color w:val="212121"/>
          <w:sz w:val="20"/>
          <w:szCs w:val="20"/>
          <w:shd w:val="clear" w:color="auto" w:fill="FFFFFF"/>
        </w:rPr>
        <w:br w:type="page"/>
      </w:r>
    </w:p>
    <w:p w14:paraId="103BAD75" w14:textId="051DF6AB" w:rsidR="003126EA" w:rsidRPr="005C72D1" w:rsidRDefault="00CE7606" w:rsidP="005C72D1">
      <w:pPr>
        <w:spacing w:line="480" w:lineRule="auto"/>
        <w:rPr>
          <w:rFonts w:asciiTheme="majorHAnsi" w:eastAsia="Times New Roman" w:hAnsiTheme="majorHAnsi" w:cs="Segoe UI"/>
          <w:color w:val="212121"/>
          <w:sz w:val="20"/>
          <w:szCs w:val="20"/>
          <w:shd w:val="clear" w:color="auto" w:fill="FFFFFF"/>
        </w:rPr>
      </w:pPr>
      <w:r w:rsidRPr="005C72D1">
        <w:rPr>
          <w:rFonts w:asciiTheme="majorHAnsi" w:eastAsia="Times New Roman" w:hAnsiTheme="majorHAnsi" w:cs="Segoe UI"/>
          <w:color w:val="212121"/>
          <w:sz w:val="20"/>
          <w:szCs w:val="20"/>
          <w:shd w:val="clear" w:color="auto" w:fill="FFFFFF"/>
        </w:rPr>
        <w:lastRenderedPageBreak/>
        <w:t>It is widely reported that attendance at Accident and Emergency (A&amp;E) departments in the UK has declined precipitously since ‘lockdown’</w:t>
      </w:r>
      <w:r w:rsidR="0051199E" w:rsidRPr="005C72D1">
        <w:rPr>
          <w:rFonts w:asciiTheme="majorHAnsi" w:eastAsia="Times New Roman" w:hAnsiTheme="majorHAnsi" w:cs="Segoe UI"/>
          <w:color w:val="212121"/>
          <w:sz w:val="20"/>
          <w:szCs w:val="20"/>
          <w:shd w:val="clear" w:color="auto" w:fill="FFFFFF"/>
        </w:rPr>
        <w:t xml:space="preserve"> </w:t>
      </w:r>
      <w:r w:rsidRPr="005C72D1">
        <w:rPr>
          <w:rFonts w:asciiTheme="majorHAnsi" w:eastAsia="Times New Roman" w:hAnsiTheme="majorHAnsi" w:cs="Segoe UI"/>
          <w:color w:val="212121"/>
          <w:sz w:val="20"/>
          <w:szCs w:val="20"/>
          <w:shd w:val="clear" w:color="auto" w:fill="FFFFFF"/>
        </w:rPr>
        <w:t xml:space="preserve">on the 23 March 2020. </w:t>
      </w:r>
      <w:r w:rsidR="0051199E" w:rsidRPr="005C72D1">
        <w:rPr>
          <w:rFonts w:asciiTheme="majorHAnsi" w:eastAsia="Times New Roman" w:hAnsiTheme="majorHAnsi" w:cs="Segoe UI"/>
          <w:color w:val="212121"/>
          <w:sz w:val="20"/>
          <w:szCs w:val="20"/>
          <w:shd w:val="clear" w:color="auto" w:fill="FFFFFF"/>
        </w:rPr>
        <w:t>Anecdotal reports have suggested that heart attacks and strokes have ‘</w:t>
      </w:r>
      <w:r w:rsidR="002D6E1C" w:rsidRPr="005C72D1">
        <w:rPr>
          <w:rFonts w:asciiTheme="majorHAnsi" w:eastAsia="Times New Roman" w:hAnsiTheme="majorHAnsi" w:cs="Segoe UI"/>
          <w:color w:val="212121"/>
          <w:sz w:val="20"/>
          <w:szCs w:val="20"/>
          <w:shd w:val="clear" w:color="auto" w:fill="FFFFFF"/>
        </w:rPr>
        <w:t>vanished from hospitals’ (Washington Post</w:t>
      </w:r>
      <w:r w:rsidR="005C72D1">
        <w:rPr>
          <w:rFonts w:asciiTheme="majorHAnsi" w:eastAsia="Times New Roman" w:hAnsiTheme="majorHAnsi" w:cs="Segoe UI"/>
          <w:color w:val="212121"/>
          <w:sz w:val="20"/>
          <w:szCs w:val="20"/>
          <w:shd w:val="clear" w:color="auto" w:fill="FFFFFF"/>
        </w:rPr>
        <w:t>,</w:t>
      </w:r>
      <w:r w:rsidR="002D6E1C" w:rsidRPr="005C72D1">
        <w:rPr>
          <w:rFonts w:asciiTheme="majorHAnsi" w:eastAsia="Times New Roman" w:hAnsiTheme="majorHAnsi" w:cs="Segoe UI"/>
          <w:color w:val="212121"/>
          <w:sz w:val="20"/>
          <w:szCs w:val="20"/>
          <w:shd w:val="clear" w:color="auto" w:fill="FFFFFF"/>
        </w:rPr>
        <w:t xml:space="preserve"> 20 April 2020)</w:t>
      </w:r>
      <w:r w:rsidR="00095292">
        <w:rPr>
          <w:rFonts w:asciiTheme="majorHAnsi" w:eastAsia="Times New Roman" w:hAnsiTheme="majorHAnsi" w:cs="Segoe UI"/>
          <w:color w:val="212121"/>
          <w:sz w:val="20"/>
          <w:szCs w:val="20"/>
          <w:shd w:val="clear" w:color="auto" w:fill="FFFFFF"/>
        </w:rPr>
        <w:t>,</w:t>
      </w:r>
      <w:r w:rsidR="002D6E1C" w:rsidRPr="005C72D1">
        <w:rPr>
          <w:rFonts w:asciiTheme="majorHAnsi" w:eastAsia="Times New Roman" w:hAnsiTheme="majorHAnsi" w:cs="Segoe UI"/>
          <w:color w:val="212121"/>
          <w:sz w:val="20"/>
          <w:szCs w:val="20"/>
          <w:shd w:val="clear" w:color="auto" w:fill="FFFFFF"/>
        </w:rPr>
        <w:t xml:space="preserve"> and that such patients ‘delay seeking help’ (Guardian</w:t>
      </w:r>
      <w:r w:rsidR="005C72D1">
        <w:rPr>
          <w:rFonts w:asciiTheme="majorHAnsi" w:eastAsia="Times New Roman" w:hAnsiTheme="majorHAnsi" w:cs="Segoe UI"/>
          <w:color w:val="212121"/>
          <w:sz w:val="20"/>
          <w:szCs w:val="20"/>
          <w:shd w:val="clear" w:color="auto" w:fill="FFFFFF"/>
        </w:rPr>
        <w:t>,</w:t>
      </w:r>
      <w:r w:rsidR="002D6E1C" w:rsidRPr="005C72D1">
        <w:rPr>
          <w:rFonts w:asciiTheme="majorHAnsi" w:eastAsia="Times New Roman" w:hAnsiTheme="majorHAnsi" w:cs="Segoe UI"/>
          <w:color w:val="212121"/>
          <w:sz w:val="20"/>
          <w:szCs w:val="20"/>
          <w:shd w:val="clear" w:color="auto" w:fill="FFFFFF"/>
        </w:rPr>
        <w:t xml:space="preserve"> 16 April 2020).</w:t>
      </w:r>
      <w:r w:rsidR="0051199E" w:rsidRPr="005C72D1">
        <w:rPr>
          <w:rFonts w:asciiTheme="majorHAnsi" w:eastAsia="Times New Roman" w:hAnsiTheme="majorHAnsi" w:cs="Segoe UI"/>
          <w:color w:val="212121"/>
          <w:sz w:val="20"/>
          <w:szCs w:val="20"/>
          <w:shd w:val="clear" w:color="auto" w:fill="FFFFFF"/>
        </w:rPr>
        <w:t xml:space="preserve"> </w:t>
      </w:r>
      <w:r w:rsidRPr="005C72D1">
        <w:rPr>
          <w:rFonts w:asciiTheme="majorHAnsi" w:eastAsia="Times New Roman" w:hAnsiTheme="majorHAnsi" w:cs="Segoe UI"/>
          <w:color w:val="212121"/>
          <w:sz w:val="20"/>
          <w:szCs w:val="20"/>
          <w:shd w:val="clear" w:color="auto" w:fill="FFFFFF"/>
        </w:rPr>
        <w:t>ST-segment elevation myocardial infarction (STEMI) and stroke</w:t>
      </w:r>
      <w:r w:rsidR="002D6E1C" w:rsidRPr="005C72D1">
        <w:rPr>
          <w:rFonts w:asciiTheme="majorHAnsi" w:eastAsia="Times New Roman" w:hAnsiTheme="majorHAnsi" w:cs="Segoe UI"/>
          <w:color w:val="212121"/>
          <w:sz w:val="20"/>
          <w:szCs w:val="20"/>
          <w:shd w:val="clear" w:color="auto" w:fill="FFFFFF"/>
        </w:rPr>
        <w:t xml:space="preserve"> are conditions where hospital treatment is highly effective. We therefore track</w:t>
      </w:r>
      <w:r w:rsidR="00D8574B" w:rsidRPr="005C72D1">
        <w:rPr>
          <w:rFonts w:asciiTheme="majorHAnsi" w:eastAsia="Times New Roman" w:hAnsiTheme="majorHAnsi" w:cs="Segoe UI"/>
          <w:color w:val="212121"/>
          <w:sz w:val="20"/>
          <w:szCs w:val="20"/>
          <w:shd w:val="clear" w:color="auto" w:fill="FFFFFF"/>
        </w:rPr>
        <w:t>ed</w:t>
      </w:r>
      <w:r w:rsidR="002D6E1C" w:rsidRPr="005C72D1">
        <w:rPr>
          <w:rFonts w:asciiTheme="majorHAnsi" w:eastAsia="Times New Roman" w:hAnsiTheme="majorHAnsi" w:cs="Segoe UI"/>
          <w:color w:val="212121"/>
          <w:sz w:val="20"/>
          <w:szCs w:val="20"/>
          <w:shd w:val="clear" w:color="auto" w:fill="FFFFFF"/>
        </w:rPr>
        <w:t xml:space="preserve"> ambulance </w:t>
      </w:r>
      <w:r w:rsidR="00C10B3A">
        <w:rPr>
          <w:rFonts w:asciiTheme="majorHAnsi" w:eastAsia="Times New Roman" w:hAnsiTheme="majorHAnsi" w:cs="Segoe UI"/>
          <w:color w:val="212121"/>
          <w:sz w:val="20"/>
          <w:szCs w:val="20"/>
          <w:shd w:val="clear" w:color="auto" w:fill="FFFFFF"/>
        </w:rPr>
        <w:t>callouts</w:t>
      </w:r>
      <w:r w:rsidR="002D6E1C" w:rsidRPr="005C72D1">
        <w:rPr>
          <w:rFonts w:asciiTheme="majorHAnsi" w:eastAsia="Times New Roman" w:hAnsiTheme="majorHAnsi" w:cs="Segoe UI"/>
          <w:color w:val="212121"/>
          <w:sz w:val="20"/>
          <w:szCs w:val="20"/>
          <w:shd w:val="clear" w:color="auto" w:fill="FFFFFF"/>
        </w:rPr>
        <w:t xml:space="preserve"> for these conditions spanning the emergence of the COVID-19 pandemic</w:t>
      </w:r>
      <w:r w:rsidRPr="005C72D1">
        <w:rPr>
          <w:rFonts w:asciiTheme="majorHAnsi" w:eastAsia="Times New Roman" w:hAnsiTheme="majorHAnsi" w:cs="Segoe UI"/>
          <w:color w:val="212121"/>
          <w:sz w:val="20"/>
          <w:szCs w:val="20"/>
          <w:shd w:val="clear" w:color="auto" w:fill="FFFFFF"/>
        </w:rPr>
        <w:t>.</w:t>
      </w:r>
    </w:p>
    <w:p w14:paraId="37D57C9F" w14:textId="7CED8077" w:rsidR="00CE7606" w:rsidRPr="005C72D1" w:rsidRDefault="00CE7606" w:rsidP="005C72D1">
      <w:pPr>
        <w:spacing w:line="480" w:lineRule="auto"/>
        <w:rPr>
          <w:rFonts w:asciiTheme="majorHAnsi" w:eastAsia="Times New Roman" w:hAnsiTheme="majorHAnsi" w:cs="Segoe UI"/>
          <w:color w:val="212121"/>
          <w:sz w:val="20"/>
          <w:szCs w:val="20"/>
          <w:shd w:val="clear" w:color="auto" w:fill="FFFFFF"/>
        </w:rPr>
      </w:pPr>
      <w:r w:rsidRPr="005C72D1">
        <w:rPr>
          <w:rFonts w:asciiTheme="majorHAnsi" w:eastAsia="Times New Roman" w:hAnsiTheme="majorHAnsi" w:cs="Segoe UI"/>
          <w:color w:val="212121"/>
          <w:sz w:val="20"/>
          <w:szCs w:val="20"/>
          <w:shd w:val="clear" w:color="auto" w:fill="FFFFFF"/>
        </w:rPr>
        <w:t>We</w:t>
      </w:r>
      <w:r w:rsidR="002D6E1C" w:rsidRPr="005C72D1">
        <w:rPr>
          <w:rFonts w:asciiTheme="majorHAnsi" w:eastAsia="Times New Roman" w:hAnsiTheme="majorHAnsi" w:cs="Segoe UI"/>
          <w:color w:val="212121"/>
          <w:sz w:val="20"/>
          <w:szCs w:val="20"/>
          <w:shd w:val="clear" w:color="auto" w:fill="FFFFFF"/>
        </w:rPr>
        <w:t xml:space="preserve"> analysed</w:t>
      </w:r>
      <w:r w:rsidRPr="005C72D1">
        <w:rPr>
          <w:rFonts w:asciiTheme="majorHAnsi" w:eastAsia="Times New Roman" w:hAnsiTheme="majorHAnsi" w:cs="Segoe UI"/>
          <w:color w:val="212121"/>
          <w:sz w:val="20"/>
          <w:szCs w:val="20"/>
          <w:shd w:val="clear" w:color="auto" w:fill="FFFFFF"/>
        </w:rPr>
        <w:t xml:space="preserve"> daily figures for these two conditions, which are routinely recorded by ambulance crews, for the West Midlands Ambulance Service</w:t>
      </w:r>
      <w:r w:rsidR="003126EA" w:rsidRPr="005C72D1">
        <w:rPr>
          <w:rFonts w:asciiTheme="majorHAnsi" w:eastAsia="Times New Roman" w:hAnsiTheme="majorHAnsi" w:cs="Segoe UI"/>
          <w:color w:val="212121"/>
          <w:sz w:val="20"/>
          <w:szCs w:val="20"/>
          <w:shd w:val="clear" w:color="auto" w:fill="FFFFFF"/>
        </w:rPr>
        <w:t xml:space="preserve"> University NHS Foundation Trust</w:t>
      </w:r>
      <w:r w:rsidRPr="005C72D1">
        <w:rPr>
          <w:rFonts w:asciiTheme="majorHAnsi" w:eastAsia="Times New Roman" w:hAnsiTheme="majorHAnsi" w:cs="Segoe UI"/>
          <w:color w:val="212121"/>
          <w:sz w:val="20"/>
          <w:szCs w:val="20"/>
          <w:shd w:val="clear" w:color="auto" w:fill="FFFFFF"/>
        </w:rPr>
        <w:t>, the second largest such service in the UK.</w:t>
      </w:r>
    </w:p>
    <w:p w14:paraId="594AE2DF" w14:textId="33D9E095" w:rsidR="000F64CC" w:rsidRPr="005C72D1" w:rsidRDefault="00C10B3A" w:rsidP="005C72D1">
      <w:pPr>
        <w:spacing w:line="480" w:lineRule="auto"/>
        <w:rPr>
          <w:rFonts w:asciiTheme="majorHAnsi" w:eastAsia="Times New Roman" w:hAnsiTheme="majorHAnsi" w:cs="Segoe UI"/>
          <w:color w:val="212121"/>
          <w:sz w:val="20"/>
          <w:szCs w:val="20"/>
          <w:shd w:val="clear" w:color="auto" w:fill="FFFFFF"/>
        </w:rPr>
      </w:pPr>
      <w:r>
        <w:rPr>
          <w:rFonts w:asciiTheme="majorHAnsi" w:eastAsia="Times New Roman" w:hAnsiTheme="majorHAnsi" w:cs="Segoe UI"/>
          <w:color w:val="212121"/>
          <w:sz w:val="20"/>
          <w:szCs w:val="20"/>
          <w:shd w:val="clear" w:color="auto" w:fill="FFFFFF"/>
        </w:rPr>
        <w:t>Callouts</w:t>
      </w:r>
      <w:r w:rsidR="00CE7606" w:rsidRPr="005C72D1">
        <w:rPr>
          <w:rFonts w:asciiTheme="majorHAnsi" w:eastAsia="Times New Roman" w:hAnsiTheme="majorHAnsi" w:cs="Segoe UI"/>
          <w:color w:val="212121"/>
          <w:sz w:val="20"/>
          <w:szCs w:val="20"/>
          <w:shd w:val="clear" w:color="auto" w:fill="FFFFFF"/>
        </w:rPr>
        <w:t xml:space="preserve"> for these two conditions are shown in Figure </w:t>
      </w:r>
      <w:r w:rsidR="00900A06" w:rsidRPr="005C72D1">
        <w:rPr>
          <w:rFonts w:asciiTheme="majorHAnsi" w:eastAsia="Times New Roman" w:hAnsiTheme="majorHAnsi" w:cs="Segoe UI"/>
          <w:color w:val="212121"/>
          <w:sz w:val="20"/>
          <w:szCs w:val="20"/>
          <w:shd w:val="clear" w:color="auto" w:fill="FFFFFF"/>
        </w:rPr>
        <w:t xml:space="preserve">1 </w:t>
      </w:r>
      <w:r w:rsidR="00CE7606" w:rsidRPr="005C72D1">
        <w:rPr>
          <w:rFonts w:asciiTheme="majorHAnsi" w:eastAsia="Times New Roman" w:hAnsiTheme="majorHAnsi" w:cs="Segoe UI"/>
          <w:color w:val="212121"/>
          <w:sz w:val="20"/>
          <w:szCs w:val="20"/>
          <w:shd w:val="clear" w:color="auto" w:fill="FFFFFF"/>
        </w:rPr>
        <w:t xml:space="preserve">by week, covering </w:t>
      </w:r>
      <w:r w:rsidR="0093103C">
        <w:rPr>
          <w:rFonts w:asciiTheme="majorHAnsi" w:eastAsia="Times New Roman" w:hAnsiTheme="majorHAnsi" w:cs="Segoe UI"/>
          <w:color w:val="212121"/>
          <w:sz w:val="20"/>
          <w:szCs w:val="20"/>
          <w:shd w:val="clear" w:color="auto" w:fill="FFFFFF"/>
        </w:rPr>
        <w:t>October 1</w:t>
      </w:r>
      <w:r w:rsidR="0093103C" w:rsidRPr="0093103C">
        <w:rPr>
          <w:rFonts w:asciiTheme="majorHAnsi" w:eastAsia="Times New Roman" w:hAnsiTheme="majorHAnsi" w:cs="Segoe UI"/>
          <w:color w:val="212121"/>
          <w:sz w:val="20"/>
          <w:szCs w:val="20"/>
          <w:shd w:val="clear" w:color="auto" w:fill="FFFFFF"/>
          <w:vertAlign w:val="superscript"/>
        </w:rPr>
        <w:t>st</w:t>
      </w:r>
      <w:r w:rsidR="0093103C">
        <w:rPr>
          <w:rFonts w:asciiTheme="majorHAnsi" w:eastAsia="Times New Roman" w:hAnsiTheme="majorHAnsi" w:cs="Segoe UI"/>
          <w:color w:val="212121"/>
          <w:sz w:val="20"/>
          <w:szCs w:val="20"/>
          <w:shd w:val="clear" w:color="auto" w:fill="FFFFFF"/>
        </w:rPr>
        <w:t xml:space="preserve"> 2018</w:t>
      </w:r>
      <w:r w:rsidR="00C37BFB" w:rsidRPr="005C72D1">
        <w:rPr>
          <w:rFonts w:asciiTheme="majorHAnsi" w:eastAsia="Times New Roman" w:hAnsiTheme="majorHAnsi" w:cs="Segoe UI"/>
          <w:color w:val="212121"/>
          <w:sz w:val="20"/>
          <w:szCs w:val="20"/>
          <w:shd w:val="clear" w:color="auto" w:fill="FFFFFF"/>
        </w:rPr>
        <w:t xml:space="preserve"> </w:t>
      </w:r>
      <w:r w:rsidR="00CE7606" w:rsidRPr="005C72D1">
        <w:rPr>
          <w:rFonts w:asciiTheme="majorHAnsi" w:eastAsia="Times New Roman" w:hAnsiTheme="majorHAnsi" w:cs="Segoe UI"/>
          <w:color w:val="212121"/>
          <w:sz w:val="20"/>
          <w:szCs w:val="20"/>
          <w:shd w:val="clear" w:color="auto" w:fill="FFFFFF"/>
        </w:rPr>
        <w:t>to April 18</w:t>
      </w:r>
      <w:r w:rsidR="00CE7606" w:rsidRPr="005C72D1">
        <w:rPr>
          <w:rFonts w:asciiTheme="majorHAnsi" w:eastAsia="Times New Roman" w:hAnsiTheme="majorHAnsi" w:cs="Segoe UI"/>
          <w:color w:val="212121"/>
          <w:sz w:val="20"/>
          <w:szCs w:val="20"/>
          <w:shd w:val="clear" w:color="auto" w:fill="FFFFFF"/>
          <w:vertAlign w:val="superscript"/>
        </w:rPr>
        <w:t>th</w:t>
      </w:r>
      <w:r w:rsidR="00CE7606" w:rsidRPr="005C72D1">
        <w:rPr>
          <w:rFonts w:asciiTheme="majorHAnsi" w:eastAsia="Times New Roman" w:hAnsiTheme="majorHAnsi" w:cs="Segoe UI"/>
          <w:color w:val="212121"/>
          <w:sz w:val="20"/>
          <w:szCs w:val="20"/>
          <w:shd w:val="clear" w:color="auto" w:fill="FFFFFF"/>
        </w:rPr>
        <w:t xml:space="preserve"> 2020. </w:t>
      </w:r>
      <w:r w:rsidR="000F64CC" w:rsidRPr="005C72D1">
        <w:rPr>
          <w:sz w:val="20"/>
          <w:szCs w:val="20"/>
        </w:rPr>
        <w:t>We tested for the presence of a structural break in the time series of annually differenced weekly admissions (using a linear model with AR (1) errors). There was little evidence for such a break in either the STEMI (year-on-year change in mean callouts associated with lockdown: -9.1, 95%CI: [-21.8, 3.6], p=0.17) or stroke (-21.7 [-47.6, 4.2], p=0.11)</w:t>
      </w:r>
      <w:r w:rsidR="005C72D1">
        <w:rPr>
          <w:sz w:val="20"/>
          <w:szCs w:val="20"/>
        </w:rPr>
        <w:t>.</w:t>
      </w:r>
      <w:r w:rsidR="00CE7606" w:rsidRPr="005C72D1">
        <w:rPr>
          <w:rFonts w:asciiTheme="majorHAnsi" w:eastAsia="Times New Roman" w:hAnsiTheme="majorHAnsi" w:cs="Segoe UI"/>
          <w:color w:val="212121"/>
          <w:sz w:val="20"/>
          <w:szCs w:val="20"/>
          <w:shd w:val="clear" w:color="auto" w:fill="FFFFFF"/>
        </w:rPr>
        <w:t xml:space="preserve"> </w:t>
      </w:r>
    </w:p>
    <w:p w14:paraId="40BFF376" w14:textId="64376188" w:rsidR="001C1DAD" w:rsidRPr="005C72D1" w:rsidRDefault="005C72D1" w:rsidP="005C72D1">
      <w:pPr>
        <w:spacing w:line="480" w:lineRule="auto"/>
        <w:rPr>
          <w:rFonts w:asciiTheme="majorHAnsi" w:eastAsia="Times New Roman" w:hAnsiTheme="majorHAnsi" w:cs="Segoe UI"/>
          <w:b/>
          <w:color w:val="212121"/>
          <w:sz w:val="20"/>
          <w:szCs w:val="20"/>
          <w:shd w:val="clear" w:color="auto" w:fill="FFFFFF"/>
        </w:rPr>
      </w:pPr>
      <w:r w:rsidRPr="005C72D1">
        <w:rPr>
          <w:rFonts w:asciiTheme="majorHAnsi" w:eastAsia="Times New Roman" w:hAnsiTheme="majorHAnsi" w:cs="Segoe UI"/>
          <w:b/>
          <w:color w:val="212121"/>
          <w:sz w:val="20"/>
          <w:szCs w:val="20"/>
          <w:shd w:val="clear" w:color="auto" w:fill="FFFFFF"/>
        </w:rPr>
        <w:t>Figure 1</w:t>
      </w:r>
      <w:r>
        <w:rPr>
          <w:rFonts w:asciiTheme="majorHAnsi" w:eastAsia="Times New Roman" w:hAnsiTheme="majorHAnsi" w:cs="Segoe UI"/>
          <w:b/>
          <w:color w:val="212121"/>
          <w:sz w:val="20"/>
          <w:szCs w:val="20"/>
          <w:shd w:val="clear" w:color="auto" w:fill="FFFFFF"/>
        </w:rPr>
        <w:t>. Time Series of Weekly Callouts for STEMI and Stroke</w:t>
      </w:r>
    </w:p>
    <w:p w14:paraId="5666F19E" w14:textId="46550B42" w:rsidR="001C1DAD" w:rsidRPr="005C72D1" w:rsidRDefault="005C72D1" w:rsidP="005C72D1">
      <w:pPr>
        <w:spacing w:line="480" w:lineRule="auto"/>
        <w:rPr>
          <w:rFonts w:asciiTheme="majorHAnsi" w:eastAsia="Times New Roman" w:hAnsiTheme="majorHAnsi" w:cs="Segoe UI"/>
          <w:color w:val="212121"/>
          <w:sz w:val="20"/>
          <w:szCs w:val="20"/>
          <w:shd w:val="clear" w:color="auto" w:fill="FFFFFF"/>
        </w:rPr>
      </w:pPr>
      <w:r w:rsidRPr="005C72D1">
        <w:rPr>
          <w:rFonts w:asciiTheme="majorHAnsi" w:eastAsia="Times New Roman" w:hAnsiTheme="majorHAnsi" w:cs="Segoe UI"/>
          <w:noProof/>
          <w:color w:val="212121"/>
          <w:sz w:val="20"/>
          <w:szCs w:val="20"/>
          <w:shd w:val="clear" w:color="auto" w:fill="FFFFFF"/>
          <w:lang w:val="en-US"/>
        </w:rPr>
        <w:drawing>
          <wp:inline distT="0" distB="0" distL="0" distR="0" wp14:anchorId="479DB8D8" wp14:editId="4A66F5C5">
            <wp:extent cx="5270500" cy="3711575"/>
            <wp:effectExtent l="0" t="0" r="1270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l_plot_v5_wcontrol-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371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82EFFE" w14:textId="71C370AC" w:rsidR="001C1DAD" w:rsidRPr="005C72D1" w:rsidRDefault="001C1DAD" w:rsidP="005C72D1">
      <w:pPr>
        <w:pStyle w:val="PlainText"/>
        <w:spacing w:line="480" w:lineRule="auto"/>
        <w:rPr>
          <w:i/>
          <w:sz w:val="20"/>
          <w:szCs w:val="20"/>
        </w:rPr>
      </w:pPr>
      <w:r w:rsidRPr="005C72D1">
        <w:rPr>
          <w:i/>
          <w:sz w:val="20"/>
          <w:szCs w:val="20"/>
        </w:rPr>
        <w:lastRenderedPageBreak/>
        <w:t>Top panel</w:t>
      </w:r>
      <w:r w:rsidR="005C72D1">
        <w:rPr>
          <w:i/>
          <w:sz w:val="20"/>
          <w:szCs w:val="20"/>
        </w:rPr>
        <w:t>:</w:t>
      </w:r>
      <w:r w:rsidRPr="005C72D1">
        <w:rPr>
          <w:i/>
          <w:sz w:val="20"/>
          <w:szCs w:val="20"/>
        </w:rPr>
        <w:t xml:space="preserve"> </w:t>
      </w:r>
      <w:r w:rsidR="005C72D1">
        <w:rPr>
          <w:i/>
          <w:sz w:val="20"/>
          <w:szCs w:val="20"/>
        </w:rPr>
        <w:t>N</w:t>
      </w:r>
      <w:r w:rsidRPr="005C72D1">
        <w:rPr>
          <w:i/>
          <w:sz w:val="20"/>
          <w:szCs w:val="20"/>
        </w:rPr>
        <w:t xml:space="preserve">umber of weekly callouts for STEMI (left) and stroke (right) with mean (solid red) and two standard deviation (dashed red) lines marked. </w:t>
      </w:r>
    </w:p>
    <w:p w14:paraId="233DCFB2" w14:textId="154ACDBC" w:rsidR="001C1DAD" w:rsidRPr="005C72D1" w:rsidRDefault="005C72D1" w:rsidP="005C72D1">
      <w:pPr>
        <w:pStyle w:val="PlainText"/>
        <w:spacing w:line="48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Bottom panel: P</w:t>
      </w:r>
      <w:r w:rsidR="001C1DAD" w:rsidRPr="005C72D1">
        <w:rPr>
          <w:i/>
          <w:sz w:val="20"/>
          <w:szCs w:val="20"/>
        </w:rPr>
        <w:t>roportionate year-on-year change in weekly callouts for STEMI (left) and stroke (right).</w:t>
      </w:r>
    </w:p>
    <w:p w14:paraId="1555B336" w14:textId="77777777" w:rsidR="001C1DAD" w:rsidRPr="005C72D1" w:rsidRDefault="001C1DAD" w:rsidP="005C72D1">
      <w:pPr>
        <w:pStyle w:val="PlainText"/>
        <w:spacing w:line="480" w:lineRule="auto"/>
        <w:rPr>
          <w:i/>
          <w:sz w:val="20"/>
          <w:szCs w:val="20"/>
        </w:rPr>
      </w:pPr>
      <w:r w:rsidRPr="005C72D1">
        <w:rPr>
          <w:i/>
          <w:sz w:val="20"/>
          <w:szCs w:val="20"/>
        </w:rPr>
        <w:t>Shaded grey areas indicate weeks of the year 13 to 16 corresponding to lockdown period in the United Kingdom in 2020 up to 19/04/2020.</w:t>
      </w:r>
    </w:p>
    <w:p w14:paraId="5FF31EC1" w14:textId="77777777" w:rsidR="00CE7606" w:rsidRPr="005C72D1" w:rsidRDefault="00CE7606" w:rsidP="005C72D1">
      <w:pPr>
        <w:spacing w:line="480" w:lineRule="auto"/>
        <w:rPr>
          <w:rFonts w:asciiTheme="majorHAnsi" w:eastAsia="Times New Roman" w:hAnsiTheme="majorHAnsi" w:cs="Segoe UI"/>
          <w:color w:val="212121"/>
          <w:sz w:val="20"/>
          <w:szCs w:val="20"/>
          <w:shd w:val="clear" w:color="auto" w:fill="FFFFFF"/>
        </w:rPr>
      </w:pPr>
    </w:p>
    <w:p w14:paraId="5C7A0F5C" w14:textId="3B60169B" w:rsidR="003126EA" w:rsidRDefault="00CE7606" w:rsidP="005C72D1">
      <w:pPr>
        <w:spacing w:line="480" w:lineRule="auto"/>
        <w:rPr>
          <w:rFonts w:asciiTheme="majorHAnsi" w:eastAsia="Times New Roman" w:hAnsiTheme="majorHAnsi" w:cs="Segoe UI"/>
          <w:color w:val="212121"/>
          <w:sz w:val="20"/>
          <w:szCs w:val="20"/>
          <w:shd w:val="clear" w:color="auto" w:fill="FFFFFF"/>
        </w:rPr>
      </w:pPr>
      <w:r w:rsidRPr="005C72D1">
        <w:rPr>
          <w:rFonts w:asciiTheme="majorHAnsi" w:eastAsia="Times New Roman" w:hAnsiTheme="majorHAnsi" w:cs="Segoe UI"/>
          <w:color w:val="212121"/>
          <w:sz w:val="20"/>
          <w:szCs w:val="20"/>
          <w:shd w:val="clear" w:color="auto" w:fill="FFFFFF"/>
        </w:rPr>
        <w:t xml:space="preserve">These data </w:t>
      </w:r>
      <w:r w:rsidR="00FF4465" w:rsidRPr="005C72D1">
        <w:rPr>
          <w:rFonts w:asciiTheme="majorHAnsi" w:eastAsia="Times New Roman" w:hAnsiTheme="majorHAnsi" w:cs="Segoe UI"/>
          <w:color w:val="212121"/>
          <w:sz w:val="20"/>
          <w:szCs w:val="20"/>
          <w:shd w:val="clear" w:color="auto" w:fill="FFFFFF"/>
        </w:rPr>
        <w:t xml:space="preserve">do not confirm </w:t>
      </w:r>
      <w:r w:rsidRPr="005C72D1">
        <w:rPr>
          <w:rFonts w:asciiTheme="majorHAnsi" w:eastAsia="Times New Roman" w:hAnsiTheme="majorHAnsi" w:cs="Segoe UI"/>
          <w:color w:val="212121"/>
          <w:sz w:val="20"/>
          <w:szCs w:val="20"/>
          <w:shd w:val="clear" w:color="auto" w:fill="FFFFFF"/>
        </w:rPr>
        <w:t xml:space="preserve">a drop </w:t>
      </w:r>
      <w:r w:rsidR="00C10B3A">
        <w:rPr>
          <w:rFonts w:asciiTheme="majorHAnsi" w:eastAsia="Times New Roman" w:hAnsiTheme="majorHAnsi" w:cs="Segoe UI"/>
          <w:color w:val="212121"/>
          <w:sz w:val="20"/>
          <w:szCs w:val="20"/>
          <w:shd w:val="clear" w:color="auto" w:fill="FFFFFF"/>
        </w:rPr>
        <w:t>in ambulance call</w:t>
      </w:r>
      <w:r w:rsidR="003D3A07" w:rsidRPr="005C72D1">
        <w:rPr>
          <w:rFonts w:asciiTheme="majorHAnsi" w:eastAsia="Times New Roman" w:hAnsiTheme="majorHAnsi" w:cs="Segoe UI"/>
          <w:color w:val="212121"/>
          <w:sz w:val="20"/>
          <w:szCs w:val="20"/>
          <w:shd w:val="clear" w:color="auto" w:fill="FFFFFF"/>
        </w:rPr>
        <w:t xml:space="preserve">outs for our </w:t>
      </w:r>
      <w:r w:rsidR="00FF4465" w:rsidRPr="005C72D1">
        <w:rPr>
          <w:rFonts w:asciiTheme="majorHAnsi" w:eastAsia="Times New Roman" w:hAnsiTheme="majorHAnsi" w:cs="Segoe UI"/>
          <w:color w:val="212121"/>
          <w:sz w:val="20"/>
          <w:szCs w:val="20"/>
          <w:shd w:val="clear" w:color="auto" w:fill="FFFFFF"/>
        </w:rPr>
        <w:t>two tracer conditions</w:t>
      </w:r>
      <w:r w:rsidRPr="005C72D1">
        <w:rPr>
          <w:rFonts w:asciiTheme="majorHAnsi" w:eastAsia="Times New Roman" w:hAnsiTheme="majorHAnsi" w:cs="Segoe UI"/>
          <w:color w:val="212121"/>
          <w:sz w:val="20"/>
          <w:szCs w:val="20"/>
          <w:shd w:val="clear" w:color="auto" w:fill="FFFFFF"/>
        </w:rPr>
        <w:t xml:space="preserve">. </w:t>
      </w:r>
      <w:r w:rsidR="000F64CC" w:rsidRPr="005C72D1">
        <w:rPr>
          <w:rFonts w:asciiTheme="majorHAnsi" w:eastAsia="Times New Roman" w:hAnsiTheme="majorHAnsi" w:cs="Segoe UI"/>
          <w:color w:val="212121"/>
          <w:sz w:val="20"/>
          <w:szCs w:val="20"/>
          <w:shd w:val="clear" w:color="auto" w:fill="FFFFFF"/>
        </w:rPr>
        <w:t xml:space="preserve">Although we cannot exclude such an effect, we can say that any effect must be of small magnitude. </w:t>
      </w:r>
      <w:r w:rsidR="00C37BFB" w:rsidRPr="005C72D1">
        <w:rPr>
          <w:rFonts w:asciiTheme="majorHAnsi" w:eastAsia="Times New Roman" w:hAnsiTheme="majorHAnsi" w:cs="Segoe UI"/>
          <w:color w:val="212121"/>
          <w:sz w:val="20"/>
          <w:szCs w:val="20"/>
          <w:shd w:val="clear" w:color="auto" w:fill="FFFFFF"/>
        </w:rPr>
        <w:t>T</w:t>
      </w:r>
      <w:r w:rsidR="00FF4465" w:rsidRPr="005C72D1">
        <w:rPr>
          <w:rFonts w:asciiTheme="majorHAnsi" w:eastAsia="Times New Roman" w:hAnsiTheme="majorHAnsi" w:cs="Segoe UI"/>
          <w:color w:val="212121"/>
          <w:sz w:val="20"/>
          <w:szCs w:val="20"/>
          <w:shd w:val="clear" w:color="auto" w:fill="FFFFFF"/>
        </w:rPr>
        <w:t>he COV</w:t>
      </w:r>
      <w:r w:rsidR="005C72D1">
        <w:rPr>
          <w:rFonts w:asciiTheme="majorHAnsi" w:eastAsia="Times New Roman" w:hAnsiTheme="majorHAnsi" w:cs="Segoe UI"/>
          <w:color w:val="212121"/>
          <w:sz w:val="20"/>
          <w:szCs w:val="20"/>
          <w:shd w:val="clear" w:color="auto" w:fill="FFFFFF"/>
        </w:rPr>
        <w:t>I</w:t>
      </w:r>
      <w:r w:rsidR="00FF4465" w:rsidRPr="005C72D1">
        <w:rPr>
          <w:rFonts w:asciiTheme="majorHAnsi" w:eastAsia="Times New Roman" w:hAnsiTheme="majorHAnsi" w:cs="Segoe UI"/>
          <w:color w:val="212121"/>
          <w:sz w:val="20"/>
          <w:szCs w:val="20"/>
          <w:shd w:val="clear" w:color="auto" w:fill="FFFFFF"/>
        </w:rPr>
        <w:t>D</w:t>
      </w:r>
      <w:r w:rsidR="005C72D1">
        <w:rPr>
          <w:rFonts w:asciiTheme="majorHAnsi" w:eastAsia="Times New Roman" w:hAnsiTheme="majorHAnsi" w:cs="Segoe UI"/>
          <w:color w:val="212121"/>
          <w:sz w:val="20"/>
          <w:szCs w:val="20"/>
          <w:shd w:val="clear" w:color="auto" w:fill="FFFFFF"/>
        </w:rPr>
        <w:t>-19</w:t>
      </w:r>
      <w:r w:rsidR="00FF4465" w:rsidRPr="005C72D1">
        <w:rPr>
          <w:rFonts w:asciiTheme="majorHAnsi" w:eastAsia="Times New Roman" w:hAnsiTheme="majorHAnsi" w:cs="Segoe UI"/>
          <w:color w:val="212121"/>
          <w:sz w:val="20"/>
          <w:szCs w:val="20"/>
          <w:shd w:val="clear" w:color="auto" w:fill="FFFFFF"/>
        </w:rPr>
        <w:t xml:space="preserve"> pandemic</w:t>
      </w:r>
      <w:r w:rsidR="00C37BFB" w:rsidRPr="005C72D1">
        <w:rPr>
          <w:rFonts w:asciiTheme="majorHAnsi" w:eastAsia="Times New Roman" w:hAnsiTheme="majorHAnsi" w:cs="Segoe UI"/>
          <w:color w:val="212121"/>
          <w:sz w:val="20"/>
          <w:szCs w:val="20"/>
          <w:shd w:val="clear" w:color="auto" w:fill="FFFFFF"/>
        </w:rPr>
        <w:t xml:space="preserve"> </w:t>
      </w:r>
      <w:r w:rsidR="003D3A07" w:rsidRPr="005C72D1">
        <w:rPr>
          <w:rFonts w:asciiTheme="majorHAnsi" w:eastAsia="Times New Roman" w:hAnsiTheme="majorHAnsi" w:cs="Segoe UI"/>
          <w:color w:val="212121"/>
          <w:sz w:val="20"/>
          <w:szCs w:val="20"/>
          <w:shd w:val="clear" w:color="auto" w:fill="FFFFFF"/>
        </w:rPr>
        <w:t>may be associat</w:t>
      </w:r>
      <w:r w:rsidR="00C37BFB" w:rsidRPr="005C72D1">
        <w:rPr>
          <w:rFonts w:asciiTheme="majorHAnsi" w:eastAsia="Times New Roman" w:hAnsiTheme="majorHAnsi" w:cs="Segoe UI"/>
          <w:color w:val="212121"/>
          <w:sz w:val="20"/>
          <w:szCs w:val="20"/>
          <w:shd w:val="clear" w:color="auto" w:fill="FFFFFF"/>
        </w:rPr>
        <w:t>ed with negative collateral health effects</w:t>
      </w:r>
      <w:r w:rsidR="005C72D1">
        <w:rPr>
          <w:rFonts w:asciiTheme="majorHAnsi" w:eastAsia="Times New Roman" w:hAnsiTheme="majorHAnsi" w:cs="Segoe UI"/>
          <w:color w:val="212121"/>
          <w:sz w:val="20"/>
          <w:szCs w:val="20"/>
          <w:shd w:val="clear" w:color="auto" w:fill="FFFFFF"/>
        </w:rPr>
        <w:t>,</w:t>
      </w:r>
      <w:r w:rsidR="00C37BFB" w:rsidRPr="005C72D1">
        <w:rPr>
          <w:rFonts w:asciiTheme="majorHAnsi" w:eastAsia="Times New Roman" w:hAnsiTheme="majorHAnsi" w:cs="Segoe UI"/>
          <w:color w:val="212121"/>
          <w:sz w:val="20"/>
          <w:szCs w:val="20"/>
          <w:shd w:val="clear" w:color="auto" w:fill="FFFFFF"/>
        </w:rPr>
        <w:t xml:space="preserve"> but </w:t>
      </w:r>
      <w:r w:rsidR="003D3A07" w:rsidRPr="005C72D1">
        <w:rPr>
          <w:rFonts w:asciiTheme="majorHAnsi" w:eastAsia="Times New Roman" w:hAnsiTheme="majorHAnsi" w:cs="Segoe UI"/>
          <w:color w:val="212121"/>
          <w:sz w:val="20"/>
          <w:szCs w:val="20"/>
          <w:shd w:val="clear" w:color="auto" w:fill="FFFFFF"/>
        </w:rPr>
        <w:t>we find no evidence that people are reluctant to call an ambulance when they experience symp</w:t>
      </w:r>
      <w:r w:rsidR="00A74B32">
        <w:rPr>
          <w:rFonts w:asciiTheme="majorHAnsi" w:eastAsia="Times New Roman" w:hAnsiTheme="majorHAnsi" w:cs="Segoe UI"/>
          <w:color w:val="212121"/>
          <w:sz w:val="20"/>
          <w:szCs w:val="20"/>
          <w:shd w:val="clear" w:color="auto" w:fill="FFFFFF"/>
        </w:rPr>
        <w:t>toms of stroke or heart attack.</w:t>
      </w:r>
    </w:p>
    <w:p w14:paraId="441EC33A" w14:textId="77777777" w:rsidR="00D15104" w:rsidRDefault="00D15104" w:rsidP="005C72D1">
      <w:pPr>
        <w:spacing w:line="480" w:lineRule="auto"/>
        <w:rPr>
          <w:rFonts w:asciiTheme="majorHAnsi" w:eastAsia="Times New Roman" w:hAnsiTheme="majorHAnsi" w:cs="Segoe UI"/>
          <w:color w:val="212121"/>
          <w:sz w:val="20"/>
          <w:szCs w:val="20"/>
          <w:shd w:val="clear" w:color="auto" w:fill="FFFFFF"/>
        </w:rPr>
      </w:pPr>
    </w:p>
    <w:p w14:paraId="4F91E50A" w14:textId="77777777" w:rsidR="00D15104" w:rsidRPr="00D15104" w:rsidRDefault="00D15104" w:rsidP="00D15104">
      <w:pPr>
        <w:spacing w:line="480" w:lineRule="auto"/>
        <w:ind w:left="284" w:hanging="284"/>
        <w:rPr>
          <w:rFonts w:asciiTheme="majorHAnsi" w:eastAsia="Times New Roman" w:hAnsiTheme="majorHAnsi" w:cs="Segoe UI"/>
          <w:b/>
          <w:color w:val="212121"/>
          <w:sz w:val="20"/>
          <w:szCs w:val="20"/>
          <w:shd w:val="clear" w:color="auto" w:fill="FFFFFF"/>
        </w:rPr>
      </w:pPr>
      <w:r w:rsidRPr="00D15104">
        <w:rPr>
          <w:rFonts w:asciiTheme="majorHAnsi" w:eastAsia="Times New Roman" w:hAnsiTheme="majorHAnsi" w:cs="Segoe UI"/>
          <w:b/>
          <w:color w:val="212121"/>
          <w:sz w:val="20"/>
          <w:szCs w:val="20"/>
          <w:shd w:val="clear" w:color="auto" w:fill="FFFFFF"/>
        </w:rPr>
        <w:t xml:space="preserve">Acknowledgements: </w:t>
      </w:r>
    </w:p>
    <w:p w14:paraId="55F5BE49" w14:textId="2B0C8767" w:rsidR="00D15104" w:rsidRDefault="00D15104" w:rsidP="00D15104">
      <w:pPr>
        <w:spacing w:line="480" w:lineRule="auto"/>
        <w:rPr>
          <w:rFonts w:asciiTheme="majorHAnsi" w:eastAsia="Times New Roman" w:hAnsiTheme="majorHAnsi" w:cs="Segoe UI"/>
          <w:i/>
          <w:color w:val="212121"/>
          <w:sz w:val="20"/>
          <w:szCs w:val="20"/>
          <w:shd w:val="clear" w:color="auto" w:fill="FFFFFF"/>
        </w:rPr>
      </w:pPr>
      <w:r w:rsidRPr="00D15104">
        <w:rPr>
          <w:rFonts w:asciiTheme="majorHAnsi" w:eastAsia="Times New Roman" w:hAnsiTheme="majorHAnsi" w:cs="Segoe UI"/>
          <w:i/>
          <w:color w:val="212121"/>
          <w:sz w:val="20"/>
          <w:szCs w:val="20"/>
          <w:shd w:val="clear" w:color="auto" w:fill="FFFFFF"/>
        </w:rPr>
        <w:t>We</w:t>
      </w:r>
      <w:r>
        <w:rPr>
          <w:rFonts w:asciiTheme="majorHAnsi" w:eastAsia="Times New Roman" w:hAnsiTheme="majorHAnsi" w:cs="Segoe UI"/>
          <w:i/>
          <w:color w:val="212121"/>
          <w:sz w:val="20"/>
          <w:szCs w:val="20"/>
          <w:shd w:val="clear" w:color="auto" w:fill="FFFFFF"/>
        </w:rPr>
        <w:t xml:space="preserve"> would like to</w:t>
      </w:r>
      <w:r w:rsidRPr="00D15104">
        <w:rPr>
          <w:rFonts w:asciiTheme="majorHAnsi" w:eastAsia="Times New Roman" w:hAnsiTheme="majorHAnsi" w:cs="Segoe UI"/>
          <w:i/>
          <w:color w:val="212121"/>
          <w:sz w:val="20"/>
          <w:szCs w:val="20"/>
          <w:shd w:val="clear" w:color="auto" w:fill="FFFFFF"/>
        </w:rPr>
        <w:t xml:space="preserve"> thank Fergus Hamilton (North Bristol NHS Trust), Peter Chilton (</w:t>
      </w:r>
      <w:r>
        <w:rPr>
          <w:rFonts w:asciiTheme="majorHAnsi" w:eastAsia="Times New Roman" w:hAnsiTheme="majorHAnsi" w:cs="Segoe UI"/>
          <w:i/>
          <w:color w:val="212121"/>
          <w:sz w:val="20"/>
          <w:szCs w:val="20"/>
          <w:shd w:val="clear" w:color="auto" w:fill="FFFFFF"/>
        </w:rPr>
        <w:t>University of Birmingham)</w:t>
      </w:r>
      <w:r w:rsidRPr="00D15104">
        <w:rPr>
          <w:rFonts w:asciiTheme="majorHAnsi" w:eastAsia="Times New Roman" w:hAnsiTheme="majorHAnsi" w:cs="Segoe UI"/>
          <w:i/>
          <w:color w:val="212121"/>
          <w:sz w:val="20"/>
          <w:szCs w:val="20"/>
          <w:shd w:val="clear" w:color="auto" w:fill="FFFFFF"/>
        </w:rPr>
        <w:t xml:space="preserve"> and Gavin Perkins (University of Warwick) for their contributions to this article.</w:t>
      </w:r>
    </w:p>
    <w:p w14:paraId="3D9023F6" w14:textId="447152AC" w:rsidR="00F32634" w:rsidRPr="00F32634" w:rsidRDefault="00F32634" w:rsidP="00F32634">
      <w:pPr>
        <w:spacing w:line="480" w:lineRule="auto"/>
        <w:rPr>
          <w:rFonts w:asciiTheme="majorHAnsi" w:eastAsia="Times New Roman" w:hAnsiTheme="majorHAnsi" w:cs="Segoe UI"/>
          <w:i/>
          <w:color w:val="212121"/>
          <w:sz w:val="20"/>
          <w:szCs w:val="20"/>
          <w:shd w:val="clear" w:color="auto" w:fill="FFFFFF"/>
        </w:rPr>
      </w:pPr>
      <w:proofErr w:type="gramStart"/>
      <w:r>
        <w:rPr>
          <w:rFonts w:asciiTheme="majorHAnsi" w:eastAsia="Times New Roman" w:hAnsiTheme="majorHAnsi" w:cs="Segoe UI"/>
          <w:i/>
          <w:color w:val="212121"/>
          <w:sz w:val="20"/>
          <w:szCs w:val="20"/>
          <w:shd w:val="clear" w:color="auto" w:fill="FFFFFF"/>
        </w:rPr>
        <w:t xml:space="preserve">RL is </w:t>
      </w:r>
      <w:r w:rsidRPr="00F32634">
        <w:rPr>
          <w:rFonts w:asciiTheme="majorHAnsi" w:eastAsia="Times New Roman" w:hAnsiTheme="majorHAnsi" w:cs="Segoe UI"/>
          <w:i/>
          <w:color w:val="212121"/>
          <w:sz w:val="20"/>
          <w:szCs w:val="20"/>
          <w:shd w:val="clear" w:color="auto" w:fill="FFFFFF"/>
        </w:rPr>
        <w:t>supported by th</w:t>
      </w:r>
      <w:bookmarkStart w:id="0" w:name="_GoBack"/>
      <w:bookmarkEnd w:id="0"/>
      <w:r w:rsidRPr="00F32634">
        <w:rPr>
          <w:rFonts w:asciiTheme="majorHAnsi" w:eastAsia="Times New Roman" w:hAnsiTheme="majorHAnsi" w:cs="Segoe UI"/>
          <w:i/>
          <w:color w:val="212121"/>
          <w:sz w:val="20"/>
          <w:szCs w:val="20"/>
          <w:shd w:val="clear" w:color="auto" w:fill="FFFFFF"/>
        </w:rPr>
        <w:t>e National Institute</w:t>
      </w:r>
      <w:proofErr w:type="gramEnd"/>
      <w:r w:rsidRPr="00F32634">
        <w:rPr>
          <w:rFonts w:asciiTheme="majorHAnsi" w:eastAsia="Times New Roman" w:hAnsiTheme="majorHAnsi" w:cs="Segoe UI"/>
          <w:i/>
          <w:color w:val="212121"/>
          <w:sz w:val="20"/>
          <w:szCs w:val="20"/>
          <w:shd w:val="clear" w:color="auto" w:fill="FFFFFF"/>
        </w:rPr>
        <w:t xml:space="preserve"> for Health Research (NIHR), Applied Research Collaboration West Midlands (ARC WM). Views expressed are not necessarily those of the NHS, the NIHR or the Department of Health and Social Care</w:t>
      </w:r>
    </w:p>
    <w:p w14:paraId="371917BB" w14:textId="7C92DBB3" w:rsidR="00252C85" w:rsidRPr="00D15104" w:rsidRDefault="00252C85" w:rsidP="00D15104">
      <w:pPr>
        <w:spacing w:line="480" w:lineRule="auto"/>
        <w:rPr>
          <w:rFonts w:asciiTheme="majorHAnsi" w:eastAsia="Times New Roman" w:hAnsiTheme="majorHAnsi" w:cs="Segoe UI"/>
          <w:i/>
          <w:color w:val="212121"/>
          <w:sz w:val="20"/>
          <w:szCs w:val="20"/>
          <w:shd w:val="clear" w:color="auto" w:fill="FFFFFF"/>
        </w:rPr>
      </w:pPr>
    </w:p>
    <w:p w14:paraId="6B347191" w14:textId="77777777" w:rsidR="00D15104" w:rsidRPr="005C72D1" w:rsidRDefault="00D15104" w:rsidP="005C72D1">
      <w:pPr>
        <w:spacing w:line="480" w:lineRule="auto"/>
        <w:rPr>
          <w:rFonts w:asciiTheme="majorHAnsi" w:eastAsia="Times New Roman" w:hAnsiTheme="majorHAnsi" w:cs="Segoe UI"/>
          <w:color w:val="212121"/>
          <w:sz w:val="20"/>
          <w:szCs w:val="20"/>
          <w:shd w:val="clear" w:color="auto" w:fill="FFFFFF"/>
        </w:rPr>
      </w:pPr>
    </w:p>
    <w:p w14:paraId="52D04F26" w14:textId="77777777" w:rsidR="003126EA" w:rsidRPr="005C72D1" w:rsidRDefault="003126EA" w:rsidP="005C72D1">
      <w:pPr>
        <w:spacing w:line="480" w:lineRule="auto"/>
        <w:rPr>
          <w:rFonts w:asciiTheme="majorHAnsi" w:eastAsia="Times New Roman" w:hAnsiTheme="majorHAnsi" w:cs="Segoe UI"/>
          <w:color w:val="212121"/>
          <w:sz w:val="20"/>
          <w:szCs w:val="20"/>
          <w:shd w:val="clear" w:color="auto" w:fill="FFFFFF"/>
        </w:rPr>
      </w:pPr>
    </w:p>
    <w:p w14:paraId="0CEFBC4A" w14:textId="51AC1C8E" w:rsidR="00CE7606" w:rsidRPr="00CE7606" w:rsidRDefault="00CE7606" w:rsidP="00370A2B">
      <w:pPr>
        <w:spacing w:line="480" w:lineRule="auto"/>
        <w:rPr>
          <w:rFonts w:asciiTheme="majorHAnsi" w:eastAsia="Times New Roman" w:hAnsiTheme="majorHAnsi" w:cs="Times New Roman"/>
          <w:sz w:val="20"/>
          <w:szCs w:val="20"/>
        </w:rPr>
      </w:pPr>
      <w:r w:rsidRPr="00CE7606">
        <w:rPr>
          <w:rFonts w:asciiTheme="majorHAnsi" w:eastAsia="Times New Roman" w:hAnsiTheme="majorHAnsi" w:cs="Segoe UI"/>
          <w:color w:val="212121"/>
          <w:sz w:val="20"/>
          <w:szCs w:val="20"/>
        </w:rPr>
        <w:br/>
      </w:r>
      <w:r w:rsidRPr="00CE7606">
        <w:rPr>
          <w:rFonts w:asciiTheme="majorHAnsi" w:eastAsia="Times New Roman" w:hAnsiTheme="majorHAnsi" w:cs="Segoe UI"/>
          <w:color w:val="212121"/>
          <w:sz w:val="20"/>
          <w:szCs w:val="20"/>
        </w:rPr>
        <w:br/>
      </w:r>
    </w:p>
    <w:p w14:paraId="6417251E" w14:textId="77777777" w:rsidR="0072232A" w:rsidRPr="00CE7606" w:rsidRDefault="0072232A" w:rsidP="00370A2B">
      <w:pPr>
        <w:spacing w:line="480" w:lineRule="auto"/>
        <w:rPr>
          <w:rFonts w:asciiTheme="majorHAnsi" w:hAnsiTheme="majorHAnsi"/>
        </w:rPr>
      </w:pPr>
    </w:p>
    <w:sectPr w:rsidR="0072232A" w:rsidRPr="00CE7606" w:rsidSect="0072232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egoe UI">
    <w:altName w:val="Courier New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B3C86"/>
    <w:multiLevelType w:val="hybridMultilevel"/>
    <w:tmpl w:val="32A06B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606"/>
    <w:rsid w:val="00095292"/>
    <w:rsid w:val="000F64CC"/>
    <w:rsid w:val="001C1DAD"/>
    <w:rsid w:val="00241FE9"/>
    <w:rsid w:val="00252C85"/>
    <w:rsid w:val="002D6E1C"/>
    <w:rsid w:val="003126EA"/>
    <w:rsid w:val="00355234"/>
    <w:rsid w:val="00370A2B"/>
    <w:rsid w:val="003B11E4"/>
    <w:rsid w:val="003D3A07"/>
    <w:rsid w:val="003D6989"/>
    <w:rsid w:val="00435C19"/>
    <w:rsid w:val="0051199E"/>
    <w:rsid w:val="005C72D1"/>
    <w:rsid w:val="005D481E"/>
    <w:rsid w:val="00605902"/>
    <w:rsid w:val="0062415F"/>
    <w:rsid w:val="0072232A"/>
    <w:rsid w:val="008B4C8F"/>
    <w:rsid w:val="00900A06"/>
    <w:rsid w:val="0093103C"/>
    <w:rsid w:val="009656B7"/>
    <w:rsid w:val="009E7AD0"/>
    <w:rsid w:val="00A60361"/>
    <w:rsid w:val="00A74B32"/>
    <w:rsid w:val="00C10B3A"/>
    <w:rsid w:val="00C37BFB"/>
    <w:rsid w:val="00CE1AF3"/>
    <w:rsid w:val="00CE7606"/>
    <w:rsid w:val="00D15104"/>
    <w:rsid w:val="00D74A36"/>
    <w:rsid w:val="00D8574B"/>
    <w:rsid w:val="00F32634"/>
    <w:rsid w:val="00FB3753"/>
    <w:rsid w:val="00FE4CBD"/>
    <w:rsid w:val="00FE7FDA"/>
    <w:rsid w:val="00FF4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E4A839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0A2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E7AD0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1C1DAD"/>
    <w:rPr>
      <w:rFonts w:eastAsiaTheme="minorHAns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C1DAD"/>
    <w:rPr>
      <w:rFonts w:eastAsiaTheme="minorHAnsi"/>
      <w:sz w:val="22"/>
      <w:szCs w:val="21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72D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2D1"/>
    <w:rPr>
      <w:rFonts w:ascii="Lucida Grande" w:hAnsi="Lucida Grande" w:cs="Lucida Grande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0A2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E7AD0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1C1DAD"/>
    <w:rPr>
      <w:rFonts w:eastAsiaTheme="minorHAns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C1DAD"/>
    <w:rPr>
      <w:rFonts w:eastAsiaTheme="minorHAnsi"/>
      <w:sz w:val="22"/>
      <w:szCs w:val="21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72D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2D1"/>
    <w:rPr>
      <w:rFonts w:ascii="Lucida Grande" w:hAnsi="Lucida Grande" w:cs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4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3445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29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1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57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44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6968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64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5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62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930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33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56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28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987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10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76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173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958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22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95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41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r.j.lilford@bham.ac.uk" TargetMode="Externa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528</Words>
  <Characters>3012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Chilton</dc:creator>
  <cp:keywords/>
  <dc:description/>
  <cp:lastModifiedBy>Peter Chilton</cp:lastModifiedBy>
  <cp:revision>3</cp:revision>
  <dcterms:created xsi:type="dcterms:W3CDTF">2020-04-23T12:33:00Z</dcterms:created>
  <dcterms:modified xsi:type="dcterms:W3CDTF">2020-04-23T12:52:00Z</dcterms:modified>
</cp:coreProperties>
</file>