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3" w:rsidRPr="001952B6" w:rsidRDefault="00575E33" w:rsidP="00575E33">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t xml:space="preserve">Non-linear associations of 25-hydroxyvitamin D concentrations with risk of cardiovascular disease and all-cause mortality: results from The Health Improvement Network (THIN) database </w:t>
      </w:r>
    </w:p>
    <w:p w:rsidR="00010D30" w:rsidRPr="001952B6" w:rsidRDefault="00010D30" w:rsidP="00575E33">
      <w:pPr>
        <w:tabs>
          <w:tab w:val="left" w:pos="1843"/>
        </w:tabs>
        <w:spacing w:before="60" w:after="20" w:line="480" w:lineRule="auto"/>
        <w:rPr>
          <w:rFonts w:ascii="Times New Roman" w:hAnsi="Times New Roman" w:cs="Times New Roman"/>
          <w:b/>
          <w:sz w:val="24"/>
          <w:szCs w:val="24"/>
        </w:rPr>
      </w:pPr>
    </w:p>
    <w:p w:rsidR="00AC2920" w:rsidRPr="001952B6" w:rsidRDefault="004703D1" w:rsidP="00575E33">
      <w:pPr>
        <w:tabs>
          <w:tab w:val="left" w:pos="1843"/>
        </w:tabs>
        <w:spacing w:before="60" w:after="20" w:line="480" w:lineRule="auto"/>
        <w:rPr>
          <w:rFonts w:ascii="Times New Roman" w:hAnsi="Times New Roman" w:cs="Times New Roman"/>
          <w:sz w:val="24"/>
          <w:szCs w:val="24"/>
          <w:vertAlign w:val="superscript"/>
        </w:rPr>
      </w:pPr>
      <w:r w:rsidRPr="001952B6">
        <w:rPr>
          <w:rFonts w:ascii="Times New Roman" w:hAnsi="Times New Roman" w:cs="Times New Roman"/>
          <w:sz w:val="24"/>
          <w:szCs w:val="24"/>
        </w:rPr>
        <w:t>Francesca L Crowe</w:t>
      </w:r>
      <w:r w:rsidR="005153C3" w:rsidRPr="001952B6">
        <w:rPr>
          <w:rFonts w:ascii="Times New Roman" w:hAnsi="Times New Roman" w:cs="Times New Roman"/>
          <w:sz w:val="24"/>
          <w:szCs w:val="24"/>
        </w:rPr>
        <w:t>,</w:t>
      </w:r>
      <w:r w:rsidR="008541FA" w:rsidRPr="001952B6">
        <w:rPr>
          <w:rFonts w:ascii="Times New Roman" w:hAnsi="Times New Roman" w:cs="Times New Roman"/>
          <w:sz w:val="24"/>
          <w:szCs w:val="24"/>
        </w:rPr>
        <w:t xml:space="preserve"> </w:t>
      </w:r>
      <w:r w:rsidR="005D1DE4" w:rsidRPr="001952B6">
        <w:rPr>
          <w:rFonts w:ascii="Times New Roman" w:hAnsi="Times New Roman" w:cs="Times New Roman"/>
          <w:sz w:val="24"/>
          <w:szCs w:val="24"/>
        </w:rPr>
        <w:t>Rasiah Thayakaran</w:t>
      </w:r>
      <w:r w:rsidR="005153C3" w:rsidRPr="001952B6">
        <w:rPr>
          <w:rFonts w:ascii="Times New Roman" w:hAnsi="Times New Roman" w:cs="Times New Roman"/>
          <w:sz w:val="24"/>
          <w:szCs w:val="24"/>
        </w:rPr>
        <w:t xml:space="preserve">, </w:t>
      </w:r>
      <w:r w:rsidR="00D35447" w:rsidRPr="001952B6">
        <w:rPr>
          <w:rFonts w:ascii="Times New Roman" w:hAnsi="Times New Roman" w:cs="Times New Roman"/>
          <w:sz w:val="24"/>
          <w:szCs w:val="24"/>
        </w:rPr>
        <w:t>Neil Gittoes</w:t>
      </w:r>
      <w:r w:rsidR="005153C3" w:rsidRPr="001952B6">
        <w:rPr>
          <w:rFonts w:ascii="Times New Roman" w:hAnsi="Times New Roman" w:cs="Times New Roman"/>
          <w:sz w:val="24"/>
          <w:szCs w:val="24"/>
        </w:rPr>
        <w:t>,</w:t>
      </w:r>
      <w:r w:rsidR="00D35447" w:rsidRPr="001952B6">
        <w:rPr>
          <w:rFonts w:ascii="Times New Roman" w:hAnsi="Times New Roman" w:cs="Times New Roman"/>
          <w:sz w:val="24"/>
          <w:szCs w:val="24"/>
        </w:rPr>
        <w:t xml:space="preserve"> Martin Hewison</w:t>
      </w:r>
      <w:r w:rsidR="005153C3" w:rsidRPr="001952B6">
        <w:rPr>
          <w:rFonts w:ascii="Times New Roman" w:hAnsi="Times New Roman" w:cs="Times New Roman"/>
          <w:sz w:val="24"/>
          <w:szCs w:val="24"/>
        </w:rPr>
        <w:t>,</w:t>
      </w:r>
      <w:r w:rsidR="00D35447" w:rsidRPr="001952B6">
        <w:rPr>
          <w:rFonts w:ascii="Times New Roman" w:hAnsi="Times New Roman" w:cs="Times New Roman"/>
          <w:sz w:val="24"/>
          <w:szCs w:val="24"/>
        </w:rPr>
        <w:t xml:space="preserve"> </w:t>
      </w:r>
      <w:r w:rsidR="00767BA6" w:rsidRPr="001952B6">
        <w:rPr>
          <w:rFonts w:ascii="Times New Roman" w:hAnsi="Times New Roman" w:cs="Times New Roman"/>
          <w:sz w:val="24"/>
          <w:szCs w:val="24"/>
        </w:rPr>
        <w:t xml:space="preserve">G Neil Thomas, </w:t>
      </w:r>
      <w:r w:rsidR="005153C3" w:rsidRPr="001952B6">
        <w:rPr>
          <w:rFonts w:ascii="Times New Roman" w:hAnsi="Times New Roman" w:cs="Times New Roman"/>
          <w:sz w:val="24"/>
          <w:szCs w:val="24"/>
        </w:rPr>
        <w:t>Robert Scragg</w:t>
      </w:r>
      <w:r w:rsidR="005153C3" w:rsidRPr="001952B6">
        <w:rPr>
          <w:rFonts w:ascii="Times New Roman" w:hAnsi="Times New Roman" w:cs="Times New Roman"/>
          <w:sz w:val="24"/>
          <w:szCs w:val="24"/>
          <w:vertAlign w:val="superscript"/>
        </w:rPr>
        <w:t>*</w:t>
      </w:r>
      <w:r w:rsidR="005153C3" w:rsidRPr="001952B6">
        <w:rPr>
          <w:rFonts w:ascii="Times New Roman" w:hAnsi="Times New Roman" w:cs="Times New Roman"/>
          <w:sz w:val="24"/>
          <w:szCs w:val="24"/>
        </w:rPr>
        <w:t>,</w:t>
      </w:r>
      <w:r w:rsidR="008541FA" w:rsidRPr="001952B6">
        <w:rPr>
          <w:rFonts w:ascii="Times New Roman" w:hAnsi="Times New Roman" w:cs="Times New Roman"/>
          <w:sz w:val="24"/>
          <w:szCs w:val="24"/>
        </w:rPr>
        <w:t xml:space="preserve"> </w:t>
      </w:r>
      <w:r w:rsidR="00BE2219" w:rsidRPr="001952B6">
        <w:rPr>
          <w:rFonts w:ascii="Times New Roman" w:hAnsi="Times New Roman" w:cs="Times New Roman"/>
          <w:sz w:val="24"/>
          <w:szCs w:val="24"/>
        </w:rPr>
        <w:t>Krishnara</w:t>
      </w:r>
      <w:r w:rsidR="00767BA6" w:rsidRPr="001952B6">
        <w:rPr>
          <w:rFonts w:ascii="Times New Roman" w:hAnsi="Times New Roman" w:cs="Times New Roman"/>
          <w:sz w:val="24"/>
          <w:szCs w:val="24"/>
        </w:rPr>
        <w:t>jah Nirantharakumar</w:t>
      </w:r>
      <w:r w:rsidR="005153C3" w:rsidRPr="001952B6">
        <w:rPr>
          <w:rFonts w:ascii="Times New Roman" w:hAnsi="Times New Roman" w:cs="Times New Roman"/>
          <w:sz w:val="24"/>
          <w:szCs w:val="24"/>
          <w:vertAlign w:val="superscript"/>
        </w:rPr>
        <w:t xml:space="preserve"> </w:t>
      </w:r>
      <w:r w:rsidR="00BE2219" w:rsidRPr="001952B6">
        <w:rPr>
          <w:rFonts w:ascii="Times New Roman" w:hAnsi="Times New Roman" w:cs="Times New Roman"/>
          <w:sz w:val="24"/>
          <w:szCs w:val="24"/>
          <w:vertAlign w:val="superscript"/>
        </w:rPr>
        <w:t>*</w:t>
      </w:r>
    </w:p>
    <w:p w:rsidR="00776E9A" w:rsidRPr="001952B6" w:rsidRDefault="00776E9A" w:rsidP="00575E33">
      <w:pPr>
        <w:tabs>
          <w:tab w:val="left" w:pos="1843"/>
        </w:tabs>
        <w:spacing w:before="60" w:after="20" w:line="480" w:lineRule="auto"/>
        <w:rPr>
          <w:rFonts w:ascii="Times New Roman" w:hAnsi="Times New Roman" w:cs="Times New Roman"/>
          <w:sz w:val="24"/>
          <w:szCs w:val="24"/>
        </w:rPr>
      </w:pPr>
    </w:p>
    <w:p w:rsidR="00BE2219" w:rsidRPr="001952B6" w:rsidRDefault="00BE2219" w:rsidP="00575E33">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sz w:val="24"/>
          <w:szCs w:val="24"/>
          <w:vertAlign w:val="superscript"/>
        </w:rPr>
        <w:t>*</w:t>
      </w:r>
      <w:r w:rsidRPr="001952B6">
        <w:rPr>
          <w:rFonts w:ascii="Times New Roman" w:hAnsi="Times New Roman" w:cs="Times New Roman"/>
          <w:sz w:val="24"/>
          <w:szCs w:val="24"/>
        </w:rPr>
        <w:t>Joint Senior Authors</w:t>
      </w:r>
    </w:p>
    <w:p w:rsidR="008541FA" w:rsidRPr="001952B6" w:rsidRDefault="008541FA" w:rsidP="00575E33">
      <w:pPr>
        <w:tabs>
          <w:tab w:val="left" w:pos="1843"/>
        </w:tabs>
        <w:spacing w:before="60" w:after="20" w:line="480" w:lineRule="auto"/>
        <w:rPr>
          <w:rFonts w:ascii="Times New Roman" w:hAnsi="Times New Roman" w:cs="Times New Roman"/>
          <w:sz w:val="24"/>
          <w:szCs w:val="24"/>
        </w:rPr>
      </w:pPr>
    </w:p>
    <w:p w:rsidR="00CC15AA" w:rsidRPr="001952B6" w:rsidRDefault="00BE2219" w:rsidP="00575E33">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t>Corr</w:t>
      </w:r>
      <w:r w:rsidR="00CC15AA" w:rsidRPr="001952B6">
        <w:rPr>
          <w:rFonts w:ascii="Times New Roman" w:hAnsi="Times New Roman" w:cs="Times New Roman"/>
          <w:b/>
          <w:sz w:val="24"/>
          <w:szCs w:val="24"/>
        </w:rPr>
        <w:t>esponding Authors</w:t>
      </w:r>
      <w:r w:rsidR="002A7947" w:rsidRPr="001952B6">
        <w:rPr>
          <w:rFonts w:ascii="Times New Roman" w:hAnsi="Times New Roman" w:cs="Times New Roman"/>
          <w:b/>
          <w:sz w:val="24"/>
          <w:szCs w:val="24"/>
        </w:rPr>
        <w:t xml:space="preserve"> </w:t>
      </w:r>
    </w:p>
    <w:p w:rsidR="00CC15AA" w:rsidRPr="001952B6" w:rsidRDefault="002A7947" w:rsidP="00575E33">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sz w:val="24"/>
          <w:szCs w:val="24"/>
        </w:rPr>
        <w:t xml:space="preserve">Krishnarajah Nirantharakumar </w:t>
      </w:r>
      <w:r w:rsidR="006B5549" w:rsidRPr="001952B6">
        <w:rPr>
          <w:rFonts w:ascii="Times New Roman" w:hAnsi="Times New Roman" w:cs="Times New Roman"/>
          <w:sz w:val="24"/>
          <w:szCs w:val="24"/>
        </w:rPr>
        <w:t>Tel: +44 0121 4148344</w:t>
      </w:r>
      <w:r w:rsidR="00EA2976" w:rsidRPr="001952B6">
        <w:rPr>
          <w:rFonts w:ascii="Times New Roman" w:hAnsi="Times New Roman" w:cs="Times New Roman"/>
          <w:sz w:val="24"/>
          <w:szCs w:val="24"/>
        </w:rPr>
        <w:t xml:space="preserve">, </w:t>
      </w:r>
      <w:r w:rsidR="00795647" w:rsidRPr="001952B6">
        <w:rPr>
          <w:rFonts w:ascii="Times New Roman" w:hAnsi="Times New Roman" w:cs="Times New Roman"/>
          <w:sz w:val="24"/>
          <w:szCs w:val="24"/>
        </w:rPr>
        <w:t>Email:</w:t>
      </w:r>
      <w:r w:rsidR="00795647" w:rsidRPr="001952B6">
        <w:rPr>
          <w:rFonts w:ascii="Times New Roman" w:hAnsi="Times New Roman" w:cs="Times New Roman"/>
          <w:b/>
          <w:sz w:val="24"/>
          <w:szCs w:val="24"/>
        </w:rPr>
        <w:t xml:space="preserve"> </w:t>
      </w:r>
      <w:hyperlink r:id="rId9" w:history="1">
        <w:r w:rsidR="00795647" w:rsidRPr="001952B6">
          <w:rPr>
            <w:rStyle w:val="Hyperlink"/>
            <w:rFonts w:ascii="Times New Roman" w:hAnsi="Times New Roman" w:cs="Times New Roman"/>
            <w:sz w:val="24"/>
            <w:szCs w:val="24"/>
          </w:rPr>
          <w:t>K.Nirantharan@bham.ac.uk</w:t>
        </w:r>
      </w:hyperlink>
      <w:r w:rsidRPr="001952B6">
        <w:rPr>
          <w:rFonts w:ascii="Times New Roman" w:hAnsi="Times New Roman" w:cs="Times New Roman"/>
          <w:sz w:val="24"/>
          <w:szCs w:val="24"/>
        </w:rPr>
        <w:t xml:space="preserve"> </w:t>
      </w:r>
    </w:p>
    <w:p w:rsidR="00BE2219" w:rsidRPr="001952B6" w:rsidRDefault="002A7947" w:rsidP="00575E33">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sz w:val="24"/>
          <w:szCs w:val="24"/>
        </w:rPr>
        <w:t>Robert Scragg</w:t>
      </w:r>
      <w:r w:rsidR="006B5549" w:rsidRPr="001952B6">
        <w:rPr>
          <w:rFonts w:ascii="Times New Roman" w:hAnsi="Times New Roman" w:cs="Times New Roman"/>
          <w:b/>
          <w:sz w:val="24"/>
          <w:szCs w:val="24"/>
        </w:rPr>
        <w:t xml:space="preserve"> </w:t>
      </w:r>
      <w:hyperlink r:id="rId10" w:history="1">
        <w:r w:rsidR="006B5549" w:rsidRPr="001952B6">
          <w:rPr>
            <w:rStyle w:val="Hyperlink"/>
            <w:rFonts w:ascii="Times New Roman" w:hAnsi="Times New Roman" w:cs="Times New Roman"/>
            <w:color w:val="000000" w:themeColor="text1"/>
            <w:sz w:val="24"/>
            <w:szCs w:val="24"/>
            <w:u w:val="none"/>
          </w:rPr>
          <w:t>Tel:+64</w:t>
        </w:r>
      </w:hyperlink>
      <w:r w:rsidR="004B3996" w:rsidRPr="001952B6">
        <w:rPr>
          <w:rFonts w:ascii="Times New Roman" w:hAnsi="Times New Roman" w:cs="Times New Roman"/>
          <w:color w:val="000000" w:themeColor="text1"/>
          <w:sz w:val="24"/>
          <w:szCs w:val="24"/>
        </w:rPr>
        <w:t>-</w:t>
      </w:r>
      <w:r w:rsidR="006B5549" w:rsidRPr="001952B6">
        <w:rPr>
          <w:rFonts w:ascii="Times New Roman" w:hAnsi="Times New Roman" w:cs="Times New Roman"/>
          <w:color w:val="000000" w:themeColor="text1"/>
          <w:sz w:val="24"/>
          <w:szCs w:val="24"/>
        </w:rPr>
        <w:t>9</w:t>
      </w:r>
      <w:r w:rsidR="004B3996" w:rsidRPr="001952B6">
        <w:rPr>
          <w:rFonts w:ascii="Times New Roman" w:hAnsi="Times New Roman" w:cs="Times New Roman"/>
          <w:sz w:val="24"/>
          <w:szCs w:val="24"/>
        </w:rPr>
        <w:t>-</w:t>
      </w:r>
      <w:r w:rsidR="006B5549" w:rsidRPr="001952B6">
        <w:rPr>
          <w:rFonts w:ascii="Times New Roman" w:hAnsi="Times New Roman" w:cs="Times New Roman"/>
          <w:sz w:val="24"/>
          <w:szCs w:val="24"/>
        </w:rPr>
        <w:t xml:space="preserve">9236336, </w:t>
      </w:r>
      <w:r w:rsidR="004B3996" w:rsidRPr="001952B6">
        <w:rPr>
          <w:rFonts w:ascii="Times New Roman" w:hAnsi="Times New Roman" w:cs="Times New Roman"/>
          <w:sz w:val="24"/>
          <w:szCs w:val="24"/>
        </w:rPr>
        <w:t xml:space="preserve">Fax: +64-9-3737 503 </w:t>
      </w:r>
      <w:r w:rsidR="00795647" w:rsidRPr="001952B6">
        <w:rPr>
          <w:rFonts w:ascii="Times New Roman" w:hAnsi="Times New Roman" w:cs="Times New Roman"/>
          <w:sz w:val="24"/>
          <w:szCs w:val="24"/>
        </w:rPr>
        <w:t>Email:</w:t>
      </w:r>
      <w:r w:rsidR="00795647" w:rsidRPr="001952B6">
        <w:rPr>
          <w:rFonts w:ascii="Times New Roman" w:hAnsi="Times New Roman" w:cs="Times New Roman"/>
          <w:b/>
          <w:sz w:val="24"/>
          <w:szCs w:val="24"/>
        </w:rPr>
        <w:t xml:space="preserve"> </w:t>
      </w:r>
      <w:hyperlink r:id="rId11" w:history="1">
        <w:r w:rsidR="00795647" w:rsidRPr="001952B6">
          <w:rPr>
            <w:rStyle w:val="Hyperlink"/>
            <w:rFonts w:ascii="Times New Roman" w:hAnsi="Times New Roman" w:cs="Times New Roman"/>
            <w:sz w:val="24"/>
            <w:szCs w:val="24"/>
          </w:rPr>
          <w:t>r.scragg@auckland.ac.nz</w:t>
        </w:r>
      </w:hyperlink>
      <w:r w:rsidR="00795647" w:rsidRPr="001952B6">
        <w:rPr>
          <w:rFonts w:ascii="Times New Roman" w:hAnsi="Times New Roman" w:cs="Times New Roman"/>
          <w:sz w:val="24"/>
          <w:szCs w:val="24"/>
        </w:rPr>
        <w:t xml:space="preserve"> </w:t>
      </w:r>
    </w:p>
    <w:p w:rsidR="005524DF" w:rsidRPr="001952B6" w:rsidRDefault="005524DF" w:rsidP="00575E33">
      <w:pPr>
        <w:tabs>
          <w:tab w:val="left" w:pos="1843"/>
        </w:tabs>
        <w:spacing w:before="60" w:after="20" w:line="480" w:lineRule="auto"/>
        <w:rPr>
          <w:rFonts w:ascii="Times New Roman" w:hAnsi="Times New Roman" w:cs="Times New Roman"/>
          <w:sz w:val="24"/>
          <w:szCs w:val="24"/>
        </w:rPr>
      </w:pPr>
    </w:p>
    <w:p w:rsidR="005524DF" w:rsidRPr="001952B6" w:rsidRDefault="005524DF" w:rsidP="005524DF">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t>Affiliations</w:t>
      </w:r>
    </w:p>
    <w:p w:rsidR="005524DF" w:rsidRPr="001952B6" w:rsidRDefault="005524DF" w:rsidP="005524DF">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sz w:val="24"/>
          <w:szCs w:val="24"/>
        </w:rPr>
        <w:t xml:space="preserve">Institute of Applied Health Research (FLC, RT, GNT, KN), Institute of Metabolism and Systems (NG, MH), and Centre for Endocrinology, Diabetes and Metabolism, College of Medical and Dental Sciences (NG), University of Birmingham, Birmingham, UK; School of Population Health, Faculty of Medical and Health Sciences, University of Auckland, Auckland, New Zealand (RS). </w:t>
      </w:r>
    </w:p>
    <w:p w:rsidR="005524DF" w:rsidRPr="001952B6" w:rsidRDefault="005524DF" w:rsidP="00575E33">
      <w:pPr>
        <w:tabs>
          <w:tab w:val="left" w:pos="1843"/>
        </w:tabs>
        <w:spacing w:before="60" w:after="20" w:line="480" w:lineRule="auto"/>
        <w:rPr>
          <w:rFonts w:ascii="Times New Roman" w:hAnsi="Times New Roman" w:cs="Times New Roman"/>
          <w:sz w:val="24"/>
          <w:szCs w:val="24"/>
        </w:rPr>
      </w:pPr>
    </w:p>
    <w:p w:rsidR="006D5C1B" w:rsidRPr="001952B6" w:rsidRDefault="006D5C1B" w:rsidP="00575E33">
      <w:pPr>
        <w:tabs>
          <w:tab w:val="left" w:pos="1843"/>
        </w:tabs>
        <w:spacing w:before="60" w:after="20" w:line="480" w:lineRule="auto"/>
        <w:rPr>
          <w:rFonts w:ascii="Times New Roman" w:hAnsi="Times New Roman" w:cs="Times New Roman"/>
          <w:b/>
          <w:sz w:val="24"/>
          <w:szCs w:val="24"/>
        </w:rPr>
      </w:pPr>
    </w:p>
    <w:p w:rsidR="00656C32" w:rsidRPr="001952B6" w:rsidRDefault="00656C32" w:rsidP="00575E33">
      <w:pPr>
        <w:tabs>
          <w:tab w:val="left" w:pos="1843"/>
        </w:tabs>
        <w:spacing w:before="60" w:after="20" w:line="480" w:lineRule="auto"/>
        <w:rPr>
          <w:rFonts w:ascii="Times New Roman" w:hAnsi="Times New Roman" w:cs="Times New Roman"/>
          <w:b/>
          <w:sz w:val="24"/>
          <w:szCs w:val="24"/>
        </w:rPr>
        <w:sectPr w:rsidR="00656C32" w:rsidRPr="001952B6" w:rsidSect="003D2E59">
          <w:footerReference w:type="default" r:id="rId12"/>
          <w:pgSz w:w="11906" w:h="16838"/>
          <w:pgMar w:top="1440" w:right="1440" w:bottom="1440" w:left="1440" w:header="708" w:footer="708" w:gutter="0"/>
          <w:cols w:space="708"/>
          <w:titlePg/>
          <w:docGrid w:linePitch="360"/>
        </w:sectPr>
      </w:pPr>
    </w:p>
    <w:p w:rsidR="00883946" w:rsidRPr="001952B6" w:rsidRDefault="00883946" w:rsidP="00575E33">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Abstract</w:t>
      </w:r>
    </w:p>
    <w:p w:rsidR="00251D0C" w:rsidRPr="001952B6" w:rsidRDefault="00D048FD" w:rsidP="00575E33">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b/>
          <w:sz w:val="24"/>
          <w:szCs w:val="24"/>
        </w:rPr>
        <w:t xml:space="preserve">Background: </w:t>
      </w:r>
      <w:r w:rsidR="001826B1" w:rsidRPr="001952B6">
        <w:rPr>
          <w:rFonts w:ascii="Times New Roman" w:hAnsi="Times New Roman" w:cs="Times New Roman"/>
          <w:sz w:val="24"/>
          <w:szCs w:val="24"/>
        </w:rPr>
        <w:t xml:space="preserve">There is increasing evidence that vitamin D supplementation may only be beneficial in people with vitamin D deficiency, and the lack of sufficient people with very low vitamin D levels could explain the lack of protection against cardiovascular disease (CVD) reported in recent clinical trials of vitamin D supplementation. The aim of this study was to assess associations of low to moderate circulating concentrations of 25-hydroxyvitamin D (25(OH)D with risk of incident CVD and all-cause mortality, as well as the risk of ischaemic heart disease (IHD), cerebrovascular disease, and heart failure separately. </w:t>
      </w:r>
    </w:p>
    <w:p w:rsidR="00521445" w:rsidRPr="001952B6" w:rsidRDefault="00251D0C" w:rsidP="00521445">
      <w:pPr>
        <w:spacing w:after="0" w:line="480" w:lineRule="auto"/>
        <w:rPr>
          <w:rFonts w:ascii="Times New Roman" w:hAnsi="Times New Roman" w:cs="Times New Roman"/>
          <w:sz w:val="24"/>
          <w:szCs w:val="24"/>
        </w:rPr>
      </w:pPr>
      <w:r w:rsidRPr="001952B6">
        <w:rPr>
          <w:rFonts w:ascii="Times New Roman" w:hAnsi="Times New Roman" w:cs="Times New Roman"/>
          <w:b/>
          <w:sz w:val="24"/>
          <w:szCs w:val="24"/>
        </w:rPr>
        <w:t>Methods</w:t>
      </w:r>
      <w:r w:rsidR="006D5C1B" w:rsidRPr="001952B6">
        <w:rPr>
          <w:rFonts w:ascii="Times New Roman" w:hAnsi="Times New Roman" w:cs="Times New Roman"/>
          <w:b/>
          <w:sz w:val="24"/>
          <w:szCs w:val="24"/>
        </w:rPr>
        <w:t xml:space="preserve"> and Results</w:t>
      </w:r>
      <w:r w:rsidRPr="001952B6">
        <w:rPr>
          <w:rFonts w:ascii="Times New Roman" w:hAnsi="Times New Roman" w:cs="Times New Roman"/>
          <w:sz w:val="24"/>
          <w:szCs w:val="24"/>
        </w:rPr>
        <w:t xml:space="preserve">: Longitudinal analysis of electronic health records in The Health Improvement Network (THIN), a UK primary care database. </w:t>
      </w:r>
      <w:r w:rsidR="00521445" w:rsidRPr="001952B6">
        <w:rPr>
          <w:rFonts w:ascii="Times New Roman" w:hAnsi="Times New Roman" w:cs="Times New Roman"/>
          <w:sz w:val="24"/>
          <w:szCs w:val="24"/>
        </w:rPr>
        <w:t>The analysis included 180,263 patients age 18 years and older without a history of CVD and with circulating concentrations of 25(OH)D. After a mean follow-up of 2.2 (SD 1.7) years, there were 3,747 patients diagnosed with CVD and 3,912 patients died. Compared to patients in the highest quintile of 25(OHD) (≥ 67.5 nmol</w:t>
      </w:r>
      <w:r w:rsidR="00EA2976" w:rsidRPr="001952B6">
        <w:rPr>
          <w:rFonts w:ascii="Times New Roman" w:hAnsi="Times New Roman" w:cs="Times New Roman"/>
          <w:sz w:val="24"/>
          <w:szCs w:val="24"/>
        </w:rPr>
        <w:t>/L</w:t>
      </w:r>
      <w:r w:rsidR="00521445" w:rsidRPr="001952B6">
        <w:rPr>
          <w:rFonts w:ascii="Times New Roman" w:hAnsi="Times New Roman" w:cs="Times New Roman"/>
          <w:sz w:val="24"/>
          <w:szCs w:val="24"/>
        </w:rPr>
        <w:t>), those in the lowest 25(OH)D quintile (&lt;23.1 nmol/L) had a hazard ratio (HR) of 1.24 (95% CI 1.12</w:t>
      </w:r>
      <w:r w:rsidR="00521445" w:rsidRPr="001952B6">
        <w:rPr>
          <w:rFonts w:ascii="Times New Roman" w:eastAsia="Times New Roman" w:hAnsi="Times New Roman" w:cs="Times New Roman"/>
          <w:color w:val="000000"/>
          <w:sz w:val="24"/>
          <w:szCs w:val="24"/>
        </w:rPr>
        <w:t>–</w:t>
      </w:r>
      <w:r w:rsidR="00521445" w:rsidRPr="001952B6">
        <w:rPr>
          <w:rFonts w:ascii="Times New Roman" w:hAnsi="Times New Roman" w:cs="Times New Roman"/>
          <w:sz w:val="24"/>
          <w:szCs w:val="24"/>
        </w:rPr>
        <w:t xml:space="preserve">1.38, </w:t>
      </w:r>
      <w:r w:rsidR="00521445" w:rsidRPr="001952B6">
        <w:rPr>
          <w:rFonts w:ascii="Times New Roman" w:hAnsi="Times New Roman" w:cs="Times New Roman"/>
          <w:i/>
          <w:sz w:val="24"/>
          <w:szCs w:val="24"/>
        </w:rPr>
        <w:t>P</w:t>
      </w:r>
      <w:r w:rsidR="00521445" w:rsidRPr="001952B6">
        <w:rPr>
          <w:rFonts w:ascii="Times New Roman" w:hAnsi="Times New Roman" w:cs="Times New Roman"/>
          <w:sz w:val="24"/>
          <w:szCs w:val="24"/>
        </w:rPr>
        <w:t xml:space="preserve"> &lt; 0.001) for CVD and 1.71 (1.55</w:t>
      </w:r>
      <w:r w:rsidR="00521445" w:rsidRPr="001952B6">
        <w:rPr>
          <w:rFonts w:ascii="Times New Roman" w:eastAsia="Times New Roman" w:hAnsi="Times New Roman" w:cs="Times New Roman"/>
          <w:color w:val="000000"/>
          <w:sz w:val="24"/>
          <w:szCs w:val="24"/>
        </w:rPr>
        <w:t>–</w:t>
      </w:r>
      <w:r w:rsidR="00521445" w:rsidRPr="001952B6">
        <w:rPr>
          <w:rFonts w:ascii="Times New Roman" w:hAnsi="Times New Roman" w:cs="Times New Roman"/>
          <w:sz w:val="24"/>
          <w:szCs w:val="24"/>
        </w:rPr>
        <w:t xml:space="preserve">1.88, P &lt; 0.001) for mortality. The HR for both outcomes associated with 25(OH)D concentration was non-linear, being significantly increased in patients with 25(OH)D &lt;35 nmol/L, and highest in those with 25(OH)D &lt;25 nmol/L, although increased for mortality at 25(OH)D </w:t>
      </w:r>
      <w:r w:rsidR="00715C15" w:rsidRPr="001952B6">
        <w:rPr>
          <w:rFonts w:ascii="Times New Roman" w:hAnsi="Times New Roman" w:cs="Times New Roman"/>
          <w:sz w:val="24"/>
          <w:szCs w:val="24"/>
        </w:rPr>
        <w:t>≥</w:t>
      </w:r>
      <w:r w:rsidR="00521445" w:rsidRPr="001952B6">
        <w:rPr>
          <w:rFonts w:ascii="Times New Roman" w:hAnsi="Times New Roman" w:cs="Times New Roman"/>
          <w:sz w:val="24"/>
          <w:szCs w:val="24"/>
        </w:rPr>
        <w:t>100 nmol/L. The increased CVD HR in the lowest 25(OH)D quintile was more from IHD (1.35, 95% CI 1.13</w:t>
      </w:r>
      <w:r w:rsidR="00521445" w:rsidRPr="001952B6">
        <w:rPr>
          <w:rFonts w:ascii="Times New Roman" w:eastAsia="Times New Roman" w:hAnsi="Times New Roman" w:cs="Times New Roman"/>
          <w:color w:val="000000"/>
          <w:sz w:val="24"/>
          <w:szCs w:val="24"/>
        </w:rPr>
        <w:t>–</w:t>
      </w:r>
      <w:r w:rsidR="00521445" w:rsidRPr="001952B6">
        <w:rPr>
          <w:rFonts w:ascii="Times New Roman" w:hAnsi="Times New Roman" w:cs="Times New Roman"/>
          <w:sz w:val="24"/>
          <w:szCs w:val="24"/>
        </w:rPr>
        <w:t>1.60) and heart failure (1.38, 95% CI 1.08</w:t>
      </w:r>
      <w:r w:rsidR="00521445" w:rsidRPr="001952B6">
        <w:rPr>
          <w:rFonts w:ascii="Times New Roman" w:eastAsia="Times New Roman" w:hAnsi="Times New Roman" w:cs="Times New Roman"/>
          <w:color w:val="000000"/>
          <w:sz w:val="24"/>
          <w:szCs w:val="24"/>
        </w:rPr>
        <w:t>–</w:t>
      </w:r>
      <w:r w:rsidR="00521445" w:rsidRPr="001952B6">
        <w:rPr>
          <w:rFonts w:ascii="Times New Roman" w:hAnsi="Times New Roman" w:cs="Times New Roman"/>
          <w:sz w:val="24"/>
          <w:szCs w:val="24"/>
        </w:rPr>
        <w:t>1.77), than from cerebrovascular disease (1.13, 95% CI 0.97</w:t>
      </w:r>
      <w:r w:rsidR="00521445" w:rsidRPr="001952B6">
        <w:rPr>
          <w:rFonts w:ascii="Times New Roman" w:eastAsia="Times New Roman" w:hAnsi="Times New Roman" w:cs="Times New Roman"/>
          <w:color w:val="000000"/>
          <w:sz w:val="24"/>
          <w:szCs w:val="24"/>
        </w:rPr>
        <w:t>–</w:t>
      </w:r>
      <w:r w:rsidR="00521445" w:rsidRPr="001952B6">
        <w:rPr>
          <w:rFonts w:ascii="Times New Roman" w:hAnsi="Times New Roman" w:cs="Times New Roman"/>
          <w:sz w:val="24"/>
          <w:szCs w:val="24"/>
        </w:rPr>
        <w:t xml:space="preserve">1.31). </w:t>
      </w:r>
    </w:p>
    <w:p w:rsidR="00521445" w:rsidRPr="001952B6" w:rsidRDefault="00251D0C" w:rsidP="00521445">
      <w:pPr>
        <w:spacing w:after="0" w:line="480" w:lineRule="auto"/>
        <w:rPr>
          <w:rFonts w:ascii="Times New Roman" w:hAnsi="Times New Roman" w:cs="Times New Roman"/>
          <w:sz w:val="24"/>
          <w:szCs w:val="24"/>
        </w:rPr>
      </w:pPr>
      <w:r w:rsidRPr="001952B6">
        <w:rPr>
          <w:rFonts w:ascii="Times New Roman" w:hAnsi="Times New Roman" w:cs="Times New Roman"/>
          <w:b/>
          <w:sz w:val="24"/>
          <w:szCs w:val="24"/>
        </w:rPr>
        <w:t xml:space="preserve">Conclusion: </w:t>
      </w:r>
      <w:r w:rsidR="00A916C3" w:rsidRPr="001952B6">
        <w:rPr>
          <w:rFonts w:ascii="Times New Roman" w:hAnsi="Times New Roman" w:cs="Times New Roman"/>
          <w:sz w:val="24"/>
          <w:szCs w:val="24"/>
        </w:rPr>
        <w:t>Low</w:t>
      </w:r>
      <w:r w:rsidR="00521445" w:rsidRPr="001952B6">
        <w:rPr>
          <w:rFonts w:ascii="Times New Roman" w:hAnsi="Times New Roman" w:cs="Times New Roman"/>
          <w:sz w:val="24"/>
          <w:szCs w:val="24"/>
        </w:rPr>
        <w:t xml:space="preserve"> 25(OH)D are associated with highest risk of CVD and mortality, and are consistent with accumulating evidence that increased risk of these diseases occurs primarily in people with vitamin D deficiency. </w:t>
      </w:r>
    </w:p>
    <w:p w:rsidR="00883946" w:rsidRPr="001952B6" w:rsidRDefault="005506EB" w:rsidP="00575E33">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b/>
          <w:sz w:val="24"/>
          <w:szCs w:val="24"/>
        </w:rPr>
        <w:lastRenderedPageBreak/>
        <w:t>Keywords</w:t>
      </w:r>
      <w:r w:rsidR="00422285" w:rsidRPr="001952B6">
        <w:rPr>
          <w:rFonts w:ascii="Times New Roman" w:hAnsi="Times New Roman" w:cs="Times New Roman"/>
          <w:b/>
          <w:sz w:val="24"/>
          <w:szCs w:val="24"/>
        </w:rPr>
        <w:t>:</w:t>
      </w:r>
      <w:r w:rsidR="00422285" w:rsidRPr="001952B6">
        <w:rPr>
          <w:rFonts w:ascii="Times New Roman" w:hAnsi="Times New Roman" w:cs="Times New Roman"/>
          <w:sz w:val="24"/>
          <w:szCs w:val="24"/>
        </w:rPr>
        <w:t xml:space="preserve"> 25-hydroxyvitamin D; cardiovascular disease, </w:t>
      </w:r>
      <w:r w:rsidR="00D048FD" w:rsidRPr="001952B6">
        <w:rPr>
          <w:rFonts w:ascii="Times New Roman" w:hAnsi="Times New Roman" w:cs="Times New Roman"/>
          <w:sz w:val="24"/>
          <w:szCs w:val="24"/>
        </w:rPr>
        <w:t>electronic health records; mortality; vitamin D</w:t>
      </w:r>
      <w:r w:rsidR="00020018" w:rsidRPr="001952B6">
        <w:rPr>
          <w:rFonts w:ascii="Times New Roman" w:hAnsi="Times New Roman" w:cs="Times New Roman"/>
          <w:sz w:val="24"/>
          <w:szCs w:val="24"/>
        </w:rPr>
        <w:t>.</w:t>
      </w:r>
      <w:r w:rsidR="00422285" w:rsidRPr="001952B6">
        <w:rPr>
          <w:rFonts w:ascii="Times New Roman" w:hAnsi="Times New Roman" w:cs="Times New Roman"/>
          <w:sz w:val="24"/>
          <w:szCs w:val="24"/>
        </w:rPr>
        <w:t xml:space="preserve"> </w:t>
      </w:r>
      <w:r w:rsidR="00883946" w:rsidRPr="001952B6">
        <w:rPr>
          <w:rFonts w:ascii="Times New Roman" w:hAnsi="Times New Roman" w:cs="Times New Roman"/>
          <w:sz w:val="24"/>
          <w:szCs w:val="24"/>
        </w:rPr>
        <w:br w:type="page"/>
      </w:r>
    </w:p>
    <w:p w:rsidR="007166B4" w:rsidRPr="001952B6" w:rsidRDefault="007166B4" w:rsidP="00575E33">
      <w:pPr>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Introduction</w:t>
      </w:r>
    </w:p>
    <w:p w:rsidR="0065095F" w:rsidRPr="001952B6" w:rsidRDefault="0065095F" w:rsidP="00353070">
      <w:pPr>
        <w:spacing w:before="60" w:after="20" w:line="480" w:lineRule="auto"/>
        <w:rPr>
          <w:rFonts w:ascii="Times New Roman" w:hAnsi="Times New Roman" w:cs="Times New Roman"/>
          <w:sz w:val="24"/>
          <w:szCs w:val="24"/>
        </w:rPr>
      </w:pPr>
      <w:r w:rsidRPr="001952B6">
        <w:rPr>
          <w:rFonts w:ascii="Times New Roman" w:hAnsi="Times New Roman" w:cs="Times New Roman"/>
          <w:sz w:val="24"/>
          <w:szCs w:val="24"/>
        </w:rPr>
        <w:t xml:space="preserve">A recent meta-analysis of prospective studies </w:t>
      </w:r>
      <w:r w:rsidR="00196656" w:rsidRPr="001952B6">
        <w:rPr>
          <w:rFonts w:ascii="Times New Roman" w:hAnsi="Times New Roman" w:cs="Times New Roman"/>
          <w:sz w:val="24"/>
          <w:szCs w:val="24"/>
        </w:rPr>
        <w:t>(1)</w:t>
      </w:r>
      <w:r w:rsidR="00F54E6A" w:rsidRPr="001952B6">
        <w:rPr>
          <w:rFonts w:ascii="Times New Roman" w:hAnsi="Times New Roman" w:cs="Times New Roman"/>
          <w:sz w:val="24"/>
          <w:szCs w:val="24"/>
        </w:rPr>
        <w:t xml:space="preserve"> </w:t>
      </w:r>
      <w:r w:rsidRPr="001952B6">
        <w:rPr>
          <w:rFonts w:ascii="Times New Roman" w:hAnsi="Times New Roman" w:cs="Times New Roman"/>
          <w:sz w:val="24"/>
          <w:szCs w:val="24"/>
        </w:rPr>
        <w:t xml:space="preserve">showed evidence </w:t>
      </w:r>
      <w:r w:rsidR="00B928AE" w:rsidRPr="001952B6">
        <w:rPr>
          <w:rFonts w:ascii="Times New Roman" w:hAnsi="Times New Roman" w:cs="Times New Roman"/>
          <w:sz w:val="24"/>
          <w:szCs w:val="24"/>
        </w:rPr>
        <w:t>of</w:t>
      </w:r>
      <w:r w:rsidRPr="001952B6">
        <w:rPr>
          <w:rFonts w:ascii="Times New Roman" w:hAnsi="Times New Roman" w:cs="Times New Roman"/>
          <w:sz w:val="24"/>
          <w:szCs w:val="24"/>
        </w:rPr>
        <w:t xml:space="preserve"> an inverse association between circulating concentrations </w:t>
      </w:r>
      <w:r w:rsidR="00B928AE" w:rsidRPr="001952B6">
        <w:rPr>
          <w:rFonts w:ascii="Times New Roman" w:hAnsi="Times New Roman" w:cs="Times New Roman"/>
          <w:sz w:val="24"/>
          <w:szCs w:val="24"/>
        </w:rPr>
        <w:t xml:space="preserve">of </w:t>
      </w:r>
      <w:r w:rsidR="00521445" w:rsidRPr="001952B6">
        <w:rPr>
          <w:rFonts w:ascii="Times New Roman" w:hAnsi="Times New Roman" w:cs="Times New Roman"/>
          <w:sz w:val="24"/>
          <w:szCs w:val="24"/>
        </w:rPr>
        <w:t>cardiovascular disease (</w:t>
      </w:r>
      <w:r w:rsidRPr="001952B6">
        <w:rPr>
          <w:rFonts w:ascii="Times New Roman" w:hAnsi="Times New Roman" w:cs="Times New Roman"/>
          <w:sz w:val="24"/>
          <w:szCs w:val="24"/>
        </w:rPr>
        <w:t>CVD</w:t>
      </w:r>
      <w:r w:rsidR="00521445" w:rsidRPr="001952B6">
        <w:rPr>
          <w:rFonts w:ascii="Times New Roman" w:hAnsi="Times New Roman" w:cs="Times New Roman"/>
          <w:sz w:val="24"/>
          <w:szCs w:val="24"/>
        </w:rPr>
        <w:t>)</w:t>
      </w:r>
      <w:r w:rsidR="00B928AE" w:rsidRPr="001952B6">
        <w:rPr>
          <w:rFonts w:ascii="Times New Roman" w:hAnsi="Times New Roman" w:cs="Times New Roman"/>
          <w:sz w:val="24"/>
          <w:szCs w:val="24"/>
        </w:rPr>
        <w:t xml:space="preserve"> and circulating concentrations of the vitamin D biomarker 25-hydroxyvitamin D (25(OH)D)</w:t>
      </w:r>
      <w:r w:rsidRPr="001952B6">
        <w:rPr>
          <w:rFonts w:ascii="Times New Roman" w:hAnsi="Times New Roman" w:cs="Times New Roman"/>
          <w:sz w:val="24"/>
          <w:szCs w:val="24"/>
        </w:rPr>
        <w:t xml:space="preserve">. </w:t>
      </w:r>
      <w:r w:rsidR="00B928AE" w:rsidRPr="001952B6">
        <w:rPr>
          <w:rFonts w:ascii="Times New Roman" w:hAnsi="Times New Roman" w:cs="Times New Roman"/>
          <w:sz w:val="24"/>
          <w:szCs w:val="24"/>
        </w:rPr>
        <w:t>However, t</w:t>
      </w:r>
      <w:r w:rsidR="00251D0C" w:rsidRPr="001952B6">
        <w:rPr>
          <w:rFonts w:ascii="Times New Roman" w:hAnsi="Times New Roman" w:cs="Times New Roman"/>
          <w:sz w:val="24"/>
          <w:szCs w:val="24"/>
        </w:rPr>
        <w:t xml:space="preserve">here was considerable between </w:t>
      </w:r>
      <w:r w:rsidR="00B928AE" w:rsidRPr="001952B6">
        <w:rPr>
          <w:rFonts w:ascii="Times New Roman" w:hAnsi="Times New Roman" w:cs="Times New Roman"/>
          <w:sz w:val="24"/>
          <w:szCs w:val="24"/>
        </w:rPr>
        <w:t>study heterogeneity</w:t>
      </w:r>
      <w:r w:rsidR="00251D0C" w:rsidRPr="001952B6">
        <w:rPr>
          <w:rFonts w:ascii="Times New Roman" w:hAnsi="Times New Roman" w:cs="Times New Roman"/>
          <w:sz w:val="24"/>
          <w:szCs w:val="24"/>
        </w:rPr>
        <w:t xml:space="preserve"> with the association of 25(OH)D with CVD risk being much stronger in two studies where the lowest category of circulating </w:t>
      </w:r>
      <w:r w:rsidR="00B928AE" w:rsidRPr="001952B6">
        <w:rPr>
          <w:rFonts w:ascii="Times New Roman" w:hAnsi="Times New Roman" w:cs="Times New Roman"/>
          <w:sz w:val="24"/>
          <w:szCs w:val="24"/>
        </w:rPr>
        <w:t xml:space="preserve"> </w:t>
      </w:r>
      <w:r w:rsidR="00251D0C" w:rsidRPr="001952B6">
        <w:rPr>
          <w:rFonts w:ascii="Times New Roman" w:hAnsi="Times New Roman" w:cs="Times New Roman"/>
          <w:sz w:val="24"/>
          <w:szCs w:val="24"/>
        </w:rPr>
        <w:t>25(OH)D</w:t>
      </w:r>
      <w:r w:rsidR="00B928AE" w:rsidRPr="001952B6">
        <w:rPr>
          <w:rFonts w:ascii="Times New Roman" w:hAnsi="Times New Roman" w:cs="Times New Roman"/>
          <w:sz w:val="24"/>
          <w:szCs w:val="24"/>
        </w:rPr>
        <w:t xml:space="preserve"> levels</w:t>
      </w:r>
      <w:r w:rsidR="00251D0C" w:rsidRPr="001952B6">
        <w:rPr>
          <w:rFonts w:ascii="Times New Roman" w:hAnsi="Times New Roman" w:cs="Times New Roman"/>
          <w:sz w:val="24"/>
          <w:szCs w:val="24"/>
        </w:rPr>
        <w:t xml:space="preserve"> was less than 25 nmol/L</w:t>
      </w:r>
      <w:r w:rsidR="001E2EB4" w:rsidRPr="001952B6">
        <w:rPr>
          <w:rFonts w:ascii="Times New Roman" w:hAnsi="Times New Roman" w:cs="Times New Roman"/>
          <w:sz w:val="24"/>
          <w:szCs w:val="24"/>
        </w:rPr>
        <w:t xml:space="preserve"> </w:t>
      </w:r>
      <w:r w:rsidR="00196656" w:rsidRPr="001952B6">
        <w:rPr>
          <w:rFonts w:ascii="Times New Roman" w:hAnsi="Times New Roman" w:cs="Times New Roman"/>
          <w:sz w:val="24"/>
          <w:szCs w:val="24"/>
        </w:rPr>
        <w:t>(2, 3)</w:t>
      </w:r>
      <w:r w:rsidR="001E2EB4" w:rsidRPr="001952B6">
        <w:rPr>
          <w:rFonts w:ascii="Times New Roman" w:hAnsi="Times New Roman" w:cs="Times New Roman"/>
          <w:sz w:val="24"/>
          <w:szCs w:val="24"/>
        </w:rPr>
        <w:t>.</w:t>
      </w:r>
      <w:r w:rsidRPr="001952B6">
        <w:rPr>
          <w:rFonts w:ascii="Times New Roman" w:hAnsi="Times New Roman" w:cs="Times New Roman"/>
          <w:sz w:val="24"/>
          <w:szCs w:val="24"/>
        </w:rPr>
        <w:t xml:space="preserve"> </w:t>
      </w:r>
      <w:r w:rsidR="00492741" w:rsidRPr="001952B6">
        <w:rPr>
          <w:rFonts w:ascii="Times New Roman" w:hAnsi="Times New Roman" w:cs="Times New Roman"/>
          <w:sz w:val="24"/>
          <w:szCs w:val="24"/>
        </w:rPr>
        <w:t xml:space="preserve">Lower circulating concentrations of </w:t>
      </w:r>
      <w:r w:rsidR="00042F77" w:rsidRPr="001952B6">
        <w:rPr>
          <w:rFonts w:ascii="Times New Roman" w:hAnsi="Times New Roman" w:cs="Times New Roman"/>
          <w:sz w:val="24"/>
          <w:szCs w:val="24"/>
        </w:rPr>
        <w:t>25(OH)D</w:t>
      </w:r>
      <w:r w:rsidR="00492741" w:rsidRPr="001952B6">
        <w:rPr>
          <w:rFonts w:ascii="Times New Roman" w:hAnsi="Times New Roman" w:cs="Times New Roman"/>
          <w:sz w:val="24"/>
          <w:szCs w:val="24"/>
        </w:rPr>
        <w:t xml:space="preserve"> have also been associated with a</w:t>
      </w:r>
      <w:r w:rsidR="00976946" w:rsidRPr="001952B6">
        <w:rPr>
          <w:rFonts w:ascii="Times New Roman" w:hAnsi="Times New Roman" w:cs="Times New Roman"/>
          <w:sz w:val="24"/>
          <w:szCs w:val="24"/>
        </w:rPr>
        <w:t xml:space="preserve">n increased </w:t>
      </w:r>
      <w:r w:rsidR="00492741" w:rsidRPr="001952B6">
        <w:rPr>
          <w:rFonts w:ascii="Times New Roman" w:hAnsi="Times New Roman" w:cs="Times New Roman"/>
          <w:sz w:val="24"/>
          <w:szCs w:val="24"/>
        </w:rPr>
        <w:t>risk of mortality</w:t>
      </w:r>
      <w:r w:rsidR="001E2EB4" w:rsidRPr="001952B6">
        <w:rPr>
          <w:rFonts w:ascii="Times New Roman" w:hAnsi="Times New Roman" w:cs="Times New Roman"/>
          <w:sz w:val="24"/>
          <w:szCs w:val="24"/>
        </w:rPr>
        <w:t xml:space="preserve"> </w:t>
      </w:r>
      <w:r w:rsidR="00196656" w:rsidRPr="001952B6">
        <w:rPr>
          <w:rFonts w:ascii="Times New Roman" w:hAnsi="Times New Roman" w:cs="Times New Roman"/>
          <w:sz w:val="24"/>
          <w:szCs w:val="24"/>
        </w:rPr>
        <w:t>(4-7)</w:t>
      </w:r>
      <w:r w:rsidR="001E2EB4" w:rsidRPr="001952B6">
        <w:rPr>
          <w:rFonts w:ascii="Times New Roman" w:hAnsi="Times New Roman" w:cs="Times New Roman"/>
          <w:sz w:val="24"/>
          <w:szCs w:val="24"/>
        </w:rPr>
        <w:t>.</w:t>
      </w:r>
      <w:r w:rsidR="00492741" w:rsidRPr="001952B6">
        <w:rPr>
          <w:rFonts w:ascii="Times New Roman" w:hAnsi="Times New Roman" w:cs="Times New Roman"/>
          <w:sz w:val="24"/>
          <w:szCs w:val="24"/>
        </w:rPr>
        <w:t xml:space="preserve"> </w:t>
      </w:r>
      <w:r w:rsidR="00CC1355" w:rsidRPr="001952B6">
        <w:rPr>
          <w:rFonts w:ascii="Times New Roman" w:hAnsi="Times New Roman" w:cs="Times New Roman"/>
          <w:sz w:val="24"/>
          <w:szCs w:val="24"/>
        </w:rPr>
        <w:t>Results from a</w:t>
      </w:r>
      <w:r w:rsidR="00F83004" w:rsidRPr="001952B6">
        <w:rPr>
          <w:rFonts w:ascii="Times New Roman" w:hAnsi="Times New Roman" w:cs="Times New Roman"/>
          <w:sz w:val="24"/>
          <w:szCs w:val="24"/>
        </w:rPr>
        <w:t xml:space="preserve"> recent</w:t>
      </w:r>
      <w:r w:rsidR="00492741" w:rsidRPr="001952B6">
        <w:rPr>
          <w:rFonts w:ascii="Times New Roman" w:hAnsi="Times New Roman" w:cs="Times New Roman"/>
          <w:sz w:val="24"/>
          <w:szCs w:val="24"/>
        </w:rPr>
        <w:t xml:space="preserve"> individual participant </w:t>
      </w:r>
      <w:r w:rsidR="00CC1355" w:rsidRPr="001952B6">
        <w:rPr>
          <w:rFonts w:ascii="Times New Roman" w:hAnsi="Times New Roman" w:cs="Times New Roman"/>
          <w:sz w:val="24"/>
          <w:szCs w:val="24"/>
        </w:rPr>
        <w:t>meta-</w:t>
      </w:r>
      <w:r w:rsidR="00492741" w:rsidRPr="001952B6">
        <w:rPr>
          <w:rFonts w:ascii="Times New Roman" w:hAnsi="Times New Roman" w:cs="Times New Roman"/>
          <w:sz w:val="24"/>
          <w:szCs w:val="24"/>
        </w:rPr>
        <w:t xml:space="preserve">analysis </w:t>
      </w:r>
      <w:r w:rsidR="00CC1355" w:rsidRPr="001952B6">
        <w:rPr>
          <w:rFonts w:ascii="Times New Roman" w:hAnsi="Times New Roman" w:cs="Times New Roman"/>
          <w:sz w:val="24"/>
          <w:szCs w:val="24"/>
        </w:rPr>
        <w:t xml:space="preserve">of standardised </w:t>
      </w:r>
      <w:r w:rsidR="00492741" w:rsidRPr="001952B6">
        <w:rPr>
          <w:rFonts w:ascii="Times New Roman" w:hAnsi="Times New Roman" w:cs="Times New Roman"/>
          <w:sz w:val="24"/>
          <w:szCs w:val="24"/>
        </w:rPr>
        <w:t xml:space="preserve">circulating 25(OH)D concentrations </w:t>
      </w:r>
      <w:r w:rsidR="00CC1355" w:rsidRPr="001952B6">
        <w:rPr>
          <w:rFonts w:ascii="Times New Roman" w:hAnsi="Times New Roman" w:cs="Times New Roman"/>
          <w:sz w:val="24"/>
          <w:szCs w:val="24"/>
        </w:rPr>
        <w:t>showed that mortality was raised among participants with 25(OH)D lower than 50 nmol/L</w:t>
      </w:r>
      <w:r w:rsidR="00D44FAD" w:rsidRPr="001952B6">
        <w:rPr>
          <w:rFonts w:ascii="Times New Roman" w:hAnsi="Times New Roman" w:cs="Times New Roman"/>
          <w:sz w:val="24"/>
          <w:szCs w:val="24"/>
        </w:rPr>
        <w:t xml:space="preserve"> </w:t>
      </w:r>
      <w:r w:rsidR="00196656" w:rsidRPr="001952B6">
        <w:rPr>
          <w:rFonts w:ascii="Times New Roman" w:hAnsi="Times New Roman" w:cs="Times New Roman"/>
          <w:sz w:val="24"/>
          <w:szCs w:val="24"/>
        </w:rPr>
        <w:t>(5)</w:t>
      </w:r>
      <w:r w:rsidR="00D44FAD" w:rsidRPr="001952B6">
        <w:rPr>
          <w:rFonts w:ascii="Times New Roman" w:hAnsi="Times New Roman" w:cs="Times New Roman"/>
          <w:sz w:val="24"/>
          <w:szCs w:val="24"/>
        </w:rPr>
        <w:t>.</w:t>
      </w:r>
      <w:r w:rsidR="001877F8" w:rsidRPr="001952B6">
        <w:rPr>
          <w:rFonts w:ascii="Times New Roman" w:hAnsi="Times New Roman" w:cs="Times New Roman"/>
          <w:sz w:val="24"/>
          <w:szCs w:val="24"/>
        </w:rPr>
        <w:t xml:space="preserve"> </w:t>
      </w:r>
      <w:r w:rsidR="006D69D1" w:rsidRPr="001952B6">
        <w:rPr>
          <w:rFonts w:ascii="Times New Roman" w:hAnsi="Times New Roman" w:cs="Times New Roman"/>
          <w:sz w:val="24"/>
          <w:szCs w:val="24"/>
        </w:rPr>
        <w:t>Despite the consistent finding of an inverse association of 25(OH)D and risk of CVD and mortality in observational studies</w:t>
      </w:r>
      <w:r w:rsidR="001877F8" w:rsidRPr="001952B6">
        <w:rPr>
          <w:rFonts w:ascii="Times New Roman" w:hAnsi="Times New Roman" w:cs="Times New Roman"/>
          <w:sz w:val="24"/>
          <w:szCs w:val="24"/>
        </w:rPr>
        <w:t>, m</w:t>
      </w:r>
      <w:r w:rsidR="00A62533" w:rsidRPr="001952B6">
        <w:rPr>
          <w:rFonts w:ascii="Times New Roman" w:hAnsi="Times New Roman" w:cs="Times New Roman"/>
          <w:sz w:val="24"/>
          <w:szCs w:val="24"/>
        </w:rPr>
        <w:t>e</w:t>
      </w:r>
      <w:r w:rsidR="00A15076" w:rsidRPr="001952B6">
        <w:rPr>
          <w:rFonts w:ascii="Times New Roman" w:hAnsi="Times New Roman" w:cs="Times New Roman"/>
          <w:sz w:val="24"/>
          <w:szCs w:val="24"/>
        </w:rPr>
        <w:t xml:space="preserve">ta-analyses of </w:t>
      </w:r>
      <w:r w:rsidR="00F83004" w:rsidRPr="001952B6">
        <w:rPr>
          <w:rFonts w:ascii="Times New Roman" w:hAnsi="Times New Roman" w:cs="Times New Roman"/>
          <w:sz w:val="24"/>
          <w:szCs w:val="24"/>
        </w:rPr>
        <w:t>randomi</w:t>
      </w:r>
      <w:r w:rsidR="00A15076" w:rsidRPr="001952B6">
        <w:rPr>
          <w:rFonts w:ascii="Times New Roman" w:hAnsi="Times New Roman" w:cs="Times New Roman"/>
          <w:sz w:val="24"/>
          <w:szCs w:val="24"/>
        </w:rPr>
        <w:t>sed controlled trials of vitami</w:t>
      </w:r>
      <w:r w:rsidR="00F83004" w:rsidRPr="001952B6">
        <w:rPr>
          <w:rFonts w:ascii="Times New Roman" w:hAnsi="Times New Roman" w:cs="Times New Roman"/>
          <w:sz w:val="24"/>
          <w:szCs w:val="24"/>
        </w:rPr>
        <w:t>n D supplemen</w:t>
      </w:r>
      <w:r w:rsidR="00A15076" w:rsidRPr="001952B6">
        <w:rPr>
          <w:rFonts w:ascii="Times New Roman" w:hAnsi="Times New Roman" w:cs="Times New Roman"/>
          <w:sz w:val="24"/>
          <w:szCs w:val="24"/>
        </w:rPr>
        <w:t>t</w:t>
      </w:r>
      <w:r w:rsidR="00F83004" w:rsidRPr="001952B6">
        <w:rPr>
          <w:rFonts w:ascii="Times New Roman" w:hAnsi="Times New Roman" w:cs="Times New Roman"/>
          <w:sz w:val="24"/>
          <w:szCs w:val="24"/>
        </w:rPr>
        <w:t>ation and CVD and mortality have</w:t>
      </w:r>
      <w:r w:rsidR="00FB321F" w:rsidRPr="001952B6">
        <w:rPr>
          <w:rFonts w:ascii="Times New Roman" w:hAnsi="Times New Roman" w:cs="Times New Roman"/>
          <w:sz w:val="24"/>
          <w:szCs w:val="24"/>
        </w:rPr>
        <w:t xml:space="preserve"> generally</w:t>
      </w:r>
      <w:r w:rsidR="00F83004" w:rsidRPr="001952B6">
        <w:rPr>
          <w:rFonts w:ascii="Times New Roman" w:hAnsi="Times New Roman" w:cs="Times New Roman"/>
          <w:sz w:val="24"/>
          <w:szCs w:val="24"/>
        </w:rPr>
        <w:t xml:space="preserve"> been mixed</w:t>
      </w:r>
      <w:r w:rsidR="00FB321F" w:rsidRPr="001952B6">
        <w:rPr>
          <w:rFonts w:ascii="Times New Roman" w:hAnsi="Times New Roman" w:cs="Times New Roman"/>
          <w:sz w:val="24"/>
          <w:szCs w:val="24"/>
        </w:rPr>
        <w:t xml:space="preserve"> </w:t>
      </w:r>
      <w:r w:rsidR="00D44FAD" w:rsidRPr="001952B6">
        <w:rPr>
          <w:rFonts w:ascii="Times New Roman" w:hAnsi="Times New Roman" w:cs="Times New Roman"/>
          <w:sz w:val="24"/>
          <w:szCs w:val="24"/>
        </w:rPr>
        <w:t xml:space="preserve"> </w:t>
      </w:r>
      <w:r w:rsidR="00196656" w:rsidRPr="001952B6">
        <w:rPr>
          <w:rFonts w:ascii="Times New Roman" w:hAnsi="Times New Roman" w:cs="Times New Roman"/>
          <w:sz w:val="24"/>
          <w:szCs w:val="24"/>
        </w:rPr>
        <w:t>(8, 9)</w:t>
      </w:r>
      <w:r w:rsidR="00D44FAD" w:rsidRPr="001952B6">
        <w:rPr>
          <w:rFonts w:ascii="Times New Roman" w:hAnsi="Times New Roman" w:cs="Times New Roman"/>
          <w:sz w:val="24"/>
          <w:szCs w:val="24"/>
        </w:rPr>
        <w:t>.</w:t>
      </w:r>
      <w:r w:rsidR="00A15076" w:rsidRPr="001952B6">
        <w:rPr>
          <w:rFonts w:ascii="Times New Roman" w:hAnsi="Times New Roman" w:cs="Times New Roman"/>
          <w:sz w:val="24"/>
          <w:szCs w:val="24"/>
        </w:rPr>
        <w:t xml:space="preserve"> Many of the trials, including the recent trial</w:t>
      </w:r>
      <w:r w:rsidR="00976946" w:rsidRPr="001952B6">
        <w:rPr>
          <w:rFonts w:ascii="Times New Roman" w:hAnsi="Times New Roman" w:cs="Times New Roman"/>
          <w:sz w:val="24"/>
          <w:szCs w:val="24"/>
        </w:rPr>
        <w:t>s</w:t>
      </w:r>
      <w:r w:rsidR="00A15076" w:rsidRPr="001952B6">
        <w:rPr>
          <w:rFonts w:ascii="Times New Roman" w:hAnsi="Times New Roman" w:cs="Times New Roman"/>
          <w:sz w:val="24"/>
          <w:szCs w:val="24"/>
        </w:rPr>
        <w:t xml:space="preserve"> conducted in </w:t>
      </w:r>
      <w:r w:rsidR="00976946" w:rsidRPr="001952B6">
        <w:rPr>
          <w:rFonts w:ascii="Times New Roman" w:hAnsi="Times New Roman" w:cs="Times New Roman"/>
          <w:sz w:val="24"/>
          <w:szCs w:val="24"/>
        </w:rPr>
        <w:t xml:space="preserve">New Zealand </w:t>
      </w:r>
      <w:r w:rsidR="007346B8" w:rsidRPr="001952B6">
        <w:rPr>
          <w:rFonts w:ascii="Times New Roman" w:hAnsi="Times New Roman" w:cs="Times New Roman"/>
          <w:sz w:val="24"/>
          <w:szCs w:val="24"/>
        </w:rPr>
        <w:t xml:space="preserve">– the </w:t>
      </w:r>
      <w:r w:rsidR="007346B8" w:rsidRPr="001952B6">
        <w:rPr>
          <w:rFonts w:ascii="Times New Roman" w:hAnsi="Times New Roman" w:cs="Times New Roman"/>
          <w:color w:val="000000"/>
          <w:sz w:val="24"/>
          <w:szCs w:val="24"/>
          <w:shd w:val="clear" w:color="auto" w:fill="FFFFFF"/>
        </w:rPr>
        <w:t>Vitamin D Assessment (ViDA) study</w:t>
      </w:r>
      <w:r w:rsidR="00D44FAD" w:rsidRPr="001952B6">
        <w:rPr>
          <w:rFonts w:ascii="Times New Roman" w:hAnsi="Times New Roman" w:cs="Times New Roman"/>
          <w:color w:val="000000"/>
          <w:sz w:val="24"/>
          <w:szCs w:val="24"/>
          <w:shd w:val="clear" w:color="auto" w:fill="FFFFFF"/>
        </w:rPr>
        <w:t xml:space="preserve"> </w:t>
      </w:r>
      <w:r w:rsidR="00071C8C" w:rsidRPr="001952B6">
        <w:rPr>
          <w:rFonts w:ascii="Times New Roman" w:hAnsi="Times New Roman" w:cs="Times New Roman"/>
          <w:color w:val="000000"/>
          <w:sz w:val="24"/>
          <w:szCs w:val="24"/>
          <w:shd w:val="clear" w:color="auto" w:fill="FFFFFF"/>
        </w:rPr>
        <w:t>(10)</w:t>
      </w:r>
      <w:r w:rsidR="00D44FAD" w:rsidRPr="001952B6">
        <w:rPr>
          <w:rFonts w:ascii="Times New Roman" w:hAnsi="Times New Roman" w:cs="Times New Roman"/>
          <w:color w:val="000000"/>
          <w:sz w:val="24"/>
          <w:szCs w:val="24"/>
          <w:shd w:val="clear" w:color="auto" w:fill="FFFFFF"/>
        </w:rPr>
        <w:t>,</w:t>
      </w:r>
      <w:r w:rsidR="007346B8" w:rsidRPr="001952B6">
        <w:rPr>
          <w:rFonts w:ascii="Times New Roman" w:hAnsi="Times New Roman" w:cs="Times New Roman"/>
          <w:color w:val="000000"/>
          <w:sz w:val="24"/>
          <w:szCs w:val="24"/>
          <w:shd w:val="clear" w:color="auto" w:fill="FFFFFF"/>
        </w:rPr>
        <w:t xml:space="preserve"> </w:t>
      </w:r>
      <w:r w:rsidR="00976946" w:rsidRPr="001952B6">
        <w:rPr>
          <w:rFonts w:ascii="Times New Roman" w:hAnsi="Times New Roman" w:cs="Times New Roman"/>
          <w:sz w:val="24"/>
          <w:szCs w:val="24"/>
        </w:rPr>
        <w:t xml:space="preserve">and </w:t>
      </w:r>
      <w:r w:rsidR="00A15076" w:rsidRPr="001952B6">
        <w:rPr>
          <w:rFonts w:ascii="Times New Roman" w:hAnsi="Times New Roman" w:cs="Times New Roman"/>
          <w:sz w:val="24"/>
          <w:szCs w:val="24"/>
        </w:rPr>
        <w:t>the US –</w:t>
      </w:r>
      <w:r w:rsidR="007346B8" w:rsidRPr="001952B6">
        <w:rPr>
          <w:rFonts w:ascii="Times New Roman" w:hAnsi="Times New Roman" w:cs="Times New Roman"/>
          <w:sz w:val="24"/>
          <w:szCs w:val="24"/>
        </w:rPr>
        <w:t xml:space="preserve"> the </w:t>
      </w:r>
      <w:r w:rsidR="007346B8" w:rsidRPr="001952B6">
        <w:rPr>
          <w:rFonts w:ascii="Times New Roman" w:hAnsi="Times New Roman" w:cs="Times New Roman"/>
          <w:color w:val="000000"/>
          <w:sz w:val="24"/>
          <w:szCs w:val="24"/>
          <w:shd w:val="clear" w:color="auto" w:fill="FFFFFF"/>
        </w:rPr>
        <w:t>VITa</w:t>
      </w:r>
      <w:r w:rsidR="002209FB" w:rsidRPr="001952B6">
        <w:rPr>
          <w:rFonts w:ascii="Times New Roman" w:hAnsi="Times New Roman" w:cs="Times New Roman"/>
          <w:color w:val="000000"/>
          <w:sz w:val="24"/>
          <w:szCs w:val="24"/>
          <w:shd w:val="clear" w:color="auto" w:fill="FFFFFF"/>
        </w:rPr>
        <w:t>min D and OmegA-3 TriaL (VITAL)</w:t>
      </w:r>
      <w:r w:rsidR="00D44FAD" w:rsidRPr="001952B6">
        <w:rPr>
          <w:rFonts w:ascii="Times New Roman" w:hAnsi="Times New Roman" w:cs="Times New Roman"/>
          <w:color w:val="000000"/>
          <w:sz w:val="24"/>
          <w:szCs w:val="24"/>
          <w:shd w:val="clear" w:color="auto" w:fill="FFFFFF"/>
        </w:rPr>
        <w:t xml:space="preserve"> </w:t>
      </w:r>
      <w:r w:rsidR="00071C8C" w:rsidRPr="001952B6">
        <w:rPr>
          <w:rFonts w:ascii="Times New Roman" w:hAnsi="Times New Roman" w:cs="Times New Roman"/>
          <w:color w:val="000000"/>
          <w:sz w:val="24"/>
          <w:szCs w:val="24"/>
          <w:shd w:val="clear" w:color="auto" w:fill="FFFFFF"/>
        </w:rPr>
        <w:t>(11)</w:t>
      </w:r>
      <w:r w:rsidR="00273A6A" w:rsidRPr="001952B6">
        <w:rPr>
          <w:rFonts w:ascii="Times New Roman" w:hAnsi="Times New Roman" w:cs="Times New Roman"/>
          <w:color w:val="000000"/>
          <w:sz w:val="24"/>
          <w:szCs w:val="24"/>
          <w:shd w:val="clear" w:color="auto" w:fill="FFFFFF"/>
        </w:rPr>
        <w:t xml:space="preserve"> </w:t>
      </w:r>
      <w:r w:rsidR="00A15076" w:rsidRPr="001952B6">
        <w:rPr>
          <w:rFonts w:ascii="Times New Roman" w:hAnsi="Times New Roman" w:cs="Times New Roman"/>
          <w:color w:val="000000"/>
          <w:sz w:val="24"/>
          <w:szCs w:val="24"/>
          <w:shd w:val="clear" w:color="auto" w:fill="FFFFFF"/>
        </w:rPr>
        <w:t xml:space="preserve">were limited by the fact they included only a small proportion of participants with low circulating concentrations of 25(OH)D. </w:t>
      </w:r>
    </w:p>
    <w:p w:rsidR="00353070" w:rsidRPr="001952B6" w:rsidRDefault="00353070" w:rsidP="00353070">
      <w:pPr>
        <w:spacing w:after="0" w:line="480" w:lineRule="auto"/>
        <w:rPr>
          <w:rFonts w:ascii="Times New Roman" w:hAnsi="Times New Roman" w:cs="Times New Roman"/>
          <w:sz w:val="24"/>
          <w:szCs w:val="24"/>
        </w:rPr>
      </w:pPr>
    </w:p>
    <w:p w:rsidR="0065095F" w:rsidRPr="001952B6" w:rsidRDefault="0065095F" w:rsidP="00353070">
      <w:pPr>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The Health Improvement Network (THIN) database includes general practice (GP) records of over 11 million patients from over </w:t>
      </w:r>
      <w:r w:rsidR="00285674" w:rsidRPr="001952B6">
        <w:rPr>
          <w:rFonts w:ascii="Times New Roman" w:hAnsi="Times New Roman" w:cs="Times New Roman"/>
          <w:sz w:val="24"/>
          <w:szCs w:val="24"/>
        </w:rPr>
        <w:t>700</w:t>
      </w:r>
      <w:r w:rsidRPr="001952B6">
        <w:rPr>
          <w:rFonts w:ascii="Times New Roman" w:hAnsi="Times New Roman" w:cs="Times New Roman"/>
          <w:sz w:val="24"/>
          <w:szCs w:val="24"/>
        </w:rPr>
        <w:t xml:space="preserve"> UK general practices</w:t>
      </w:r>
      <w:r w:rsidR="00B053F7" w:rsidRPr="001952B6">
        <w:rPr>
          <w:rFonts w:ascii="Times New Roman" w:hAnsi="Times New Roman" w:cs="Times New Roman"/>
          <w:sz w:val="24"/>
          <w:szCs w:val="24"/>
        </w:rPr>
        <w:t xml:space="preserve">, </w:t>
      </w:r>
      <w:r w:rsidRPr="001952B6">
        <w:rPr>
          <w:rFonts w:ascii="Times New Roman" w:hAnsi="Times New Roman" w:cs="Times New Roman"/>
          <w:sz w:val="24"/>
          <w:szCs w:val="24"/>
        </w:rPr>
        <w:t xml:space="preserve">many </w:t>
      </w:r>
      <w:r w:rsidR="00B053F7" w:rsidRPr="001952B6">
        <w:rPr>
          <w:rFonts w:ascii="Times New Roman" w:hAnsi="Times New Roman" w:cs="Times New Roman"/>
          <w:sz w:val="24"/>
          <w:szCs w:val="24"/>
        </w:rPr>
        <w:t xml:space="preserve">of whom have </w:t>
      </w:r>
      <w:r w:rsidRPr="001952B6">
        <w:rPr>
          <w:rFonts w:ascii="Times New Roman" w:hAnsi="Times New Roman" w:cs="Times New Roman"/>
          <w:sz w:val="24"/>
          <w:szCs w:val="24"/>
        </w:rPr>
        <w:t xml:space="preserve">been tested for vitamin D deficiency. THIN therefore offers the opportunity to examine the prospective association between circulating concentrations of 25(OH)D and risk of CVD </w:t>
      </w:r>
      <w:r w:rsidR="009F5761" w:rsidRPr="001952B6">
        <w:rPr>
          <w:rFonts w:ascii="Times New Roman" w:hAnsi="Times New Roman" w:cs="Times New Roman"/>
          <w:sz w:val="24"/>
          <w:szCs w:val="24"/>
        </w:rPr>
        <w:t xml:space="preserve">and all-cause mortality </w:t>
      </w:r>
      <w:r w:rsidRPr="001952B6">
        <w:rPr>
          <w:rFonts w:ascii="Times New Roman" w:hAnsi="Times New Roman" w:cs="Times New Roman"/>
          <w:sz w:val="24"/>
          <w:szCs w:val="24"/>
        </w:rPr>
        <w:t xml:space="preserve">in a large cohort of </w:t>
      </w:r>
      <w:r w:rsidR="00366D07" w:rsidRPr="001952B6">
        <w:rPr>
          <w:rFonts w:ascii="Times New Roman" w:hAnsi="Times New Roman" w:cs="Times New Roman"/>
          <w:sz w:val="24"/>
          <w:szCs w:val="24"/>
        </w:rPr>
        <w:t>individuals</w:t>
      </w:r>
      <w:r w:rsidRPr="001952B6">
        <w:rPr>
          <w:rFonts w:ascii="Times New Roman" w:hAnsi="Times New Roman" w:cs="Times New Roman"/>
          <w:sz w:val="24"/>
          <w:szCs w:val="24"/>
        </w:rPr>
        <w:t xml:space="preserve">. </w:t>
      </w:r>
      <w:r w:rsidR="00594A99" w:rsidRPr="001952B6">
        <w:rPr>
          <w:rFonts w:ascii="Times New Roman" w:hAnsi="Times New Roman" w:cs="Times New Roman"/>
          <w:sz w:val="24"/>
          <w:szCs w:val="24"/>
        </w:rPr>
        <w:t xml:space="preserve">The large sample size provides an opportunity to analyse the relation of 25(OH)D with CVD and mortality within subgroups defined by smoking status, BMI and presence of other risk factors, thereby reducing the potential for </w:t>
      </w:r>
      <w:r w:rsidR="00594A99" w:rsidRPr="001952B6">
        <w:rPr>
          <w:rFonts w:ascii="Times New Roman" w:hAnsi="Times New Roman" w:cs="Times New Roman"/>
          <w:sz w:val="24"/>
          <w:szCs w:val="24"/>
        </w:rPr>
        <w:lastRenderedPageBreak/>
        <w:t>confounding by these factors, and also for specific cardiovascular diseases</w:t>
      </w:r>
      <w:r w:rsidR="00907B5E" w:rsidRPr="001952B6">
        <w:rPr>
          <w:rFonts w:ascii="Times New Roman" w:hAnsi="Times New Roman" w:cs="Times New Roman"/>
          <w:sz w:val="24"/>
          <w:szCs w:val="24"/>
        </w:rPr>
        <w:t xml:space="preserve">. </w:t>
      </w:r>
      <w:r w:rsidR="006D3925" w:rsidRPr="001952B6">
        <w:rPr>
          <w:rFonts w:ascii="Times New Roman" w:hAnsi="Times New Roman" w:cs="Times New Roman"/>
          <w:sz w:val="24"/>
          <w:szCs w:val="24"/>
        </w:rPr>
        <w:t>Importantly, a</w:t>
      </w:r>
      <w:r w:rsidR="00907B5E" w:rsidRPr="001952B6">
        <w:rPr>
          <w:rFonts w:ascii="Times New Roman" w:hAnsi="Times New Roman" w:cs="Times New Roman"/>
          <w:sz w:val="24"/>
          <w:szCs w:val="24"/>
        </w:rPr>
        <w:t xml:space="preserve">pproximately, one-third of the patients with measurements </w:t>
      </w:r>
      <w:r w:rsidR="0038784C" w:rsidRPr="001952B6">
        <w:rPr>
          <w:rFonts w:ascii="Times New Roman" w:hAnsi="Times New Roman" w:cs="Times New Roman"/>
          <w:sz w:val="24"/>
          <w:szCs w:val="24"/>
        </w:rPr>
        <w:t xml:space="preserve">of </w:t>
      </w:r>
      <w:r w:rsidR="00896326" w:rsidRPr="001952B6">
        <w:rPr>
          <w:rFonts w:ascii="Times New Roman" w:hAnsi="Times New Roman" w:cs="Times New Roman"/>
          <w:sz w:val="24"/>
          <w:szCs w:val="24"/>
        </w:rPr>
        <w:t>25(OH)D</w:t>
      </w:r>
      <w:r w:rsidR="0038784C" w:rsidRPr="001952B6">
        <w:rPr>
          <w:rFonts w:ascii="Times New Roman" w:hAnsi="Times New Roman" w:cs="Times New Roman"/>
          <w:sz w:val="24"/>
          <w:szCs w:val="24"/>
        </w:rPr>
        <w:t xml:space="preserve"> in THIN have low (less than</w:t>
      </w:r>
      <w:r w:rsidR="00DF247F" w:rsidRPr="001952B6">
        <w:rPr>
          <w:rFonts w:ascii="Times New Roman" w:hAnsi="Times New Roman" w:cs="Times New Roman"/>
          <w:sz w:val="24"/>
          <w:szCs w:val="24"/>
        </w:rPr>
        <w:t xml:space="preserve"> </w:t>
      </w:r>
      <w:r w:rsidR="00907B5E" w:rsidRPr="001952B6">
        <w:rPr>
          <w:rFonts w:ascii="Times New Roman" w:hAnsi="Times New Roman" w:cs="Times New Roman"/>
          <w:sz w:val="24"/>
          <w:szCs w:val="24"/>
        </w:rPr>
        <w:t xml:space="preserve">30 nmol/L) circulating concentrations of 25(OH)D </w:t>
      </w:r>
      <w:r w:rsidR="00C17DDD" w:rsidRPr="001952B6">
        <w:rPr>
          <w:rFonts w:ascii="Times New Roman" w:hAnsi="Times New Roman" w:cs="Times New Roman"/>
          <w:sz w:val="24"/>
          <w:szCs w:val="24"/>
        </w:rPr>
        <w:t xml:space="preserve">and </w:t>
      </w:r>
      <w:r w:rsidR="00907B5E" w:rsidRPr="001952B6">
        <w:rPr>
          <w:rFonts w:ascii="Times New Roman" w:hAnsi="Times New Roman" w:cs="Times New Roman"/>
          <w:sz w:val="24"/>
          <w:szCs w:val="24"/>
        </w:rPr>
        <w:t>16% have 25(OH)D values above 75 nmol/L</w:t>
      </w:r>
      <w:r w:rsidR="00D44FAD" w:rsidRPr="001952B6">
        <w:rPr>
          <w:rFonts w:ascii="Times New Roman" w:hAnsi="Times New Roman" w:cs="Times New Roman"/>
          <w:sz w:val="24"/>
          <w:szCs w:val="24"/>
        </w:rPr>
        <w:t xml:space="preserve"> </w:t>
      </w:r>
      <w:r w:rsidR="00071C8C" w:rsidRPr="001952B6">
        <w:rPr>
          <w:rFonts w:ascii="Times New Roman" w:hAnsi="Times New Roman" w:cs="Times New Roman"/>
          <w:sz w:val="24"/>
          <w:szCs w:val="24"/>
        </w:rPr>
        <w:t>(12)</w:t>
      </w:r>
      <w:r w:rsidR="00D44FAD" w:rsidRPr="001952B6">
        <w:rPr>
          <w:rFonts w:ascii="Times New Roman" w:hAnsi="Times New Roman" w:cs="Times New Roman"/>
          <w:sz w:val="24"/>
          <w:szCs w:val="24"/>
        </w:rPr>
        <w:t>.</w:t>
      </w:r>
      <w:r w:rsidR="00907B5E" w:rsidRPr="001952B6">
        <w:rPr>
          <w:rFonts w:ascii="Times New Roman" w:hAnsi="Times New Roman" w:cs="Times New Roman"/>
          <w:sz w:val="24"/>
          <w:szCs w:val="24"/>
        </w:rPr>
        <w:t xml:space="preserve"> This makes it an ideal population for examining the relation between vitamin D </w:t>
      </w:r>
      <w:r w:rsidR="006D5F63" w:rsidRPr="001952B6">
        <w:rPr>
          <w:rFonts w:ascii="Times New Roman" w:hAnsi="Times New Roman" w:cs="Times New Roman"/>
          <w:sz w:val="24"/>
          <w:szCs w:val="24"/>
        </w:rPr>
        <w:t xml:space="preserve">status </w:t>
      </w:r>
      <w:r w:rsidR="00795798" w:rsidRPr="001952B6">
        <w:rPr>
          <w:rFonts w:ascii="Times New Roman" w:hAnsi="Times New Roman" w:cs="Times New Roman"/>
          <w:sz w:val="24"/>
          <w:szCs w:val="24"/>
        </w:rPr>
        <w:t>and risk</w:t>
      </w:r>
      <w:r w:rsidR="00907B5E" w:rsidRPr="001952B6">
        <w:rPr>
          <w:rFonts w:ascii="Times New Roman" w:hAnsi="Times New Roman" w:cs="Times New Roman"/>
          <w:sz w:val="24"/>
          <w:szCs w:val="24"/>
        </w:rPr>
        <w:t xml:space="preserve"> of CVD</w:t>
      </w:r>
      <w:r w:rsidR="00C17DDD" w:rsidRPr="001952B6">
        <w:rPr>
          <w:rFonts w:ascii="Times New Roman" w:hAnsi="Times New Roman" w:cs="Times New Roman"/>
          <w:sz w:val="24"/>
          <w:szCs w:val="24"/>
        </w:rPr>
        <w:t xml:space="preserve"> and mortality</w:t>
      </w:r>
      <w:r w:rsidR="006D5F63" w:rsidRPr="001952B6">
        <w:rPr>
          <w:rFonts w:ascii="Times New Roman" w:hAnsi="Times New Roman" w:cs="Times New Roman"/>
          <w:sz w:val="24"/>
          <w:szCs w:val="24"/>
        </w:rPr>
        <w:t xml:space="preserve"> across a wide range of 25(OH)D concentrations</w:t>
      </w:r>
      <w:r w:rsidR="00907B5E" w:rsidRPr="001952B6">
        <w:rPr>
          <w:rFonts w:ascii="Times New Roman" w:hAnsi="Times New Roman" w:cs="Times New Roman"/>
          <w:sz w:val="24"/>
          <w:szCs w:val="24"/>
        </w:rPr>
        <w:t>.</w:t>
      </w:r>
    </w:p>
    <w:p w:rsidR="00353070" w:rsidRPr="001952B6" w:rsidRDefault="00353070" w:rsidP="00353070">
      <w:pPr>
        <w:spacing w:after="0" w:line="480" w:lineRule="auto"/>
        <w:rPr>
          <w:rFonts w:ascii="Times New Roman" w:hAnsi="Times New Roman" w:cs="Times New Roman"/>
          <w:sz w:val="24"/>
          <w:szCs w:val="24"/>
        </w:rPr>
      </w:pPr>
    </w:p>
    <w:p w:rsidR="003106BE" w:rsidRPr="001952B6" w:rsidRDefault="0065095F" w:rsidP="00353070">
      <w:pPr>
        <w:spacing w:after="0" w:line="480" w:lineRule="auto"/>
        <w:rPr>
          <w:rFonts w:ascii="Times New Roman" w:hAnsi="Times New Roman" w:cs="Times New Roman"/>
          <w:b/>
          <w:sz w:val="24"/>
          <w:szCs w:val="24"/>
        </w:rPr>
      </w:pPr>
      <w:r w:rsidRPr="001952B6">
        <w:rPr>
          <w:rFonts w:ascii="Times New Roman" w:hAnsi="Times New Roman" w:cs="Times New Roman"/>
          <w:sz w:val="24"/>
          <w:szCs w:val="24"/>
        </w:rPr>
        <w:t xml:space="preserve">The </w:t>
      </w:r>
      <w:r w:rsidR="00746C07" w:rsidRPr="001952B6">
        <w:rPr>
          <w:rFonts w:ascii="Times New Roman" w:hAnsi="Times New Roman" w:cs="Times New Roman"/>
          <w:sz w:val="24"/>
          <w:szCs w:val="24"/>
        </w:rPr>
        <w:t>primary</w:t>
      </w:r>
      <w:r w:rsidRPr="001952B6">
        <w:rPr>
          <w:rFonts w:ascii="Times New Roman" w:hAnsi="Times New Roman" w:cs="Times New Roman"/>
          <w:sz w:val="24"/>
          <w:szCs w:val="24"/>
        </w:rPr>
        <w:t xml:space="preserve"> objective of this analysis </w:t>
      </w:r>
      <w:r w:rsidR="00795798" w:rsidRPr="001952B6">
        <w:rPr>
          <w:rFonts w:ascii="Times New Roman" w:hAnsi="Times New Roman" w:cs="Times New Roman"/>
          <w:sz w:val="24"/>
          <w:szCs w:val="24"/>
        </w:rPr>
        <w:t xml:space="preserve">is </w:t>
      </w:r>
      <w:r w:rsidRPr="001952B6">
        <w:rPr>
          <w:rFonts w:ascii="Times New Roman" w:hAnsi="Times New Roman" w:cs="Times New Roman"/>
          <w:sz w:val="24"/>
          <w:szCs w:val="24"/>
        </w:rPr>
        <w:t xml:space="preserve">to describe the relationship of low to moderate circulating concentrations of 25-hydroxyvitamin D (25(OH)D, with subsequent risk of incident </w:t>
      </w:r>
      <w:r w:rsidR="00F14B1F" w:rsidRPr="001952B6">
        <w:rPr>
          <w:rFonts w:ascii="Times New Roman" w:hAnsi="Times New Roman" w:cs="Times New Roman"/>
          <w:sz w:val="24"/>
          <w:szCs w:val="24"/>
        </w:rPr>
        <w:t>CVD</w:t>
      </w:r>
      <w:r w:rsidR="001C4D6E" w:rsidRPr="001952B6">
        <w:rPr>
          <w:rFonts w:ascii="Times New Roman" w:hAnsi="Times New Roman" w:cs="Times New Roman"/>
          <w:sz w:val="24"/>
          <w:szCs w:val="24"/>
        </w:rPr>
        <w:t xml:space="preserve"> and all-cause mortality</w:t>
      </w:r>
      <w:r w:rsidRPr="001952B6">
        <w:rPr>
          <w:rFonts w:ascii="Times New Roman" w:hAnsi="Times New Roman" w:cs="Times New Roman"/>
          <w:sz w:val="24"/>
          <w:szCs w:val="24"/>
        </w:rPr>
        <w:t>,</w:t>
      </w:r>
      <w:r w:rsidR="005B1701" w:rsidRPr="001952B6">
        <w:rPr>
          <w:rFonts w:ascii="Times New Roman" w:hAnsi="Times New Roman" w:cs="Times New Roman"/>
          <w:sz w:val="24"/>
          <w:szCs w:val="24"/>
        </w:rPr>
        <w:t xml:space="preserve"> as well as the</w:t>
      </w:r>
      <w:r w:rsidR="001C4D6E" w:rsidRPr="001952B6">
        <w:rPr>
          <w:rFonts w:ascii="Times New Roman" w:hAnsi="Times New Roman" w:cs="Times New Roman"/>
          <w:sz w:val="24"/>
          <w:szCs w:val="24"/>
        </w:rPr>
        <w:t xml:space="preserve"> risk of </w:t>
      </w:r>
      <w:r w:rsidRPr="001952B6">
        <w:rPr>
          <w:rFonts w:ascii="Times New Roman" w:hAnsi="Times New Roman" w:cs="Times New Roman"/>
          <w:sz w:val="24"/>
          <w:szCs w:val="24"/>
        </w:rPr>
        <w:t xml:space="preserve">ischaemic heart disease (IHD), </w:t>
      </w:r>
      <w:r w:rsidR="005B1701" w:rsidRPr="001952B6">
        <w:rPr>
          <w:rFonts w:ascii="Times New Roman" w:hAnsi="Times New Roman" w:cs="Times New Roman"/>
          <w:sz w:val="24"/>
          <w:szCs w:val="24"/>
        </w:rPr>
        <w:t>cerebrovascular disease</w:t>
      </w:r>
      <w:r w:rsidRPr="001952B6">
        <w:rPr>
          <w:rFonts w:ascii="Times New Roman" w:hAnsi="Times New Roman" w:cs="Times New Roman"/>
          <w:sz w:val="24"/>
          <w:szCs w:val="24"/>
        </w:rPr>
        <w:t xml:space="preserve">, and heart failure </w:t>
      </w:r>
      <w:r w:rsidR="006D3925" w:rsidRPr="001952B6">
        <w:rPr>
          <w:rFonts w:ascii="Times New Roman" w:hAnsi="Times New Roman" w:cs="Times New Roman"/>
          <w:sz w:val="24"/>
          <w:szCs w:val="24"/>
        </w:rPr>
        <w:t>individually</w:t>
      </w:r>
      <w:r w:rsidR="00327CF0" w:rsidRPr="001952B6">
        <w:rPr>
          <w:rFonts w:ascii="Times New Roman" w:hAnsi="Times New Roman" w:cs="Times New Roman"/>
          <w:sz w:val="24"/>
          <w:szCs w:val="24"/>
        </w:rPr>
        <w:t>.</w:t>
      </w:r>
      <w:r w:rsidRPr="001952B6">
        <w:rPr>
          <w:rFonts w:ascii="Times New Roman" w:hAnsi="Times New Roman" w:cs="Times New Roman"/>
          <w:sz w:val="24"/>
          <w:szCs w:val="24"/>
        </w:rPr>
        <w:t xml:space="preserve"> A secondary objective is to determine whether these associations are modified by other major risk factors </w:t>
      </w:r>
      <w:r w:rsidR="00481426" w:rsidRPr="001952B6">
        <w:rPr>
          <w:rFonts w:ascii="Times New Roman" w:hAnsi="Times New Roman" w:cs="Times New Roman"/>
          <w:sz w:val="24"/>
          <w:szCs w:val="24"/>
        </w:rPr>
        <w:t xml:space="preserve">such as smoking, BMI or </w:t>
      </w:r>
      <w:r w:rsidR="006D3925" w:rsidRPr="001952B6">
        <w:rPr>
          <w:rFonts w:ascii="Times New Roman" w:hAnsi="Times New Roman" w:cs="Times New Roman"/>
          <w:sz w:val="24"/>
          <w:szCs w:val="24"/>
        </w:rPr>
        <w:t xml:space="preserve">the </w:t>
      </w:r>
      <w:r w:rsidR="00481426" w:rsidRPr="001952B6">
        <w:rPr>
          <w:rFonts w:ascii="Times New Roman" w:hAnsi="Times New Roman" w:cs="Times New Roman"/>
          <w:sz w:val="24"/>
          <w:szCs w:val="24"/>
        </w:rPr>
        <w:t xml:space="preserve">presence of </w:t>
      </w:r>
      <w:r w:rsidR="00AE4246" w:rsidRPr="001952B6">
        <w:rPr>
          <w:rFonts w:ascii="Times New Roman" w:hAnsi="Times New Roman" w:cs="Times New Roman"/>
          <w:sz w:val="24"/>
          <w:szCs w:val="24"/>
        </w:rPr>
        <w:t>risk factors</w:t>
      </w:r>
      <w:r w:rsidRPr="001952B6">
        <w:rPr>
          <w:rFonts w:ascii="Times New Roman" w:hAnsi="Times New Roman" w:cs="Times New Roman"/>
          <w:sz w:val="24"/>
          <w:szCs w:val="24"/>
        </w:rPr>
        <w:t>.</w:t>
      </w:r>
      <w:r w:rsidR="003106BE" w:rsidRPr="001952B6">
        <w:rPr>
          <w:rFonts w:ascii="Times New Roman" w:hAnsi="Times New Roman" w:cs="Times New Roman"/>
          <w:b/>
          <w:sz w:val="24"/>
          <w:szCs w:val="24"/>
        </w:rPr>
        <w:br w:type="page"/>
      </w:r>
    </w:p>
    <w:p w:rsidR="007166B4" w:rsidRPr="001952B6" w:rsidRDefault="007166B4" w:rsidP="00575E33">
      <w:pPr>
        <w:spacing w:after="20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Methods</w:t>
      </w:r>
    </w:p>
    <w:p w:rsidR="00B5434A" w:rsidRPr="001952B6" w:rsidRDefault="005B0CD0" w:rsidP="00353070">
      <w:pPr>
        <w:spacing w:after="200" w:line="480" w:lineRule="auto"/>
        <w:rPr>
          <w:rFonts w:ascii="Times New Roman" w:hAnsi="Times New Roman" w:cs="Times New Roman"/>
          <w:b/>
          <w:sz w:val="24"/>
          <w:szCs w:val="24"/>
        </w:rPr>
      </w:pPr>
      <w:r w:rsidRPr="001952B6">
        <w:rPr>
          <w:rFonts w:ascii="Times New Roman" w:hAnsi="Times New Roman" w:cs="Times New Roman"/>
          <w:color w:val="000000" w:themeColor="text1"/>
          <w:sz w:val="24"/>
          <w:szCs w:val="24"/>
        </w:rPr>
        <w:t>This study was a large</w:t>
      </w:r>
      <w:r w:rsidR="00FA266C" w:rsidRPr="001952B6">
        <w:rPr>
          <w:rFonts w:ascii="Times New Roman" w:hAnsi="Times New Roman" w:cs="Times New Roman"/>
          <w:color w:val="000000" w:themeColor="text1"/>
          <w:sz w:val="24"/>
          <w:szCs w:val="24"/>
        </w:rPr>
        <w:t xml:space="preserve"> open cohort design using The Health Improvement Network (THIN) primary care database that contains health records for more than 11 million patients from over </w:t>
      </w:r>
      <w:r w:rsidR="00BE2219" w:rsidRPr="001952B6">
        <w:rPr>
          <w:rFonts w:ascii="Times New Roman" w:hAnsi="Times New Roman" w:cs="Times New Roman"/>
          <w:color w:val="000000" w:themeColor="text1"/>
          <w:sz w:val="24"/>
          <w:szCs w:val="24"/>
        </w:rPr>
        <w:t xml:space="preserve">750 </w:t>
      </w:r>
      <w:r w:rsidR="00FA266C" w:rsidRPr="001952B6">
        <w:rPr>
          <w:rFonts w:ascii="Times New Roman" w:hAnsi="Times New Roman" w:cs="Times New Roman"/>
          <w:color w:val="000000" w:themeColor="text1"/>
          <w:sz w:val="24"/>
          <w:szCs w:val="24"/>
        </w:rPr>
        <w:t>general practices (GP) in the UK. The distribution of age, sex, prevalence of major medical conditions and mortality rates</w:t>
      </w:r>
      <w:r w:rsidRPr="001952B6">
        <w:rPr>
          <w:rFonts w:ascii="Times New Roman" w:hAnsi="Times New Roman" w:cs="Times New Roman"/>
          <w:color w:val="000000" w:themeColor="text1"/>
          <w:sz w:val="24"/>
          <w:szCs w:val="24"/>
        </w:rPr>
        <w:t xml:space="preserve"> in the THIN cohort is generalis</w:t>
      </w:r>
      <w:r w:rsidR="00FA266C" w:rsidRPr="001952B6">
        <w:rPr>
          <w:rFonts w:ascii="Times New Roman" w:hAnsi="Times New Roman" w:cs="Times New Roman"/>
          <w:color w:val="000000" w:themeColor="text1"/>
          <w:sz w:val="24"/>
          <w:szCs w:val="24"/>
        </w:rPr>
        <w:t>able to the UK population</w:t>
      </w:r>
      <w:r w:rsidR="008640BC" w:rsidRPr="001952B6">
        <w:rPr>
          <w:rFonts w:ascii="Times New Roman" w:hAnsi="Times New Roman" w:cs="Times New Roman"/>
          <w:color w:val="000000" w:themeColor="text1"/>
          <w:sz w:val="24"/>
          <w:szCs w:val="24"/>
        </w:rPr>
        <w:t xml:space="preserve"> </w:t>
      </w:r>
      <w:r w:rsidR="00071C8C" w:rsidRPr="001952B6">
        <w:rPr>
          <w:rFonts w:ascii="Times New Roman" w:hAnsi="Times New Roman" w:cs="Times New Roman"/>
          <w:color w:val="000000" w:themeColor="text1"/>
          <w:sz w:val="24"/>
          <w:szCs w:val="24"/>
        </w:rPr>
        <w:t>(13)</w:t>
      </w:r>
      <w:r w:rsidR="008640BC" w:rsidRPr="001952B6">
        <w:rPr>
          <w:rFonts w:ascii="Times New Roman" w:hAnsi="Times New Roman" w:cs="Times New Roman"/>
          <w:color w:val="000000" w:themeColor="text1"/>
          <w:sz w:val="24"/>
          <w:szCs w:val="24"/>
        </w:rPr>
        <w:t>.</w:t>
      </w:r>
      <w:r w:rsidR="00FA266C" w:rsidRPr="001952B6">
        <w:rPr>
          <w:rFonts w:ascii="Times New Roman" w:hAnsi="Times New Roman" w:cs="Times New Roman"/>
          <w:color w:val="000000" w:themeColor="text1"/>
          <w:sz w:val="24"/>
          <w:szCs w:val="24"/>
        </w:rPr>
        <w:t xml:space="preserve"> The diagnoses in the THIN database are recorded using a hierarchical system called Read Codes which are terms or short-phrases used to describe a health-related concept in GP records</w:t>
      </w:r>
      <w:r w:rsidR="008640BC" w:rsidRPr="001952B6">
        <w:rPr>
          <w:rFonts w:ascii="Times New Roman" w:hAnsi="Times New Roman" w:cs="Times New Roman"/>
          <w:color w:val="000000" w:themeColor="text1"/>
          <w:sz w:val="24"/>
          <w:szCs w:val="24"/>
        </w:rPr>
        <w:t xml:space="preserve"> </w:t>
      </w:r>
      <w:r w:rsidR="00071C8C" w:rsidRPr="001952B6">
        <w:rPr>
          <w:rFonts w:ascii="Times New Roman" w:hAnsi="Times New Roman" w:cs="Times New Roman"/>
          <w:color w:val="000000" w:themeColor="text1"/>
          <w:sz w:val="24"/>
          <w:szCs w:val="24"/>
        </w:rPr>
        <w:t>(14)</w:t>
      </w:r>
      <w:r w:rsidR="008640BC" w:rsidRPr="001952B6">
        <w:rPr>
          <w:rFonts w:ascii="Times New Roman" w:hAnsi="Times New Roman" w:cs="Times New Roman"/>
          <w:color w:val="000000" w:themeColor="text1"/>
          <w:sz w:val="24"/>
          <w:szCs w:val="24"/>
        </w:rPr>
        <w:t>.</w:t>
      </w:r>
      <w:r w:rsidR="00FA266C" w:rsidRPr="001952B6">
        <w:rPr>
          <w:rFonts w:ascii="Times New Roman" w:hAnsi="Times New Roman" w:cs="Times New Roman"/>
          <w:color w:val="000000" w:themeColor="text1"/>
          <w:sz w:val="24"/>
          <w:szCs w:val="24"/>
        </w:rPr>
        <w:t xml:space="preserve"> </w:t>
      </w:r>
      <w:r w:rsidR="00B5434A" w:rsidRPr="001952B6">
        <w:rPr>
          <w:rFonts w:ascii="Times New Roman" w:hAnsi="Times New Roman" w:cs="Times New Roman"/>
          <w:color w:val="000000" w:themeColor="text1"/>
          <w:sz w:val="24"/>
          <w:szCs w:val="24"/>
        </w:rPr>
        <w:t xml:space="preserve">Collection of data for THIN was approved by the South-East Multicentre Research Ethics Committee </w:t>
      </w:r>
      <w:r w:rsidR="00B5434A" w:rsidRPr="001952B6">
        <w:rPr>
          <w:rFonts w:ascii="Times New Roman" w:hAnsi="Times New Roman" w:cs="Times New Roman"/>
          <w:sz w:val="24"/>
          <w:szCs w:val="24"/>
        </w:rPr>
        <w:t>in 2003; under the terms of this approval, studies must undergo independent scientific review. Approval for this analysis was obtained from the Scientific Review Committee (for the use of THIN data) in September 2018 (SRC reference18THIN066).</w:t>
      </w:r>
    </w:p>
    <w:p w:rsidR="00FA266C" w:rsidRPr="001952B6" w:rsidRDefault="00FA266C" w:rsidP="00575E33">
      <w:pPr>
        <w:spacing w:after="0" w:line="480" w:lineRule="auto"/>
        <w:rPr>
          <w:rFonts w:ascii="Times New Roman" w:hAnsi="Times New Roman" w:cs="Times New Roman"/>
          <w:sz w:val="24"/>
          <w:szCs w:val="24"/>
        </w:rPr>
      </w:pPr>
    </w:p>
    <w:p w:rsidR="00FA266C" w:rsidRPr="001952B6" w:rsidRDefault="00FA266C" w:rsidP="00575E33">
      <w:pPr>
        <w:spacing w:after="0" w:line="480" w:lineRule="auto"/>
        <w:rPr>
          <w:rFonts w:ascii="Times New Roman" w:hAnsi="Times New Roman" w:cs="Times New Roman"/>
          <w:i/>
          <w:sz w:val="24"/>
          <w:szCs w:val="24"/>
        </w:rPr>
      </w:pPr>
      <w:r w:rsidRPr="001952B6">
        <w:rPr>
          <w:rFonts w:ascii="Times New Roman" w:hAnsi="Times New Roman" w:cs="Times New Roman"/>
          <w:i/>
          <w:sz w:val="24"/>
          <w:szCs w:val="24"/>
        </w:rPr>
        <w:t>Study population and period</w:t>
      </w:r>
    </w:p>
    <w:p w:rsidR="00FA266C" w:rsidRPr="001952B6" w:rsidRDefault="00FA266C" w:rsidP="00353070">
      <w:pPr>
        <w:spacing w:after="0" w:line="480" w:lineRule="auto"/>
        <w:rPr>
          <w:rFonts w:ascii="Times New Roman" w:hAnsi="Times New Roman" w:cs="Times New Roman"/>
          <w:sz w:val="24"/>
          <w:szCs w:val="24"/>
        </w:rPr>
      </w:pPr>
      <w:r w:rsidRPr="001952B6">
        <w:rPr>
          <w:rFonts w:ascii="Times New Roman" w:hAnsi="Times New Roman" w:cs="Times New Roman"/>
          <w:sz w:val="24"/>
          <w:szCs w:val="24"/>
        </w:rPr>
        <w:t>All data included in this study were from practices that met the acceptable mortality reporting (AMR) and acceptable computer usage (ACU) standards – measures of quality assurance for THIN data</w:t>
      </w:r>
      <w:r w:rsidR="008640BC" w:rsidRPr="001952B6">
        <w:rPr>
          <w:rFonts w:ascii="Times New Roman" w:hAnsi="Times New Roman" w:cs="Times New Roman"/>
          <w:sz w:val="24"/>
          <w:szCs w:val="24"/>
        </w:rPr>
        <w:t xml:space="preserve"> </w:t>
      </w:r>
      <w:r w:rsidR="00071C8C" w:rsidRPr="001952B6">
        <w:rPr>
          <w:rFonts w:ascii="Times New Roman" w:hAnsi="Times New Roman" w:cs="Times New Roman"/>
          <w:sz w:val="24"/>
          <w:szCs w:val="24"/>
        </w:rPr>
        <w:t>(15, 16)</w:t>
      </w:r>
      <w:r w:rsidR="008640BC" w:rsidRPr="001952B6">
        <w:rPr>
          <w:rFonts w:ascii="Times New Roman" w:hAnsi="Times New Roman" w:cs="Times New Roman"/>
          <w:sz w:val="24"/>
          <w:szCs w:val="24"/>
        </w:rPr>
        <w:t>.</w:t>
      </w:r>
      <w:r w:rsidRPr="001952B6">
        <w:rPr>
          <w:rFonts w:ascii="Times New Roman" w:hAnsi="Times New Roman" w:cs="Times New Roman"/>
          <w:sz w:val="24"/>
          <w:szCs w:val="24"/>
        </w:rPr>
        <w:t xml:space="preserve"> </w:t>
      </w:r>
      <w:r w:rsidR="007D3011" w:rsidRPr="001952B6">
        <w:rPr>
          <w:rFonts w:ascii="Times New Roman" w:hAnsi="Times New Roman" w:cs="Times New Roman"/>
          <w:sz w:val="24"/>
          <w:szCs w:val="24"/>
        </w:rPr>
        <w:t>Individuals</w:t>
      </w:r>
      <w:r w:rsidRPr="001952B6">
        <w:rPr>
          <w:rFonts w:ascii="Times New Roman" w:hAnsi="Times New Roman" w:cs="Times New Roman"/>
          <w:sz w:val="24"/>
          <w:szCs w:val="24"/>
        </w:rPr>
        <w:t xml:space="preserve"> age 18 years and older who were registered with a THIN practice contributing data between January 1, 2005 and </w:t>
      </w:r>
      <w:r w:rsidR="001840E0" w:rsidRPr="001952B6">
        <w:rPr>
          <w:rFonts w:ascii="Times New Roman" w:hAnsi="Times New Roman" w:cs="Times New Roman"/>
          <w:sz w:val="24"/>
          <w:szCs w:val="24"/>
        </w:rPr>
        <w:t>May</w:t>
      </w:r>
      <w:r w:rsidRPr="001952B6">
        <w:rPr>
          <w:rFonts w:ascii="Times New Roman" w:hAnsi="Times New Roman" w:cs="Times New Roman"/>
          <w:sz w:val="24"/>
          <w:szCs w:val="24"/>
        </w:rPr>
        <w:t xml:space="preserve"> </w:t>
      </w:r>
      <w:r w:rsidR="001840E0" w:rsidRPr="001952B6">
        <w:rPr>
          <w:rFonts w:ascii="Times New Roman" w:hAnsi="Times New Roman" w:cs="Times New Roman"/>
          <w:sz w:val="24"/>
          <w:szCs w:val="24"/>
        </w:rPr>
        <w:t>10, 2016</w:t>
      </w:r>
      <w:r w:rsidRPr="001952B6">
        <w:rPr>
          <w:rFonts w:ascii="Times New Roman" w:hAnsi="Times New Roman" w:cs="Times New Roman"/>
          <w:sz w:val="24"/>
          <w:szCs w:val="24"/>
        </w:rPr>
        <w:t xml:space="preserve"> were included in this analysis.</w:t>
      </w:r>
    </w:p>
    <w:p w:rsidR="00353070" w:rsidRPr="001952B6" w:rsidRDefault="00353070" w:rsidP="00353070">
      <w:pPr>
        <w:autoSpaceDE w:val="0"/>
        <w:autoSpaceDN w:val="0"/>
        <w:adjustRightInd w:val="0"/>
        <w:spacing w:after="0" w:line="480" w:lineRule="auto"/>
        <w:rPr>
          <w:rFonts w:ascii="Times New Roman" w:hAnsi="Times New Roman" w:cs="Times New Roman"/>
          <w:sz w:val="24"/>
          <w:szCs w:val="24"/>
        </w:rPr>
      </w:pPr>
    </w:p>
    <w:p w:rsidR="00141710" w:rsidRPr="001952B6" w:rsidRDefault="00FA266C" w:rsidP="00353070">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Read Codes for vitamin D tests were used as the </w:t>
      </w:r>
      <w:r w:rsidR="00F723C4" w:rsidRPr="001952B6">
        <w:rPr>
          <w:rFonts w:ascii="Times New Roman" w:hAnsi="Times New Roman" w:cs="Times New Roman"/>
          <w:sz w:val="24"/>
          <w:szCs w:val="24"/>
        </w:rPr>
        <w:t>exposure</w:t>
      </w:r>
      <w:r w:rsidRPr="001952B6">
        <w:rPr>
          <w:rFonts w:ascii="Times New Roman" w:hAnsi="Times New Roman" w:cs="Times New Roman"/>
          <w:sz w:val="24"/>
          <w:szCs w:val="24"/>
        </w:rPr>
        <w:t xml:space="preserve"> in this analysis</w:t>
      </w:r>
      <w:r w:rsidR="00BE2219" w:rsidRPr="001952B6">
        <w:rPr>
          <w:rFonts w:ascii="Times New Roman" w:hAnsi="Times New Roman" w:cs="Times New Roman"/>
          <w:sz w:val="24"/>
          <w:szCs w:val="24"/>
        </w:rPr>
        <w:t>.</w:t>
      </w:r>
      <w:r w:rsidR="00F723C4" w:rsidRPr="001952B6">
        <w:rPr>
          <w:rFonts w:ascii="Times New Roman" w:hAnsi="Times New Roman" w:cs="Times New Roman"/>
          <w:sz w:val="24"/>
          <w:szCs w:val="24"/>
        </w:rPr>
        <w:t xml:space="preserve"> </w:t>
      </w:r>
      <w:r w:rsidRPr="001952B6">
        <w:rPr>
          <w:rFonts w:ascii="Times New Roman" w:hAnsi="Times New Roman" w:cs="Times New Roman"/>
          <w:sz w:val="24"/>
          <w:szCs w:val="24"/>
        </w:rPr>
        <w:t xml:space="preserve">Only patients who had </w:t>
      </w:r>
      <w:r w:rsidR="006132BE" w:rsidRPr="001952B6">
        <w:rPr>
          <w:rFonts w:ascii="Times New Roman" w:hAnsi="Times New Roman" w:cs="Times New Roman"/>
          <w:sz w:val="24"/>
          <w:szCs w:val="24"/>
        </w:rPr>
        <w:t xml:space="preserve">measures </w:t>
      </w:r>
      <w:r w:rsidR="008C0F83" w:rsidRPr="001952B6">
        <w:rPr>
          <w:rFonts w:ascii="Times New Roman" w:hAnsi="Times New Roman" w:cs="Times New Roman"/>
          <w:sz w:val="24"/>
          <w:szCs w:val="24"/>
        </w:rPr>
        <w:t>indicating</w:t>
      </w:r>
      <w:r w:rsidR="006132BE" w:rsidRPr="001952B6">
        <w:rPr>
          <w:rFonts w:ascii="Times New Roman" w:hAnsi="Times New Roman" w:cs="Times New Roman"/>
          <w:sz w:val="24"/>
          <w:szCs w:val="24"/>
        </w:rPr>
        <w:t xml:space="preserve"> total </w:t>
      </w:r>
      <w:r w:rsidR="00300F8D" w:rsidRPr="001952B6">
        <w:rPr>
          <w:rFonts w:ascii="Times New Roman" w:hAnsi="Times New Roman" w:cs="Times New Roman"/>
          <w:sz w:val="24"/>
          <w:szCs w:val="24"/>
        </w:rPr>
        <w:t>25-hydroxy</w:t>
      </w:r>
      <w:r w:rsidR="006132BE" w:rsidRPr="001952B6">
        <w:rPr>
          <w:rFonts w:ascii="Times New Roman" w:hAnsi="Times New Roman" w:cs="Times New Roman"/>
          <w:sz w:val="24"/>
          <w:szCs w:val="24"/>
        </w:rPr>
        <w:t>vitamin D</w:t>
      </w:r>
      <w:r w:rsidR="001607AA" w:rsidRPr="001952B6">
        <w:rPr>
          <w:rFonts w:ascii="Times New Roman" w:hAnsi="Times New Roman" w:cs="Times New Roman"/>
          <w:sz w:val="24"/>
          <w:szCs w:val="24"/>
        </w:rPr>
        <w:t xml:space="preserve"> (i.e. the sum of 25-hydroxyvitamin D2 and </w:t>
      </w:r>
      <w:r w:rsidR="006132BE" w:rsidRPr="001952B6">
        <w:rPr>
          <w:rFonts w:ascii="Times New Roman" w:hAnsi="Times New Roman" w:cs="Times New Roman"/>
          <w:sz w:val="24"/>
          <w:szCs w:val="24"/>
        </w:rPr>
        <w:t xml:space="preserve"> </w:t>
      </w:r>
      <w:r w:rsidR="001607AA" w:rsidRPr="001952B6">
        <w:rPr>
          <w:rFonts w:ascii="Times New Roman" w:hAnsi="Times New Roman" w:cs="Times New Roman"/>
          <w:sz w:val="24"/>
          <w:szCs w:val="24"/>
        </w:rPr>
        <w:t xml:space="preserve">25-hydroxyvitamin D3) </w:t>
      </w:r>
      <w:r w:rsidR="006132BE" w:rsidRPr="001952B6">
        <w:rPr>
          <w:rFonts w:ascii="Times New Roman" w:hAnsi="Times New Roman" w:cs="Times New Roman"/>
          <w:sz w:val="24"/>
          <w:szCs w:val="24"/>
        </w:rPr>
        <w:t xml:space="preserve">or 25-hydroxyvitamin D3 were included in the analysis. </w:t>
      </w:r>
      <w:r w:rsidR="009C291B" w:rsidRPr="001952B6">
        <w:rPr>
          <w:rFonts w:ascii="Times New Roman" w:hAnsi="Times New Roman" w:cs="Times New Roman"/>
          <w:sz w:val="24"/>
          <w:szCs w:val="24"/>
        </w:rPr>
        <w:t>Some</w:t>
      </w:r>
      <w:r w:rsidRPr="001952B6">
        <w:rPr>
          <w:rFonts w:ascii="Times New Roman" w:hAnsi="Times New Roman" w:cs="Times New Roman"/>
          <w:sz w:val="24"/>
          <w:szCs w:val="24"/>
        </w:rPr>
        <w:t xml:space="preserve"> </w:t>
      </w:r>
      <w:r w:rsidR="007D3011" w:rsidRPr="001952B6">
        <w:rPr>
          <w:rFonts w:ascii="Times New Roman" w:hAnsi="Times New Roman" w:cs="Times New Roman"/>
          <w:sz w:val="24"/>
          <w:szCs w:val="24"/>
        </w:rPr>
        <w:t>individuals</w:t>
      </w:r>
      <w:r w:rsidRPr="001952B6">
        <w:rPr>
          <w:rFonts w:ascii="Times New Roman" w:hAnsi="Times New Roman" w:cs="Times New Roman"/>
          <w:sz w:val="24"/>
          <w:szCs w:val="24"/>
        </w:rPr>
        <w:t xml:space="preserve"> had circulating concentrations of </w:t>
      </w:r>
      <w:r w:rsidR="00300F8D" w:rsidRPr="001952B6">
        <w:rPr>
          <w:rFonts w:ascii="Times New Roman" w:hAnsi="Times New Roman" w:cs="Times New Roman"/>
          <w:sz w:val="24"/>
          <w:szCs w:val="24"/>
        </w:rPr>
        <w:t>25(OH)D</w:t>
      </w:r>
      <w:r w:rsidRPr="001952B6">
        <w:rPr>
          <w:rFonts w:ascii="Times New Roman" w:hAnsi="Times New Roman" w:cs="Times New Roman"/>
          <w:sz w:val="24"/>
          <w:szCs w:val="24"/>
        </w:rPr>
        <w:t xml:space="preserve"> tested on multiple occasions</w:t>
      </w:r>
      <w:r w:rsidR="00806D5C" w:rsidRPr="001952B6">
        <w:rPr>
          <w:rFonts w:ascii="Times New Roman" w:hAnsi="Times New Roman" w:cs="Times New Roman"/>
          <w:sz w:val="24"/>
          <w:szCs w:val="24"/>
        </w:rPr>
        <w:t xml:space="preserve"> but</w:t>
      </w:r>
      <w:r w:rsidRPr="001952B6">
        <w:rPr>
          <w:rFonts w:ascii="Times New Roman" w:hAnsi="Times New Roman" w:cs="Times New Roman"/>
          <w:sz w:val="24"/>
          <w:szCs w:val="24"/>
        </w:rPr>
        <w:t xml:space="preserve"> only the first test was used in the analysis. </w:t>
      </w:r>
      <w:r w:rsidR="00B053F7" w:rsidRPr="001952B6">
        <w:rPr>
          <w:rFonts w:ascii="Times New Roman" w:hAnsi="Times New Roman" w:cs="Times New Roman"/>
          <w:sz w:val="24"/>
          <w:szCs w:val="24"/>
        </w:rPr>
        <w:t>Individuals</w:t>
      </w:r>
      <w:r w:rsidRPr="001952B6">
        <w:rPr>
          <w:rFonts w:ascii="Times New Roman" w:hAnsi="Times New Roman" w:cs="Times New Roman"/>
          <w:sz w:val="24"/>
          <w:szCs w:val="24"/>
        </w:rPr>
        <w:t xml:space="preserve"> </w:t>
      </w:r>
      <w:r w:rsidR="009C291B" w:rsidRPr="001952B6">
        <w:rPr>
          <w:rFonts w:ascii="Times New Roman" w:hAnsi="Times New Roman" w:cs="Times New Roman"/>
          <w:sz w:val="24"/>
          <w:szCs w:val="24"/>
        </w:rPr>
        <w:t xml:space="preserve">who </w:t>
      </w:r>
      <w:r w:rsidRPr="001952B6">
        <w:rPr>
          <w:rFonts w:ascii="Times New Roman" w:hAnsi="Times New Roman" w:cs="Times New Roman"/>
          <w:sz w:val="24"/>
          <w:szCs w:val="24"/>
        </w:rPr>
        <w:t xml:space="preserve">had their first recorded test for </w:t>
      </w:r>
      <w:r w:rsidR="00300F8D" w:rsidRPr="001952B6">
        <w:rPr>
          <w:rFonts w:ascii="Times New Roman" w:hAnsi="Times New Roman" w:cs="Times New Roman"/>
          <w:sz w:val="24"/>
          <w:szCs w:val="24"/>
        </w:rPr>
        <w:lastRenderedPageBreak/>
        <w:t>25(OH)</w:t>
      </w:r>
      <w:r w:rsidRPr="001952B6">
        <w:rPr>
          <w:rFonts w:ascii="Times New Roman" w:hAnsi="Times New Roman" w:cs="Times New Roman"/>
          <w:sz w:val="24"/>
          <w:szCs w:val="24"/>
        </w:rPr>
        <w:t xml:space="preserve">D before the date of entry to THIN (January 1, 2005) or before they turned 18 years were excluded from the analysis. </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F4126F" w:rsidRPr="001952B6" w:rsidRDefault="002D4C08"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There were </w:t>
      </w:r>
      <w:r w:rsidR="00A23089" w:rsidRPr="001952B6">
        <w:rPr>
          <w:rFonts w:ascii="Times New Roman" w:hAnsi="Times New Roman" w:cs="Times New Roman"/>
          <w:sz w:val="24"/>
          <w:szCs w:val="24"/>
        </w:rPr>
        <w:t xml:space="preserve">202,804 </w:t>
      </w:r>
      <w:r w:rsidR="006105AD" w:rsidRPr="001952B6">
        <w:rPr>
          <w:rFonts w:ascii="Times New Roman" w:hAnsi="Times New Roman" w:cs="Times New Roman"/>
          <w:sz w:val="24"/>
          <w:szCs w:val="24"/>
        </w:rPr>
        <w:t xml:space="preserve">individuals </w:t>
      </w:r>
      <w:r w:rsidRPr="001952B6">
        <w:rPr>
          <w:rFonts w:ascii="Times New Roman" w:hAnsi="Times New Roman" w:cs="Times New Roman"/>
          <w:sz w:val="24"/>
          <w:szCs w:val="24"/>
        </w:rPr>
        <w:t xml:space="preserve">with a valid measurement of circulating 25(OH)D </w:t>
      </w:r>
      <w:r w:rsidR="003106BE" w:rsidRPr="001952B6">
        <w:rPr>
          <w:rFonts w:ascii="Times New Roman" w:hAnsi="Times New Roman" w:cs="Times New Roman"/>
          <w:sz w:val="24"/>
          <w:szCs w:val="24"/>
        </w:rPr>
        <w:t xml:space="preserve">included in the study population for </w:t>
      </w:r>
      <w:r w:rsidRPr="001952B6">
        <w:rPr>
          <w:rFonts w:ascii="Times New Roman" w:hAnsi="Times New Roman" w:cs="Times New Roman"/>
          <w:sz w:val="24"/>
          <w:szCs w:val="24"/>
        </w:rPr>
        <w:t xml:space="preserve">this </w:t>
      </w:r>
      <w:r w:rsidR="004B22EE" w:rsidRPr="001952B6">
        <w:rPr>
          <w:rFonts w:ascii="Times New Roman" w:hAnsi="Times New Roman" w:cs="Times New Roman"/>
          <w:sz w:val="24"/>
          <w:szCs w:val="24"/>
        </w:rPr>
        <w:t>analysis</w:t>
      </w:r>
      <w:r w:rsidR="00A23089" w:rsidRPr="001952B6">
        <w:rPr>
          <w:rFonts w:ascii="Times New Roman" w:hAnsi="Times New Roman" w:cs="Times New Roman"/>
          <w:sz w:val="24"/>
          <w:szCs w:val="24"/>
        </w:rPr>
        <w:t xml:space="preserve">. </w:t>
      </w:r>
      <w:r w:rsidR="006105AD" w:rsidRPr="001952B6">
        <w:rPr>
          <w:rFonts w:ascii="Times New Roman" w:hAnsi="Times New Roman" w:cs="Times New Roman"/>
          <w:sz w:val="24"/>
          <w:szCs w:val="24"/>
        </w:rPr>
        <w:t>Individuals</w:t>
      </w:r>
      <w:r w:rsidR="00E1104E" w:rsidRPr="001952B6">
        <w:rPr>
          <w:rFonts w:ascii="Times New Roman" w:hAnsi="Times New Roman" w:cs="Times New Roman"/>
          <w:sz w:val="24"/>
          <w:szCs w:val="24"/>
        </w:rPr>
        <w:t xml:space="preserve"> </w:t>
      </w:r>
      <w:r w:rsidR="00A23089" w:rsidRPr="001952B6">
        <w:rPr>
          <w:rFonts w:ascii="Times New Roman" w:hAnsi="Times New Roman" w:cs="Times New Roman"/>
          <w:sz w:val="24"/>
          <w:szCs w:val="24"/>
        </w:rPr>
        <w:t xml:space="preserve">were excluded from the analysis if </w:t>
      </w:r>
      <w:r w:rsidR="004B22EE" w:rsidRPr="001952B6">
        <w:rPr>
          <w:rFonts w:ascii="Times New Roman" w:hAnsi="Times New Roman" w:cs="Times New Roman"/>
          <w:sz w:val="24"/>
          <w:szCs w:val="24"/>
        </w:rPr>
        <w:t>they had prevalent IHD (</w:t>
      </w:r>
      <w:r w:rsidR="004B22EE" w:rsidRPr="001952B6">
        <w:rPr>
          <w:rFonts w:ascii="Times New Roman" w:hAnsi="Times New Roman" w:cs="Times New Roman"/>
          <w:i/>
          <w:sz w:val="24"/>
          <w:szCs w:val="24"/>
        </w:rPr>
        <w:t>n</w:t>
      </w:r>
      <w:r w:rsidR="004B22EE" w:rsidRPr="001952B6">
        <w:rPr>
          <w:rFonts w:ascii="Times New Roman" w:hAnsi="Times New Roman" w:cs="Times New Roman"/>
          <w:sz w:val="24"/>
          <w:szCs w:val="24"/>
        </w:rPr>
        <w:t xml:space="preserve">=14,502), </w:t>
      </w:r>
      <w:r w:rsidR="008E07FB" w:rsidRPr="001952B6">
        <w:rPr>
          <w:rFonts w:ascii="Times New Roman" w:hAnsi="Times New Roman" w:cs="Times New Roman"/>
          <w:sz w:val="24"/>
          <w:szCs w:val="24"/>
        </w:rPr>
        <w:t>cerebrovascular disease</w:t>
      </w:r>
      <w:r w:rsidR="004B22EE" w:rsidRPr="001952B6">
        <w:rPr>
          <w:rFonts w:ascii="Times New Roman" w:hAnsi="Times New Roman" w:cs="Times New Roman"/>
          <w:sz w:val="24"/>
          <w:szCs w:val="24"/>
        </w:rPr>
        <w:t xml:space="preserve"> (</w:t>
      </w:r>
      <w:r w:rsidR="004B22EE" w:rsidRPr="001952B6">
        <w:rPr>
          <w:rFonts w:ascii="Times New Roman" w:hAnsi="Times New Roman" w:cs="Times New Roman"/>
          <w:i/>
          <w:sz w:val="24"/>
          <w:szCs w:val="24"/>
        </w:rPr>
        <w:t>n</w:t>
      </w:r>
      <w:r w:rsidR="004B22EE" w:rsidRPr="001952B6">
        <w:rPr>
          <w:rFonts w:ascii="Times New Roman" w:hAnsi="Times New Roman" w:cs="Times New Roman"/>
          <w:sz w:val="24"/>
          <w:szCs w:val="24"/>
        </w:rPr>
        <w:t>=6,595), heart failure (</w:t>
      </w:r>
      <w:r w:rsidR="004B22EE" w:rsidRPr="001952B6">
        <w:rPr>
          <w:rFonts w:ascii="Times New Roman" w:hAnsi="Times New Roman" w:cs="Times New Roman"/>
          <w:i/>
          <w:sz w:val="24"/>
          <w:szCs w:val="24"/>
        </w:rPr>
        <w:t>n</w:t>
      </w:r>
      <w:r w:rsidR="004B22EE" w:rsidRPr="001952B6">
        <w:rPr>
          <w:rFonts w:ascii="Times New Roman" w:hAnsi="Times New Roman" w:cs="Times New Roman"/>
          <w:sz w:val="24"/>
          <w:szCs w:val="24"/>
        </w:rPr>
        <w:t>=1</w:t>
      </w:r>
      <w:r w:rsidR="00EA65AC" w:rsidRPr="001952B6">
        <w:rPr>
          <w:rFonts w:ascii="Times New Roman" w:hAnsi="Times New Roman" w:cs="Times New Roman"/>
          <w:sz w:val="24"/>
          <w:szCs w:val="24"/>
        </w:rPr>
        <w:t>,</w:t>
      </w:r>
      <w:r w:rsidR="004B22EE" w:rsidRPr="001952B6">
        <w:rPr>
          <w:rFonts w:ascii="Times New Roman" w:hAnsi="Times New Roman" w:cs="Times New Roman"/>
          <w:sz w:val="24"/>
          <w:szCs w:val="24"/>
        </w:rPr>
        <w:t>427), or if they had no follow-up (</w:t>
      </w:r>
      <w:r w:rsidR="004B22EE" w:rsidRPr="001952B6">
        <w:rPr>
          <w:rFonts w:ascii="Times New Roman" w:hAnsi="Times New Roman" w:cs="Times New Roman"/>
          <w:i/>
          <w:sz w:val="24"/>
          <w:szCs w:val="24"/>
        </w:rPr>
        <w:t>n</w:t>
      </w:r>
      <w:r w:rsidR="00831708" w:rsidRPr="001952B6">
        <w:rPr>
          <w:rFonts w:ascii="Times New Roman" w:hAnsi="Times New Roman" w:cs="Times New Roman"/>
          <w:sz w:val="24"/>
          <w:szCs w:val="24"/>
        </w:rPr>
        <w:t>=</w:t>
      </w:r>
      <w:r w:rsidR="00F04F08" w:rsidRPr="001952B6">
        <w:rPr>
          <w:rFonts w:ascii="Times New Roman" w:hAnsi="Times New Roman" w:cs="Times New Roman"/>
          <w:sz w:val="24"/>
          <w:szCs w:val="24"/>
        </w:rPr>
        <w:t>17</w:t>
      </w:r>
      <w:r w:rsidR="00831708" w:rsidRPr="001952B6">
        <w:rPr>
          <w:rFonts w:ascii="Times New Roman" w:hAnsi="Times New Roman" w:cs="Times New Roman"/>
          <w:sz w:val="24"/>
          <w:szCs w:val="24"/>
        </w:rPr>
        <w:t>), leaving 180,</w:t>
      </w:r>
      <w:r w:rsidR="00F04F08" w:rsidRPr="001952B6">
        <w:rPr>
          <w:rFonts w:ascii="Times New Roman" w:hAnsi="Times New Roman" w:cs="Times New Roman"/>
          <w:sz w:val="24"/>
          <w:szCs w:val="24"/>
        </w:rPr>
        <w:t>263</w:t>
      </w:r>
      <w:r w:rsidR="00831708" w:rsidRPr="001952B6">
        <w:rPr>
          <w:rFonts w:ascii="Times New Roman" w:hAnsi="Times New Roman" w:cs="Times New Roman"/>
          <w:sz w:val="24"/>
          <w:szCs w:val="24"/>
        </w:rPr>
        <w:t xml:space="preserve"> available for this analysis</w:t>
      </w:r>
      <w:r w:rsidR="00275809" w:rsidRPr="001952B6">
        <w:rPr>
          <w:rFonts w:ascii="Times New Roman" w:hAnsi="Times New Roman" w:cs="Times New Roman"/>
          <w:sz w:val="24"/>
          <w:szCs w:val="24"/>
        </w:rPr>
        <w:t xml:space="preserve"> (</w:t>
      </w:r>
      <w:r w:rsidR="00275809" w:rsidRPr="001952B6">
        <w:rPr>
          <w:rFonts w:ascii="Times New Roman" w:hAnsi="Times New Roman" w:cs="Times New Roman"/>
          <w:b/>
          <w:sz w:val="24"/>
          <w:szCs w:val="24"/>
        </w:rPr>
        <w:t>Supplementary figure 1</w:t>
      </w:r>
      <w:r w:rsidR="00275809" w:rsidRPr="001952B6">
        <w:rPr>
          <w:rFonts w:ascii="Times New Roman" w:hAnsi="Times New Roman" w:cs="Times New Roman"/>
          <w:sz w:val="24"/>
          <w:szCs w:val="24"/>
        </w:rPr>
        <w:t>)</w:t>
      </w:r>
      <w:r w:rsidR="00831708" w:rsidRPr="001952B6">
        <w:rPr>
          <w:rFonts w:ascii="Times New Roman" w:hAnsi="Times New Roman" w:cs="Times New Roman"/>
          <w:sz w:val="24"/>
          <w:szCs w:val="24"/>
        </w:rPr>
        <w:t>.</w:t>
      </w:r>
      <w:r w:rsidR="006942AF" w:rsidRPr="001952B6">
        <w:rPr>
          <w:rFonts w:ascii="Times New Roman" w:hAnsi="Times New Roman" w:cs="Times New Roman"/>
          <w:sz w:val="24"/>
          <w:szCs w:val="24"/>
        </w:rPr>
        <w:t xml:space="preserve"> Median (IQR) concentrations of 25(OH)D were 38.0 (23.2 to 60.1) nmol/L in </w:t>
      </w:r>
      <w:r w:rsidR="006105AD" w:rsidRPr="001952B6">
        <w:rPr>
          <w:rFonts w:ascii="Times New Roman" w:hAnsi="Times New Roman" w:cs="Times New Roman"/>
          <w:sz w:val="24"/>
          <w:szCs w:val="24"/>
        </w:rPr>
        <w:t>individuals</w:t>
      </w:r>
      <w:r w:rsidR="006942AF" w:rsidRPr="001952B6">
        <w:rPr>
          <w:rFonts w:ascii="Times New Roman" w:hAnsi="Times New Roman" w:cs="Times New Roman"/>
          <w:sz w:val="24"/>
          <w:szCs w:val="24"/>
        </w:rPr>
        <w:t xml:space="preserve"> </w:t>
      </w:r>
      <w:r w:rsidR="00E1104E" w:rsidRPr="001952B6">
        <w:rPr>
          <w:rFonts w:ascii="Times New Roman" w:hAnsi="Times New Roman" w:cs="Times New Roman"/>
          <w:sz w:val="24"/>
          <w:szCs w:val="24"/>
        </w:rPr>
        <w:t xml:space="preserve">with pre-existing CVD </w:t>
      </w:r>
      <w:r w:rsidR="006942AF" w:rsidRPr="001952B6">
        <w:rPr>
          <w:rFonts w:ascii="Times New Roman" w:hAnsi="Times New Roman" w:cs="Times New Roman"/>
          <w:sz w:val="24"/>
          <w:szCs w:val="24"/>
        </w:rPr>
        <w:t xml:space="preserve">excluded from the analysis, which was slightly lower than the </w:t>
      </w:r>
      <w:r w:rsidR="006105AD" w:rsidRPr="001952B6">
        <w:rPr>
          <w:rFonts w:ascii="Times New Roman" w:hAnsi="Times New Roman" w:cs="Times New Roman"/>
          <w:sz w:val="24"/>
          <w:szCs w:val="24"/>
        </w:rPr>
        <w:t>individuals</w:t>
      </w:r>
      <w:r w:rsidR="006942AF" w:rsidRPr="001952B6">
        <w:rPr>
          <w:rFonts w:ascii="Times New Roman" w:hAnsi="Times New Roman" w:cs="Times New Roman"/>
          <w:sz w:val="24"/>
          <w:szCs w:val="24"/>
        </w:rPr>
        <w:t xml:space="preserve"> included </w:t>
      </w:r>
      <w:r w:rsidR="00273A6A" w:rsidRPr="001952B6">
        <w:rPr>
          <w:rFonts w:ascii="Times New Roman" w:hAnsi="Times New Roman" w:cs="Times New Roman"/>
          <w:sz w:val="24"/>
          <w:szCs w:val="24"/>
        </w:rPr>
        <w:t xml:space="preserve">in the analysis </w:t>
      </w:r>
      <w:r w:rsidR="006942AF" w:rsidRPr="001952B6">
        <w:rPr>
          <w:rFonts w:ascii="Times New Roman" w:hAnsi="Times New Roman" w:cs="Times New Roman"/>
          <w:sz w:val="24"/>
          <w:szCs w:val="24"/>
        </w:rPr>
        <w:t xml:space="preserve">41.0 (26.1 to 61.8) nmol/L. </w:t>
      </w:r>
    </w:p>
    <w:p w:rsidR="00A2693B" w:rsidRPr="001952B6" w:rsidRDefault="00A2693B" w:rsidP="00575E33">
      <w:pPr>
        <w:autoSpaceDE w:val="0"/>
        <w:autoSpaceDN w:val="0"/>
        <w:adjustRightInd w:val="0"/>
        <w:spacing w:after="0" w:line="480" w:lineRule="auto"/>
        <w:rPr>
          <w:rFonts w:ascii="Times New Roman" w:hAnsi="Times New Roman" w:cs="Times New Roman"/>
          <w:sz w:val="24"/>
          <w:szCs w:val="24"/>
        </w:rPr>
      </w:pPr>
    </w:p>
    <w:p w:rsidR="00141710" w:rsidRPr="001952B6" w:rsidRDefault="00141710" w:rsidP="00575E33">
      <w:pPr>
        <w:autoSpaceDE w:val="0"/>
        <w:autoSpaceDN w:val="0"/>
        <w:adjustRightInd w:val="0"/>
        <w:spacing w:after="0" w:line="480" w:lineRule="auto"/>
        <w:rPr>
          <w:rFonts w:ascii="Times New Roman" w:hAnsi="Times New Roman" w:cs="Times New Roman"/>
          <w:i/>
          <w:sz w:val="24"/>
          <w:szCs w:val="24"/>
        </w:rPr>
      </w:pPr>
      <w:r w:rsidRPr="001952B6">
        <w:rPr>
          <w:rFonts w:ascii="Times New Roman" w:hAnsi="Times New Roman" w:cs="Times New Roman"/>
          <w:i/>
          <w:sz w:val="24"/>
          <w:szCs w:val="24"/>
        </w:rPr>
        <w:t>Cardiovascular disease ascertainment</w:t>
      </w:r>
    </w:p>
    <w:p w:rsidR="00141710" w:rsidRPr="001952B6" w:rsidRDefault="000450E4"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Primary care </w:t>
      </w:r>
      <w:r w:rsidR="00BE2219" w:rsidRPr="001952B6">
        <w:rPr>
          <w:rFonts w:ascii="Times New Roman" w:hAnsi="Times New Roman" w:cs="Times New Roman"/>
          <w:sz w:val="24"/>
          <w:szCs w:val="24"/>
        </w:rPr>
        <w:t>R</w:t>
      </w:r>
      <w:r w:rsidRPr="001952B6">
        <w:rPr>
          <w:rFonts w:ascii="Times New Roman" w:hAnsi="Times New Roman" w:cs="Times New Roman"/>
          <w:sz w:val="24"/>
          <w:szCs w:val="24"/>
        </w:rPr>
        <w:t xml:space="preserve">ead codes were used to identify diagnoses </w:t>
      </w:r>
      <w:r w:rsidR="00575744" w:rsidRPr="001952B6">
        <w:rPr>
          <w:rFonts w:ascii="Times New Roman" w:hAnsi="Times New Roman" w:cs="Times New Roman"/>
          <w:sz w:val="24"/>
          <w:szCs w:val="24"/>
        </w:rPr>
        <w:t xml:space="preserve">of </w:t>
      </w:r>
      <w:r w:rsidR="00455A99" w:rsidRPr="001952B6">
        <w:rPr>
          <w:rFonts w:ascii="Times New Roman" w:hAnsi="Times New Roman" w:cs="Times New Roman"/>
          <w:sz w:val="24"/>
          <w:szCs w:val="24"/>
        </w:rPr>
        <w:t xml:space="preserve">the following three presentations of CVD: </w:t>
      </w:r>
      <w:r w:rsidR="00B053F7" w:rsidRPr="001952B6">
        <w:rPr>
          <w:rFonts w:ascii="Times New Roman" w:hAnsi="Times New Roman" w:cs="Times New Roman"/>
          <w:sz w:val="24"/>
          <w:szCs w:val="24"/>
        </w:rPr>
        <w:t>IHD</w:t>
      </w:r>
      <w:r w:rsidR="00455A99" w:rsidRPr="001952B6">
        <w:rPr>
          <w:rFonts w:ascii="Times New Roman" w:hAnsi="Times New Roman" w:cs="Times New Roman"/>
          <w:sz w:val="24"/>
          <w:szCs w:val="24"/>
        </w:rPr>
        <w:t xml:space="preserve"> (angina, isch</w:t>
      </w:r>
      <w:r w:rsidR="0072203C" w:rsidRPr="001952B6">
        <w:rPr>
          <w:rFonts w:ascii="Times New Roman" w:hAnsi="Times New Roman" w:cs="Times New Roman"/>
          <w:sz w:val="24"/>
          <w:szCs w:val="24"/>
        </w:rPr>
        <w:t>a</w:t>
      </w:r>
      <w:r w:rsidR="00455A99" w:rsidRPr="001952B6">
        <w:rPr>
          <w:rFonts w:ascii="Times New Roman" w:hAnsi="Times New Roman" w:cs="Times New Roman"/>
          <w:sz w:val="24"/>
          <w:szCs w:val="24"/>
        </w:rPr>
        <w:t xml:space="preserve">emic heart disease, and myocardial infarction); cerebrovascular disease (transient ischaemic attack, ischaemic stroke, and haemorrhagic stroke); and heart failure. The </w:t>
      </w:r>
      <w:r w:rsidR="00B67660" w:rsidRPr="001952B6">
        <w:rPr>
          <w:rFonts w:ascii="Times New Roman" w:hAnsi="Times New Roman" w:cs="Times New Roman"/>
          <w:sz w:val="24"/>
          <w:szCs w:val="24"/>
        </w:rPr>
        <w:t xml:space="preserve">Read </w:t>
      </w:r>
      <w:r w:rsidRPr="001952B6">
        <w:rPr>
          <w:rFonts w:ascii="Times New Roman" w:hAnsi="Times New Roman" w:cs="Times New Roman"/>
          <w:sz w:val="24"/>
          <w:szCs w:val="24"/>
        </w:rPr>
        <w:t xml:space="preserve">codes used </w:t>
      </w:r>
      <w:r w:rsidR="00455A99" w:rsidRPr="001952B6">
        <w:rPr>
          <w:rFonts w:ascii="Times New Roman" w:hAnsi="Times New Roman" w:cs="Times New Roman"/>
          <w:sz w:val="24"/>
          <w:szCs w:val="24"/>
        </w:rPr>
        <w:t xml:space="preserve">for these outcomes were taken from </w:t>
      </w:r>
      <w:r w:rsidRPr="001952B6">
        <w:rPr>
          <w:rFonts w:ascii="Times New Roman" w:hAnsi="Times New Roman" w:cs="Times New Roman"/>
          <w:sz w:val="24"/>
          <w:szCs w:val="24"/>
        </w:rPr>
        <w:t xml:space="preserve">the Annual Quality and Outcomes Framework </w:t>
      </w:r>
      <w:r w:rsidR="00455A99" w:rsidRPr="001952B6">
        <w:rPr>
          <w:rFonts w:ascii="Times New Roman" w:hAnsi="Times New Roman" w:cs="Times New Roman"/>
          <w:sz w:val="24"/>
          <w:szCs w:val="24"/>
        </w:rPr>
        <w:t>(</w:t>
      </w:r>
      <w:r w:rsidRPr="001952B6">
        <w:rPr>
          <w:rFonts w:ascii="Times New Roman" w:hAnsi="Times New Roman" w:cs="Times New Roman"/>
          <w:sz w:val="24"/>
          <w:szCs w:val="24"/>
        </w:rPr>
        <w:t xml:space="preserve">introduced in 2004 for primary care), additional codes identified </w:t>
      </w:r>
      <w:r w:rsidR="00455A99" w:rsidRPr="001952B6">
        <w:rPr>
          <w:rFonts w:ascii="Times New Roman" w:hAnsi="Times New Roman" w:cs="Times New Roman"/>
          <w:sz w:val="24"/>
          <w:szCs w:val="24"/>
        </w:rPr>
        <w:t xml:space="preserve">by searching </w:t>
      </w:r>
      <w:r w:rsidRPr="001952B6">
        <w:rPr>
          <w:rFonts w:ascii="Times New Roman" w:hAnsi="Times New Roman" w:cs="Times New Roman"/>
          <w:sz w:val="24"/>
          <w:szCs w:val="24"/>
        </w:rPr>
        <w:t>medical dictionary keyword</w:t>
      </w:r>
      <w:r w:rsidR="00455A99" w:rsidRPr="001952B6">
        <w:rPr>
          <w:rFonts w:ascii="Times New Roman" w:hAnsi="Times New Roman" w:cs="Times New Roman"/>
          <w:sz w:val="24"/>
          <w:szCs w:val="24"/>
        </w:rPr>
        <w:t>s</w:t>
      </w:r>
      <w:r w:rsidRPr="001952B6">
        <w:rPr>
          <w:rFonts w:ascii="Times New Roman" w:hAnsi="Times New Roman" w:cs="Times New Roman"/>
          <w:sz w:val="24"/>
          <w:szCs w:val="24"/>
        </w:rPr>
        <w:t>, and online clinical code repositories.</w:t>
      </w:r>
      <w:r w:rsidR="00575744" w:rsidRPr="001952B6">
        <w:rPr>
          <w:rFonts w:ascii="Times New Roman" w:hAnsi="Times New Roman" w:cs="Times New Roman"/>
          <w:sz w:val="24"/>
          <w:szCs w:val="24"/>
        </w:rPr>
        <w:t xml:space="preserve"> </w:t>
      </w:r>
      <w:r w:rsidR="00455A99" w:rsidRPr="001952B6">
        <w:rPr>
          <w:rFonts w:ascii="Times New Roman" w:hAnsi="Times New Roman" w:cs="Times New Roman"/>
          <w:sz w:val="24"/>
          <w:szCs w:val="24"/>
        </w:rPr>
        <w:t xml:space="preserve">Incident CVD was defined at the first record of CVD in </w:t>
      </w:r>
      <w:r w:rsidR="0072203C" w:rsidRPr="001952B6">
        <w:rPr>
          <w:rFonts w:ascii="Times New Roman" w:hAnsi="Times New Roman" w:cs="Times New Roman"/>
          <w:sz w:val="24"/>
          <w:szCs w:val="24"/>
        </w:rPr>
        <w:t xml:space="preserve">the </w:t>
      </w:r>
      <w:r w:rsidR="00455A99" w:rsidRPr="001952B6">
        <w:rPr>
          <w:rFonts w:ascii="Times New Roman" w:hAnsi="Times New Roman" w:cs="Times New Roman"/>
          <w:sz w:val="24"/>
          <w:szCs w:val="24"/>
        </w:rPr>
        <w:t>primary care records.</w:t>
      </w:r>
      <w:r w:rsidR="00A31E37" w:rsidRPr="001952B6">
        <w:rPr>
          <w:rFonts w:ascii="Times New Roman" w:eastAsiaTheme="minorHAnsi" w:hAnsi="Times New Roman" w:cs="Times New Roman"/>
          <w:sz w:val="24"/>
          <w:szCs w:val="24"/>
          <w:lang w:eastAsia="en-US"/>
        </w:rPr>
        <w:t xml:space="preserve"> </w:t>
      </w:r>
    </w:p>
    <w:p w:rsidR="004A7F9D" w:rsidRPr="001952B6" w:rsidRDefault="004A7F9D" w:rsidP="00575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ascii="Times New Roman" w:hAnsi="Times New Roman" w:cs="Times New Roman"/>
          <w:sz w:val="24"/>
          <w:szCs w:val="24"/>
        </w:rPr>
      </w:pPr>
    </w:p>
    <w:p w:rsidR="00A733DC" w:rsidRPr="001952B6" w:rsidRDefault="00A733DC" w:rsidP="00575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ascii="Times New Roman" w:hAnsi="Times New Roman" w:cs="Times New Roman"/>
          <w:i/>
          <w:sz w:val="24"/>
          <w:szCs w:val="24"/>
        </w:rPr>
      </w:pPr>
      <w:r w:rsidRPr="001952B6">
        <w:rPr>
          <w:rFonts w:ascii="Times New Roman" w:hAnsi="Times New Roman" w:cs="Times New Roman"/>
          <w:sz w:val="24"/>
          <w:szCs w:val="24"/>
        </w:rPr>
        <w:t>The validity of</w:t>
      </w:r>
      <w:r w:rsidR="00E1104E" w:rsidRPr="001952B6">
        <w:rPr>
          <w:rFonts w:ascii="Times New Roman" w:hAnsi="Times New Roman" w:cs="Times New Roman"/>
          <w:sz w:val="24"/>
          <w:szCs w:val="24"/>
        </w:rPr>
        <w:t xml:space="preserve"> the </w:t>
      </w:r>
      <w:r w:rsidRPr="001952B6">
        <w:rPr>
          <w:rFonts w:ascii="Times New Roman" w:hAnsi="Times New Roman" w:cs="Times New Roman"/>
          <w:sz w:val="24"/>
          <w:szCs w:val="24"/>
        </w:rPr>
        <w:t>Re</w:t>
      </w:r>
      <w:r w:rsidR="008706FB" w:rsidRPr="001952B6">
        <w:rPr>
          <w:rFonts w:ascii="Times New Roman" w:hAnsi="Times New Roman" w:cs="Times New Roman"/>
          <w:sz w:val="24"/>
          <w:szCs w:val="24"/>
        </w:rPr>
        <w:t xml:space="preserve">ad codes used for CVD </w:t>
      </w:r>
      <w:r w:rsidR="00E1104E" w:rsidRPr="001952B6">
        <w:rPr>
          <w:rFonts w:ascii="Times New Roman" w:hAnsi="Times New Roman" w:cs="Times New Roman"/>
          <w:sz w:val="24"/>
          <w:szCs w:val="24"/>
        </w:rPr>
        <w:t>has</w:t>
      </w:r>
      <w:r w:rsidR="008706FB" w:rsidRPr="001952B6">
        <w:rPr>
          <w:rFonts w:ascii="Times New Roman" w:hAnsi="Times New Roman" w:cs="Times New Roman"/>
          <w:sz w:val="24"/>
          <w:szCs w:val="24"/>
        </w:rPr>
        <w:t xml:space="preserve"> been</w:t>
      </w:r>
      <w:r w:rsidRPr="001952B6">
        <w:rPr>
          <w:rFonts w:ascii="Times New Roman" w:hAnsi="Times New Roman" w:cs="Times New Roman"/>
          <w:sz w:val="24"/>
          <w:szCs w:val="24"/>
        </w:rPr>
        <w:t xml:space="preserve"> previously </w:t>
      </w:r>
      <w:r w:rsidR="008706FB" w:rsidRPr="001952B6">
        <w:rPr>
          <w:rFonts w:ascii="Times New Roman" w:hAnsi="Times New Roman" w:cs="Times New Roman"/>
          <w:sz w:val="24"/>
          <w:szCs w:val="24"/>
        </w:rPr>
        <w:t xml:space="preserve">published </w:t>
      </w:r>
      <w:r w:rsidR="00071C8C" w:rsidRPr="001952B6">
        <w:rPr>
          <w:rFonts w:ascii="Times New Roman" w:hAnsi="Times New Roman" w:cs="Times New Roman"/>
          <w:sz w:val="24"/>
          <w:szCs w:val="24"/>
        </w:rPr>
        <w:t>(17-19)</w:t>
      </w:r>
      <w:r w:rsidRPr="001952B6">
        <w:rPr>
          <w:rFonts w:ascii="Times New Roman" w:hAnsi="Times New Roman" w:cs="Times New Roman"/>
          <w:sz w:val="24"/>
          <w:szCs w:val="24"/>
        </w:rPr>
        <w:t xml:space="preserve"> as has recording of </w:t>
      </w:r>
      <w:r w:rsidR="0072203C" w:rsidRPr="001952B6">
        <w:rPr>
          <w:rFonts w:ascii="Times New Roman" w:hAnsi="Times New Roman" w:cs="Times New Roman"/>
          <w:sz w:val="24"/>
          <w:szCs w:val="24"/>
        </w:rPr>
        <w:t xml:space="preserve"> </w:t>
      </w:r>
      <w:r w:rsidRPr="001952B6">
        <w:rPr>
          <w:rFonts w:ascii="Times New Roman" w:hAnsi="Times New Roman" w:cs="Times New Roman"/>
          <w:sz w:val="24"/>
          <w:szCs w:val="24"/>
        </w:rPr>
        <w:t xml:space="preserve">mortality in  primary care records </w:t>
      </w:r>
      <w:r w:rsidR="00071C8C" w:rsidRPr="001952B6">
        <w:rPr>
          <w:rFonts w:ascii="Times New Roman" w:hAnsi="Times New Roman" w:cs="Times New Roman"/>
          <w:sz w:val="24"/>
          <w:szCs w:val="24"/>
        </w:rPr>
        <w:t>(20)</w:t>
      </w:r>
      <w:r w:rsidRPr="001952B6">
        <w:rPr>
          <w:rFonts w:ascii="Times New Roman" w:hAnsi="Times New Roman" w:cs="Times New Roman"/>
          <w:sz w:val="24"/>
          <w:szCs w:val="24"/>
        </w:rPr>
        <w:t>.</w:t>
      </w:r>
    </w:p>
    <w:p w:rsidR="00A733DC" w:rsidRPr="001952B6" w:rsidRDefault="00A733DC" w:rsidP="00575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ascii="Times New Roman" w:hAnsi="Times New Roman" w:cs="Times New Roman"/>
          <w:i/>
          <w:sz w:val="24"/>
          <w:szCs w:val="24"/>
        </w:rPr>
      </w:pPr>
    </w:p>
    <w:p w:rsidR="0074138C" w:rsidRPr="001952B6" w:rsidRDefault="00FA266C" w:rsidP="00575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ascii="Times New Roman" w:hAnsi="Times New Roman" w:cs="Times New Roman"/>
          <w:i/>
          <w:sz w:val="24"/>
          <w:szCs w:val="24"/>
        </w:rPr>
      </w:pPr>
      <w:r w:rsidRPr="001952B6">
        <w:rPr>
          <w:rFonts w:ascii="Times New Roman" w:hAnsi="Times New Roman" w:cs="Times New Roman"/>
          <w:i/>
          <w:sz w:val="24"/>
          <w:szCs w:val="24"/>
        </w:rPr>
        <w:t xml:space="preserve">Statistical analysis </w:t>
      </w:r>
    </w:p>
    <w:p w:rsidR="00BE710F" w:rsidRPr="001952B6" w:rsidRDefault="00A2693B"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iCs/>
          <w:sz w:val="24"/>
          <w:szCs w:val="24"/>
        </w:rPr>
        <w:lastRenderedPageBreak/>
        <w:t xml:space="preserve">Season-adjusted (deseasonalised) values of 25(OH)D were calculated for each patient </w:t>
      </w:r>
      <w:r w:rsidR="00104155" w:rsidRPr="001952B6">
        <w:rPr>
          <w:rFonts w:ascii="Times New Roman" w:hAnsi="Times New Roman" w:cs="Times New Roman"/>
          <w:iCs/>
          <w:sz w:val="24"/>
          <w:szCs w:val="24"/>
        </w:rPr>
        <w:t>by using</w:t>
      </w:r>
      <w:r w:rsidRPr="001952B6">
        <w:rPr>
          <w:rFonts w:ascii="Times New Roman" w:hAnsi="Times New Roman" w:cs="Times New Roman"/>
          <w:iCs/>
          <w:sz w:val="24"/>
          <w:szCs w:val="24"/>
        </w:rPr>
        <w:t xml:space="preserve"> their 25(OH)D concentration and date of blood sample collection in a sinusoidal model (</w:t>
      </w:r>
      <w:r w:rsidR="0055662E" w:rsidRPr="001952B6">
        <w:rPr>
          <w:rFonts w:ascii="Times New Roman" w:hAnsi="Times New Roman" w:cs="Times New Roman"/>
          <w:b/>
          <w:iCs/>
          <w:sz w:val="24"/>
          <w:szCs w:val="24"/>
        </w:rPr>
        <w:t>Supplementary F</w:t>
      </w:r>
      <w:r w:rsidRPr="001952B6">
        <w:rPr>
          <w:rFonts w:ascii="Times New Roman" w:hAnsi="Times New Roman" w:cs="Times New Roman"/>
          <w:b/>
          <w:iCs/>
          <w:sz w:val="24"/>
          <w:szCs w:val="24"/>
        </w:rPr>
        <w:t>igure 2</w:t>
      </w:r>
      <w:r w:rsidR="002D3535" w:rsidRPr="001952B6">
        <w:rPr>
          <w:rFonts w:ascii="Times New Roman" w:hAnsi="Times New Roman" w:cs="Times New Roman"/>
          <w:iCs/>
          <w:sz w:val="24"/>
          <w:szCs w:val="24"/>
        </w:rPr>
        <w:t xml:space="preserve">) </w:t>
      </w:r>
      <w:r w:rsidR="00071C8C" w:rsidRPr="001952B6">
        <w:rPr>
          <w:rFonts w:ascii="Times New Roman" w:hAnsi="Times New Roman" w:cs="Times New Roman"/>
          <w:iCs/>
          <w:sz w:val="24"/>
          <w:szCs w:val="24"/>
        </w:rPr>
        <w:t>(21)</w:t>
      </w:r>
      <w:r w:rsidR="002D3535" w:rsidRPr="001952B6">
        <w:rPr>
          <w:rFonts w:ascii="Times New Roman" w:hAnsi="Times New Roman" w:cs="Times New Roman"/>
          <w:iCs/>
          <w:sz w:val="24"/>
          <w:szCs w:val="24"/>
        </w:rPr>
        <w:t>.</w:t>
      </w:r>
      <w:r w:rsidRPr="001952B6">
        <w:rPr>
          <w:rFonts w:ascii="Times New Roman" w:hAnsi="Times New Roman" w:cs="Times New Roman"/>
          <w:iCs/>
          <w:sz w:val="24"/>
          <w:szCs w:val="24"/>
        </w:rPr>
        <w:t xml:space="preserve"> </w:t>
      </w:r>
      <w:r w:rsidR="000D5DA7" w:rsidRPr="001952B6">
        <w:rPr>
          <w:rFonts w:ascii="Times New Roman" w:hAnsi="Times New Roman" w:cs="Times New Roman"/>
          <w:iCs/>
          <w:sz w:val="24"/>
          <w:szCs w:val="24"/>
        </w:rPr>
        <w:t>M</w:t>
      </w:r>
      <w:r w:rsidRPr="001952B6">
        <w:rPr>
          <w:rFonts w:ascii="Times New Roman" w:hAnsi="Times New Roman" w:cs="Times New Roman"/>
          <w:iCs/>
          <w:sz w:val="24"/>
          <w:szCs w:val="24"/>
        </w:rPr>
        <w:t xml:space="preserve">ean </w:t>
      </w:r>
      <w:r w:rsidR="000D5DA7" w:rsidRPr="001952B6">
        <w:rPr>
          <w:rFonts w:ascii="Times New Roman" w:hAnsi="Times New Roman" w:cs="Times New Roman"/>
          <w:iCs/>
          <w:sz w:val="24"/>
          <w:szCs w:val="24"/>
        </w:rPr>
        <w:t>25(OH)</w:t>
      </w:r>
      <w:r w:rsidRPr="001952B6">
        <w:rPr>
          <w:rFonts w:ascii="Times New Roman" w:hAnsi="Times New Roman" w:cs="Times New Roman"/>
          <w:iCs/>
          <w:sz w:val="24"/>
          <w:szCs w:val="24"/>
        </w:rPr>
        <w:t xml:space="preserve">D </w:t>
      </w:r>
      <w:r w:rsidR="00ED585F" w:rsidRPr="001952B6">
        <w:rPr>
          <w:rFonts w:ascii="Times New Roman" w:hAnsi="Times New Roman" w:cs="Times New Roman"/>
          <w:iCs/>
          <w:sz w:val="24"/>
          <w:szCs w:val="24"/>
        </w:rPr>
        <w:t>values were plotted by month</w:t>
      </w:r>
      <w:r w:rsidRPr="001952B6">
        <w:rPr>
          <w:rFonts w:ascii="Times New Roman" w:hAnsi="Times New Roman" w:cs="Times New Roman"/>
          <w:iCs/>
          <w:sz w:val="24"/>
          <w:szCs w:val="24"/>
        </w:rPr>
        <w:t xml:space="preserve"> and </w:t>
      </w:r>
      <w:r w:rsidR="003415F0" w:rsidRPr="001952B6">
        <w:rPr>
          <w:rFonts w:ascii="Times New Roman" w:hAnsi="Times New Roman" w:cs="Times New Roman"/>
          <w:iCs/>
          <w:sz w:val="24"/>
          <w:szCs w:val="24"/>
        </w:rPr>
        <w:t xml:space="preserve">as </w:t>
      </w:r>
      <w:r w:rsidRPr="001952B6">
        <w:rPr>
          <w:rFonts w:ascii="Times New Roman" w:hAnsi="Times New Roman" w:cs="Times New Roman"/>
          <w:iCs/>
          <w:sz w:val="24"/>
          <w:szCs w:val="24"/>
        </w:rPr>
        <w:t xml:space="preserve">published reports for </w:t>
      </w:r>
      <w:r w:rsidR="003415F0" w:rsidRPr="001952B6">
        <w:rPr>
          <w:rFonts w:ascii="Times New Roman" w:hAnsi="Times New Roman" w:cs="Times New Roman"/>
          <w:iCs/>
          <w:sz w:val="24"/>
          <w:szCs w:val="24"/>
        </w:rPr>
        <w:t>25(OH)</w:t>
      </w:r>
      <w:r w:rsidRPr="001952B6">
        <w:rPr>
          <w:rFonts w:ascii="Times New Roman" w:hAnsi="Times New Roman" w:cs="Times New Roman"/>
          <w:iCs/>
          <w:sz w:val="24"/>
          <w:szCs w:val="24"/>
        </w:rPr>
        <w:t xml:space="preserve">D </w:t>
      </w:r>
      <w:r w:rsidR="003415F0" w:rsidRPr="001952B6">
        <w:rPr>
          <w:rFonts w:ascii="Times New Roman" w:hAnsi="Times New Roman" w:cs="Times New Roman"/>
          <w:iCs/>
          <w:sz w:val="24"/>
          <w:szCs w:val="24"/>
        </w:rPr>
        <w:t xml:space="preserve">concentrations </w:t>
      </w:r>
      <w:r w:rsidR="00ED585F" w:rsidRPr="001952B6">
        <w:rPr>
          <w:rFonts w:ascii="Times New Roman" w:hAnsi="Times New Roman" w:cs="Times New Roman"/>
          <w:iCs/>
          <w:sz w:val="24"/>
          <w:szCs w:val="24"/>
        </w:rPr>
        <w:t xml:space="preserve">show that they </w:t>
      </w:r>
      <w:r w:rsidRPr="001952B6">
        <w:rPr>
          <w:rFonts w:ascii="Times New Roman" w:hAnsi="Times New Roman" w:cs="Times New Roman"/>
          <w:iCs/>
          <w:sz w:val="24"/>
          <w:szCs w:val="24"/>
        </w:rPr>
        <w:t>follow a sinusoidal pattern</w:t>
      </w:r>
      <w:r w:rsidR="00ED585F" w:rsidRPr="001952B6">
        <w:rPr>
          <w:rFonts w:ascii="Times New Roman" w:hAnsi="Times New Roman" w:cs="Times New Roman"/>
          <w:iCs/>
          <w:sz w:val="24"/>
          <w:szCs w:val="24"/>
        </w:rPr>
        <w:t xml:space="preserve"> with month of the year</w:t>
      </w:r>
      <w:r w:rsidRPr="001952B6">
        <w:rPr>
          <w:rFonts w:ascii="Times New Roman" w:hAnsi="Times New Roman" w:cs="Times New Roman"/>
          <w:iCs/>
          <w:sz w:val="24"/>
          <w:szCs w:val="24"/>
        </w:rPr>
        <w:t xml:space="preserve">, a cosinor model </w:t>
      </w:r>
      <w:r w:rsidR="00ED585F" w:rsidRPr="001952B6">
        <w:rPr>
          <w:rFonts w:ascii="Times New Roman" w:hAnsi="Times New Roman" w:cs="Times New Roman"/>
          <w:iCs/>
          <w:sz w:val="24"/>
          <w:szCs w:val="24"/>
        </w:rPr>
        <w:t xml:space="preserve">was fitted </w:t>
      </w:r>
      <w:r w:rsidRPr="001952B6">
        <w:rPr>
          <w:rFonts w:ascii="Times New Roman" w:hAnsi="Times New Roman" w:cs="Times New Roman"/>
          <w:iCs/>
          <w:sz w:val="24"/>
          <w:szCs w:val="24"/>
        </w:rPr>
        <w:t>to the data</w:t>
      </w:r>
      <w:r w:rsidRPr="001952B6">
        <w:rPr>
          <w:rFonts w:ascii="Times New Roman" w:hAnsi="Times New Roman" w:cs="Times New Roman"/>
          <w:sz w:val="24"/>
          <w:szCs w:val="24"/>
        </w:rPr>
        <w:t>.</w:t>
      </w:r>
      <w:r w:rsidR="009802E0"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 xml:space="preserve">Person-years were calculated from the date when </w:t>
      </w:r>
      <w:r w:rsidR="000C505D" w:rsidRPr="001952B6">
        <w:rPr>
          <w:rFonts w:ascii="Times New Roman" w:hAnsi="Times New Roman" w:cs="Times New Roman"/>
          <w:sz w:val="24"/>
          <w:szCs w:val="24"/>
        </w:rPr>
        <w:t xml:space="preserve">the </w:t>
      </w:r>
      <w:r w:rsidR="00274D1A" w:rsidRPr="001952B6">
        <w:rPr>
          <w:rFonts w:ascii="Times New Roman" w:hAnsi="Times New Roman" w:cs="Times New Roman"/>
          <w:sz w:val="24"/>
          <w:szCs w:val="24"/>
        </w:rPr>
        <w:t>circulating</w:t>
      </w:r>
      <w:r w:rsidR="000C505D" w:rsidRPr="001952B6">
        <w:rPr>
          <w:rFonts w:ascii="Times New Roman" w:hAnsi="Times New Roman" w:cs="Times New Roman"/>
          <w:sz w:val="24"/>
          <w:szCs w:val="24"/>
        </w:rPr>
        <w:t xml:space="preserve"> concentration</w:t>
      </w:r>
      <w:r w:rsidR="00FA266C" w:rsidRPr="001952B6">
        <w:rPr>
          <w:rFonts w:ascii="Times New Roman" w:hAnsi="Times New Roman" w:cs="Times New Roman"/>
          <w:sz w:val="24"/>
          <w:szCs w:val="24"/>
        </w:rPr>
        <w:t xml:space="preserve"> of </w:t>
      </w:r>
      <w:r w:rsidR="008C0F83" w:rsidRPr="001952B6">
        <w:rPr>
          <w:rFonts w:ascii="Times New Roman" w:hAnsi="Times New Roman" w:cs="Times New Roman"/>
          <w:sz w:val="24"/>
          <w:szCs w:val="24"/>
        </w:rPr>
        <w:t>25(OH)D</w:t>
      </w:r>
      <w:r w:rsidR="00FA266C" w:rsidRPr="001952B6">
        <w:rPr>
          <w:rFonts w:ascii="Times New Roman" w:hAnsi="Times New Roman" w:cs="Times New Roman"/>
          <w:sz w:val="24"/>
          <w:szCs w:val="24"/>
        </w:rPr>
        <w:t xml:space="preserve"> were first measured up to whichever </w:t>
      </w:r>
      <w:r w:rsidR="000C505D" w:rsidRPr="001952B6">
        <w:rPr>
          <w:rFonts w:ascii="Times New Roman" w:hAnsi="Times New Roman" w:cs="Times New Roman"/>
          <w:sz w:val="24"/>
          <w:szCs w:val="24"/>
        </w:rPr>
        <w:t xml:space="preserve">of the following were </w:t>
      </w:r>
      <w:r w:rsidR="00FA266C" w:rsidRPr="001952B6">
        <w:rPr>
          <w:rFonts w:ascii="Times New Roman" w:hAnsi="Times New Roman" w:cs="Times New Roman"/>
          <w:sz w:val="24"/>
          <w:szCs w:val="24"/>
        </w:rPr>
        <w:t>first</w:t>
      </w:r>
      <w:r w:rsidR="000C505D" w:rsidRPr="001952B6">
        <w:rPr>
          <w:rFonts w:ascii="Times New Roman" w:hAnsi="Times New Roman" w:cs="Times New Roman"/>
          <w:sz w:val="24"/>
          <w:szCs w:val="24"/>
        </w:rPr>
        <w:t xml:space="preserve"> </w:t>
      </w:r>
      <w:r w:rsidR="00E4733B" w:rsidRPr="001952B6">
        <w:rPr>
          <w:rFonts w:ascii="Times New Roman" w:hAnsi="Times New Roman" w:cs="Times New Roman"/>
          <w:sz w:val="24"/>
          <w:szCs w:val="24"/>
        </w:rPr>
        <w:t>documented</w:t>
      </w:r>
      <w:r w:rsidR="00FA266C" w:rsidRPr="001952B6">
        <w:rPr>
          <w:rFonts w:ascii="Times New Roman" w:hAnsi="Times New Roman" w:cs="Times New Roman"/>
          <w:sz w:val="24"/>
          <w:szCs w:val="24"/>
        </w:rPr>
        <w:t>:</w:t>
      </w:r>
      <w:r w:rsidR="00B92EE0" w:rsidRPr="001952B6">
        <w:rPr>
          <w:rFonts w:ascii="Times New Roman" w:hAnsi="Times New Roman" w:cs="Times New Roman"/>
          <w:sz w:val="24"/>
          <w:szCs w:val="24"/>
        </w:rPr>
        <w:t xml:space="preserve"> </w:t>
      </w:r>
      <w:r w:rsidR="0039214C" w:rsidRPr="001952B6">
        <w:rPr>
          <w:rFonts w:ascii="Times New Roman" w:hAnsi="Times New Roman" w:cs="Times New Roman"/>
          <w:sz w:val="24"/>
          <w:szCs w:val="24"/>
        </w:rPr>
        <w:t xml:space="preserve">diagnosis of cardiovascular disease, </w:t>
      </w:r>
      <w:r w:rsidR="00B92EE0" w:rsidRPr="001952B6">
        <w:rPr>
          <w:rFonts w:ascii="Times New Roman" w:hAnsi="Times New Roman" w:cs="Times New Roman"/>
          <w:sz w:val="24"/>
          <w:szCs w:val="24"/>
        </w:rPr>
        <w:t xml:space="preserve">exit from the THIN database (transferred practice or died), the last date practice data was collected, or </w:t>
      </w:r>
      <w:r w:rsidR="0039214C" w:rsidRPr="001952B6">
        <w:rPr>
          <w:rFonts w:ascii="Times New Roman" w:hAnsi="Times New Roman" w:cs="Times New Roman"/>
          <w:sz w:val="24"/>
          <w:szCs w:val="24"/>
        </w:rPr>
        <w:t>May 10</w:t>
      </w:r>
      <w:r w:rsidR="00B92EE0" w:rsidRPr="001952B6">
        <w:rPr>
          <w:rFonts w:ascii="Times New Roman" w:hAnsi="Times New Roman" w:cs="Times New Roman"/>
          <w:sz w:val="24"/>
          <w:szCs w:val="24"/>
        </w:rPr>
        <w:t xml:space="preserve">, </w:t>
      </w:r>
      <w:r w:rsidR="0039214C" w:rsidRPr="001952B6">
        <w:rPr>
          <w:rFonts w:ascii="Times New Roman" w:hAnsi="Times New Roman" w:cs="Times New Roman"/>
          <w:sz w:val="24"/>
          <w:szCs w:val="24"/>
        </w:rPr>
        <w:t>2016</w:t>
      </w:r>
      <w:r w:rsidR="00A77975"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 xml:space="preserve">Cox regression models with attained age as the underlying time variable were used to estimate </w:t>
      </w:r>
      <w:r w:rsidR="001350AA" w:rsidRPr="001952B6">
        <w:rPr>
          <w:rFonts w:ascii="Times New Roman" w:hAnsi="Times New Roman" w:cs="Times New Roman"/>
          <w:sz w:val="24"/>
          <w:szCs w:val="24"/>
        </w:rPr>
        <w:t>hazard ratios</w:t>
      </w:r>
      <w:r w:rsidR="00FA266C" w:rsidRPr="001952B6">
        <w:rPr>
          <w:rFonts w:ascii="Times New Roman" w:hAnsi="Times New Roman" w:cs="Times New Roman"/>
          <w:sz w:val="24"/>
          <w:szCs w:val="24"/>
        </w:rPr>
        <w:t xml:space="preserve"> (</w:t>
      </w:r>
      <w:r w:rsidR="001350AA" w:rsidRPr="001952B6">
        <w:rPr>
          <w:rFonts w:ascii="Times New Roman" w:hAnsi="Times New Roman" w:cs="Times New Roman"/>
          <w:sz w:val="24"/>
          <w:szCs w:val="24"/>
        </w:rPr>
        <w:t>H</w:t>
      </w:r>
      <w:r w:rsidR="00FA266C" w:rsidRPr="001952B6">
        <w:rPr>
          <w:rFonts w:ascii="Times New Roman" w:hAnsi="Times New Roman" w:cs="Times New Roman"/>
          <w:sz w:val="24"/>
          <w:szCs w:val="24"/>
        </w:rPr>
        <w:t xml:space="preserve">Rs) and 95% </w:t>
      </w:r>
      <w:r w:rsidR="00176DE0" w:rsidRPr="001952B6">
        <w:rPr>
          <w:rFonts w:ascii="Times New Roman" w:hAnsi="Times New Roman" w:cs="Times New Roman"/>
          <w:sz w:val="24"/>
          <w:szCs w:val="24"/>
        </w:rPr>
        <w:t>confidence intervals (</w:t>
      </w:r>
      <w:r w:rsidR="00FA266C" w:rsidRPr="001952B6">
        <w:rPr>
          <w:rFonts w:ascii="Times New Roman" w:hAnsi="Times New Roman" w:cs="Times New Roman"/>
          <w:sz w:val="24"/>
          <w:szCs w:val="24"/>
        </w:rPr>
        <w:t>CI</w:t>
      </w:r>
      <w:r w:rsidR="00176DE0" w:rsidRPr="001952B6">
        <w:rPr>
          <w:rFonts w:ascii="Times New Roman" w:hAnsi="Times New Roman" w:cs="Times New Roman"/>
          <w:sz w:val="24"/>
          <w:szCs w:val="24"/>
        </w:rPr>
        <w:t>)</w:t>
      </w:r>
      <w:r w:rsidR="00FA266C" w:rsidRPr="001952B6">
        <w:rPr>
          <w:rFonts w:ascii="Times New Roman" w:hAnsi="Times New Roman" w:cs="Times New Roman"/>
          <w:sz w:val="24"/>
          <w:szCs w:val="24"/>
        </w:rPr>
        <w:t xml:space="preserve"> of </w:t>
      </w:r>
      <w:r w:rsidR="0039214C" w:rsidRPr="001952B6">
        <w:rPr>
          <w:rFonts w:ascii="Times New Roman" w:hAnsi="Times New Roman" w:cs="Times New Roman"/>
          <w:sz w:val="24"/>
          <w:szCs w:val="24"/>
        </w:rPr>
        <w:t>cardiovascular disease</w:t>
      </w:r>
      <w:r w:rsidR="00FA266C" w:rsidRPr="001952B6">
        <w:rPr>
          <w:rFonts w:ascii="Times New Roman" w:hAnsi="Times New Roman" w:cs="Times New Roman"/>
          <w:sz w:val="24"/>
          <w:szCs w:val="24"/>
        </w:rPr>
        <w:t xml:space="preserve"> by </w:t>
      </w:r>
      <w:r w:rsidR="00E4733B" w:rsidRPr="001952B6">
        <w:rPr>
          <w:rFonts w:ascii="Times New Roman" w:hAnsi="Times New Roman" w:cs="Times New Roman"/>
          <w:sz w:val="24"/>
          <w:szCs w:val="24"/>
        </w:rPr>
        <w:t>quintiles</w:t>
      </w:r>
      <w:r w:rsidR="00FA266C" w:rsidRPr="001952B6">
        <w:rPr>
          <w:rFonts w:ascii="Times New Roman" w:hAnsi="Times New Roman" w:cs="Times New Roman"/>
          <w:sz w:val="24"/>
          <w:szCs w:val="24"/>
        </w:rPr>
        <w:t xml:space="preserve"> of circulating concentrations of 25</w:t>
      </w:r>
      <w:r w:rsidR="000D5DA7" w:rsidRPr="001952B6">
        <w:rPr>
          <w:rFonts w:ascii="Times New Roman" w:hAnsi="Times New Roman" w:cs="Times New Roman"/>
          <w:sz w:val="24"/>
          <w:szCs w:val="24"/>
        </w:rPr>
        <w:t>(OH)</w:t>
      </w:r>
      <w:r w:rsidR="00FA266C" w:rsidRPr="001952B6">
        <w:rPr>
          <w:rFonts w:ascii="Times New Roman" w:hAnsi="Times New Roman" w:cs="Times New Roman"/>
          <w:sz w:val="24"/>
          <w:szCs w:val="24"/>
        </w:rPr>
        <w:t>D</w:t>
      </w:r>
      <w:r w:rsidR="0039214C" w:rsidRPr="001952B6">
        <w:rPr>
          <w:rFonts w:ascii="Times New Roman" w:hAnsi="Times New Roman" w:cs="Times New Roman"/>
          <w:sz w:val="24"/>
          <w:szCs w:val="24"/>
        </w:rPr>
        <w:t xml:space="preserve">. </w:t>
      </w:r>
      <w:r w:rsidR="001350AA" w:rsidRPr="001952B6">
        <w:rPr>
          <w:rFonts w:ascii="Times New Roman" w:hAnsi="Times New Roman" w:cs="Times New Roman"/>
          <w:sz w:val="24"/>
          <w:szCs w:val="24"/>
        </w:rPr>
        <w:t xml:space="preserve">The highest </w:t>
      </w:r>
      <w:r w:rsidR="00E4733B" w:rsidRPr="001952B6">
        <w:rPr>
          <w:rFonts w:ascii="Times New Roman" w:hAnsi="Times New Roman" w:cs="Times New Roman"/>
          <w:sz w:val="24"/>
          <w:szCs w:val="24"/>
        </w:rPr>
        <w:t>quintile</w:t>
      </w:r>
      <w:r w:rsidR="001350AA" w:rsidRPr="001952B6">
        <w:rPr>
          <w:rFonts w:ascii="Times New Roman" w:hAnsi="Times New Roman" w:cs="Times New Roman"/>
          <w:sz w:val="24"/>
          <w:szCs w:val="24"/>
        </w:rPr>
        <w:t xml:space="preserve"> of </w:t>
      </w:r>
      <w:r w:rsidR="000D5DA7" w:rsidRPr="001952B6">
        <w:rPr>
          <w:rFonts w:ascii="Times New Roman" w:hAnsi="Times New Roman" w:cs="Times New Roman"/>
          <w:sz w:val="24"/>
          <w:szCs w:val="24"/>
        </w:rPr>
        <w:t>25(OH)</w:t>
      </w:r>
      <w:r w:rsidR="001350AA" w:rsidRPr="001952B6">
        <w:rPr>
          <w:rFonts w:ascii="Times New Roman" w:hAnsi="Times New Roman" w:cs="Times New Roman"/>
          <w:sz w:val="24"/>
          <w:szCs w:val="24"/>
        </w:rPr>
        <w:t xml:space="preserve">D was chosen as the reference category. </w:t>
      </w:r>
      <w:r w:rsidR="00077DF8" w:rsidRPr="001952B6">
        <w:rPr>
          <w:rFonts w:ascii="Times New Roman" w:hAnsi="Times New Roman" w:cs="Times New Roman"/>
          <w:sz w:val="24"/>
          <w:szCs w:val="24"/>
        </w:rPr>
        <w:t>A</w:t>
      </w:r>
      <w:r w:rsidR="00FA266C" w:rsidRPr="001952B6">
        <w:rPr>
          <w:rFonts w:ascii="Times New Roman" w:hAnsi="Times New Roman" w:cs="Times New Roman"/>
          <w:sz w:val="24"/>
          <w:szCs w:val="24"/>
        </w:rPr>
        <w:t>nalyses were</w:t>
      </w:r>
      <w:r w:rsidR="006132BE"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 xml:space="preserve">adjusted for </w:t>
      </w:r>
      <w:r w:rsidR="00793187" w:rsidRPr="001952B6">
        <w:rPr>
          <w:rFonts w:ascii="Times New Roman" w:hAnsi="Times New Roman" w:cs="Times New Roman"/>
          <w:sz w:val="24"/>
          <w:szCs w:val="24"/>
        </w:rPr>
        <w:t xml:space="preserve">sex, </w:t>
      </w:r>
      <w:r w:rsidR="00E4733B" w:rsidRPr="001952B6">
        <w:rPr>
          <w:rFonts w:ascii="Times New Roman" w:hAnsi="Times New Roman" w:cs="Times New Roman"/>
          <w:sz w:val="24"/>
          <w:szCs w:val="24"/>
        </w:rPr>
        <w:t>quintiles</w:t>
      </w:r>
      <w:r w:rsidR="00FA266C" w:rsidRPr="001952B6">
        <w:rPr>
          <w:rFonts w:ascii="Times New Roman" w:hAnsi="Times New Roman" w:cs="Times New Roman"/>
          <w:sz w:val="24"/>
          <w:szCs w:val="24"/>
        </w:rPr>
        <w:t xml:space="preserve"> of socioeconomic </w:t>
      </w:r>
      <w:r w:rsidR="00E4733B" w:rsidRPr="001952B6">
        <w:rPr>
          <w:rFonts w:ascii="Times New Roman" w:hAnsi="Times New Roman" w:cs="Times New Roman"/>
          <w:sz w:val="24"/>
          <w:szCs w:val="24"/>
        </w:rPr>
        <w:t>status</w:t>
      </w:r>
      <w:r w:rsidR="00FA266C" w:rsidRPr="001952B6">
        <w:rPr>
          <w:rFonts w:ascii="Times New Roman" w:hAnsi="Times New Roman" w:cs="Times New Roman"/>
          <w:sz w:val="24"/>
          <w:szCs w:val="24"/>
        </w:rPr>
        <w:t xml:space="preserve"> (based on</w:t>
      </w:r>
      <w:r w:rsidR="00B92EE0"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Townsend deprivation score),</w:t>
      </w:r>
      <w:r w:rsidR="00B92EE0" w:rsidRPr="001952B6">
        <w:rPr>
          <w:rFonts w:ascii="Times New Roman" w:hAnsi="Times New Roman" w:cs="Times New Roman"/>
          <w:sz w:val="24"/>
          <w:szCs w:val="24"/>
        </w:rPr>
        <w:t xml:space="preserve"> </w:t>
      </w:r>
      <w:r w:rsidR="00C93CDB" w:rsidRPr="001952B6">
        <w:rPr>
          <w:rFonts w:ascii="Times New Roman" w:hAnsi="Times New Roman" w:cs="Times New Roman"/>
          <w:sz w:val="24"/>
          <w:szCs w:val="24"/>
        </w:rPr>
        <w:t xml:space="preserve">ethnicity (white, black or black British, mixed race, Asian or British Asian and other) </w:t>
      </w:r>
      <w:r w:rsidR="00FA266C" w:rsidRPr="001952B6">
        <w:rPr>
          <w:rFonts w:ascii="Times New Roman" w:hAnsi="Times New Roman" w:cs="Times New Roman"/>
          <w:sz w:val="24"/>
          <w:szCs w:val="24"/>
        </w:rPr>
        <w:t>body mass index</w:t>
      </w:r>
      <w:r w:rsidR="00793187" w:rsidRPr="001952B6">
        <w:rPr>
          <w:rFonts w:ascii="Times New Roman" w:hAnsi="Times New Roman" w:cs="Times New Roman"/>
          <w:sz w:val="24"/>
          <w:szCs w:val="24"/>
        </w:rPr>
        <w:t xml:space="preserve"> (</w:t>
      </w:r>
      <w:r w:rsidR="00E4733B" w:rsidRPr="001952B6">
        <w:rPr>
          <w:rFonts w:ascii="Times New Roman" w:hAnsi="Times New Roman" w:cs="Times New Roman"/>
          <w:sz w:val="24"/>
          <w:szCs w:val="24"/>
        </w:rPr>
        <w:t>&lt;18.5, 18.5 to 24.9, 25 to 29.9, ≥ 30 kg/m</w:t>
      </w:r>
      <w:r w:rsidR="00E4733B" w:rsidRPr="001952B6">
        <w:rPr>
          <w:rFonts w:ascii="Times New Roman" w:hAnsi="Times New Roman" w:cs="Times New Roman"/>
          <w:sz w:val="24"/>
          <w:szCs w:val="24"/>
          <w:vertAlign w:val="superscript"/>
        </w:rPr>
        <w:t>2</w:t>
      </w:r>
      <w:r w:rsidR="00793187" w:rsidRPr="001952B6">
        <w:rPr>
          <w:rFonts w:ascii="Times New Roman" w:hAnsi="Times New Roman" w:cs="Times New Roman"/>
          <w:sz w:val="24"/>
          <w:szCs w:val="24"/>
        </w:rPr>
        <w:t>)</w:t>
      </w:r>
      <w:r w:rsidR="00FA266C" w:rsidRPr="001952B6">
        <w:rPr>
          <w:rFonts w:ascii="Times New Roman" w:hAnsi="Times New Roman" w:cs="Times New Roman"/>
          <w:sz w:val="24"/>
          <w:szCs w:val="24"/>
        </w:rPr>
        <w:t>, smoking</w:t>
      </w:r>
      <w:r w:rsidR="00B92EE0"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(never, past, current),</w:t>
      </w:r>
      <w:r w:rsidR="00F8063F" w:rsidRPr="001952B6">
        <w:rPr>
          <w:rFonts w:ascii="Times New Roman" w:hAnsi="Times New Roman" w:cs="Times New Roman"/>
          <w:sz w:val="24"/>
          <w:szCs w:val="24"/>
        </w:rPr>
        <w:t xml:space="preserve"> history of hypertension, </w:t>
      </w:r>
      <w:r w:rsidR="00A20087" w:rsidRPr="001952B6">
        <w:rPr>
          <w:rFonts w:ascii="Times New Roman" w:hAnsi="Times New Roman" w:cs="Times New Roman"/>
          <w:sz w:val="24"/>
          <w:szCs w:val="24"/>
        </w:rPr>
        <w:t xml:space="preserve">history of </w:t>
      </w:r>
      <w:r w:rsidR="003113F6" w:rsidRPr="001952B6">
        <w:rPr>
          <w:rFonts w:ascii="Times New Roman" w:hAnsi="Times New Roman" w:cs="Times New Roman"/>
          <w:sz w:val="24"/>
          <w:szCs w:val="24"/>
        </w:rPr>
        <w:t xml:space="preserve">diabetes, </w:t>
      </w:r>
      <w:r w:rsidR="00F8063F" w:rsidRPr="001952B6">
        <w:rPr>
          <w:rFonts w:ascii="Times New Roman" w:hAnsi="Times New Roman" w:cs="Times New Roman"/>
          <w:sz w:val="24"/>
          <w:szCs w:val="24"/>
        </w:rPr>
        <w:t>use of lipid lowering medication</w:t>
      </w:r>
      <w:r w:rsidR="00A20087" w:rsidRPr="001952B6">
        <w:rPr>
          <w:rFonts w:ascii="Times New Roman" w:hAnsi="Times New Roman" w:cs="Times New Roman"/>
          <w:sz w:val="24"/>
          <w:szCs w:val="24"/>
        </w:rPr>
        <w:t>,</w:t>
      </w:r>
      <w:r w:rsidR="00F8063F" w:rsidRPr="001952B6">
        <w:rPr>
          <w:rFonts w:ascii="Times New Roman" w:hAnsi="Times New Roman" w:cs="Times New Roman"/>
          <w:sz w:val="24"/>
          <w:szCs w:val="24"/>
        </w:rPr>
        <w:t xml:space="preserve"> and </w:t>
      </w:r>
      <w:r w:rsidR="007A4EFE" w:rsidRPr="001952B6">
        <w:rPr>
          <w:rFonts w:ascii="Times New Roman" w:hAnsi="Times New Roman" w:cs="Times New Roman"/>
          <w:sz w:val="24"/>
          <w:szCs w:val="24"/>
        </w:rPr>
        <w:t>history of atrial fibrillation</w:t>
      </w:r>
      <w:r w:rsidR="00FA266C" w:rsidRPr="001952B6">
        <w:rPr>
          <w:rFonts w:ascii="Times New Roman" w:hAnsi="Times New Roman" w:cs="Times New Roman"/>
          <w:sz w:val="24"/>
          <w:szCs w:val="24"/>
        </w:rPr>
        <w:t xml:space="preserve">. </w:t>
      </w:r>
      <w:r w:rsidR="00077DF8" w:rsidRPr="001952B6">
        <w:rPr>
          <w:rFonts w:ascii="Times New Roman" w:hAnsi="Times New Roman" w:cs="Times New Roman"/>
          <w:sz w:val="24"/>
          <w:szCs w:val="24"/>
        </w:rPr>
        <w:t>To account for similarity of outcome</w:t>
      </w:r>
      <w:r w:rsidR="004256B7" w:rsidRPr="001952B6">
        <w:rPr>
          <w:rFonts w:ascii="Times New Roman" w:hAnsi="Times New Roman" w:cs="Times New Roman"/>
          <w:sz w:val="24"/>
          <w:szCs w:val="24"/>
        </w:rPr>
        <w:t>s</w:t>
      </w:r>
      <w:r w:rsidR="00077DF8" w:rsidRPr="001952B6">
        <w:rPr>
          <w:rFonts w:ascii="Times New Roman" w:hAnsi="Times New Roman" w:cs="Times New Roman"/>
          <w:sz w:val="24"/>
          <w:szCs w:val="24"/>
        </w:rPr>
        <w:t xml:space="preserve"> within practices, statistical inference from the </w:t>
      </w:r>
      <w:r w:rsidR="004256B7" w:rsidRPr="001952B6">
        <w:rPr>
          <w:rFonts w:ascii="Times New Roman" w:hAnsi="Times New Roman" w:cs="Times New Roman"/>
          <w:sz w:val="24"/>
          <w:szCs w:val="24"/>
        </w:rPr>
        <w:t>C</w:t>
      </w:r>
      <w:r w:rsidR="00077DF8" w:rsidRPr="001952B6">
        <w:rPr>
          <w:rFonts w:ascii="Times New Roman" w:hAnsi="Times New Roman" w:cs="Times New Roman"/>
          <w:sz w:val="24"/>
          <w:szCs w:val="24"/>
        </w:rPr>
        <w:t xml:space="preserve">ox regression model was based on cluster-robust standard errors. </w:t>
      </w:r>
      <w:r w:rsidR="00FA266C" w:rsidRPr="001952B6">
        <w:rPr>
          <w:rFonts w:ascii="Times New Roman" w:hAnsi="Times New Roman" w:cs="Times New Roman"/>
          <w:sz w:val="24"/>
          <w:szCs w:val="24"/>
        </w:rPr>
        <w:t xml:space="preserve">Data were missing for </w:t>
      </w:r>
      <w:r w:rsidR="003658FF" w:rsidRPr="001952B6">
        <w:rPr>
          <w:rFonts w:ascii="Times New Roman" w:hAnsi="Times New Roman" w:cs="Times New Roman"/>
          <w:sz w:val="24"/>
          <w:szCs w:val="24"/>
        </w:rPr>
        <w:t xml:space="preserve">approximately </w:t>
      </w:r>
      <w:r w:rsidR="00366328" w:rsidRPr="001952B6">
        <w:rPr>
          <w:rFonts w:ascii="Times New Roman" w:hAnsi="Times New Roman" w:cs="Times New Roman"/>
          <w:sz w:val="24"/>
          <w:szCs w:val="24"/>
        </w:rPr>
        <w:t>&lt;</w:t>
      </w:r>
      <w:r w:rsidR="001607AA" w:rsidRPr="001952B6">
        <w:rPr>
          <w:rFonts w:ascii="Times New Roman" w:hAnsi="Times New Roman" w:cs="Times New Roman"/>
          <w:sz w:val="24"/>
          <w:szCs w:val="24"/>
        </w:rPr>
        <w:t xml:space="preserve">1% for smoking status, </w:t>
      </w:r>
      <w:r w:rsidR="00366328" w:rsidRPr="001952B6">
        <w:rPr>
          <w:rFonts w:ascii="Times New Roman" w:hAnsi="Times New Roman" w:cs="Times New Roman"/>
          <w:sz w:val="24"/>
          <w:szCs w:val="24"/>
        </w:rPr>
        <w:t>8% for BMI, 9</w:t>
      </w:r>
      <w:r w:rsidR="00DB2C81" w:rsidRPr="001952B6">
        <w:rPr>
          <w:rFonts w:ascii="Times New Roman" w:hAnsi="Times New Roman" w:cs="Times New Roman"/>
          <w:sz w:val="24"/>
          <w:szCs w:val="24"/>
        </w:rPr>
        <w:t xml:space="preserve">% for socioeconomic group, and </w:t>
      </w:r>
      <w:r w:rsidR="00005BDE" w:rsidRPr="001952B6">
        <w:rPr>
          <w:rFonts w:ascii="Times New Roman" w:hAnsi="Times New Roman" w:cs="Times New Roman"/>
          <w:sz w:val="24"/>
          <w:szCs w:val="24"/>
        </w:rPr>
        <w:t>38% of patients for ethnicity</w:t>
      </w:r>
      <w:r w:rsidR="0090164F" w:rsidRPr="001952B6">
        <w:rPr>
          <w:rFonts w:ascii="Times New Roman" w:hAnsi="Times New Roman" w:cs="Times New Roman"/>
          <w:sz w:val="24"/>
          <w:szCs w:val="24"/>
        </w:rPr>
        <w:t>. T</w:t>
      </w:r>
      <w:r w:rsidR="00FA266C" w:rsidRPr="001952B6">
        <w:rPr>
          <w:rFonts w:ascii="Times New Roman" w:hAnsi="Times New Roman" w:cs="Times New Roman"/>
          <w:sz w:val="24"/>
          <w:szCs w:val="24"/>
        </w:rPr>
        <w:t>o ensure that the same</w:t>
      </w:r>
      <w:r w:rsidR="004B31B6" w:rsidRPr="001952B6">
        <w:rPr>
          <w:rFonts w:ascii="Times New Roman" w:hAnsi="Times New Roman" w:cs="Times New Roman"/>
          <w:sz w:val="24"/>
          <w:szCs w:val="24"/>
        </w:rPr>
        <w:t xml:space="preserve"> patients</w:t>
      </w:r>
      <w:r w:rsidR="00FA266C" w:rsidRPr="001952B6">
        <w:rPr>
          <w:rFonts w:ascii="Times New Roman" w:hAnsi="Times New Roman" w:cs="Times New Roman"/>
          <w:sz w:val="24"/>
          <w:szCs w:val="24"/>
        </w:rPr>
        <w:t xml:space="preserve"> were being compared in all analyses the </w:t>
      </w:r>
      <w:r w:rsidR="00E57BF8" w:rsidRPr="001952B6">
        <w:rPr>
          <w:rFonts w:ascii="Times New Roman" w:hAnsi="Times New Roman" w:cs="Times New Roman"/>
          <w:sz w:val="24"/>
          <w:szCs w:val="24"/>
        </w:rPr>
        <w:t xml:space="preserve">patients with a </w:t>
      </w:r>
      <w:r w:rsidR="00FA266C" w:rsidRPr="001952B6">
        <w:rPr>
          <w:rFonts w:ascii="Times New Roman" w:hAnsi="Times New Roman" w:cs="Times New Roman"/>
          <w:sz w:val="24"/>
          <w:szCs w:val="24"/>
        </w:rPr>
        <w:t>missing value for each particular variable were assigned to</w:t>
      </w:r>
      <w:r w:rsidR="004B31B6"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a separate category for that variable and included in the regression</w:t>
      </w:r>
      <w:r w:rsidR="004B6F03"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analysis.</w:t>
      </w:r>
      <w:r w:rsidR="00BE710F" w:rsidRPr="001952B6">
        <w:rPr>
          <w:rFonts w:ascii="Times New Roman" w:hAnsi="Times New Roman" w:cs="Times New Roman"/>
          <w:sz w:val="24"/>
          <w:szCs w:val="24"/>
        </w:rPr>
        <w:t xml:space="preserve"> </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961C12" w:rsidRPr="001952B6" w:rsidRDefault="009203F6"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In the subgroup analysis, the </w:t>
      </w:r>
      <w:r w:rsidR="00B254DD" w:rsidRPr="001952B6">
        <w:rPr>
          <w:rFonts w:ascii="Times New Roman" w:hAnsi="Times New Roman" w:cs="Times New Roman"/>
          <w:sz w:val="24"/>
          <w:szCs w:val="24"/>
        </w:rPr>
        <w:t>quintiles</w:t>
      </w:r>
      <w:r w:rsidRPr="001952B6">
        <w:rPr>
          <w:rFonts w:ascii="Times New Roman" w:hAnsi="Times New Roman" w:cs="Times New Roman"/>
          <w:sz w:val="24"/>
          <w:szCs w:val="24"/>
        </w:rPr>
        <w:t xml:space="preserve"> of 25(OH)D were replaced with the base-2 logarithm of serum concentration of 25(OH)D in the </w:t>
      </w:r>
      <w:r w:rsidR="00B254DD" w:rsidRPr="001952B6">
        <w:rPr>
          <w:rFonts w:ascii="Times New Roman" w:hAnsi="Times New Roman" w:cs="Times New Roman"/>
          <w:sz w:val="24"/>
          <w:szCs w:val="24"/>
        </w:rPr>
        <w:t xml:space="preserve">Cox regression </w:t>
      </w:r>
      <w:r w:rsidRPr="001952B6">
        <w:rPr>
          <w:rFonts w:ascii="Times New Roman" w:hAnsi="Times New Roman" w:cs="Times New Roman"/>
          <w:sz w:val="24"/>
          <w:szCs w:val="24"/>
        </w:rPr>
        <w:t xml:space="preserve">model, which represents </w:t>
      </w:r>
      <w:r w:rsidR="009E503D" w:rsidRPr="001952B6">
        <w:rPr>
          <w:rFonts w:ascii="Times New Roman" w:hAnsi="Times New Roman" w:cs="Times New Roman"/>
          <w:sz w:val="24"/>
          <w:szCs w:val="24"/>
        </w:rPr>
        <w:t xml:space="preserve">a </w:t>
      </w:r>
      <w:r w:rsidR="009E503D" w:rsidRPr="001952B6">
        <w:rPr>
          <w:rFonts w:ascii="Times New Roman" w:hAnsi="Times New Roman" w:cs="Times New Roman"/>
          <w:sz w:val="24"/>
          <w:szCs w:val="24"/>
        </w:rPr>
        <w:lastRenderedPageBreak/>
        <w:t>doubling of concentrations of 25(OH)D.</w:t>
      </w:r>
      <w:r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 xml:space="preserve">Heterogeneity in the associations across </w:t>
      </w:r>
      <w:r w:rsidR="0020331A" w:rsidRPr="001952B6">
        <w:rPr>
          <w:rFonts w:ascii="Times New Roman" w:hAnsi="Times New Roman" w:cs="Times New Roman"/>
          <w:sz w:val="24"/>
          <w:szCs w:val="24"/>
        </w:rPr>
        <w:t>the</w:t>
      </w:r>
      <w:r w:rsidR="00961C12" w:rsidRPr="001952B6">
        <w:rPr>
          <w:rFonts w:ascii="Times New Roman" w:hAnsi="Times New Roman" w:cs="Times New Roman"/>
          <w:sz w:val="24"/>
          <w:szCs w:val="24"/>
        </w:rPr>
        <w:t xml:space="preserve"> </w:t>
      </w:r>
      <w:r w:rsidR="00FA266C" w:rsidRPr="001952B6">
        <w:rPr>
          <w:rFonts w:ascii="Times New Roman" w:hAnsi="Times New Roman" w:cs="Times New Roman"/>
          <w:sz w:val="24"/>
          <w:szCs w:val="24"/>
        </w:rPr>
        <w:t xml:space="preserve">subgroups of </w:t>
      </w:r>
      <w:r w:rsidR="0020331A" w:rsidRPr="001952B6">
        <w:rPr>
          <w:rFonts w:ascii="Times New Roman" w:hAnsi="Times New Roman" w:cs="Times New Roman"/>
          <w:sz w:val="24"/>
          <w:szCs w:val="24"/>
        </w:rPr>
        <w:t xml:space="preserve">patients </w:t>
      </w:r>
      <w:r w:rsidR="00031CE0" w:rsidRPr="001952B6">
        <w:rPr>
          <w:rFonts w:ascii="Times New Roman" w:hAnsi="Times New Roman" w:cs="Times New Roman"/>
          <w:sz w:val="24"/>
          <w:szCs w:val="24"/>
        </w:rPr>
        <w:t>accordin</w:t>
      </w:r>
      <w:r w:rsidR="00A02DE7" w:rsidRPr="001952B6">
        <w:rPr>
          <w:rFonts w:ascii="Times New Roman" w:hAnsi="Times New Roman" w:cs="Times New Roman"/>
          <w:sz w:val="24"/>
          <w:szCs w:val="24"/>
        </w:rPr>
        <w:t>g to sex, age</w:t>
      </w:r>
      <w:r w:rsidR="004F5EE6" w:rsidRPr="001952B6">
        <w:rPr>
          <w:rFonts w:ascii="Times New Roman" w:hAnsi="Times New Roman" w:cs="Times New Roman"/>
          <w:sz w:val="24"/>
          <w:szCs w:val="24"/>
        </w:rPr>
        <w:t xml:space="preserve"> at baseline</w:t>
      </w:r>
      <w:r w:rsidR="00A02DE7" w:rsidRPr="001952B6">
        <w:rPr>
          <w:rFonts w:ascii="Times New Roman" w:hAnsi="Times New Roman" w:cs="Times New Roman"/>
          <w:sz w:val="24"/>
          <w:szCs w:val="24"/>
        </w:rPr>
        <w:t xml:space="preserve">, smoking, </w:t>
      </w:r>
      <w:r w:rsidR="00425A17" w:rsidRPr="001952B6">
        <w:rPr>
          <w:rFonts w:ascii="Times New Roman" w:hAnsi="Times New Roman" w:cs="Times New Roman"/>
          <w:sz w:val="24"/>
          <w:szCs w:val="24"/>
        </w:rPr>
        <w:t xml:space="preserve">socioeconomic status, ethnicity, BMI, and presence of </w:t>
      </w:r>
      <w:r w:rsidR="00A02DE7" w:rsidRPr="001952B6">
        <w:rPr>
          <w:rFonts w:ascii="Times New Roman" w:hAnsi="Times New Roman" w:cs="Times New Roman"/>
          <w:sz w:val="24"/>
          <w:szCs w:val="24"/>
        </w:rPr>
        <w:t>CVD risk</w:t>
      </w:r>
      <w:r w:rsidR="00031CE0" w:rsidRPr="001952B6">
        <w:rPr>
          <w:rFonts w:ascii="Times New Roman" w:hAnsi="Times New Roman" w:cs="Times New Roman"/>
          <w:sz w:val="24"/>
          <w:szCs w:val="24"/>
        </w:rPr>
        <w:t xml:space="preserve"> factors </w:t>
      </w:r>
      <w:r w:rsidR="00FA266C" w:rsidRPr="001952B6">
        <w:rPr>
          <w:rFonts w:ascii="Times New Roman" w:hAnsi="Times New Roman" w:cs="Times New Roman"/>
          <w:sz w:val="24"/>
          <w:szCs w:val="24"/>
        </w:rPr>
        <w:t>was assessed using a standard</w:t>
      </w:r>
      <w:r w:rsidR="00020018" w:rsidRPr="001952B6">
        <w:rPr>
          <w:rFonts w:ascii="Times New Roman" w:hAnsi="Times New Roman" w:cs="Times New Roman"/>
          <w:sz w:val="24"/>
          <w:szCs w:val="24"/>
        </w:rPr>
        <w:t xml:space="preserve"> chi-squared test</w:t>
      </w:r>
      <w:r w:rsidR="00FA266C" w:rsidRPr="001952B6">
        <w:rPr>
          <w:rFonts w:ascii="Times New Roman" w:hAnsi="Times New Roman" w:cs="Times New Roman"/>
          <w:sz w:val="24"/>
          <w:szCs w:val="24"/>
        </w:rPr>
        <w:t xml:space="preserve"> </w:t>
      </w:r>
      <w:r w:rsidR="00020018" w:rsidRPr="001952B6">
        <w:rPr>
          <w:rFonts w:ascii="Times New Roman" w:hAnsi="Times New Roman" w:cs="Times New Roman"/>
          <w:sz w:val="24"/>
          <w:szCs w:val="24"/>
        </w:rPr>
        <w:t>(</w:t>
      </w:r>
      <w:r w:rsidR="00FA266C" w:rsidRPr="001952B6">
        <w:rPr>
          <w:rFonts w:ascii="Times New Roman" w:hAnsi="Times New Roman" w:cs="Times New Roman"/>
          <w:sz w:val="24"/>
          <w:szCs w:val="24"/>
        </w:rPr>
        <w:t>χ</w:t>
      </w:r>
      <w:r w:rsidR="00FA266C" w:rsidRPr="001952B6">
        <w:rPr>
          <w:rFonts w:ascii="Times New Roman" w:hAnsi="Times New Roman" w:cs="Times New Roman"/>
          <w:sz w:val="24"/>
          <w:szCs w:val="24"/>
          <w:vertAlign w:val="superscript"/>
        </w:rPr>
        <w:t>2</w:t>
      </w:r>
      <w:r w:rsidR="00020018" w:rsidRPr="001952B6">
        <w:rPr>
          <w:rFonts w:ascii="Times New Roman" w:hAnsi="Times New Roman" w:cs="Times New Roman"/>
          <w:sz w:val="24"/>
          <w:szCs w:val="24"/>
        </w:rPr>
        <w:t>)</w:t>
      </w:r>
      <w:r w:rsidR="00FA266C" w:rsidRPr="001952B6">
        <w:rPr>
          <w:rFonts w:ascii="Times New Roman" w:hAnsi="Times New Roman" w:cs="Times New Roman"/>
          <w:sz w:val="24"/>
          <w:szCs w:val="24"/>
        </w:rPr>
        <w:t xml:space="preserve"> test.</w:t>
      </w:r>
      <w:r w:rsidR="00961C12" w:rsidRPr="001952B6">
        <w:rPr>
          <w:rFonts w:ascii="Times New Roman" w:hAnsi="Times New Roman" w:cs="Times New Roman"/>
          <w:sz w:val="24"/>
          <w:szCs w:val="24"/>
        </w:rPr>
        <w:t xml:space="preserve"> </w:t>
      </w:r>
      <w:r w:rsidR="000A4D4C" w:rsidRPr="001952B6">
        <w:rPr>
          <w:rFonts w:ascii="Times New Roman" w:hAnsi="Times New Roman" w:cs="Times New Roman"/>
          <w:sz w:val="24"/>
          <w:szCs w:val="24"/>
        </w:rPr>
        <w:t xml:space="preserve">It is possible that </w:t>
      </w:r>
      <w:r w:rsidR="00977AF1" w:rsidRPr="001952B6">
        <w:rPr>
          <w:rFonts w:ascii="Times New Roman" w:hAnsi="Times New Roman" w:cs="Times New Roman"/>
          <w:sz w:val="24"/>
          <w:szCs w:val="24"/>
        </w:rPr>
        <w:t>undiagnosed</w:t>
      </w:r>
      <w:r w:rsidR="000A4D4C" w:rsidRPr="001952B6">
        <w:rPr>
          <w:rFonts w:ascii="Times New Roman" w:hAnsi="Times New Roman" w:cs="Times New Roman"/>
          <w:sz w:val="24"/>
          <w:szCs w:val="24"/>
        </w:rPr>
        <w:t xml:space="preserve"> disease may cause people to become unwell, which can result in some </w:t>
      </w:r>
      <w:r w:rsidR="00B254DD" w:rsidRPr="001952B6">
        <w:rPr>
          <w:rFonts w:ascii="Times New Roman" w:hAnsi="Times New Roman" w:cs="Times New Roman"/>
          <w:sz w:val="24"/>
          <w:szCs w:val="24"/>
        </w:rPr>
        <w:t>individuals</w:t>
      </w:r>
      <w:r w:rsidR="000A4D4C" w:rsidRPr="001952B6">
        <w:rPr>
          <w:rFonts w:ascii="Times New Roman" w:hAnsi="Times New Roman" w:cs="Times New Roman"/>
          <w:sz w:val="24"/>
          <w:szCs w:val="24"/>
        </w:rPr>
        <w:t xml:space="preserve"> changing their lifestyle to spend less time outside in the sun, and may </w:t>
      </w:r>
      <w:r w:rsidR="004A7823" w:rsidRPr="001952B6">
        <w:rPr>
          <w:rFonts w:ascii="Times New Roman" w:hAnsi="Times New Roman" w:cs="Times New Roman"/>
          <w:sz w:val="24"/>
          <w:szCs w:val="24"/>
        </w:rPr>
        <w:t xml:space="preserve">lead to </w:t>
      </w:r>
      <w:r w:rsidR="00103100" w:rsidRPr="001952B6">
        <w:rPr>
          <w:rFonts w:ascii="Times New Roman" w:hAnsi="Times New Roman" w:cs="Times New Roman"/>
          <w:sz w:val="24"/>
          <w:szCs w:val="24"/>
        </w:rPr>
        <w:t>reverse causation bias</w:t>
      </w:r>
      <w:r w:rsidR="000A4D4C" w:rsidRPr="001952B6">
        <w:rPr>
          <w:rFonts w:ascii="Times New Roman" w:hAnsi="Times New Roman" w:cs="Times New Roman"/>
          <w:sz w:val="24"/>
          <w:szCs w:val="24"/>
        </w:rPr>
        <w:t xml:space="preserve"> whereby low </w:t>
      </w:r>
      <w:r w:rsidR="003415F0" w:rsidRPr="001952B6">
        <w:rPr>
          <w:rFonts w:ascii="Times New Roman" w:hAnsi="Times New Roman" w:cs="Times New Roman"/>
          <w:sz w:val="24"/>
          <w:szCs w:val="24"/>
        </w:rPr>
        <w:t>25(OH)</w:t>
      </w:r>
      <w:r w:rsidR="000A4D4C" w:rsidRPr="001952B6">
        <w:rPr>
          <w:rFonts w:ascii="Times New Roman" w:hAnsi="Times New Roman" w:cs="Times New Roman"/>
          <w:sz w:val="24"/>
          <w:szCs w:val="24"/>
        </w:rPr>
        <w:t>D</w:t>
      </w:r>
      <w:r w:rsidR="003415F0" w:rsidRPr="001952B6">
        <w:rPr>
          <w:rFonts w:ascii="Times New Roman" w:hAnsi="Times New Roman" w:cs="Times New Roman"/>
          <w:sz w:val="24"/>
          <w:szCs w:val="24"/>
        </w:rPr>
        <w:t xml:space="preserve"> are a consequence</w:t>
      </w:r>
      <w:r w:rsidR="000A4D4C" w:rsidRPr="001952B6">
        <w:rPr>
          <w:rFonts w:ascii="Times New Roman" w:hAnsi="Times New Roman" w:cs="Times New Roman"/>
          <w:sz w:val="24"/>
          <w:szCs w:val="24"/>
        </w:rPr>
        <w:t>, rather than a cause, of the disease. To minimise this type of bias</w:t>
      </w:r>
      <w:r w:rsidR="00FA266C" w:rsidRPr="001952B6">
        <w:rPr>
          <w:rFonts w:ascii="Times New Roman" w:hAnsi="Times New Roman" w:cs="Times New Roman"/>
          <w:sz w:val="24"/>
          <w:szCs w:val="24"/>
        </w:rPr>
        <w:t xml:space="preserve">, analyses </w:t>
      </w:r>
      <w:r w:rsidR="00942DE3" w:rsidRPr="001952B6">
        <w:rPr>
          <w:rFonts w:ascii="Times New Roman" w:hAnsi="Times New Roman" w:cs="Times New Roman"/>
          <w:sz w:val="24"/>
          <w:szCs w:val="24"/>
        </w:rPr>
        <w:t xml:space="preserve">for CVD and mortality </w:t>
      </w:r>
      <w:r w:rsidR="00961C12" w:rsidRPr="001952B6">
        <w:rPr>
          <w:rFonts w:ascii="Times New Roman" w:hAnsi="Times New Roman" w:cs="Times New Roman"/>
          <w:sz w:val="24"/>
          <w:szCs w:val="24"/>
        </w:rPr>
        <w:t>were repeated</w:t>
      </w:r>
      <w:r w:rsidR="004F5EE6" w:rsidRPr="001952B6">
        <w:rPr>
          <w:rFonts w:ascii="Times New Roman" w:hAnsi="Times New Roman" w:cs="Times New Roman"/>
          <w:sz w:val="24"/>
          <w:szCs w:val="24"/>
        </w:rPr>
        <w:t xml:space="preserve"> according to </w:t>
      </w:r>
      <w:r w:rsidR="00D62631" w:rsidRPr="001952B6">
        <w:rPr>
          <w:rFonts w:ascii="Times New Roman" w:hAnsi="Times New Roman" w:cs="Times New Roman"/>
          <w:sz w:val="24"/>
          <w:szCs w:val="24"/>
        </w:rPr>
        <w:t xml:space="preserve">subgroups of follow-up time (&lt; 3 </w:t>
      </w:r>
      <w:r w:rsidR="004F5EE6" w:rsidRPr="001952B6">
        <w:rPr>
          <w:rFonts w:ascii="Times New Roman" w:hAnsi="Times New Roman" w:cs="Times New Roman"/>
          <w:sz w:val="24"/>
          <w:szCs w:val="24"/>
        </w:rPr>
        <w:t>and ≥</w:t>
      </w:r>
      <w:r w:rsidR="00F40716" w:rsidRPr="001952B6">
        <w:rPr>
          <w:rFonts w:ascii="Times New Roman" w:hAnsi="Times New Roman" w:cs="Times New Roman"/>
          <w:sz w:val="24"/>
          <w:szCs w:val="24"/>
        </w:rPr>
        <w:t xml:space="preserve"> </w:t>
      </w:r>
      <w:r w:rsidR="00D62631" w:rsidRPr="001952B6">
        <w:rPr>
          <w:rFonts w:ascii="Times New Roman" w:hAnsi="Times New Roman" w:cs="Times New Roman"/>
          <w:sz w:val="24"/>
          <w:szCs w:val="24"/>
        </w:rPr>
        <w:t>3</w:t>
      </w:r>
      <w:r w:rsidR="00F40716" w:rsidRPr="001952B6">
        <w:rPr>
          <w:rFonts w:ascii="Times New Roman" w:hAnsi="Times New Roman" w:cs="Times New Roman"/>
          <w:sz w:val="24"/>
          <w:szCs w:val="24"/>
        </w:rPr>
        <w:t xml:space="preserve"> years</w:t>
      </w:r>
      <w:r w:rsidR="004F5EE6" w:rsidRPr="001952B6">
        <w:rPr>
          <w:rFonts w:ascii="Times New Roman" w:hAnsi="Times New Roman" w:cs="Times New Roman"/>
          <w:sz w:val="24"/>
          <w:szCs w:val="24"/>
        </w:rPr>
        <w:t>)</w:t>
      </w:r>
      <w:r w:rsidR="00FA266C" w:rsidRPr="001952B6">
        <w:rPr>
          <w:rFonts w:ascii="Times New Roman" w:hAnsi="Times New Roman" w:cs="Times New Roman"/>
          <w:sz w:val="24"/>
          <w:szCs w:val="24"/>
        </w:rPr>
        <w:t>.</w:t>
      </w:r>
      <w:r w:rsidR="00472C85" w:rsidRPr="001952B6">
        <w:rPr>
          <w:rFonts w:ascii="Times New Roman" w:hAnsi="Times New Roman" w:cs="Times New Roman"/>
          <w:sz w:val="24"/>
          <w:szCs w:val="24"/>
        </w:rPr>
        <w:t xml:space="preserve"> </w:t>
      </w:r>
      <w:r w:rsidR="00E1104E" w:rsidRPr="001952B6">
        <w:rPr>
          <w:rFonts w:ascii="Times New Roman" w:hAnsi="Times New Roman" w:cs="Times New Roman"/>
          <w:sz w:val="24"/>
          <w:szCs w:val="24"/>
        </w:rPr>
        <w:t>Repeat a</w:t>
      </w:r>
      <w:r w:rsidR="00472C85" w:rsidRPr="001952B6">
        <w:rPr>
          <w:rFonts w:ascii="Times New Roman" w:hAnsi="Times New Roman" w:cs="Times New Roman"/>
          <w:sz w:val="24"/>
          <w:szCs w:val="24"/>
        </w:rPr>
        <w:t xml:space="preserve">nalyses were restricted </w:t>
      </w:r>
      <w:r w:rsidR="00E1104E" w:rsidRPr="001952B6">
        <w:rPr>
          <w:rFonts w:ascii="Times New Roman" w:hAnsi="Times New Roman" w:cs="Times New Roman"/>
          <w:sz w:val="24"/>
          <w:szCs w:val="24"/>
        </w:rPr>
        <w:t xml:space="preserve">also </w:t>
      </w:r>
      <w:r w:rsidR="00472C85" w:rsidRPr="001952B6">
        <w:rPr>
          <w:rFonts w:ascii="Times New Roman" w:hAnsi="Times New Roman" w:cs="Times New Roman"/>
          <w:sz w:val="24"/>
          <w:szCs w:val="24"/>
        </w:rPr>
        <w:t xml:space="preserve">to </w:t>
      </w:r>
      <w:r w:rsidR="00B254DD" w:rsidRPr="001952B6">
        <w:rPr>
          <w:rFonts w:ascii="Times New Roman" w:hAnsi="Times New Roman" w:cs="Times New Roman"/>
          <w:sz w:val="24"/>
          <w:szCs w:val="24"/>
        </w:rPr>
        <w:t>those</w:t>
      </w:r>
      <w:r w:rsidR="00472C85" w:rsidRPr="001952B6">
        <w:rPr>
          <w:rFonts w:ascii="Times New Roman" w:hAnsi="Times New Roman" w:cs="Times New Roman"/>
          <w:sz w:val="24"/>
          <w:szCs w:val="24"/>
        </w:rPr>
        <w:t xml:space="preserve"> with complete data on BMI, ethnicity, smoking and socioeconomic group.</w:t>
      </w:r>
      <w:r w:rsidR="00FA266C" w:rsidRPr="001952B6">
        <w:rPr>
          <w:rFonts w:ascii="Times New Roman" w:hAnsi="Times New Roman" w:cs="Times New Roman"/>
          <w:sz w:val="24"/>
          <w:szCs w:val="24"/>
        </w:rPr>
        <w:t xml:space="preserve"> </w:t>
      </w:r>
    </w:p>
    <w:p w:rsidR="004A7F9D" w:rsidRPr="001952B6" w:rsidRDefault="004A7F9D" w:rsidP="004A7F9D">
      <w:pPr>
        <w:autoSpaceDE w:val="0"/>
        <w:autoSpaceDN w:val="0"/>
        <w:adjustRightInd w:val="0"/>
        <w:spacing w:after="0" w:line="480" w:lineRule="auto"/>
        <w:rPr>
          <w:rFonts w:ascii="Times New Roman" w:eastAsiaTheme="minorHAnsi" w:hAnsi="Times New Roman" w:cs="Times New Roman"/>
          <w:sz w:val="24"/>
          <w:szCs w:val="24"/>
          <w:lang w:eastAsia="en-US"/>
        </w:rPr>
      </w:pPr>
    </w:p>
    <w:p w:rsidR="0068582B" w:rsidRPr="001952B6" w:rsidRDefault="00FA266C" w:rsidP="004A7F9D">
      <w:pPr>
        <w:autoSpaceDE w:val="0"/>
        <w:autoSpaceDN w:val="0"/>
        <w:adjustRightInd w:val="0"/>
        <w:spacing w:after="0" w:line="480" w:lineRule="auto"/>
        <w:rPr>
          <w:rFonts w:ascii="Times New Roman" w:eastAsiaTheme="minorHAnsi" w:hAnsi="Times New Roman" w:cs="Times New Roman"/>
          <w:sz w:val="24"/>
          <w:szCs w:val="24"/>
          <w:lang w:eastAsia="en-US"/>
        </w:rPr>
      </w:pPr>
      <w:r w:rsidRPr="001952B6">
        <w:rPr>
          <w:rFonts w:ascii="Times New Roman" w:eastAsiaTheme="minorHAnsi" w:hAnsi="Times New Roman" w:cs="Times New Roman"/>
          <w:sz w:val="24"/>
          <w:szCs w:val="24"/>
          <w:lang w:eastAsia="en-US"/>
        </w:rPr>
        <w:t>All statistical analyses were performed using Stata statistical software, V.1</w:t>
      </w:r>
      <w:r w:rsidR="00961C12" w:rsidRPr="001952B6">
        <w:rPr>
          <w:rFonts w:ascii="Times New Roman" w:eastAsiaTheme="minorHAnsi" w:hAnsi="Times New Roman" w:cs="Times New Roman"/>
          <w:sz w:val="24"/>
          <w:szCs w:val="24"/>
          <w:lang w:eastAsia="en-US"/>
        </w:rPr>
        <w:t>5</w:t>
      </w:r>
      <w:r w:rsidRPr="001952B6">
        <w:rPr>
          <w:rFonts w:ascii="Times New Roman" w:eastAsiaTheme="minorHAnsi" w:hAnsi="Times New Roman" w:cs="Times New Roman"/>
          <w:sz w:val="24"/>
          <w:szCs w:val="24"/>
          <w:lang w:eastAsia="en-US"/>
        </w:rPr>
        <w:t xml:space="preserve"> (StataCorp, College Station, Texas, USA). Two-sided</w:t>
      </w:r>
      <w:r w:rsidR="00C95089" w:rsidRPr="001952B6">
        <w:rPr>
          <w:rFonts w:ascii="Times New Roman" w:eastAsiaTheme="minorHAnsi" w:hAnsi="Times New Roman" w:cs="Times New Roman"/>
          <w:sz w:val="24"/>
          <w:szCs w:val="24"/>
          <w:lang w:eastAsia="en-US"/>
        </w:rPr>
        <w:t xml:space="preserve"> </w:t>
      </w:r>
      <w:r w:rsidR="00C95089" w:rsidRPr="001952B6">
        <w:rPr>
          <w:rFonts w:ascii="Times New Roman" w:eastAsiaTheme="minorHAnsi" w:hAnsi="Times New Roman" w:cs="Times New Roman"/>
          <w:i/>
          <w:sz w:val="24"/>
          <w:szCs w:val="24"/>
          <w:lang w:eastAsia="en-US"/>
        </w:rPr>
        <w:t>P</w:t>
      </w:r>
      <w:r w:rsidRPr="001952B6">
        <w:rPr>
          <w:rFonts w:ascii="Times New Roman" w:eastAsiaTheme="minorHAnsi" w:hAnsi="Times New Roman" w:cs="Times New Roman"/>
          <w:sz w:val="24"/>
          <w:szCs w:val="24"/>
          <w:lang w:eastAsia="en-US"/>
        </w:rPr>
        <w:t xml:space="preserve"> values &lt;</w:t>
      </w:r>
      <w:r w:rsidR="00213B57" w:rsidRPr="001952B6">
        <w:rPr>
          <w:rFonts w:ascii="Times New Roman" w:eastAsiaTheme="minorHAnsi" w:hAnsi="Times New Roman" w:cs="Times New Roman"/>
          <w:sz w:val="24"/>
          <w:szCs w:val="24"/>
          <w:lang w:eastAsia="en-US"/>
        </w:rPr>
        <w:t xml:space="preserve"> </w:t>
      </w:r>
      <w:r w:rsidRPr="001952B6">
        <w:rPr>
          <w:rFonts w:ascii="Times New Roman" w:eastAsiaTheme="minorHAnsi" w:hAnsi="Times New Roman" w:cs="Times New Roman"/>
          <w:sz w:val="24"/>
          <w:szCs w:val="24"/>
          <w:lang w:eastAsia="en-US"/>
        </w:rPr>
        <w:t>0.05 were consi</w:t>
      </w:r>
      <w:r w:rsidR="00583751" w:rsidRPr="001952B6">
        <w:rPr>
          <w:rFonts w:ascii="Times New Roman" w:eastAsiaTheme="minorHAnsi" w:hAnsi="Times New Roman" w:cs="Times New Roman"/>
          <w:sz w:val="24"/>
          <w:szCs w:val="24"/>
          <w:lang w:eastAsia="en-US"/>
        </w:rPr>
        <w:t>dered statistically significant.</w:t>
      </w:r>
      <w:r w:rsidR="00075CEC" w:rsidRPr="001952B6">
        <w:rPr>
          <w:rFonts w:ascii="Times New Roman" w:eastAsiaTheme="minorHAnsi" w:hAnsi="Times New Roman" w:cs="Times New Roman"/>
          <w:sz w:val="24"/>
          <w:szCs w:val="24"/>
          <w:lang w:eastAsia="en-US"/>
        </w:rPr>
        <w:t xml:space="preserve"> </w:t>
      </w:r>
      <w:r w:rsidR="0068582B" w:rsidRPr="001952B6">
        <w:rPr>
          <w:rFonts w:ascii="Times New Roman" w:eastAsiaTheme="minorHAnsi" w:hAnsi="Times New Roman" w:cs="Times New Roman"/>
          <w:sz w:val="24"/>
          <w:szCs w:val="24"/>
          <w:lang w:eastAsia="en-US"/>
        </w:rPr>
        <w:br w:type="page"/>
      </w:r>
    </w:p>
    <w:p w:rsidR="00F14465" w:rsidRPr="001952B6" w:rsidRDefault="0068582B" w:rsidP="00575E33">
      <w:pPr>
        <w:autoSpaceDE w:val="0"/>
        <w:autoSpaceDN w:val="0"/>
        <w:adjustRightInd w:val="0"/>
        <w:spacing w:after="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Results</w:t>
      </w:r>
    </w:p>
    <w:p w:rsidR="004A464D" w:rsidRPr="001952B6" w:rsidRDefault="004A464D"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There were </w:t>
      </w:r>
      <w:r w:rsidR="00137301" w:rsidRPr="001952B6">
        <w:rPr>
          <w:rFonts w:ascii="Times New Roman" w:hAnsi="Times New Roman" w:cs="Times New Roman"/>
          <w:sz w:val="24"/>
          <w:szCs w:val="24"/>
        </w:rPr>
        <w:t xml:space="preserve">133,518 women and </w:t>
      </w:r>
      <w:r w:rsidRPr="001952B6">
        <w:rPr>
          <w:rFonts w:ascii="Times New Roman" w:hAnsi="Times New Roman" w:cs="Times New Roman"/>
          <w:sz w:val="24"/>
          <w:szCs w:val="24"/>
        </w:rPr>
        <w:t>46,745 men included in this analysis</w:t>
      </w:r>
      <w:r w:rsidR="00137301" w:rsidRPr="001952B6">
        <w:rPr>
          <w:rFonts w:ascii="Times New Roman" w:hAnsi="Times New Roman" w:cs="Times New Roman"/>
          <w:sz w:val="24"/>
          <w:szCs w:val="24"/>
        </w:rPr>
        <w:t>.</w:t>
      </w:r>
      <w:r w:rsidRPr="001952B6">
        <w:rPr>
          <w:rFonts w:ascii="Times New Roman" w:hAnsi="Times New Roman" w:cs="Times New Roman"/>
          <w:sz w:val="24"/>
          <w:szCs w:val="24"/>
        </w:rPr>
        <w:t xml:space="preserve"> </w:t>
      </w:r>
      <w:r w:rsidR="00137301" w:rsidRPr="001952B6">
        <w:rPr>
          <w:rFonts w:ascii="Times New Roman" w:hAnsi="Times New Roman" w:cs="Times New Roman"/>
          <w:sz w:val="24"/>
          <w:szCs w:val="24"/>
        </w:rPr>
        <w:t>A</w:t>
      </w:r>
      <w:r w:rsidRPr="001952B6">
        <w:rPr>
          <w:rFonts w:ascii="Times New Roman" w:hAnsi="Times New Roman" w:cs="Times New Roman"/>
          <w:sz w:val="24"/>
          <w:szCs w:val="24"/>
        </w:rPr>
        <w:t xml:space="preserve">t baseline their mean age was 52 (SD 17) years and </w:t>
      </w:r>
      <w:r w:rsidR="00907FE6" w:rsidRPr="001952B6">
        <w:rPr>
          <w:rFonts w:ascii="Times New Roman" w:hAnsi="Times New Roman" w:cs="Times New Roman"/>
          <w:sz w:val="24"/>
          <w:szCs w:val="24"/>
        </w:rPr>
        <w:t>median (IQR)</w:t>
      </w:r>
      <w:r w:rsidRPr="001952B6">
        <w:rPr>
          <w:rFonts w:ascii="Times New Roman" w:hAnsi="Times New Roman" w:cs="Times New Roman"/>
          <w:sz w:val="24"/>
          <w:szCs w:val="24"/>
        </w:rPr>
        <w:t xml:space="preserve"> 25(OH)D concentration was </w:t>
      </w:r>
      <w:r w:rsidR="00907FE6" w:rsidRPr="001952B6">
        <w:rPr>
          <w:rFonts w:ascii="Times New Roman" w:hAnsi="Times New Roman" w:cs="Times New Roman"/>
          <w:sz w:val="24"/>
          <w:szCs w:val="24"/>
        </w:rPr>
        <w:t>41.0</w:t>
      </w:r>
      <w:r w:rsidRPr="001952B6">
        <w:rPr>
          <w:rFonts w:ascii="Times New Roman" w:hAnsi="Times New Roman" w:cs="Times New Roman"/>
          <w:sz w:val="24"/>
          <w:szCs w:val="24"/>
        </w:rPr>
        <w:t xml:space="preserve"> (</w:t>
      </w:r>
      <w:r w:rsidR="00907FE6" w:rsidRPr="001952B6">
        <w:rPr>
          <w:rFonts w:ascii="Times New Roman" w:hAnsi="Times New Roman" w:cs="Times New Roman"/>
          <w:sz w:val="24"/>
          <w:szCs w:val="24"/>
        </w:rPr>
        <w:t xml:space="preserve">26.1 </w:t>
      </w:r>
      <w:r w:rsidRPr="001952B6">
        <w:rPr>
          <w:rFonts w:ascii="Times New Roman" w:hAnsi="Times New Roman" w:cs="Times New Roman"/>
          <w:sz w:val="24"/>
          <w:szCs w:val="24"/>
        </w:rPr>
        <w:t xml:space="preserve">to </w:t>
      </w:r>
      <w:r w:rsidR="00907FE6" w:rsidRPr="001952B6">
        <w:rPr>
          <w:rFonts w:ascii="Times New Roman" w:hAnsi="Times New Roman" w:cs="Times New Roman"/>
          <w:sz w:val="24"/>
          <w:szCs w:val="24"/>
        </w:rPr>
        <w:t>61.8</w:t>
      </w:r>
      <w:r w:rsidRPr="001952B6">
        <w:rPr>
          <w:rFonts w:ascii="Times New Roman" w:hAnsi="Times New Roman" w:cs="Times New Roman"/>
          <w:sz w:val="24"/>
          <w:szCs w:val="24"/>
        </w:rPr>
        <w:t>) nmol/L.</w:t>
      </w:r>
      <w:r w:rsidR="00160E36" w:rsidRPr="001952B6">
        <w:rPr>
          <w:rFonts w:ascii="Times New Roman" w:hAnsi="Times New Roman" w:cs="Times New Roman"/>
          <w:sz w:val="24"/>
          <w:szCs w:val="24"/>
        </w:rPr>
        <w:t xml:space="preserve"> </w:t>
      </w:r>
      <w:r w:rsidR="00160E36" w:rsidRPr="001952B6">
        <w:rPr>
          <w:rFonts w:ascii="Times New Roman" w:hAnsi="Times New Roman" w:cs="Times New Roman"/>
          <w:b/>
          <w:sz w:val="24"/>
          <w:szCs w:val="24"/>
        </w:rPr>
        <w:t>Table 1</w:t>
      </w:r>
      <w:r w:rsidR="00160E36" w:rsidRPr="001952B6">
        <w:rPr>
          <w:rFonts w:ascii="Times New Roman" w:hAnsi="Times New Roman" w:cs="Times New Roman"/>
          <w:sz w:val="24"/>
          <w:szCs w:val="24"/>
        </w:rPr>
        <w:t xml:space="preserve"> shows the characteristics of the men and women included in the analysis and details of their follow-up</w:t>
      </w:r>
      <w:r w:rsidR="006C01AF" w:rsidRPr="001952B6">
        <w:rPr>
          <w:rFonts w:ascii="Times New Roman" w:hAnsi="Times New Roman" w:cs="Times New Roman"/>
          <w:sz w:val="24"/>
          <w:szCs w:val="24"/>
        </w:rPr>
        <w:t xml:space="preserve">, by </w:t>
      </w:r>
      <w:r w:rsidR="00521445" w:rsidRPr="001952B6">
        <w:rPr>
          <w:rFonts w:ascii="Times New Roman" w:hAnsi="Times New Roman" w:cs="Times New Roman"/>
          <w:sz w:val="24"/>
          <w:szCs w:val="24"/>
        </w:rPr>
        <w:t>quintiles</w:t>
      </w:r>
      <w:r w:rsidR="006C01AF" w:rsidRPr="001952B6">
        <w:rPr>
          <w:rFonts w:ascii="Times New Roman" w:hAnsi="Times New Roman" w:cs="Times New Roman"/>
          <w:sz w:val="24"/>
          <w:szCs w:val="24"/>
        </w:rPr>
        <w:t xml:space="preserve"> of circulating concentrations of 25(OH)D.</w:t>
      </w:r>
      <w:r w:rsidRPr="001952B6">
        <w:rPr>
          <w:rFonts w:ascii="Times New Roman" w:hAnsi="Times New Roman" w:cs="Times New Roman"/>
          <w:sz w:val="24"/>
          <w:szCs w:val="24"/>
        </w:rPr>
        <w:t xml:space="preserve"> </w:t>
      </w:r>
      <w:r w:rsidR="006C01AF" w:rsidRPr="001952B6">
        <w:rPr>
          <w:rFonts w:ascii="Times New Roman" w:hAnsi="Times New Roman" w:cs="Times New Roman"/>
          <w:sz w:val="24"/>
          <w:szCs w:val="24"/>
        </w:rPr>
        <w:t xml:space="preserve">Compared to patients in the </w:t>
      </w:r>
      <w:r w:rsidR="001350AA" w:rsidRPr="001952B6">
        <w:rPr>
          <w:rFonts w:ascii="Times New Roman" w:hAnsi="Times New Roman" w:cs="Times New Roman"/>
          <w:sz w:val="24"/>
          <w:szCs w:val="24"/>
        </w:rPr>
        <w:t>highest</w:t>
      </w:r>
      <w:r w:rsidR="006C01AF" w:rsidRPr="001952B6">
        <w:rPr>
          <w:rFonts w:ascii="Times New Roman" w:hAnsi="Times New Roman" w:cs="Times New Roman"/>
          <w:sz w:val="24"/>
          <w:szCs w:val="24"/>
        </w:rPr>
        <w:t xml:space="preserve"> </w:t>
      </w:r>
      <w:r w:rsidR="00521445" w:rsidRPr="001952B6">
        <w:rPr>
          <w:rFonts w:ascii="Times New Roman" w:hAnsi="Times New Roman" w:cs="Times New Roman"/>
          <w:sz w:val="24"/>
          <w:szCs w:val="24"/>
        </w:rPr>
        <w:t>quintile</w:t>
      </w:r>
      <w:r w:rsidR="006C01AF" w:rsidRPr="001952B6">
        <w:rPr>
          <w:rFonts w:ascii="Times New Roman" w:hAnsi="Times New Roman" w:cs="Times New Roman"/>
          <w:sz w:val="24"/>
          <w:szCs w:val="24"/>
        </w:rPr>
        <w:t xml:space="preserve"> of circulating 25(OH)D </w:t>
      </w:r>
      <w:r w:rsidR="001350AA" w:rsidRPr="001952B6">
        <w:rPr>
          <w:rFonts w:ascii="Times New Roman" w:hAnsi="Times New Roman" w:cs="Times New Roman"/>
          <w:sz w:val="24"/>
          <w:szCs w:val="24"/>
        </w:rPr>
        <w:t>(median=8</w:t>
      </w:r>
      <w:r w:rsidR="00E26731" w:rsidRPr="001952B6">
        <w:rPr>
          <w:rFonts w:ascii="Times New Roman" w:hAnsi="Times New Roman" w:cs="Times New Roman"/>
          <w:sz w:val="24"/>
          <w:szCs w:val="24"/>
        </w:rPr>
        <w:t>3</w:t>
      </w:r>
      <w:r w:rsidR="001350AA" w:rsidRPr="001952B6">
        <w:rPr>
          <w:rFonts w:ascii="Times New Roman" w:hAnsi="Times New Roman" w:cs="Times New Roman"/>
          <w:sz w:val="24"/>
          <w:szCs w:val="24"/>
        </w:rPr>
        <w:t>.</w:t>
      </w:r>
      <w:r w:rsidR="00E26731" w:rsidRPr="001952B6">
        <w:rPr>
          <w:rFonts w:ascii="Times New Roman" w:hAnsi="Times New Roman" w:cs="Times New Roman"/>
          <w:sz w:val="24"/>
          <w:szCs w:val="24"/>
        </w:rPr>
        <w:t>4</w:t>
      </w:r>
      <w:r w:rsidR="001350AA" w:rsidRPr="001952B6">
        <w:rPr>
          <w:rFonts w:ascii="Times New Roman" w:hAnsi="Times New Roman" w:cs="Times New Roman"/>
          <w:sz w:val="24"/>
          <w:szCs w:val="24"/>
        </w:rPr>
        <w:t xml:space="preserve"> nmol/L)</w:t>
      </w:r>
      <w:r w:rsidR="006C01AF" w:rsidRPr="001952B6">
        <w:rPr>
          <w:rFonts w:ascii="Times New Roman" w:hAnsi="Times New Roman" w:cs="Times New Roman"/>
          <w:sz w:val="24"/>
          <w:szCs w:val="24"/>
        </w:rPr>
        <w:t xml:space="preserve">, those in the </w:t>
      </w:r>
      <w:r w:rsidR="001350AA" w:rsidRPr="001952B6">
        <w:rPr>
          <w:rFonts w:ascii="Times New Roman" w:hAnsi="Times New Roman" w:cs="Times New Roman"/>
          <w:sz w:val="24"/>
          <w:szCs w:val="24"/>
        </w:rPr>
        <w:t xml:space="preserve">lowest </w:t>
      </w:r>
      <w:r w:rsidR="00521445" w:rsidRPr="001952B6">
        <w:rPr>
          <w:rFonts w:ascii="Times New Roman" w:hAnsi="Times New Roman" w:cs="Times New Roman"/>
          <w:sz w:val="24"/>
          <w:szCs w:val="24"/>
        </w:rPr>
        <w:t>quintile</w:t>
      </w:r>
      <w:r w:rsidR="006C01AF" w:rsidRPr="001952B6">
        <w:rPr>
          <w:rFonts w:ascii="Times New Roman" w:hAnsi="Times New Roman" w:cs="Times New Roman"/>
          <w:sz w:val="24"/>
          <w:szCs w:val="24"/>
        </w:rPr>
        <w:t xml:space="preserve"> (</w:t>
      </w:r>
      <w:r w:rsidR="001350AA" w:rsidRPr="001952B6">
        <w:rPr>
          <w:rFonts w:ascii="Times New Roman" w:hAnsi="Times New Roman" w:cs="Times New Roman"/>
          <w:sz w:val="24"/>
          <w:szCs w:val="24"/>
        </w:rPr>
        <w:t>median</w:t>
      </w:r>
      <w:r w:rsidR="006C01AF" w:rsidRPr="001952B6">
        <w:rPr>
          <w:rFonts w:ascii="Times New Roman" w:hAnsi="Times New Roman" w:cs="Times New Roman"/>
          <w:sz w:val="24"/>
          <w:szCs w:val="24"/>
        </w:rPr>
        <w:t>=</w:t>
      </w:r>
      <w:r w:rsidR="001350AA" w:rsidRPr="001952B6">
        <w:rPr>
          <w:rFonts w:ascii="Times New Roman" w:hAnsi="Times New Roman" w:cs="Times New Roman"/>
          <w:sz w:val="24"/>
          <w:szCs w:val="24"/>
        </w:rPr>
        <w:t>1</w:t>
      </w:r>
      <w:r w:rsidR="00E26731" w:rsidRPr="001952B6">
        <w:rPr>
          <w:rFonts w:ascii="Times New Roman" w:hAnsi="Times New Roman" w:cs="Times New Roman"/>
          <w:sz w:val="24"/>
          <w:szCs w:val="24"/>
        </w:rPr>
        <w:t>6</w:t>
      </w:r>
      <w:r w:rsidR="001350AA" w:rsidRPr="001952B6">
        <w:rPr>
          <w:rFonts w:ascii="Times New Roman" w:hAnsi="Times New Roman" w:cs="Times New Roman"/>
          <w:sz w:val="24"/>
          <w:szCs w:val="24"/>
        </w:rPr>
        <w:t>.5</w:t>
      </w:r>
      <w:r w:rsidR="006C01AF" w:rsidRPr="001952B6">
        <w:rPr>
          <w:rFonts w:ascii="Times New Roman" w:hAnsi="Times New Roman" w:cs="Times New Roman"/>
          <w:sz w:val="24"/>
          <w:szCs w:val="24"/>
        </w:rPr>
        <w:t xml:space="preserve"> nmol/L) were </w:t>
      </w:r>
      <w:r w:rsidR="001350AA" w:rsidRPr="001952B6">
        <w:rPr>
          <w:rFonts w:ascii="Times New Roman" w:hAnsi="Times New Roman" w:cs="Times New Roman"/>
          <w:sz w:val="24"/>
          <w:szCs w:val="24"/>
        </w:rPr>
        <w:t>younger</w:t>
      </w:r>
      <w:r w:rsidR="001427A3" w:rsidRPr="001952B6">
        <w:rPr>
          <w:rFonts w:ascii="Times New Roman" w:hAnsi="Times New Roman" w:cs="Times New Roman"/>
          <w:sz w:val="24"/>
          <w:szCs w:val="24"/>
        </w:rPr>
        <w:t xml:space="preserve">, </w:t>
      </w:r>
      <w:r w:rsidR="00472397" w:rsidRPr="001952B6">
        <w:rPr>
          <w:rFonts w:ascii="Times New Roman" w:hAnsi="Times New Roman" w:cs="Times New Roman"/>
          <w:sz w:val="24"/>
          <w:szCs w:val="24"/>
        </w:rPr>
        <w:t xml:space="preserve">were more likely to be </w:t>
      </w:r>
      <w:r w:rsidR="001350AA" w:rsidRPr="001952B6">
        <w:rPr>
          <w:rFonts w:ascii="Times New Roman" w:hAnsi="Times New Roman" w:cs="Times New Roman"/>
          <w:sz w:val="24"/>
          <w:szCs w:val="24"/>
        </w:rPr>
        <w:t>non-</w:t>
      </w:r>
      <w:r w:rsidR="00472397" w:rsidRPr="001952B6">
        <w:rPr>
          <w:rFonts w:ascii="Times New Roman" w:hAnsi="Times New Roman" w:cs="Times New Roman"/>
          <w:sz w:val="24"/>
          <w:szCs w:val="24"/>
        </w:rPr>
        <w:t xml:space="preserve">white ethnicity, </w:t>
      </w:r>
      <w:r w:rsidR="001427A3" w:rsidRPr="001952B6">
        <w:rPr>
          <w:rFonts w:ascii="Times New Roman" w:hAnsi="Times New Roman" w:cs="Times New Roman"/>
          <w:sz w:val="24"/>
          <w:szCs w:val="24"/>
        </w:rPr>
        <w:t xml:space="preserve">had a </w:t>
      </w:r>
      <w:r w:rsidR="001350AA" w:rsidRPr="001952B6">
        <w:rPr>
          <w:rFonts w:ascii="Times New Roman" w:hAnsi="Times New Roman" w:cs="Times New Roman"/>
          <w:sz w:val="24"/>
          <w:szCs w:val="24"/>
        </w:rPr>
        <w:t>higher</w:t>
      </w:r>
      <w:r w:rsidR="001427A3" w:rsidRPr="001952B6">
        <w:rPr>
          <w:rFonts w:ascii="Times New Roman" w:hAnsi="Times New Roman" w:cs="Times New Roman"/>
          <w:sz w:val="24"/>
          <w:szCs w:val="24"/>
        </w:rPr>
        <w:t xml:space="preserve"> BMI, and were </w:t>
      </w:r>
      <w:r w:rsidR="001350AA" w:rsidRPr="001952B6">
        <w:rPr>
          <w:rFonts w:ascii="Times New Roman" w:hAnsi="Times New Roman" w:cs="Times New Roman"/>
          <w:sz w:val="24"/>
          <w:szCs w:val="24"/>
        </w:rPr>
        <w:t>more</w:t>
      </w:r>
      <w:r w:rsidR="001427A3" w:rsidRPr="001952B6">
        <w:rPr>
          <w:rFonts w:ascii="Times New Roman" w:hAnsi="Times New Roman" w:cs="Times New Roman"/>
          <w:sz w:val="24"/>
          <w:szCs w:val="24"/>
        </w:rPr>
        <w:t xml:space="preserve"> likely to be in the lowest socioeconomic group, be current smokers </w:t>
      </w:r>
      <w:r w:rsidR="001350AA" w:rsidRPr="001952B6">
        <w:rPr>
          <w:rFonts w:ascii="Times New Roman" w:hAnsi="Times New Roman" w:cs="Times New Roman"/>
          <w:sz w:val="24"/>
          <w:szCs w:val="24"/>
        </w:rPr>
        <w:t>and</w:t>
      </w:r>
      <w:r w:rsidR="001427A3" w:rsidRPr="001952B6">
        <w:rPr>
          <w:rFonts w:ascii="Times New Roman" w:hAnsi="Times New Roman" w:cs="Times New Roman"/>
          <w:sz w:val="24"/>
          <w:szCs w:val="24"/>
        </w:rPr>
        <w:t xml:space="preserve"> have diabetes. Those in the </w:t>
      </w:r>
      <w:r w:rsidR="00CC5FF3" w:rsidRPr="001952B6">
        <w:rPr>
          <w:rFonts w:ascii="Times New Roman" w:hAnsi="Times New Roman" w:cs="Times New Roman"/>
          <w:sz w:val="24"/>
          <w:szCs w:val="24"/>
        </w:rPr>
        <w:t xml:space="preserve">lowest </w:t>
      </w:r>
      <w:r w:rsidR="00521445" w:rsidRPr="001952B6">
        <w:rPr>
          <w:rFonts w:ascii="Times New Roman" w:hAnsi="Times New Roman" w:cs="Times New Roman"/>
          <w:sz w:val="24"/>
          <w:szCs w:val="24"/>
        </w:rPr>
        <w:t>quintile</w:t>
      </w:r>
      <w:r w:rsidR="00CC5FF3" w:rsidRPr="001952B6">
        <w:rPr>
          <w:rFonts w:ascii="Times New Roman" w:hAnsi="Times New Roman" w:cs="Times New Roman"/>
          <w:sz w:val="24"/>
          <w:szCs w:val="24"/>
        </w:rPr>
        <w:t xml:space="preserve"> of 25(OH)D were less </w:t>
      </w:r>
      <w:r w:rsidR="001427A3" w:rsidRPr="001952B6">
        <w:rPr>
          <w:rFonts w:ascii="Times New Roman" w:hAnsi="Times New Roman" w:cs="Times New Roman"/>
          <w:sz w:val="24"/>
          <w:szCs w:val="24"/>
        </w:rPr>
        <w:t>likely to have a history of atrial fibrillation</w:t>
      </w:r>
      <w:r w:rsidR="003F0134" w:rsidRPr="001952B6">
        <w:rPr>
          <w:rFonts w:ascii="Times New Roman" w:hAnsi="Times New Roman" w:cs="Times New Roman"/>
          <w:sz w:val="24"/>
          <w:szCs w:val="24"/>
        </w:rPr>
        <w:t xml:space="preserve"> compared to the highest </w:t>
      </w:r>
      <w:r w:rsidR="00521445" w:rsidRPr="001952B6">
        <w:rPr>
          <w:rFonts w:ascii="Times New Roman" w:hAnsi="Times New Roman" w:cs="Times New Roman"/>
          <w:sz w:val="24"/>
          <w:szCs w:val="24"/>
        </w:rPr>
        <w:t>quintile</w:t>
      </w:r>
      <w:r w:rsidR="001427A3" w:rsidRPr="001952B6">
        <w:rPr>
          <w:rFonts w:ascii="Times New Roman" w:hAnsi="Times New Roman" w:cs="Times New Roman"/>
          <w:sz w:val="24"/>
          <w:szCs w:val="24"/>
        </w:rPr>
        <w:t>.</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355205" w:rsidRPr="001952B6" w:rsidRDefault="006103A5" w:rsidP="004A7F9D">
      <w:pPr>
        <w:autoSpaceDE w:val="0"/>
        <w:autoSpaceDN w:val="0"/>
        <w:adjustRightInd w:val="0"/>
        <w:spacing w:after="0" w:line="480" w:lineRule="auto"/>
        <w:rPr>
          <w:rFonts w:ascii="Times New Roman" w:hAnsi="Times New Roman" w:cs="Times New Roman"/>
          <w:sz w:val="24"/>
          <w:szCs w:val="24"/>
        </w:rPr>
        <w:sectPr w:rsidR="00355205" w:rsidRPr="001952B6" w:rsidSect="00A04204">
          <w:pgSz w:w="11906" w:h="16838"/>
          <w:pgMar w:top="1440" w:right="1440" w:bottom="1440" w:left="1440" w:header="708" w:footer="708" w:gutter="0"/>
          <w:lnNumType w:countBy="1"/>
          <w:pgNumType w:start="2"/>
          <w:cols w:space="708"/>
          <w:docGrid w:linePitch="360"/>
        </w:sectPr>
      </w:pPr>
      <w:r w:rsidRPr="001952B6">
        <w:rPr>
          <w:rFonts w:ascii="Times New Roman" w:hAnsi="Times New Roman" w:cs="Times New Roman"/>
          <w:sz w:val="24"/>
          <w:szCs w:val="24"/>
        </w:rPr>
        <w:t>After a mean follow-up of 2.2 (SD 1.7) years</w:t>
      </w:r>
      <w:r w:rsidR="001271C8" w:rsidRPr="001952B6">
        <w:rPr>
          <w:rFonts w:ascii="Times New Roman" w:hAnsi="Times New Roman" w:cs="Times New Roman"/>
          <w:sz w:val="24"/>
          <w:szCs w:val="24"/>
        </w:rPr>
        <w:t>,</w:t>
      </w:r>
      <w:r w:rsidRPr="001952B6">
        <w:rPr>
          <w:rFonts w:ascii="Times New Roman" w:hAnsi="Times New Roman" w:cs="Times New Roman"/>
          <w:sz w:val="24"/>
          <w:szCs w:val="24"/>
        </w:rPr>
        <w:t xml:space="preserve"> there were 3,747 patients diagnosed with cardiovascular disease and </w:t>
      </w:r>
      <w:r w:rsidR="008A7E3A" w:rsidRPr="001952B6">
        <w:rPr>
          <w:rFonts w:ascii="Times New Roman" w:hAnsi="Times New Roman" w:cs="Times New Roman"/>
          <w:sz w:val="24"/>
          <w:szCs w:val="24"/>
        </w:rPr>
        <w:t>3,912</w:t>
      </w:r>
      <w:r w:rsidRPr="001952B6">
        <w:rPr>
          <w:rFonts w:ascii="Times New Roman" w:hAnsi="Times New Roman" w:cs="Times New Roman"/>
          <w:sz w:val="24"/>
          <w:szCs w:val="24"/>
        </w:rPr>
        <w:t xml:space="preserve"> patients died.</w:t>
      </w:r>
      <w:r w:rsidR="001271C8" w:rsidRPr="001952B6">
        <w:rPr>
          <w:rFonts w:ascii="Times New Roman" w:hAnsi="Times New Roman" w:cs="Times New Roman"/>
          <w:sz w:val="24"/>
          <w:szCs w:val="24"/>
        </w:rPr>
        <w:t xml:space="preserve"> </w:t>
      </w:r>
      <w:r w:rsidR="001271C8" w:rsidRPr="001952B6">
        <w:rPr>
          <w:rFonts w:ascii="Times New Roman" w:hAnsi="Times New Roman" w:cs="Times New Roman"/>
          <w:b/>
          <w:sz w:val="24"/>
          <w:szCs w:val="24"/>
        </w:rPr>
        <w:t xml:space="preserve">Table </w:t>
      </w:r>
      <w:r w:rsidR="00DA7674" w:rsidRPr="001952B6">
        <w:rPr>
          <w:rFonts w:ascii="Times New Roman" w:hAnsi="Times New Roman" w:cs="Times New Roman"/>
          <w:b/>
          <w:sz w:val="24"/>
          <w:szCs w:val="24"/>
        </w:rPr>
        <w:t>2</w:t>
      </w:r>
      <w:r w:rsidR="001271C8" w:rsidRPr="001952B6">
        <w:rPr>
          <w:rFonts w:ascii="Times New Roman" w:hAnsi="Times New Roman" w:cs="Times New Roman"/>
          <w:sz w:val="24"/>
          <w:szCs w:val="24"/>
        </w:rPr>
        <w:t xml:space="preserve"> shows the </w:t>
      </w:r>
      <w:r w:rsidR="00AA74F7" w:rsidRPr="001952B6">
        <w:rPr>
          <w:rFonts w:ascii="Times New Roman" w:hAnsi="Times New Roman" w:cs="Times New Roman"/>
          <w:sz w:val="24"/>
          <w:szCs w:val="24"/>
        </w:rPr>
        <w:t>HR (95% CI)</w:t>
      </w:r>
      <w:r w:rsidR="00DA7674" w:rsidRPr="001952B6">
        <w:rPr>
          <w:rFonts w:ascii="Times New Roman" w:hAnsi="Times New Roman" w:cs="Times New Roman"/>
          <w:sz w:val="24"/>
          <w:szCs w:val="24"/>
        </w:rPr>
        <w:t xml:space="preserve"> of CVD</w:t>
      </w:r>
      <w:r w:rsidR="003C1E12" w:rsidRPr="001952B6">
        <w:rPr>
          <w:rFonts w:ascii="Times New Roman" w:hAnsi="Times New Roman" w:cs="Times New Roman"/>
          <w:sz w:val="24"/>
          <w:szCs w:val="24"/>
        </w:rPr>
        <w:t xml:space="preserve">, </w:t>
      </w:r>
      <w:r w:rsidR="00306E93" w:rsidRPr="001952B6">
        <w:rPr>
          <w:rFonts w:ascii="Times New Roman" w:hAnsi="Times New Roman" w:cs="Times New Roman"/>
          <w:sz w:val="24"/>
          <w:szCs w:val="24"/>
        </w:rPr>
        <w:t>mortality, IHD</w:t>
      </w:r>
      <w:r w:rsidR="003C1E12" w:rsidRPr="001952B6">
        <w:rPr>
          <w:rFonts w:ascii="Times New Roman" w:hAnsi="Times New Roman" w:cs="Times New Roman"/>
          <w:sz w:val="24"/>
          <w:szCs w:val="24"/>
        </w:rPr>
        <w:t xml:space="preserve">, </w:t>
      </w:r>
      <w:r w:rsidR="00306E93" w:rsidRPr="001952B6">
        <w:rPr>
          <w:rFonts w:ascii="Times New Roman" w:hAnsi="Times New Roman" w:cs="Times New Roman"/>
          <w:sz w:val="24"/>
          <w:szCs w:val="24"/>
        </w:rPr>
        <w:t>cerebrovascular disease</w:t>
      </w:r>
      <w:r w:rsidR="003C1E12" w:rsidRPr="001952B6">
        <w:rPr>
          <w:rFonts w:ascii="Times New Roman" w:hAnsi="Times New Roman" w:cs="Times New Roman"/>
          <w:sz w:val="24"/>
          <w:szCs w:val="24"/>
        </w:rPr>
        <w:t>,</w:t>
      </w:r>
      <w:r w:rsidR="00306E93" w:rsidRPr="001952B6">
        <w:rPr>
          <w:rFonts w:ascii="Times New Roman" w:hAnsi="Times New Roman" w:cs="Times New Roman"/>
          <w:sz w:val="24"/>
          <w:szCs w:val="24"/>
        </w:rPr>
        <w:t xml:space="preserve"> and </w:t>
      </w:r>
      <w:r w:rsidR="003C1E12" w:rsidRPr="001952B6">
        <w:rPr>
          <w:rFonts w:ascii="Times New Roman" w:hAnsi="Times New Roman" w:cs="Times New Roman"/>
          <w:sz w:val="24"/>
          <w:szCs w:val="24"/>
        </w:rPr>
        <w:t xml:space="preserve">heart failure </w:t>
      </w:r>
      <w:r w:rsidR="00DA7674" w:rsidRPr="001952B6">
        <w:rPr>
          <w:rFonts w:ascii="Times New Roman" w:hAnsi="Times New Roman" w:cs="Times New Roman"/>
          <w:sz w:val="24"/>
          <w:szCs w:val="24"/>
        </w:rPr>
        <w:t xml:space="preserve">by </w:t>
      </w:r>
      <w:r w:rsidR="00521445" w:rsidRPr="001952B6">
        <w:rPr>
          <w:rFonts w:ascii="Times New Roman" w:hAnsi="Times New Roman" w:cs="Times New Roman"/>
          <w:sz w:val="24"/>
          <w:szCs w:val="24"/>
        </w:rPr>
        <w:t>quintiles</w:t>
      </w:r>
      <w:r w:rsidR="00DA7674" w:rsidRPr="001952B6">
        <w:rPr>
          <w:rFonts w:ascii="Times New Roman" w:hAnsi="Times New Roman" w:cs="Times New Roman"/>
          <w:sz w:val="24"/>
          <w:szCs w:val="24"/>
        </w:rPr>
        <w:t xml:space="preserve"> of circulating concentrations of 25(OH)D. There was a strong and highly statistically significant inverse association between 25(OH)D and risk of CVD</w:t>
      </w:r>
      <w:r w:rsidR="003C1E12" w:rsidRPr="001952B6">
        <w:rPr>
          <w:rFonts w:ascii="Times New Roman" w:hAnsi="Times New Roman" w:cs="Times New Roman"/>
          <w:sz w:val="24"/>
          <w:szCs w:val="24"/>
        </w:rPr>
        <w:t>.</w:t>
      </w:r>
      <w:r w:rsidR="00B9529B" w:rsidRPr="001952B6">
        <w:rPr>
          <w:rFonts w:ascii="Times New Roman" w:hAnsi="Times New Roman" w:cs="Times New Roman"/>
          <w:sz w:val="24"/>
          <w:szCs w:val="24"/>
        </w:rPr>
        <w:t xml:space="preserve"> In </w:t>
      </w:r>
      <w:r w:rsidR="00FE6D89" w:rsidRPr="001952B6">
        <w:rPr>
          <w:rFonts w:ascii="Times New Roman" w:hAnsi="Times New Roman" w:cs="Times New Roman"/>
          <w:sz w:val="24"/>
          <w:szCs w:val="24"/>
        </w:rPr>
        <w:t>a model</w:t>
      </w:r>
      <w:r w:rsidR="00B9529B" w:rsidRPr="001952B6">
        <w:rPr>
          <w:rFonts w:ascii="Times New Roman" w:hAnsi="Times New Roman" w:cs="Times New Roman"/>
          <w:sz w:val="24"/>
          <w:szCs w:val="24"/>
        </w:rPr>
        <w:t xml:space="preserve"> adjusted for </w:t>
      </w:r>
      <w:r w:rsidR="00AA74F7" w:rsidRPr="001952B6">
        <w:rPr>
          <w:rFonts w:ascii="Times New Roman" w:hAnsi="Times New Roman" w:cs="Times New Roman"/>
          <w:sz w:val="24"/>
          <w:szCs w:val="24"/>
        </w:rPr>
        <w:t xml:space="preserve">only age, the risk of CVD was </w:t>
      </w:r>
      <w:r w:rsidR="006F5826" w:rsidRPr="001952B6">
        <w:rPr>
          <w:rFonts w:ascii="Times New Roman" w:hAnsi="Times New Roman" w:cs="Times New Roman"/>
          <w:sz w:val="24"/>
          <w:szCs w:val="24"/>
        </w:rPr>
        <w:t>39</w:t>
      </w:r>
      <w:r w:rsidR="008E1E74" w:rsidRPr="001952B6">
        <w:rPr>
          <w:rFonts w:ascii="Times New Roman" w:hAnsi="Times New Roman" w:cs="Times New Roman"/>
          <w:sz w:val="24"/>
          <w:szCs w:val="24"/>
        </w:rPr>
        <w:t>% (</w:t>
      </w:r>
      <w:r w:rsidR="00521445" w:rsidRPr="001952B6">
        <w:rPr>
          <w:rFonts w:ascii="Times New Roman" w:hAnsi="Times New Roman" w:cs="Times New Roman"/>
          <w:sz w:val="24"/>
          <w:szCs w:val="24"/>
        </w:rPr>
        <w:t xml:space="preserve">HR 1.39, </w:t>
      </w:r>
      <w:r w:rsidR="008E1E74" w:rsidRPr="001952B6">
        <w:rPr>
          <w:rFonts w:ascii="Times New Roman" w:hAnsi="Times New Roman" w:cs="Times New Roman"/>
          <w:sz w:val="24"/>
          <w:szCs w:val="24"/>
        </w:rPr>
        <w:t xml:space="preserve">95% CI </w:t>
      </w:r>
      <w:r w:rsidR="00521445" w:rsidRPr="001952B6">
        <w:rPr>
          <w:rFonts w:ascii="Times New Roman" w:hAnsi="Times New Roman" w:cs="Times New Roman"/>
          <w:sz w:val="24"/>
          <w:szCs w:val="24"/>
        </w:rPr>
        <w:t>1.</w:t>
      </w:r>
      <w:r w:rsidR="008E1E74" w:rsidRPr="001952B6">
        <w:rPr>
          <w:rFonts w:ascii="Times New Roman" w:hAnsi="Times New Roman" w:cs="Times New Roman"/>
          <w:sz w:val="24"/>
          <w:szCs w:val="24"/>
        </w:rPr>
        <w:t>2</w:t>
      </w:r>
      <w:r w:rsidR="006F5826" w:rsidRPr="001952B6">
        <w:rPr>
          <w:rFonts w:ascii="Times New Roman" w:hAnsi="Times New Roman" w:cs="Times New Roman"/>
          <w:sz w:val="24"/>
          <w:szCs w:val="24"/>
        </w:rPr>
        <w:t>6</w:t>
      </w:r>
      <w:r w:rsidR="003C73F0" w:rsidRPr="001952B6">
        <w:rPr>
          <w:rFonts w:ascii="Times New Roman" w:eastAsia="Times New Roman" w:hAnsi="Times New Roman" w:cs="Times New Roman"/>
          <w:color w:val="000000"/>
          <w:sz w:val="24"/>
          <w:szCs w:val="24"/>
        </w:rPr>
        <w:t>–</w:t>
      </w:r>
      <w:r w:rsidR="00521445" w:rsidRPr="001952B6">
        <w:rPr>
          <w:rFonts w:ascii="Times New Roman" w:eastAsia="Times New Roman" w:hAnsi="Times New Roman" w:cs="Times New Roman"/>
          <w:color w:val="000000"/>
          <w:sz w:val="24"/>
          <w:szCs w:val="24"/>
        </w:rPr>
        <w:t>1.55</w:t>
      </w:r>
      <w:r w:rsidR="00B9529B" w:rsidRPr="001952B6">
        <w:rPr>
          <w:rFonts w:ascii="Times New Roman" w:hAnsi="Times New Roman" w:cs="Times New Roman"/>
          <w:sz w:val="24"/>
          <w:szCs w:val="24"/>
        </w:rPr>
        <w:t xml:space="preserve">) </w:t>
      </w:r>
      <w:r w:rsidR="00D03AD2" w:rsidRPr="001952B6">
        <w:rPr>
          <w:rFonts w:ascii="Times New Roman" w:hAnsi="Times New Roman" w:cs="Times New Roman"/>
          <w:sz w:val="24"/>
          <w:szCs w:val="24"/>
        </w:rPr>
        <w:t>higher</w:t>
      </w:r>
      <w:r w:rsidR="00FE6D89" w:rsidRPr="001952B6">
        <w:rPr>
          <w:rFonts w:ascii="Times New Roman" w:hAnsi="Times New Roman" w:cs="Times New Roman"/>
          <w:sz w:val="24"/>
          <w:szCs w:val="24"/>
        </w:rPr>
        <w:t xml:space="preserve"> </w:t>
      </w:r>
      <w:r w:rsidR="00B9529B" w:rsidRPr="001952B6">
        <w:rPr>
          <w:rFonts w:ascii="Times New Roman" w:hAnsi="Times New Roman" w:cs="Times New Roman"/>
          <w:sz w:val="24"/>
          <w:szCs w:val="24"/>
        </w:rPr>
        <w:t xml:space="preserve">among patients in the </w:t>
      </w:r>
      <w:r w:rsidR="008A552A" w:rsidRPr="001952B6">
        <w:rPr>
          <w:rFonts w:ascii="Times New Roman" w:hAnsi="Times New Roman" w:cs="Times New Roman"/>
          <w:sz w:val="24"/>
          <w:szCs w:val="24"/>
        </w:rPr>
        <w:t xml:space="preserve">lowest </w:t>
      </w:r>
      <w:r w:rsidR="00B9529B" w:rsidRPr="001952B6">
        <w:rPr>
          <w:rFonts w:ascii="Times New Roman" w:hAnsi="Times New Roman" w:cs="Times New Roman"/>
          <w:sz w:val="24"/>
          <w:szCs w:val="24"/>
        </w:rPr>
        <w:t xml:space="preserve">compared to the </w:t>
      </w:r>
      <w:r w:rsidR="008A552A" w:rsidRPr="001952B6">
        <w:rPr>
          <w:rFonts w:ascii="Times New Roman" w:hAnsi="Times New Roman" w:cs="Times New Roman"/>
          <w:sz w:val="24"/>
          <w:szCs w:val="24"/>
        </w:rPr>
        <w:t xml:space="preserve">highest </w:t>
      </w:r>
      <w:r w:rsidR="00521445" w:rsidRPr="001952B6">
        <w:rPr>
          <w:rFonts w:ascii="Times New Roman" w:hAnsi="Times New Roman" w:cs="Times New Roman"/>
          <w:sz w:val="24"/>
          <w:szCs w:val="24"/>
        </w:rPr>
        <w:t>quintile</w:t>
      </w:r>
      <w:r w:rsidR="00B9529B" w:rsidRPr="001952B6">
        <w:rPr>
          <w:rFonts w:ascii="Times New Roman" w:hAnsi="Times New Roman" w:cs="Times New Roman"/>
          <w:sz w:val="24"/>
          <w:szCs w:val="24"/>
        </w:rPr>
        <w:t xml:space="preserve"> of 25(OH)D. </w:t>
      </w:r>
      <w:r w:rsidR="00137301" w:rsidRPr="001952B6">
        <w:rPr>
          <w:rFonts w:ascii="Times New Roman" w:hAnsi="Times New Roman" w:cs="Times New Roman"/>
          <w:sz w:val="24"/>
          <w:szCs w:val="24"/>
        </w:rPr>
        <w:t>A</w:t>
      </w:r>
      <w:r w:rsidR="00B9529B" w:rsidRPr="001952B6">
        <w:rPr>
          <w:rFonts w:ascii="Times New Roman" w:hAnsi="Times New Roman" w:cs="Times New Roman"/>
          <w:sz w:val="24"/>
          <w:szCs w:val="24"/>
        </w:rPr>
        <w:t>ssociation</w:t>
      </w:r>
      <w:r w:rsidR="00137301" w:rsidRPr="001952B6">
        <w:rPr>
          <w:rFonts w:ascii="Times New Roman" w:hAnsi="Times New Roman" w:cs="Times New Roman"/>
          <w:sz w:val="24"/>
          <w:szCs w:val="24"/>
        </w:rPr>
        <w:t>s</w:t>
      </w:r>
      <w:r w:rsidR="00B9529B" w:rsidRPr="001952B6">
        <w:rPr>
          <w:rFonts w:ascii="Times New Roman" w:hAnsi="Times New Roman" w:cs="Times New Roman"/>
          <w:sz w:val="24"/>
          <w:szCs w:val="24"/>
        </w:rPr>
        <w:t xml:space="preserve"> </w:t>
      </w:r>
      <w:r w:rsidR="00137301" w:rsidRPr="001952B6">
        <w:rPr>
          <w:rFonts w:ascii="Times New Roman" w:hAnsi="Times New Roman" w:cs="Times New Roman"/>
          <w:sz w:val="24"/>
          <w:szCs w:val="24"/>
        </w:rPr>
        <w:t xml:space="preserve">were </w:t>
      </w:r>
      <w:r w:rsidR="00B9529B" w:rsidRPr="001952B6">
        <w:rPr>
          <w:rFonts w:ascii="Times New Roman" w:hAnsi="Times New Roman" w:cs="Times New Roman"/>
          <w:sz w:val="24"/>
          <w:szCs w:val="24"/>
        </w:rPr>
        <w:t xml:space="preserve">attenuated after adjusting for a number of covariates but still </w:t>
      </w:r>
      <w:r w:rsidR="00137301" w:rsidRPr="001952B6">
        <w:rPr>
          <w:rFonts w:ascii="Times New Roman" w:hAnsi="Times New Roman" w:cs="Times New Roman"/>
          <w:sz w:val="24"/>
          <w:szCs w:val="24"/>
        </w:rPr>
        <w:t xml:space="preserve">remained significantly elevated in the lowest </w:t>
      </w:r>
      <w:r w:rsidR="00622B95" w:rsidRPr="001952B6">
        <w:rPr>
          <w:rFonts w:ascii="Times New Roman" w:hAnsi="Times New Roman" w:cs="Times New Roman"/>
          <w:sz w:val="24"/>
          <w:szCs w:val="24"/>
        </w:rPr>
        <w:t>quintile</w:t>
      </w:r>
      <w:r w:rsidR="001B031A" w:rsidRPr="001952B6">
        <w:rPr>
          <w:rFonts w:ascii="Times New Roman" w:hAnsi="Times New Roman" w:cs="Times New Roman"/>
          <w:sz w:val="24"/>
          <w:szCs w:val="24"/>
        </w:rPr>
        <w:t xml:space="preserve">, </w:t>
      </w:r>
      <w:r w:rsidR="00137301" w:rsidRPr="001952B6">
        <w:rPr>
          <w:rFonts w:ascii="Times New Roman" w:hAnsi="Times New Roman" w:cs="Times New Roman"/>
          <w:sz w:val="24"/>
          <w:szCs w:val="24"/>
        </w:rPr>
        <w:t xml:space="preserve">with </w:t>
      </w:r>
      <w:r w:rsidR="00B9529B" w:rsidRPr="001952B6">
        <w:rPr>
          <w:rFonts w:ascii="Times New Roman" w:hAnsi="Times New Roman" w:cs="Times New Roman"/>
          <w:sz w:val="24"/>
          <w:szCs w:val="24"/>
        </w:rPr>
        <w:t>t</w:t>
      </w:r>
      <w:r w:rsidR="003C1E12" w:rsidRPr="001952B6">
        <w:rPr>
          <w:rFonts w:ascii="Times New Roman" w:hAnsi="Times New Roman" w:cs="Times New Roman"/>
          <w:sz w:val="24"/>
          <w:szCs w:val="24"/>
        </w:rPr>
        <w:t xml:space="preserve">he risk of CVD </w:t>
      </w:r>
      <w:r w:rsidR="001B031A" w:rsidRPr="001952B6">
        <w:rPr>
          <w:rFonts w:ascii="Times New Roman" w:hAnsi="Times New Roman" w:cs="Times New Roman"/>
          <w:sz w:val="24"/>
          <w:szCs w:val="24"/>
        </w:rPr>
        <w:t xml:space="preserve">being </w:t>
      </w:r>
      <w:r w:rsidR="003C1E12" w:rsidRPr="001952B6">
        <w:rPr>
          <w:rFonts w:ascii="Times New Roman" w:hAnsi="Times New Roman" w:cs="Times New Roman"/>
          <w:sz w:val="24"/>
          <w:szCs w:val="24"/>
        </w:rPr>
        <w:t>2</w:t>
      </w:r>
      <w:r w:rsidR="00A66572" w:rsidRPr="001952B6">
        <w:rPr>
          <w:rFonts w:ascii="Times New Roman" w:hAnsi="Times New Roman" w:cs="Times New Roman"/>
          <w:sz w:val="24"/>
          <w:szCs w:val="24"/>
        </w:rPr>
        <w:t>4</w:t>
      </w:r>
      <w:r w:rsidR="003C1E12" w:rsidRPr="001952B6">
        <w:rPr>
          <w:rFonts w:ascii="Times New Roman" w:hAnsi="Times New Roman" w:cs="Times New Roman"/>
          <w:sz w:val="24"/>
          <w:szCs w:val="24"/>
        </w:rPr>
        <w:t xml:space="preserve">% </w:t>
      </w:r>
      <w:r w:rsidR="001D78DE" w:rsidRPr="001952B6">
        <w:rPr>
          <w:rFonts w:ascii="Times New Roman" w:hAnsi="Times New Roman" w:cs="Times New Roman"/>
          <w:sz w:val="24"/>
          <w:szCs w:val="24"/>
        </w:rPr>
        <w:t>greater</w:t>
      </w:r>
      <w:r w:rsidR="008E1E74" w:rsidRPr="001952B6">
        <w:rPr>
          <w:rFonts w:ascii="Times New Roman" w:hAnsi="Times New Roman" w:cs="Times New Roman"/>
          <w:sz w:val="24"/>
          <w:szCs w:val="24"/>
        </w:rPr>
        <w:t xml:space="preserve"> </w:t>
      </w:r>
      <w:r w:rsidR="003C1E12" w:rsidRPr="001952B6">
        <w:rPr>
          <w:rFonts w:ascii="Times New Roman" w:hAnsi="Times New Roman" w:cs="Times New Roman"/>
          <w:sz w:val="24"/>
          <w:szCs w:val="24"/>
        </w:rPr>
        <w:t xml:space="preserve">than the </w:t>
      </w:r>
      <w:r w:rsidR="00137301" w:rsidRPr="001952B6">
        <w:rPr>
          <w:rFonts w:ascii="Times New Roman" w:hAnsi="Times New Roman" w:cs="Times New Roman"/>
          <w:sz w:val="24"/>
          <w:szCs w:val="24"/>
        </w:rPr>
        <w:t xml:space="preserve">highest </w:t>
      </w:r>
      <w:r w:rsidR="00622B95" w:rsidRPr="001952B6">
        <w:rPr>
          <w:rFonts w:ascii="Times New Roman" w:hAnsi="Times New Roman" w:cs="Times New Roman"/>
          <w:sz w:val="24"/>
          <w:szCs w:val="24"/>
        </w:rPr>
        <w:t>quintile</w:t>
      </w:r>
      <w:r w:rsidR="003C1E12" w:rsidRPr="001952B6">
        <w:rPr>
          <w:rFonts w:ascii="Times New Roman" w:hAnsi="Times New Roman" w:cs="Times New Roman"/>
          <w:sz w:val="24"/>
          <w:szCs w:val="24"/>
        </w:rPr>
        <w:t xml:space="preserve"> (</w:t>
      </w:r>
      <w:r w:rsidR="006B1CB9" w:rsidRPr="001952B6">
        <w:rPr>
          <w:rFonts w:ascii="Times New Roman" w:hAnsi="Times New Roman" w:cs="Times New Roman"/>
          <w:sz w:val="24"/>
          <w:szCs w:val="24"/>
        </w:rPr>
        <w:t>H</w:t>
      </w:r>
      <w:r w:rsidR="003C1E12" w:rsidRPr="001952B6">
        <w:rPr>
          <w:rFonts w:ascii="Times New Roman" w:hAnsi="Times New Roman" w:cs="Times New Roman"/>
          <w:sz w:val="24"/>
          <w:szCs w:val="24"/>
        </w:rPr>
        <w:t>R=</w:t>
      </w:r>
      <w:r w:rsidR="008E1E74" w:rsidRPr="001952B6">
        <w:rPr>
          <w:rFonts w:ascii="Times New Roman" w:hAnsi="Times New Roman" w:cs="Times New Roman"/>
          <w:sz w:val="24"/>
          <w:szCs w:val="24"/>
        </w:rPr>
        <w:t>1.2</w:t>
      </w:r>
      <w:r w:rsidR="00A66572" w:rsidRPr="001952B6">
        <w:rPr>
          <w:rFonts w:ascii="Times New Roman" w:hAnsi="Times New Roman" w:cs="Times New Roman"/>
          <w:sz w:val="24"/>
          <w:szCs w:val="24"/>
        </w:rPr>
        <w:t>4</w:t>
      </w:r>
      <w:r w:rsidR="003C1E12" w:rsidRPr="001952B6">
        <w:rPr>
          <w:rFonts w:ascii="Times New Roman" w:hAnsi="Times New Roman" w:cs="Times New Roman"/>
          <w:sz w:val="24"/>
          <w:szCs w:val="24"/>
        </w:rPr>
        <w:t xml:space="preserve">, 95% CI </w:t>
      </w:r>
      <w:r w:rsidR="008E1E74" w:rsidRPr="001952B6">
        <w:rPr>
          <w:rFonts w:ascii="Times New Roman" w:hAnsi="Times New Roman" w:cs="Times New Roman"/>
          <w:sz w:val="24"/>
          <w:szCs w:val="24"/>
        </w:rPr>
        <w:t>1.1</w:t>
      </w:r>
      <w:r w:rsidR="00A66572" w:rsidRPr="001952B6">
        <w:rPr>
          <w:rFonts w:ascii="Times New Roman" w:hAnsi="Times New Roman" w:cs="Times New Roman"/>
          <w:sz w:val="24"/>
          <w:szCs w:val="24"/>
        </w:rPr>
        <w:t>2</w:t>
      </w:r>
      <w:r w:rsidR="00447B12" w:rsidRPr="001952B6">
        <w:rPr>
          <w:rFonts w:ascii="Times New Roman" w:eastAsia="Times New Roman" w:hAnsi="Times New Roman" w:cs="Times New Roman"/>
          <w:color w:val="000000"/>
          <w:sz w:val="24"/>
          <w:szCs w:val="24"/>
        </w:rPr>
        <w:t>–</w:t>
      </w:r>
      <w:r w:rsidR="008E1E74" w:rsidRPr="001952B6">
        <w:rPr>
          <w:rFonts w:ascii="Times New Roman" w:hAnsi="Times New Roman" w:cs="Times New Roman"/>
          <w:sz w:val="24"/>
          <w:szCs w:val="24"/>
        </w:rPr>
        <w:t>1.</w:t>
      </w:r>
      <w:r w:rsidR="00A66572" w:rsidRPr="001952B6">
        <w:rPr>
          <w:rFonts w:ascii="Times New Roman" w:hAnsi="Times New Roman" w:cs="Times New Roman"/>
          <w:sz w:val="24"/>
          <w:szCs w:val="24"/>
        </w:rPr>
        <w:t>38</w:t>
      </w:r>
      <w:r w:rsidR="003C1E12" w:rsidRPr="001952B6">
        <w:rPr>
          <w:rFonts w:ascii="Times New Roman" w:hAnsi="Times New Roman" w:cs="Times New Roman"/>
          <w:sz w:val="24"/>
          <w:szCs w:val="24"/>
        </w:rPr>
        <w:t xml:space="preserve">, </w:t>
      </w:r>
      <w:r w:rsidR="006B1CB9" w:rsidRPr="001952B6">
        <w:rPr>
          <w:rFonts w:ascii="Times New Roman" w:hAnsi="Times New Roman" w:cs="Times New Roman"/>
          <w:i/>
          <w:sz w:val="24"/>
          <w:szCs w:val="24"/>
        </w:rPr>
        <w:t>P</w:t>
      </w:r>
      <w:r w:rsidR="003C1E12" w:rsidRPr="001952B6">
        <w:rPr>
          <w:rFonts w:ascii="Times New Roman" w:hAnsi="Times New Roman" w:cs="Times New Roman"/>
          <w:sz w:val="24"/>
          <w:szCs w:val="24"/>
        </w:rPr>
        <w:t xml:space="preserve"> &lt; 0.001</w:t>
      </w:r>
      <w:r w:rsidR="00B9529B" w:rsidRPr="001952B6">
        <w:rPr>
          <w:rFonts w:ascii="Times New Roman" w:hAnsi="Times New Roman" w:cs="Times New Roman"/>
          <w:sz w:val="24"/>
          <w:szCs w:val="24"/>
        </w:rPr>
        <w:t>).</w:t>
      </w:r>
      <w:r w:rsidR="00015063" w:rsidRPr="001952B6">
        <w:rPr>
          <w:rFonts w:ascii="Times New Roman" w:hAnsi="Times New Roman" w:cs="Times New Roman"/>
          <w:sz w:val="24"/>
          <w:szCs w:val="24"/>
        </w:rPr>
        <w:t xml:space="preserve"> </w:t>
      </w:r>
      <w:r w:rsidR="008A552A" w:rsidRPr="001952B6">
        <w:rPr>
          <w:rFonts w:ascii="Times New Roman" w:hAnsi="Times New Roman" w:cs="Times New Roman"/>
          <w:sz w:val="24"/>
          <w:szCs w:val="24"/>
        </w:rPr>
        <w:t xml:space="preserve">There was a strong inverse relation between circulating 25(OH)D and mortality; after adjusting for confounding variables there was a </w:t>
      </w:r>
      <w:r w:rsidR="00325CB0" w:rsidRPr="001952B6">
        <w:rPr>
          <w:rFonts w:ascii="Times New Roman" w:hAnsi="Times New Roman" w:cs="Times New Roman"/>
          <w:sz w:val="24"/>
          <w:szCs w:val="24"/>
        </w:rPr>
        <w:t>71</w:t>
      </w:r>
      <w:r w:rsidR="004C423A" w:rsidRPr="001952B6">
        <w:rPr>
          <w:rFonts w:ascii="Times New Roman" w:hAnsi="Times New Roman" w:cs="Times New Roman"/>
          <w:sz w:val="24"/>
          <w:szCs w:val="24"/>
        </w:rPr>
        <w:t xml:space="preserve">% </w:t>
      </w:r>
      <w:r w:rsidR="008A552A" w:rsidRPr="001952B6">
        <w:rPr>
          <w:rFonts w:ascii="Times New Roman" w:hAnsi="Times New Roman" w:cs="Times New Roman"/>
          <w:sz w:val="24"/>
          <w:szCs w:val="24"/>
        </w:rPr>
        <w:t xml:space="preserve">greater </w:t>
      </w:r>
      <w:r w:rsidR="001B031A" w:rsidRPr="001952B6">
        <w:rPr>
          <w:rFonts w:ascii="Times New Roman" w:hAnsi="Times New Roman" w:cs="Times New Roman"/>
          <w:sz w:val="24"/>
          <w:szCs w:val="24"/>
        </w:rPr>
        <w:t xml:space="preserve">hazard </w:t>
      </w:r>
      <w:r w:rsidR="008A552A" w:rsidRPr="001952B6">
        <w:rPr>
          <w:rFonts w:ascii="Times New Roman" w:hAnsi="Times New Roman" w:cs="Times New Roman"/>
          <w:sz w:val="24"/>
          <w:szCs w:val="24"/>
        </w:rPr>
        <w:t xml:space="preserve">of mortality in </w:t>
      </w:r>
      <w:r w:rsidR="005365E3" w:rsidRPr="001952B6">
        <w:rPr>
          <w:rFonts w:ascii="Times New Roman" w:hAnsi="Times New Roman" w:cs="Times New Roman"/>
          <w:sz w:val="24"/>
          <w:szCs w:val="24"/>
        </w:rPr>
        <w:t>those</w:t>
      </w:r>
      <w:r w:rsidR="008A552A" w:rsidRPr="001952B6">
        <w:rPr>
          <w:rFonts w:ascii="Times New Roman" w:hAnsi="Times New Roman" w:cs="Times New Roman"/>
          <w:sz w:val="24"/>
          <w:szCs w:val="24"/>
        </w:rPr>
        <w:t xml:space="preserve"> with 25(OH)D less than </w:t>
      </w:r>
      <w:r w:rsidR="004C423A" w:rsidRPr="001952B6">
        <w:rPr>
          <w:rFonts w:ascii="Times New Roman" w:hAnsi="Times New Roman" w:cs="Times New Roman"/>
          <w:sz w:val="24"/>
          <w:szCs w:val="24"/>
        </w:rPr>
        <w:t xml:space="preserve">23.1 nmol/L (95% CI </w:t>
      </w:r>
      <w:r w:rsidR="00FE6D89" w:rsidRPr="001952B6">
        <w:rPr>
          <w:rFonts w:ascii="Times New Roman" w:hAnsi="Times New Roman" w:cs="Times New Roman"/>
          <w:sz w:val="24"/>
          <w:szCs w:val="24"/>
        </w:rPr>
        <w:t>1.</w:t>
      </w:r>
      <w:r w:rsidR="00325CB0" w:rsidRPr="001952B6">
        <w:rPr>
          <w:rFonts w:ascii="Times New Roman" w:hAnsi="Times New Roman" w:cs="Times New Roman"/>
          <w:sz w:val="24"/>
          <w:szCs w:val="24"/>
        </w:rPr>
        <w:t>55</w:t>
      </w:r>
      <w:r w:rsidR="00447B12" w:rsidRPr="001952B6">
        <w:rPr>
          <w:rFonts w:ascii="Times New Roman" w:eastAsia="Times New Roman" w:hAnsi="Times New Roman" w:cs="Times New Roman"/>
          <w:color w:val="000000"/>
          <w:sz w:val="24"/>
          <w:szCs w:val="24"/>
        </w:rPr>
        <w:t>–</w:t>
      </w:r>
      <w:r w:rsidR="00FE6D89" w:rsidRPr="001952B6">
        <w:rPr>
          <w:rFonts w:ascii="Times New Roman" w:hAnsi="Times New Roman" w:cs="Times New Roman"/>
          <w:sz w:val="24"/>
          <w:szCs w:val="24"/>
        </w:rPr>
        <w:t>1.</w:t>
      </w:r>
      <w:r w:rsidR="00325CB0" w:rsidRPr="001952B6">
        <w:rPr>
          <w:rFonts w:ascii="Times New Roman" w:hAnsi="Times New Roman" w:cs="Times New Roman"/>
          <w:sz w:val="24"/>
          <w:szCs w:val="24"/>
        </w:rPr>
        <w:t>8</w:t>
      </w:r>
      <w:r w:rsidR="00DE1925" w:rsidRPr="001952B6">
        <w:rPr>
          <w:rFonts w:ascii="Times New Roman" w:hAnsi="Times New Roman" w:cs="Times New Roman"/>
          <w:sz w:val="24"/>
          <w:szCs w:val="24"/>
        </w:rPr>
        <w:t>8</w:t>
      </w:r>
      <w:r w:rsidR="004C423A" w:rsidRPr="001952B6">
        <w:rPr>
          <w:rFonts w:ascii="Times New Roman" w:hAnsi="Times New Roman" w:cs="Times New Roman"/>
          <w:sz w:val="24"/>
          <w:szCs w:val="24"/>
        </w:rPr>
        <w:t xml:space="preserve">) and </w:t>
      </w:r>
      <w:r w:rsidR="006C6E24" w:rsidRPr="001952B6">
        <w:rPr>
          <w:rFonts w:ascii="Times New Roman" w:hAnsi="Times New Roman" w:cs="Times New Roman"/>
          <w:sz w:val="24"/>
          <w:szCs w:val="24"/>
        </w:rPr>
        <w:t>1</w:t>
      </w:r>
      <w:r w:rsidR="00325CB0" w:rsidRPr="001952B6">
        <w:rPr>
          <w:rFonts w:ascii="Times New Roman" w:hAnsi="Times New Roman" w:cs="Times New Roman"/>
          <w:sz w:val="24"/>
          <w:szCs w:val="24"/>
        </w:rPr>
        <w:t>6</w:t>
      </w:r>
      <w:r w:rsidR="006C6E24" w:rsidRPr="001952B6">
        <w:rPr>
          <w:rFonts w:ascii="Times New Roman" w:hAnsi="Times New Roman" w:cs="Times New Roman"/>
          <w:sz w:val="24"/>
          <w:szCs w:val="24"/>
        </w:rPr>
        <w:t xml:space="preserve">% greater </w:t>
      </w:r>
      <w:r w:rsidR="0085631E" w:rsidRPr="001952B6">
        <w:rPr>
          <w:rFonts w:ascii="Times New Roman" w:hAnsi="Times New Roman" w:cs="Times New Roman"/>
          <w:sz w:val="24"/>
          <w:szCs w:val="24"/>
        </w:rPr>
        <w:t>in those with</w:t>
      </w:r>
      <w:r w:rsidR="006C6E24" w:rsidRPr="001952B6">
        <w:rPr>
          <w:rFonts w:ascii="Times New Roman" w:hAnsi="Times New Roman" w:cs="Times New Roman"/>
          <w:sz w:val="24"/>
          <w:szCs w:val="24"/>
        </w:rPr>
        <w:t xml:space="preserve"> 25(OH)D 23.1</w:t>
      </w:r>
      <w:r w:rsidR="00447B12" w:rsidRPr="001952B6">
        <w:rPr>
          <w:rFonts w:ascii="Times New Roman" w:eastAsia="Times New Roman" w:hAnsi="Times New Roman" w:cs="Times New Roman"/>
          <w:color w:val="000000"/>
          <w:sz w:val="24"/>
          <w:szCs w:val="24"/>
        </w:rPr>
        <w:t>–</w:t>
      </w:r>
      <w:r w:rsidR="006C6E24" w:rsidRPr="001952B6">
        <w:rPr>
          <w:rFonts w:ascii="Times New Roman" w:hAnsi="Times New Roman" w:cs="Times New Roman"/>
          <w:sz w:val="24"/>
          <w:szCs w:val="24"/>
        </w:rPr>
        <w:t>34.8 nmol</w:t>
      </w:r>
      <w:r w:rsidR="006C6E24" w:rsidRPr="001952B6">
        <w:rPr>
          <w:rFonts w:ascii="Times New Roman" w:eastAsia="Times New Roman" w:hAnsi="Times New Roman" w:cs="Times New Roman"/>
          <w:color w:val="000000"/>
          <w:sz w:val="24"/>
          <w:szCs w:val="24"/>
        </w:rPr>
        <w:t xml:space="preserve"> (95% CI 1.0</w:t>
      </w:r>
      <w:r w:rsidR="00325CB0" w:rsidRPr="001952B6">
        <w:rPr>
          <w:rFonts w:ascii="Times New Roman" w:eastAsia="Times New Roman" w:hAnsi="Times New Roman" w:cs="Times New Roman"/>
          <w:color w:val="000000"/>
          <w:sz w:val="24"/>
          <w:szCs w:val="24"/>
        </w:rPr>
        <w:t>5</w:t>
      </w:r>
      <w:r w:rsidR="00447B12" w:rsidRPr="001952B6">
        <w:rPr>
          <w:rFonts w:ascii="Times New Roman" w:eastAsia="Times New Roman" w:hAnsi="Times New Roman" w:cs="Times New Roman"/>
          <w:color w:val="000000"/>
          <w:sz w:val="24"/>
          <w:szCs w:val="24"/>
        </w:rPr>
        <w:t>–</w:t>
      </w:r>
      <w:r w:rsidR="006C6E24" w:rsidRPr="001952B6">
        <w:rPr>
          <w:rFonts w:ascii="Times New Roman" w:eastAsia="Times New Roman" w:hAnsi="Times New Roman" w:cs="Times New Roman"/>
          <w:color w:val="000000"/>
          <w:sz w:val="24"/>
          <w:szCs w:val="24"/>
        </w:rPr>
        <w:t>1.</w:t>
      </w:r>
      <w:r w:rsidR="00325CB0" w:rsidRPr="001952B6">
        <w:rPr>
          <w:rFonts w:ascii="Times New Roman" w:eastAsia="Times New Roman" w:hAnsi="Times New Roman" w:cs="Times New Roman"/>
          <w:color w:val="000000"/>
          <w:sz w:val="24"/>
          <w:szCs w:val="24"/>
        </w:rPr>
        <w:t>29</w:t>
      </w:r>
      <w:r w:rsidR="006C6E24" w:rsidRPr="001952B6">
        <w:rPr>
          <w:rFonts w:ascii="Times New Roman" w:eastAsia="Times New Roman" w:hAnsi="Times New Roman" w:cs="Times New Roman"/>
          <w:color w:val="000000"/>
          <w:sz w:val="24"/>
          <w:szCs w:val="24"/>
        </w:rPr>
        <w:t>)</w:t>
      </w:r>
      <w:r w:rsidR="001B031A" w:rsidRPr="001952B6">
        <w:rPr>
          <w:rFonts w:ascii="Times New Roman" w:eastAsia="Times New Roman" w:hAnsi="Times New Roman" w:cs="Times New Roman"/>
          <w:color w:val="000000"/>
          <w:sz w:val="24"/>
          <w:szCs w:val="24"/>
        </w:rPr>
        <w:t>,</w:t>
      </w:r>
      <w:r w:rsidR="006C6E24" w:rsidRPr="001952B6">
        <w:rPr>
          <w:rFonts w:ascii="Times New Roman" w:eastAsia="Times New Roman" w:hAnsi="Times New Roman" w:cs="Times New Roman"/>
          <w:color w:val="000000"/>
          <w:sz w:val="24"/>
          <w:szCs w:val="24"/>
        </w:rPr>
        <w:t xml:space="preserve"> compared to </w:t>
      </w:r>
      <w:r w:rsidR="001D78DE" w:rsidRPr="001952B6">
        <w:rPr>
          <w:rFonts w:ascii="Times New Roman" w:eastAsia="Times New Roman" w:hAnsi="Times New Roman" w:cs="Times New Roman"/>
          <w:color w:val="000000"/>
          <w:sz w:val="24"/>
          <w:szCs w:val="24"/>
        </w:rPr>
        <w:t>those</w:t>
      </w:r>
      <w:r w:rsidR="006C6E24" w:rsidRPr="001952B6">
        <w:rPr>
          <w:rFonts w:ascii="Times New Roman" w:eastAsia="Times New Roman" w:hAnsi="Times New Roman" w:cs="Times New Roman"/>
          <w:color w:val="000000"/>
          <w:sz w:val="24"/>
          <w:szCs w:val="24"/>
        </w:rPr>
        <w:t xml:space="preserve"> with circulating 25(OH)D greater than 67.5 nmol/L.</w:t>
      </w:r>
      <w:r w:rsidR="001E12D8" w:rsidRPr="001952B6">
        <w:rPr>
          <w:rFonts w:ascii="Times New Roman" w:eastAsia="Times New Roman" w:hAnsi="Times New Roman" w:cs="Times New Roman"/>
          <w:color w:val="000000"/>
          <w:sz w:val="24"/>
          <w:szCs w:val="24"/>
        </w:rPr>
        <w:t xml:space="preserve"> </w:t>
      </w:r>
      <w:r w:rsidR="0020024D" w:rsidRPr="001952B6">
        <w:rPr>
          <w:rFonts w:ascii="Times New Roman" w:hAnsi="Times New Roman" w:cs="Times New Roman"/>
          <w:sz w:val="24"/>
          <w:szCs w:val="24"/>
        </w:rPr>
        <w:t xml:space="preserve">There were strong inverse associations between 25(OH)D and </w:t>
      </w:r>
      <w:r w:rsidR="008E3E14" w:rsidRPr="001952B6">
        <w:rPr>
          <w:rFonts w:ascii="Times New Roman" w:hAnsi="Times New Roman" w:cs="Times New Roman"/>
          <w:sz w:val="24"/>
          <w:szCs w:val="24"/>
        </w:rPr>
        <w:t xml:space="preserve">IHD </w:t>
      </w:r>
      <w:r w:rsidR="00355205" w:rsidRPr="001952B6">
        <w:rPr>
          <w:rFonts w:ascii="Times New Roman" w:hAnsi="Times New Roman" w:cs="Times New Roman"/>
          <w:sz w:val="24"/>
          <w:szCs w:val="24"/>
        </w:rPr>
        <w:t>and</w:t>
      </w:r>
    </w:p>
    <w:p w:rsidR="00355205" w:rsidRPr="001952B6" w:rsidRDefault="00355205" w:rsidP="00355205">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b/>
          <w:sz w:val="24"/>
          <w:szCs w:val="24"/>
        </w:rPr>
        <w:lastRenderedPageBreak/>
        <w:t xml:space="preserve">Table 1 </w:t>
      </w:r>
      <w:r w:rsidRPr="001952B6">
        <w:rPr>
          <w:rFonts w:ascii="Times New Roman" w:hAnsi="Times New Roman" w:cs="Times New Roman"/>
          <w:sz w:val="24"/>
          <w:szCs w:val="24"/>
        </w:rPr>
        <w:t>Characteristics of THIN patients according to quintiles of circulating concentrations of 25-hydroxyvitamin D</w:t>
      </w:r>
    </w:p>
    <w:tbl>
      <w:tblPr>
        <w:tblW w:w="14985" w:type="dxa"/>
        <w:tblInd w:w="93" w:type="dxa"/>
        <w:tblLook w:val="04A0" w:firstRow="1" w:lastRow="0" w:firstColumn="1" w:lastColumn="0" w:noHBand="0" w:noVBand="1"/>
      </w:tblPr>
      <w:tblGrid>
        <w:gridCol w:w="3975"/>
        <w:gridCol w:w="1585"/>
        <w:gridCol w:w="1584"/>
        <w:gridCol w:w="1584"/>
        <w:gridCol w:w="1584"/>
        <w:gridCol w:w="1927"/>
        <w:gridCol w:w="845"/>
        <w:gridCol w:w="1901"/>
      </w:tblGrid>
      <w:tr w:rsidR="00355205" w:rsidRPr="001952B6" w:rsidTr="00355205">
        <w:trPr>
          <w:trHeight w:val="283"/>
        </w:trPr>
        <w:tc>
          <w:tcPr>
            <w:tcW w:w="3975" w:type="dxa"/>
            <w:tcBorders>
              <w:top w:val="single" w:sz="4" w:space="0" w:color="auto"/>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w:t>
            </w:r>
          </w:p>
        </w:tc>
        <w:tc>
          <w:tcPr>
            <w:tcW w:w="8264" w:type="dxa"/>
            <w:gridSpan w:val="5"/>
            <w:tcBorders>
              <w:top w:val="single" w:sz="4" w:space="0" w:color="auto"/>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Quintiles of circulating concentrations of 25-hydroxyvitamin D</w:t>
            </w:r>
          </w:p>
        </w:tc>
        <w:tc>
          <w:tcPr>
            <w:tcW w:w="845" w:type="dxa"/>
            <w:tcBorders>
              <w:top w:val="single" w:sz="4" w:space="0" w:color="auto"/>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 </w:t>
            </w:r>
          </w:p>
        </w:tc>
        <w:tc>
          <w:tcPr>
            <w:tcW w:w="1901" w:type="dxa"/>
            <w:tcBorders>
              <w:top w:val="single" w:sz="4" w:space="0" w:color="auto"/>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w:t>
            </w:r>
          </w:p>
        </w:tc>
      </w:tr>
      <w:tr w:rsidR="00355205" w:rsidRPr="001952B6" w:rsidTr="00355205">
        <w:trPr>
          <w:trHeight w:val="283"/>
        </w:trPr>
        <w:tc>
          <w:tcPr>
            <w:tcW w:w="397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Range, nmol/L</w:t>
            </w:r>
          </w:p>
        </w:tc>
        <w:tc>
          <w:tcPr>
            <w:tcW w:w="158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0.05 to 23.09</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23.10 to 34.83</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34.84 to 48.27</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48.28 to 67.49</w:t>
            </w:r>
          </w:p>
        </w:tc>
        <w:tc>
          <w:tcPr>
            <w:tcW w:w="1927"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67.50 to 206.49</w:t>
            </w:r>
          </w:p>
        </w:tc>
        <w:tc>
          <w:tcPr>
            <w:tcW w:w="84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i/>
                <w:iCs/>
                <w:color w:val="000000"/>
                <w:szCs w:val="20"/>
              </w:rPr>
              <w:t>P</w:t>
            </w:r>
            <w:r w:rsidRPr="001952B6">
              <w:rPr>
                <w:rFonts w:ascii="Times New Roman" w:eastAsia="Times New Roman" w:hAnsi="Times New Roman" w:cs="Times New Roman"/>
                <w:color w:val="000000"/>
                <w:szCs w:val="20"/>
              </w:rPr>
              <w:t xml:space="preserve"> value</w:t>
            </w:r>
          </w:p>
        </w:tc>
        <w:tc>
          <w:tcPr>
            <w:tcW w:w="1901" w:type="dxa"/>
            <w:tcBorders>
              <w:top w:val="nil"/>
              <w:left w:val="nil"/>
              <w:bottom w:val="single" w:sz="4" w:space="0" w:color="auto"/>
              <w:right w:val="nil"/>
            </w:tcBorders>
            <w:shd w:val="clear" w:color="auto" w:fill="auto"/>
            <w:noWrap/>
            <w:vAlign w:val="bottom"/>
            <w:hideMark/>
          </w:tcPr>
          <w:p w:rsidR="00355205" w:rsidRPr="001952B6" w:rsidRDefault="00355205" w:rsidP="000F6417">
            <w:pPr>
              <w:spacing w:after="0"/>
              <w:jc w:val="center"/>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 xml:space="preserve">All </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Number of patients</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36,055</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36,056</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36,049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36,051</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36,052</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180,263</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Median (IQR) 25-hydroxyvitamin D, nmol/L</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16.5 (12.0–19.9)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29.0 (26.1–31.9)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41.0 (37.9–44.6)</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56.9 (52.4–61.8)</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83.4 (74.4–97.8)</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41.0 (26.1–61.8)</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Patients characteristics</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xml:space="preserve">Mean age (± SD) in years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49.4 ± 18.2</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50.8 ± 17.4</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51.8 ± 16.8</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53.0 ± 16.8</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55.2 ± 17.4</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52.1 ± 17.4</w:t>
            </w:r>
          </w:p>
        </w:tc>
      </w:tr>
      <w:tr w:rsidR="00355205" w:rsidRPr="001952B6" w:rsidTr="00355205">
        <w:trPr>
          <w:trHeight w:val="339"/>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BMI, kg/m</w:t>
            </w:r>
            <w:r w:rsidRPr="001952B6">
              <w:rPr>
                <w:rFonts w:ascii="Times New Roman" w:eastAsia="Times New Roman" w:hAnsi="Times New Roman" w:cs="Times New Roman"/>
                <w:color w:val="000000"/>
                <w:szCs w:val="20"/>
                <w:vertAlign w:val="superscript"/>
              </w:rPr>
              <w:t>2*</w:t>
            </w:r>
            <w:r w:rsidRPr="001952B6">
              <w:rPr>
                <w:rFonts w:ascii="Times New Roman" w:eastAsia="Times New Roman" w:hAnsi="Times New Roman" w:cs="Times New Roman"/>
                <w:color w:val="000000"/>
                <w:szCs w:val="20"/>
              </w:rPr>
              <w:t xml:space="preserve"> mean </w:t>
            </w:r>
            <w:r w:rsidRPr="001952B6">
              <w:rPr>
                <w:rFonts w:ascii="Calibri" w:eastAsia="Times New Roman" w:hAnsi="Calibri" w:cs="Times New Roman"/>
                <w:color w:val="000000"/>
                <w:szCs w:val="20"/>
              </w:rPr>
              <w:t>±</w:t>
            </w:r>
            <w:r w:rsidRPr="001952B6">
              <w:rPr>
                <w:rFonts w:ascii="Times New Roman" w:eastAsia="Times New Roman" w:hAnsi="Times New Roman" w:cs="Times New Roman"/>
                <w:color w:val="000000"/>
                <w:szCs w:val="20"/>
              </w:rPr>
              <w:t xml:space="preserve"> SD</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27.5 ± 6.7</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27.5 ± 6.4</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27.3 ± 6.0</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26.6 ± 5.6</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25.6 ± 5.2</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26.9 ± 6.0</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Women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26,439 (73.3%)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25,955 (72.0%)</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26,209 (72.7%)</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26,880 (74.6%)</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28,035 (77.8%)</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133,518 (74.1%)</w:t>
            </w:r>
          </w:p>
        </w:tc>
      </w:tr>
      <w:tr w:rsidR="00355205" w:rsidRPr="001952B6" w:rsidTr="00355205">
        <w:trPr>
          <w:trHeight w:val="339"/>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Socioeconomic status, most deprived</w:t>
            </w:r>
            <w:r w:rsidRPr="001952B6">
              <w:rPr>
                <w:rFonts w:ascii="Times New Roman" w:eastAsia="Times New Roman" w:hAnsi="Times New Roman" w:cs="Times New Roman"/>
                <w:color w:val="000000"/>
                <w:szCs w:val="20"/>
                <w:vertAlign w:val="superscript"/>
              </w:rPr>
              <w:t>*</w:t>
            </w:r>
            <w:r w:rsidRPr="001952B6">
              <w:rPr>
                <w:rFonts w:ascii="Times New Roman" w:eastAsia="Times New Roman" w:hAnsi="Times New Roman" w:cs="Times New Roman"/>
                <w:color w:val="000000"/>
                <w:szCs w:val="20"/>
              </w:rPr>
              <w:t xml:space="preserve">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8,215 (22.8%)</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6,546 (18.2%)</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5,238 (14.5%)</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4,275 (11.9%)</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3,684 (10.2%)</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27,958 (15.5%)</w:t>
            </w:r>
          </w:p>
        </w:tc>
      </w:tr>
      <w:tr w:rsidR="00355205" w:rsidRPr="001952B6" w:rsidTr="00355205">
        <w:trPr>
          <w:trHeight w:val="339"/>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Ethnicity, white</w:t>
            </w:r>
            <w:r w:rsidRPr="001952B6">
              <w:rPr>
                <w:rFonts w:ascii="Times New Roman" w:eastAsia="Times New Roman" w:hAnsi="Times New Roman" w:cs="Times New Roman"/>
                <w:color w:val="000000"/>
                <w:szCs w:val="20"/>
                <w:vertAlign w:val="superscript"/>
              </w:rPr>
              <w:t>*</w:t>
            </w:r>
            <w:r w:rsidRPr="001952B6">
              <w:rPr>
                <w:rFonts w:ascii="Times New Roman" w:eastAsia="Times New Roman" w:hAnsi="Times New Roman" w:cs="Times New Roman"/>
                <w:color w:val="000000"/>
                <w:szCs w:val="20"/>
              </w:rPr>
              <w:t xml:space="preserve">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9,460 (26.2%)</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13,817 (38.3%)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16,481 (45.7%)</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17,791 (49.4%)</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18,975 (52.6%)</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76,524 (42.5%)</w:t>
            </w:r>
          </w:p>
        </w:tc>
      </w:tr>
      <w:tr w:rsidR="00355205" w:rsidRPr="001952B6" w:rsidTr="00355205">
        <w:trPr>
          <w:trHeight w:val="339"/>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Current smokers</w:t>
            </w:r>
            <w:r w:rsidRPr="001952B6">
              <w:rPr>
                <w:rFonts w:ascii="Times New Roman" w:eastAsia="Times New Roman" w:hAnsi="Times New Roman" w:cs="Times New Roman"/>
                <w:color w:val="000000"/>
                <w:szCs w:val="20"/>
                <w:vertAlign w:val="superscript"/>
              </w:rPr>
              <w:t xml:space="preserve">* </w:t>
            </w:r>
            <w:r w:rsidRPr="001952B6">
              <w:rPr>
                <w:rFonts w:ascii="Times New Roman" w:eastAsia="Times New Roman" w:hAnsi="Times New Roman" w:cs="Times New Roman"/>
                <w:color w:val="000000"/>
                <w:szCs w:val="20"/>
              </w:rPr>
              <w:t>(%)</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5,802 (16.1%)</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6,317 (17.5%)</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5,868 (16.3%)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4,894 (13.6%)</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4,640 (12.9%)</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27,521 (15.3%)</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History hypertension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8,021 (22.3%)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8,204 (22.8%)</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7,961 (22.1%)</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7,832 (21.7%)</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8,207 (22.8%)</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0.002</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40,225 (22.3%)</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Diabetes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4,004 (11.1%)</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3,434 (9.5%)</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2,911 (8.1%)</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2,482 (6.9%)</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2,149 (6.0%)</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&lt; 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14,980 (8.3%)</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Use of lipid lowering medication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7,681 (21.3%)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7,783 (21.6%)</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7,761 (21.5%)</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7,688 (21.3%)</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7,830 (21.7%)</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0.615</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38,743 (21.5%)</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History of atrial fibrillation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691 (1.9%)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698 (1.9%)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676 (1.9%)</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717 (2.0%)</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822 (2.3%)</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0.001</w:t>
            </w: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3,604 (2.0%)</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Follow-up</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xml:space="preserve">Person-years of follow-up </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86,741.7</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80,880.0</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79,034.3</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77,681.8</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78,688.6</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403,026.3</w:t>
            </w:r>
          </w:p>
        </w:tc>
      </w:tr>
      <w:tr w:rsidR="00355205" w:rsidRPr="001952B6" w:rsidTr="00355205">
        <w:trPr>
          <w:trHeight w:val="283"/>
        </w:trPr>
        <w:tc>
          <w:tcPr>
            <w:tcW w:w="3975" w:type="dxa"/>
            <w:tcBorders>
              <w:top w:val="nil"/>
              <w:left w:val="nil"/>
              <w:bottom w:val="nil"/>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New cases of cardiovascular disease</w:t>
            </w:r>
          </w:p>
        </w:tc>
        <w:tc>
          <w:tcPr>
            <w:tcW w:w="158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828</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781</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707</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674</w:t>
            </w: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757</w:t>
            </w: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3,747</w:t>
            </w:r>
          </w:p>
        </w:tc>
      </w:tr>
      <w:tr w:rsidR="00355205" w:rsidRPr="001952B6" w:rsidTr="00355205">
        <w:trPr>
          <w:trHeight w:val="283"/>
        </w:trPr>
        <w:tc>
          <w:tcPr>
            <w:tcW w:w="397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ind w:firstLineChars="200" w:firstLine="40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Deaths</w:t>
            </w:r>
          </w:p>
        </w:tc>
        <w:tc>
          <w:tcPr>
            <w:tcW w:w="158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1,117</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752</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674</w:t>
            </w:r>
          </w:p>
        </w:tc>
        <w:tc>
          <w:tcPr>
            <w:tcW w:w="1584"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591</w:t>
            </w:r>
          </w:p>
        </w:tc>
        <w:tc>
          <w:tcPr>
            <w:tcW w:w="1927"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778</w:t>
            </w:r>
          </w:p>
        </w:tc>
        <w:tc>
          <w:tcPr>
            <w:tcW w:w="845"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w:t>
            </w:r>
          </w:p>
        </w:tc>
        <w:tc>
          <w:tcPr>
            <w:tcW w:w="1901" w:type="dxa"/>
            <w:tcBorders>
              <w:top w:val="nil"/>
              <w:left w:val="nil"/>
              <w:bottom w:val="single" w:sz="4" w:space="0" w:color="auto"/>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3,912</w:t>
            </w:r>
          </w:p>
        </w:tc>
      </w:tr>
      <w:tr w:rsidR="00355205" w:rsidRPr="001952B6" w:rsidTr="00355205">
        <w:trPr>
          <w:trHeight w:val="283"/>
        </w:trPr>
        <w:tc>
          <w:tcPr>
            <w:tcW w:w="5560" w:type="dxa"/>
            <w:gridSpan w:val="2"/>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BMI, body mass index; THIN, The Health Improvement Network</w:t>
            </w: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p>
        </w:tc>
        <w:tc>
          <w:tcPr>
            <w:tcW w:w="1584"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p>
        </w:tc>
        <w:tc>
          <w:tcPr>
            <w:tcW w:w="1927"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p>
        </w:tc>
        <w:tc>
          <w:tcPr>
            <w:tcW w:w="845" w:type="dxa"/>
            <w:tcBorders>
              <w:top w:val="nil"/>
              <w:left w:val="nil"/>
              <w:bottom w:val="nil"/>
              <w:right w:val="nil"/>
            </w:tcBorders>
            <w:shd w:val="clear" w:color="auto" w:fill="auto"/>
            <w:noWrap/>
            <w:vAlign w:val="bottom"/>
            <w:hideMark/>
          </w:tcPr>
          <w:p w:rsidR="00355205" w:rsidRPr="001952B6" w:rsidRDefault="00355205" w:rsidP="00355205">
            <w:pPr>
              <w:spacing w:after="0"/>
              <w:rPr>
                <w:rFonts w:ascii="Times New Roman" w:eastAsia="Times New Roman" w:hAnsi="Times New Roman" w:cs="Times New Roman"/>
                <w:color w:val="000000"/>
                <w:szCs w:val="20"/>
              </w:rPr>
            </w:pPr>
          </w:p>
        </w:tc>
        <w:tc>
          <w:tcPr>
            <w:tcW w:w="1901" w:type="dxa"/>
            <w:tcBorders>
              <w:top w:val="nil"/>
              <w:left w:val="nil"/>
              <w:bottom w:val="nil"/>
              <w:right w:val="nil"/>
            </w:tcBorders>
            <w:shd w:val="clear" w:color="auto" w:fill="auto"/>
            <w:noWrap/>
            <w:vAlign w:val="bottom"/>
            <w:hideMark/>
          </w:tcPr>
          <w:p w:rsidR="00355205" w:rsidRPr="001952B6" w:rsidRDefault="00355205" w:rsidP="00355205">
            <w:pPr>
              <w:spacing w:after="0"/>
              <w:jc w:val="center"/>
              <w:rPr>
                <w:rFonts w:ascii="Times New Roman" w:eastAsia="Times New Roman" w:hAnsi="Times New Roman" w:cs="Times New Roman"/>
                <w:color w:val="000000"/>
                <w:szCs w:val="20"/>
              </w:rPr>
            </w:pPr>
          </w:p>
        </w:tc>
      </w:tr>
      <w:tr w:rsidR="00355205" w:rsidRPr="001952B6" w:rsidTr="00355205">
        <w:trPr>
          <w:trHeight w:val="339"/>
        </w:trPr>
        <w:tc>
          <w:tcPr>
            <w:tcW w:w="14985" w:type="dxa"/>
            <w:gridSpan w:val="8"/>
            <w:tcBorders>
              <w:top w:val="nil"/>
              <w:left w:val="nil"/>
              <w:bottom w:val="nil"/>
            </w:tcBorders>
            <w:shd w:val="clear" w:color="auto" w:fill="auto"/>
            <w:noWrap/>
            <w:vAlign w:val="center"/>
            <w:hideMark/>
          </w:tcPr>
          <w:p w:rsidR="00355205" w:rsidRPr="001952B6" w:rsidRDefault="00355205" w:rsidP="00355205">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vertAlign w:val="superscript"/>
              </w:rPr>
              <w:t>*</w:t>
            </w:r>
            <w:r w:rsidRPr="001952B6">
              <w:rPr>
                <w:rFonts w:ascii="Times New Roman" w:eastAsia="Times New Roman" w:hAnsi="Times New Roman" w:cs="Times New Roman"/>
                <w:color w:val="000000"/>
                <w:szCs w:val="20"/>
              </w:rPr>
              <w:t xml:space="preserve">Unknown for some patients: 515 (0.3%) for smoking, 13,842 (7.7%) for BMI, 15,597 (8.7%) for socioeconomic status, and 69,122 (38.3%) for ethnicity. </w:t>
            </w:r>
          </w:p>
        </w:tc>
      </w:tr>
    </w:tbl>
    <w:p w:rsidR="00355205" w:rsidRPr="001952B6" w:rsidRDefault="00355205" w:rsidP="00355205">
      <w:pPr>
        <w:autoSpaceDE w:val="0"/>
        <w:autoSpaceDN w:val="0"/>
        <w:adjustRightInd w:val="0"/>
        <w:spacing w:after="0" w:line="480" w:lineRule="auto"/>
        <w:rPr>
          <w:rFonts w:ascii="Times New Roman" w:hAnsi="Times New Roman" w:cs="Times New Roman"/>
          <w:sz w:val="24"/>
          <w:szCs w:val="24"/>
        </w:rPr>
      </w:pPr>
    </w:p>
    <w:p w:rsidR="007A7E14" w:rsidRPr="001952B6" w:rsidRDefault="007A7E14" w:rsidP="00355205">
      <w:pPr>
        <w:autoSpaceDE w:val="0"/>
        <w:autoSpaceDN w:val="0"/>
        <w:adjustRightInd w:val="0"/>
        <w:spacing w:after="0" w:line="480" w:lineRule="auto"/>
        <w:rPr>
          <w:rFonts w:ascii="Times New Roman" w:hAnsi="Times New Roman" w:cs="Times New Roman"/>
          <w:sz w:val="24"/>
          <w:szCs w:val="24"/>
        </w:rPr>
      </w:pPr>
    </w:p>
    <w:p w:rsidR="007A7E14" w:rsidRPr="001952B6" w:rsidRDefault="007A7E14" w:rsidP="00355205">
      <w:pPr>
        <w:autoSpaceDE w:val="0"/>
        <w:autoSpaceDN w:val="0"/>
        <w:adjustRightInd w:val="0"/>
        <w:spacing w:after="0" w:line="480" w:lineRule="auto"/>
        <w:rPr>
          <w:rFonts w:ascii="Times New Roman" w:hAnsi="Times New Roman" w:cs="Times New Roman"/>
          <w:sz w:val="24"/>
          <w:szCs w:val="24"/>
        </w:rPr>
      </w:pPr>
    </w:p>
    <w:p w:rsidR="00AF2729" w:rsidRPr="001952B6" w:rsidRDefault="007A7E14" w:rsidP="00355205">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b/>
          <w:sz w:val="24"/>
          <w:szCs w:val="24"/>
        </w:rPr>
        <w:lastRenderedPageBreak/>
        <w:t>Table 2</w:t>
      </w:r>
      <w:r w:rsidRPr="001952B6">
        <w:rPr>
          <w:rFonts w:ascii="Times New Roman" w:hAnsi="Times New Roman" w:cs="Times New Roman"/>
          <w:sz w:val="24"/>
          <w:szCs w:val="24"/>
        </w:rPr>
        <w:t xml:space="preserve"> Hazards ratio (95% CI) of cardiovascular disease overall, by subtypes of disease and overall mortality by quintiles of circulating concentrations of 25-hydroxyvitamin D</w:t>
      </w:r>
    </w:p>
    <w:tbl>
      <w:tblPr>
        <w:tblW w:w="11245" w:type="dxa"/>
        <w:tblInd w:w="93" w:type="dxa"/>
        <w:tblLook w:val="04A0" w:firstRow="1" w:lastRow="0" w:firstColumn="1" w:lastColumn="0" w:noHBand="0" w:noVBand="1"/>
      </w:tblPr>
      <w:tblGrid>
        <w:gridCol w:w="2694"/>
        <w:gridCol w:w="1650"/>
        <w:gridCol w:w="1650"/>
        <w:gridCol w:w="1650"/>
        <w:gridCol w:w="1650"/>
        <w:gridCol w:w="1951"/>
      </w:tblGrid>
      <w:tr w:rsidR="00AF2729" w:rsidRPr="001952B6" w:rsidTr="00FF1F2D">
        <w:trPr>
          <w:trHeight w:val="315"/>
        </w:trPr>
        <w:tc>
          <w:tcPr>
            <w:tcW w:w="2694" w:type="dxa"/>
            <w:tcBorders>
              <w:top w:val="single" w:sz="4" w:space="0" w:color="auto"/>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w:t>
            </w:r>
          </w:p>
        </w:tc>
        <w:tc>
          <w:tcPr>
            <w:tcW w:w="8551" w:type="dxa"/>
            <w:gridSpan w:val="5"/>
            <w:tcBorders>
              <w:top w:val="single" w:sz="4" w:space="0" w:color="auto"/>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Quintiles of circulating concentrations of 25-hydroxyvitamin D (nmol/L)</w:t>
            </w:r>
          </w:p>
        </w:tc>
      </w:tr>
      <w:tr w:rsidR="00AF2729" w:rsidRPr="001952B6" w:rsidTr="00FF1F2D">
        <w:trPr>
          <w:trHeight w:val="315"/>
        </w:trPr>
        <w:tc>
          <w:tcPr>
            <w:tcW w:w="2694"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 </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0.05 to 23.09</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23.10 to 34.83</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34.84 to 48.27</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48.28 to 67.49</w:t>
            </w:r>
          </w:p>
        </w:tc>
        <w:tc>
          <w:tcPr>
            <w:tcW w:w="1951"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67.50 to 206.49</w:t>
            </w: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Cardiovascular disease (</w:t>
            </w:r>
            <w:r w:rsidRPr="001952B6">
              <w:rPr>
                <w:rFonts w:ascii="Times New Roman" w:eastAsia="Times New Roman" w:hAnsi="Times New Roman" w:cs="Times New Roman"/>
                <w:b/>
                <w:bCs/>
                <w:i/>
                <w:iCs/>
                <w:color w:val="000000"/>
                <w:szCs w:val="20"/>
              </w:rPr>
              <w:t>n</w:t>
            </w:r>
            <w:r w:rsidRPr="001952B6">
              <w:rPr>
                <w:rFonts w:ascii="Times New Roman" w:eastAsia="Times New Roman" w:hAnsi="Times New Roman" w:cs="Times New Roman"/>
                <w:b/>
                <w:bCs/>
                <w:color w:val="000000"/>
                <w:szCs w:val="20"/>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828</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781</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707</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674</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757</w:t>
            </w:r>
          </w:p>
        </w:tc>
      </w:tr>
      <w:tr w:rsidR="00AF2729" w:rsidRPr="001952B6" w:rsidTr="00FF1F2D">
        <w:trPr>
          <w:trHeight w:val="360"/>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HR (95% CI)</w:t>
            </w:r>
            <w:r w:rsidRPr="001952B6">
              <w:rPr>
                <w:rFonts w:ascii="Times New Roman" w:eastAsia="Times New Roman" w:hAnsi="Times New Roman"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1.39 (1.26–1.55)</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1.30 (1.18–1.43)</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1.14 (1.03–1.26)</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1.03 (0.92–1.14)</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4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Adjusted HR (95% CI)</w:t>
            </w:r>
            <w:r w:rsidRPr="001952B6">
              <w:rPr>
                <w:rFonts w:ascii="Calibri" w:eastAsia="Times New Roman" w:hAnsi="Calibri"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1.24 (1.12–1.38)</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1.16 (1.05–1.27)</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1.05 (0.95–1.16)</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0.97 (0.88–1.08)</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All-cause mortality (</w:t>
            </w:r>
            <w:r w:rsidRPr="001952B6">
              <w:rPr>
                <w:rFonts w:ascii="Times New Roman" w:eastAsia="Times New Roman" w:hAnsi="Times New Roman" w:cs="Times New Roman"/>
                <w:b/>
                <w:bCs/>
                <w:i/>
                <w:iCs/>
                <w:color w:val="000000"/>
                <w:szCs w:val="20"/>
              </w:rPr>
              <w:t>n</w:t>
            </w:r>
            <w:r w:rsidRPr="001952B6">
              <w:rPr>
                <w:rFonts w:ascii="Times New Roman" w:eastAsia="Times New Roman" w:hAnsi="Times New Roman" w:cs="Times New Roman"/>
                <w:b/>
                <w:bCs/>
                <w:color w:val="000000"/>
                <w:szCs w:val="20"/>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1,117</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752</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674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591</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778</w:t>
            </w:r>
          </w:p>
        </w:tc>
      </w:tr>
      <w:tr w:rsidR="00AF2729" w:rsidRPr="001952B6" w:rsidTr="00FF1F2D">
        <w:trPr>
          <w:trHeight w:val="360"/>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HR (95% CI)</w:t>
            </w:r>
            <w:r w:rsidRPr="001952B6">
              <w:rPr>
                <w:rFonts w:ascii="Times New Roman" w:eastAsia="Times New Roman" w:hAnsi="Times New Roman"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1.76 (1.59–1.94)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1.20 (1.08–1.33)</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1.09 (0.98–1.21)</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0.91 (0.81–1.01)</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4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Adjusted HR (95% CI)</w:t>
            </w:r>
            <w:r w:rsidRPr="001952B6">
              <w:rPr>
                <w:rFonts w:ascii="Calibri" w:eastAsia="Times New Roman" w:hAnsi="Calibri"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1.71 (1.55–1.88)</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1.16 (1.05–1.29)</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1.06 (0.95–1.18)</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0.90 (0.80–1.00)</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Ischaemic heart disease (</w:t>
            </w:r>
            <w:r w:rsidRPr="001952B6">
              <w:rPr>
                <w:rFonts w:ascii="Times New Roman" w:eastAsia="Times New Roman" w:hAnsi="Times New Roman" w:cs="Times New Roman"/>
                <w:b/>
                <w:bCs/>
                <w:i/>
                <w:iCs/>
                <w:color w:val="000000"/>
                <w:szCs w:val="20"/>
              </w:rPr>
              <w:t>n</w:t>
            </w:r>
            <w:r w:rsidRPr="001952B6">
              <w:rPr>
                <w:rFonts w:ascii="Times New Roman" w:eastAsia="Times New Roman" w:hAnsi="Times New Roman" w:cs="Times New Roman"/>
                <w:b/>
                <w:bCs/>
                <w:color w:val="000000"/>
                <w:szCs w:val="20"/>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334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270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262</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251</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261</w:t>
            </w:r>
          </w:p>
        </w:tc>
      </w:tr>
      <w:tr w:rsidR="00AF2729" w:rsidRPr="001952B6" w:rsidTr="00FF1F2D">
        <w:trPr>
          <w:trHeight w:val="360"/>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HR (95% CI)</w:t>
            </w:r>
            <w:r w:rsidRPr="001952B6">
              <w:rPr>
                <w:rFonts w:ascii="Times New Roman" w:eastAsia="Times New Roman" w:hAnsi="Times New Roman"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1.62 (1.36–1.93)</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1.28 (1.07–1.53)</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1.18 (1.00–1.40)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1.08 (0.91–1.28)</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4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Adjusted HR (95% CI)</w:t>
            </w:r>
            <w:r w:rsidRPr="001952B6">
              <w:rPr>
                <w:rFonts w:ascii="Calibri" w:eastAsia="Times New Roman" w:hAnsi="Calibri"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1.35 (1.13–1.60)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1.09 (0.91–1.30)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1.05 (0.88–1.25)</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(0.84–1.19)</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Cerebrovascular disease (</w:t>
            </w:r>
            <w:r w:rsidRPr="001952B6">
              <w:rPr>
                <w:rFonts w:ascii="Times New Roman" w:eastAsia="Times New Roman" w:hAnsi="Times New Roman" w:cs="Times New Roman"/>
                <w:b/>
                <w:bCs/>
                <w:i/>
                <w:iCs/>
                <w:color w:val="000000"/>
                <w:szCs w:val="20"/>
              </w:rPr>
              <w:t>n</w:t>
            </w:r>
            <w:r w:rsidRPr="001952B6">
              <w:rPr>
                <w:rFonts w:ascii="Times New Roman" w:eastAsia="Times New Roman" w:hAnsi="Times New Roman" w:cs="Times New Roman"/>
                <w:b/>
                <w:bCs/>
                <w:color w:val="000000"/>
                <w:szCs w:val="20"/>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329</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365</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301</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283</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364</w:t>
            </w:r>
          </w:p>
        </w:tc>
      </w:tr>
      <w:tr w:rsidR="00AF2729" w:rsidRPr="001952B6" w:rsidTr="00FF1F2D">
        <w:trPr>
          <w:trHeight w:val="360"/>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HR (95% CI)</w:t>
            </w:r>
            <w:r w:rsidRPr="001952B6">
              <w:rPr>
                <w:rFonts w:ascii="Times New Roman" w:eastAsia="Times New Roman" w:hAnsi="Times New Roman"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1.16 (1.00–1.34)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1.27 (1.10–1.46)</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1.02 (0.88–1.19)</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0.90 (0.76–1.07)</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4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Adjusted HR (95% CI)</w:t>
            </w:r>
            <w:r w:rsidRPr="001952B6">
              <w:rPr>
                <w:rFonts w:ascii="Calibri" w:eastAsia="Times New Roman" w:hAnsi="Calibri"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1.13 (0.98–1.31)</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1.21 (1.04–1.40)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0.98 (0.84–1.14)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0.89 (0.75–1.05)</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p>
        </w:tc>
      </w:tr>
      <w:tr w:rsidR="00AF2729" w:rsidRPr="001952B6" w:rsidTr="00FF1F2D">
        <w:trPr>
          <w:trHeight w:val="315"/>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b/>
                <w:bCs/>
                <w:color w:val="000000"/>
                <w:szCs w:val="20"/>
              </w:rPr>
            </w:pPr>
            <w:r w:rsidRPr="001952B6">
              <w:rPr>
                <w:rFonts w:ascii="Times New Roman" w:eastAsia="Times New Roman" w:hAnsi="Times New Roman" w:cs="Times New Roman"/>
                <w:b/>
                <w:bCs/>
                <w:color w:val="000000"/>
                <w:szCs w:val="20"/>
              </w:rPr>
              <w:t>Heart failure (</w:t>
            </w:r>
            <w:r w:rsidRPr="001952B6">
              <w:rPr>
                <w:rFonts w:ascii="Times New Roman" w:eastAsia="Times New Roman" w:hAnsi="Times New Roman" w:cs="Times New Roman"/>
                <w:b/>
                <w:bCs/>
                <w:i/>
                <w:iCs/>
                <w:color w:val="000000"/>
                <w:szCs w:val="20"/>
              </w:rPr>
              <w:t>n</w:t>
            </w:r>
            <w:r w:rsidRPr="001952B6">
              <w:rPr>
                <w:rFonts w:ascii="Times New Roman" w:eastAsia="Times New Roman" w:hAnsi="Times New Roman" w:cs="Times New Roman"/>
                <w:b/>
                <w:bCs/>
                <w:color w:val="000000"/>
                <w:szCs w:val="20"/>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165</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146</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144</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140</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132</w:t>
            </w:r>
          </w:p>
        </w:tc>
      </w:tr>
      <w:tr w:rsidR="00AF2729" w:rsidRPr="001952B6" w:rsidTr="00FF1F2D">
        <w:trPr>
          <w:trHeight w:val="360"/>
        </w:trPr>
        <w:tc>
          <w:tcPr>
            <w:tcW w:w="2694"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HR (95% CI)</w:t>
            </w:r>
            <w:r w:rsidRPr="001952B6">
              <w:rPr>
                <w:rFonts w:ascii="Times New Roman" w:eastAsia="Times New Roman" w:hAnsi="Times New Roman" w:cs="Times New Roman"/>
                <w:color w:val="000000"/>
                <w:szCs w:val="20"/>
                <w:vertAlign w:val="superscript"/>
              </w:rPr>
              <w:t>*</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1.58 (1.25–2.00)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1.40 (1.12–1.76)</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1.38 (1.12–1.70)</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1.26 (1.01–1.58)</w:t>
            </w: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45"/>
        </w:trPr>
        <w:tc>
          <w:tcPr>
            <w:tcW w:w="2694"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Adjusted HR (95% CI)</w:t>
            </w:r>
            <w:r w:rsidRPr="001952B6">
              <w:rPr>
                <w:rFonts w:ascii="Calibri" w:eastAsia="Times New Roman" w:hAnsi="Calibri" w:cs="Times New Roman"/>
                <w:color w:val="000000"/>
                <w:szCs w:val="20"/>
                <w:vertAlign w:val="superscript"/>
              </w:rPr>
              <w:t>†</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1.38 (1.08–1.77)</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1.18 (0.93–1.50)</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1.22 (0.98–1.53)</w:t>
            </w:r>
          </w:p>
        </w:tc>
        <w:tc>
          <w:tcPr>
            <w:tcW w:w="1650"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1.14 (0.90–1.44)</w:t>
            </w:r>
          </w:p>
        </w:tc>
        <w:tc>
          <w:tcPr>
            <w:tcW w:w="1951" w:type="dxa"/>
            <w:tcBorders>
              <w:top w:val="nil"/>
              <w:left w:val="nil"/>
              <w:bottom w:val="single" w:sz="4" w:space="0" w:color="auto"/>
              <w:right w:val="nil"/>
            </w:tcBorders>
            <w:shd w:val="clear" w:color="auto" w:fill="auto"/>
            <w:noWrap/>
            <w:vAlign w:val="bottom"/>
            <w:hideMark/>
          </w:tcPr>
          <w:p w:rsidR="00AF2729" w:rsidRPr="001952B6" w:rsidRDefault="00AF2729" w:rsidP="00AF2729">
            <w:pPr>
              <w:spacing w:after="0"/>
              <w:jc w:val="center"/>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1.00 (ref)</w:t>
            </w:r>
          </w:p>
        </w:tc>
      </w:tr>
      <w:tr w:rsidR="00AF2729" w:rsidRPr="001952B6" w:rsidTr="00FF1F2D">
        <w:trPr>
          <w:trHeight w:val="300"/>
        </w:trPr>
        <w:tc>
          <w:tcPr>
            <w:tcW w:w="4344" w:type="dxa"/>
            <w:gridSpan w:val="2"/>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rPr>
              <w:t>CI, confidence intervals; HR, hazard ratio</w:t>
            </w: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650"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c>
          <w:tcPr>
            <w:tcW w:w="1951" w:type="dxa"/>
            <w:tcBorders>
              <w:top w:val="nil"/>
              <w:left w:val="nil"/>
              <w:bottom w:val="nil"/>
              <w:right w:val="nil"/>
            </w:tcBorders>
            <w:shd w:val="clear" w:color="auto" w:fill="auto"/>
            <w:noWrap/>
            <w:vAlign w:val="bottom"/>
            <w:hideMark/>
          </w:tcPr>
          <w:p w:rsidR="00AF2729" w:rsidRPr="001952B6" w:rsidRDefault="00AF2729" w:rsidP="00AF2729">
            <w:pPr>
              <w:spacing w:after="0"/>
              <w:rPr>
                <w:rFonts w:ascii="Times New Roman" w:eastAsia="Times New Roman" w:hAnsi="Times New Roman" w:cs="Times New Roman"/>
                <w:color w:val="000000"/>
                <w:szCs w:val="20"/>
              </w:rPr>
            </w:pPr>
          </w:p>
        </w:tc>
      </w:tr>
      <w:tr w:rsidR="00AF2729" w:rsidRPr="001952B6" w:rsidTr="00FF1F2D">
        <w:trPr>
          <w:trHeight w:val="345"/>
        </w:trPr>
        <w:tc>
          <w:tcPr>
            <w:tcW w:w="11245" w:type="dxa"/>
            <w:gridSpan w:val="6"/>
            <w:tcBorders>
              <w:top w:val="nil"/>
              <w:left w:val="nil"/>
              <w:bottom w:val="nil"/>
              <w:right w:val="nil"/>
            </w:tcBorders>
            <w:shd w:val="clear" w:color="auto" w:fill="auto"/>
            <w:vAlign w:val="bottom"/>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vertAlign w:val="superscript"/>
              </w:rPr>
              <w:t>*</w:t>
            </w:r>
            <w:r w:rsidRPr="001952B6">
              <w:rPr>
                <w:rFonts w:ascii="Times New Roman" w:eastAsia="Times New Roman" w:hAnsi="Times New Roman" w:cs="Times New Roman"/>
                <w:color w:val="000000"/>
                <w:szCs w:val="20"/>
              </w:rPr>
              <w:t>Adjusted for age</w:t>
            </w:r>
          </w:p>
        </w:tc>
      </w:tr>
      <w:tr w:rsidR="00AF2729" w:rsidRPr="001952B6" w:rsidTr="00FF1F2D">
        <w:trPr>
          <w:trHeight w:val="345"/>
        </w:trPr>
        <w:tc>
          <w:tcPr>
            <w:tcW w:w="11245" w:type="dxa"/>
            <w:gridSpan w:val="6"/>
            <w:tcBorders>
              <w:top w:val="nil"/>
              <w:left w:val="nil"/>
              <w:bottom w:val="nil"/>
              <w:right w:val="nil"/>
            </w:tcBorders>
            <w:shd w:val="clear" w:color="auto" w:fill="auto"/>
            <w:noWrap/>
            <w:vAlign w:val="center"/>
            <w:hideMark/>
          </w:tcPr>
          <w:p w:rsidR="00AF2729" w:rsidRPr="001952B6" w:rsidRDefault="00AF2729" w:rsidP="00AF2729">
            <w:pPr>
              <w:spacing w:after="0"/>
              <w:rPr>
                <w:rFonts w:ascii="Times New Roman" w:eastAsia="Times New Roman" w:hAnsi="Times New Roman" w:cs="Times New Roman"/>
                <w:color w:val="000000"/>
                <w:szCs w:val="20"/>
              </w:rPr>
            </w:pPr>
            <w:r w:rsidRPr="001952B6">
              <w:rPr>
                <w:rFonts w:ascii="Times New Roman" w:eastAsia="Times New Roman" w:hAnsi="Times New Roman" w:cs="Times New Roman"/>
                <w:color w:val="000000"/>
                <w:szCs w:val="20"/>
                <w:vertAlign w:val="superscript"/>
              </w:rPr>
              <w:lastRenderedPageBreak/>
              <w:t>†</w:t>
            </w:r>
            <w:r w:rsidRPr="001952B6">
              <w:rPr>
                <w:rFonts w:ascii="Times New Roman" w:eastAsia="Times New Roman" w:hAnsi="Times New Roman" w:cs="Times New Roman"/>
                <w:color w:val="000000"/>
                <w:szCs w:val="20"/>
              </w:rPr>
              <w:t>Adjusted for age, sex, socioeconomic status, ethnicity, smoking , BMI, hypertension, diabetes, use of lipid-lowering medication, and atrial fibrillation</w:t>
            </w:r>
          </w:p>
        </w:tc>
      </w:tr>
    </w:tbl>
    <w:p w:rsidR="00AF2729" w:rsidRPr="001952B6" w:rsidRDefault="00AF2729" w:rsidP="00355205">
      <w:pPr>
        <w:autoSpaceDE w:val="0"/>
        <w:autoSpaceDN w:val="0"/>
        <w:adjustRightInd w:val="0"/>
        <w:spacing w:after="0" w:line="480" w:lineRule="auto"/>
        <w:rPr>
          <w:rFonts w:ascii="Times New Roman" w:hAnsi="Times New Roman" w:cs="Times New Roman"/>
          <w:sz w:val="24"/>
          <w:szCs w:val="24"/>
        </w:rPr>
        <w:sectPr w:rsidR="00AF2729" w:rsidRPr="001952B6" w:rsidSect="00C92679">
          <w:pgSz w:w="16838" w:h="11906" w:orient="landscape"/>
          <w:pgMar w:top="1440" w:right="1440" w:bottom="1440" w:left="1440" w:header="708" w:footer="708" w:gutter="0"/>
          <w:lnNumType w:countBy="1"/>
          <w:cols w:space="708"/>
          <w:docGrid w:linePitch="360"/>
        </w:sectPr>
      </w:pPr>
    </w:p>
    <w:p w:rsidR="006103A5" w:rsidRPr="001952B6" w:rsidRDefault="0020024D"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 xml:space="preserve">heart failure; the </w:t>
      </w:r>
      <w:r w:rsidR="008E3E14" w:rsidRPr="001952B6">
        <w:rPr>
          <w:rFonts w:ascii="Times New Roman" w:hAnsi="Times New Roman" w:cs="Times New Roman"/>
          <w:sz w:val="24"/>
          <w:szCs w:val="24"/>
        </w:rPr>
        <w:t xml:space="preserve">HR for the lowest versus the highest </w:t>
      </w:r>
      <w:r w:rsidR="00622B95" w:rsidRPr="001952B6">
        <w:rPr>
          <w:rFonts w:ascii="Times New Roman" w:hAnsi="Times New Roman" w:cs="Times New Roman"/>
          <w:sz w:val="24"/>
          <w:szCs w:val="24"/>
        </w:rPr>
        <w:t>quintile</w:t>
      </w:r>
      <w:r w:rsidR="008E3E14" w:rsidRPr="001952B6">
        <w:rPr>
          <w:rFonts w:ascii="Times New Roman" w:hAnsi="Times New Roman" w:cs="Times New Roman"/>
          <w:sz w:val="24"/>
          <w:szCs w:val="24"/>
        </w:rPr>
        <w:t xml:space="preserve"> of </w:t>
      </w:r>
      <w:r w:rsidRPr="001952B6">
        <w:rPr>
          <w:rFonts w:ascii="Times New Roman" w:hAnsi="Times New Roman" w:cs="Times New Roman"/>
          <w:sz w:val="24"/>
          <w:szCs w:val="24"/>
        </w:rPr>
        <w:t xml:space="preserve">concentrations of 25(OH)D was </w:t>
      </w:r>
      <w:r w:rsidR="008E3E14" w:rsidRPr="001952B6">
        <w:rPr>
          <w:rFonts w:ascii="Times New Roman" w:hAnsi="Times New Roman" w:cs="Times New Roman"/>
          <w:sz w:val="24"/>
          <w:szCs w:val="24"/>
        </w:rPr>
        <w:t>1.</w:t>
      </w:r>
      <w:r w:rsidR="00787D29" w:rsidRPr="001952B6">
        <w:rPr>
          <w:rFonts w:ascii="Times New Roman" w:hAnsi="Times New Roman" w:cs="Times New Roman"/>
          <w:sz w:val="24"/>
          <w:szCs w:val="24"/>
        </w:rPr>
        <w:t>35</w:t>
      </w:r>
      <w:r w:rsidRPr="001952B6">
        <w:rPr>
          <w:rFonts w:ascii="Times New Roman" w:hAnsi="Times New Roman" w:cs="Times New Roman"/>
          <w:sz w:val="24"/>
          <w:szCs w:val="24"/>
        </w:rPr>
        <w:t xml:space="preserve"> (95% </w:t>
      </w:r>
      <w:r w:rsidR="008E3E14" w:rsidRPr="001952B6">
        <w:rPr>
          <w:rFonts w:ascii="Times New Roman" w:hAnsi="Times New Roman" w:cs="Times New Roman"/>
          <w:sz w:val="24"/>
          <w:szCs w:val="24"/>
        </w:rPr>
        <w:t>1.1</w:t>
      </w:r>
      <w:r w:rsidR="00787D29" w:rsidRPr="001952B6">
        <w:rPr>
          <w:rFonts w:ascii="Times New Roman" w:hAnsi="Times New Roman" w:cs="Times New Roman"/>
          <w:sz w:val="24"/>
          <w:szCs w:val="24"/>
        </w:rPr>
        <w:t>3</w:t>
      </w:r>
      <w:r w:rsidR="00F556B2" w:rsidRPr="001952B6">
        <w:rPr>
          <w:rFonts w:ascii="Times New Roman" w:eastAsia="Times New Roman" w:hAnsi="Times New Roman" w:cs="Times New Roman"/>
          <w:color w:val="000000"/>
          <w:sz w:val="24"/>
          <w:szCs w:val="24"/>
        </w:rPr>
        <w:t>–</w:t>
      </w:r>
      <w:r w:rsidR="008E3E14" w:rsidRPr="001952B6">
        <w:rPr>
          <w:rFonts w:ascii="Times New Roman" w:hAnsi="Times New Roman" w:cs="Times New Roman"/>
          <w:sz w:val="24"/>
          <w:szCs w:val="24"/>
        </w:rPr>
        <w:t>1.</w:t>
      </w:r>
      <w:r w:rsidR="00787D29" w:rsidRPr="001952B6">
        <w:rPr>
          <w:rFonts w:ascii="Times New Roman" w:hAnsi="Times New Roman" w:cs="Times New Roman"/>
          <w:sz w:val="24"/>
          <w:szCs w:val="24"/>
        </w:rPr>
        <w:t>60</w:t>
      </w:r>
      <w:r w:rsidR="008E3E14" w:rsidRPr="001952B6">
        <w:rPr>
          <w:rFonts w:ascii="Times New Roman" w:hAnsi="Times New Roman" w:cs="Times New Roman"/>
          <w:sz w:val="24"/>
          <w:szCs w:val="24"/>
        </w:rPr>
        <w:t xml:space="preserve">, </w:t>
      </w:r>
      <w:r w:rsidR="00787D29" w:rsidRPr="001952B6">
        <w:rPr>
          <w:rFonts w:ascii="Times New Roman" w:hAnsi="Times New Roman" w:cs="Times New Roman"/>
          <w:i/>
          <w:sz w:val="24"/>
          <w:szCs w:val="24"/>
        </w:rPr>
        <w:t>P</w:t>
      </w:r>
      <w:r w:rsidR="008E3E14" w:rsidRPr="001952B6">
        <w:rPr>
          <w:rFonts w:ascii="Times New Roman" w:hAnsi="Times New Roman" w:cs="Times New Roman"/>
          <w:sz w:val="24"/>
          <w:szCs w:val="24"/>
        </w:rPr>
        <w:t>=0.00</w:t>
      </w:r>
      <w:r w:rsidR="00787D29" w:rsidRPr="001952B6">
        <w:rPr>
          <w:rFonts w:ascii="Times New Roman" w:hAnsi="Times New Roman" w:cs="Times New Roman"/>
          <w:sz w:val="24"/>
          <w:szCs w:val="24"/>
        </w:rPr>
        <w:t>1) and</w:t>
      </w:r>
      <w:r w:rsidRPr="001952B6">
        <w:rPr>
          <w:rFonts w:ascii="Times New Roman" w:hAnsi="Times New Roman" w:cs="Times New Roman"/>
          <w:sz w:val="24"/>
          <w:szCs w:val="24"/>
        </w:rPr>
        <w:t xml:space="preserve"> </w:t>
      </w:r>
      <w:r w:rsidR="00881C8F" w:rsidRPr="001952B6">
        <w:rPr>
          <w:rFonts w:ascii="Times New Roman" w:hAnsi="Times New Roman" w:cs="Times New Roman"/>
          <w:sz w:val="24"/>
          <w:szCs w:val="24"/>
        </w:rPr>
        <w:t>1.</w:t>
      </w:r>
      <w:r w:rsidR="00787D29" w:rsidRPr="001952B6">
        <w:rPr>
          <w:rFonts w:ascii="Times New Roman" w:hAnsi="Times New Roman" w:cs="Times New Roman"/>
          <w:sz w:val="24"/>
          <w:szCs w:val="24"/>
        </w:rPr>
        <w:t>38</w:t>
      </w:r>
      <w:r w:rsidRPr="001952B6">
        <w:rPr>
          <w:rFonts w:ascii="Times New Roman" w:hAnsi="Times New Roman" w:cs="Times New Roman"/>
          <w:sz w:val="24"/>
          <w:szCs w:val="24"/>
        </w:rPr>
        <w:t xml:space="preserve"> (95% CI </w:t>
      </w:r>
      <w:r w:rsidR="00881C8F" w:rsidRPr="001952B6">
        <w:rPr>
          <w:rFonts w:ascii="Times New Roman" w:hAnsi="Times New Roman" w:cs="Times New Roman"/>
          <w:sz w:val="24"/>
          <w:szCs w:val="24"/>
        </w:rPr>
        <w:t>1.0</w:t>
      </w:r>
      <w:r w:rsidR="00787D29" w:rsidRPr="001952B6">
        <w:rPr>
          <w:rFonts w:ascii="Times New Roman" w:hAnsi="Times New Roman" w:cs="Times New Roman"/>
          <w:sz w:val="24"/>
          <w:szCs w:val="24"/>
        </w:rPr>
        <w:t>8</w:t>
      </w:r>
      <w:r w:rsidR="00F556B2" w:rsidRPr="001952B6">
        <w:rPr>
          <w:rFonts w:ascii="Times New Roman" w:eastAsia="Times New Roman" w:hAnsi="Times New Roman" w:cs="Times New Roman"/>
          <w:color w:val="000000"/>
          <w:sz w:val="24"/>
          <w:szCs w:val="24"/>
        </w:rPr>
        <w:t>–</w:t>
      </w:r>
      <w:r w:rsidR="00881C8F" w:rsidRPr="001952B6">
        <w:rPr>
          <w:rFonts w:ascii="Times New Roman" w:hAnsi="Times New Roman" w:cs="Times New Roman"/>
          <w:sz w:val="24"/>
          <w:szCs w:val="24"/>
        </w:rPr>
        <w:t>1.</w:t>
      </w:r>
      <w:r w:rsidR="00787D29" w:rsidRPr="001952B6">
        <w:rPr>
          <w:rFonts w:ascii="Times New Roman" w:hAnsi="Times New Roman" w:cs="Times New Roman"/>
          <w:sz w:val="24"/>
          <w:szCs w:val="24"/>
        </w:rPr>
        <w:t>77</w:t>
      </w:r>
      <w:r w:rsidR="00881C8F" w:rsidRPr="001952B6">
        <w:rPr>
          <w:rFonts w:ascii="Times New Roman" w:hAnsi="Times New Roman" w:cs="Times New Roman"/>
          <w:sz w:val="24"/>
          <w:szCs w:val="24"/>
        </w:rPr>
        <w:t xml:space="preserve">, </w:t>
      </w:r>
      <w:r w:rsidR="00787D29" w:rsidRPr="001952B6">
        <w:rPr>
          <w:rFonts w:ascii="Times New Roman" w:hAnsi="Times New Roman" w:cs="Times New Roman"/>
          <w:i/>
          <w:sz w:val="24"/>
          <w:szCs w:val="24"/>
        </w:rPr>
        <w:t>P</w:t>
      </w:r>
      <w:r w:rsidR="00881C8F" w:rsidRPr="001952B6">
        <w:rPr>
          <w:rFonts w:ascii="Times New Roman" w:hAnsi="Times New Roman" w:cs="Times New Roman"/>
          <w:sz w:val="24"/>
          <w:szCs w:val="24"/>
        </w:rPr>
        <w:t>=0.0</w:t>
      </w:r>
      <w:r w:rsidR="00787D29" w:rsidRPr="001952B6">
        <w:rPr>
          <w:rFonts w:ascii="Times New Roman" w:hAnsi="Times New Roman" w:cs="Times New Roman"/>
          <w:sz w:val="24"/>
          <w:szCs w:val="24"/>
        </w:rPr>
        <w:t>26</w:t>
      </w:r>
      <w:r w:rsidRPr="001952B6">
        <w:rPr>
          <w:rFonts w:ascii="Times New Roman" w:hAnsi="Times New Roman" w:cs="Times New Roman"/>
          <w:sz w:val="24"/>
          <w:szCs w:val="24"/>
        </w:rPr>
        <w:t xml:space="preserve">), respectively. </w:t>
      </w:r>
      <w:r w:rsidR="000F1813" w:rsidRPr="001952B6">
        <w:rPr>
          <w:rFonts w:ascii="Times New Roman" w:hAnsi="Times New Roman" w:cs="Times New Roman"/>
          <w:sz w:val="24"/>
          <w:szCs w:val="24"/>
        </w:rPr>
        <w:t xml:space="preserve">The hazard ratio for cerebrovascular disease in patients in the lowest </w:t>
      </w:r>
      <w:r w:rsidR="00622B95" w:rsidRPr="001952B6">
        <w:rPr>
          <w:rFonts w:ascii="Times New Roman" w:hAnsi="Times New Roman" w:cs="Times New Roman"/>
          <w:sz w:val="24"/>
          <w:szCs w:val="24"/>
        </w:rPr>
        <w:t>quintile</w:t>
      </w:r>
      <w:r w:rsidR="000F1813" w:rsidRPr="001952B6">
        <w:rPr>
          <w:rFonts w:ascii="Times New Roman" w:hAnsi="Times New Roman" w:cs="Times New Roman"/>
          <w:sz w:val="24"/>
          <w:szCs w:val="24"/>
        </w:rPr>
        <w:t xml:space="preserve"> of 25(OH)D was not statistically significantly higher than those in the highest </w:t>
      </w:r>
      <w:r w:rsidR="00622B95" w:rsidRPr="001952B6">
        <w:rPr>
          <w:rFonts w:ascii="Times New Roman" w:hAnsi="Times New Roman" w:cs="Times New Roman"/>
          <w:sz w:val="24"/>
          <w:szCs w:val="24"/>
        </w:rPr>
        <w:t>quintile</w:t>
      </w:r>
      <w:r w:rsidR="000F1813" w:rsidRPr="001952B6">
        <w:rPr>
          <w:rFonts w:ascii="Times New Roman" w:hAnsi="Times New Roman" w:cs="Times New Roman"/>
          <w:sz w:val="24"/>
          <w:szCs w:val="24"/>
        </w:rPr>
        <w:t xml:space="preserve"> but the overall trend was (</w:t>
      </w:r>
      <w:r w:rsidR="000F1813" w:rsidRPr="001952B6">
        <w:rPr>
          <w:rFonts w:ascii="Times New Roman" w:hAnsi="Times New Roman" w:cs="Times New Roman"/>
          <w:i/>
          <w:sz w:val="24"/>
          <w:szCs w:val="24"/>
        </w:rPr>
        <w:t>P</w:t>
      </w:r>
      <w:r w:rsidR="000F1813" w:rsidRPr="001952B6">
        <w:rPr>
          <w:rFonts w:ascii="Times New Roman" w:hAnsi="Times New Roman" w:cs="Times New Roman"/>
          <w:sz w:val="24"/>
          <w:szCs w:val="24"/>
        </w:rPr>
        <w:t>=0.001).</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AE2039" w:rsidRPr="001952B6" w:rsidRDefault="00AE2039"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The associations of 25(OH)D concentrations with hazard ratios of CVD and mortality (</w:t>
      </w:r>
      <w:r w:rsidR="00402EFA" w:rsidRPr="001952B6">
        <w:rPr>
          <w:rFonts w:ascii="Times New Roman" w:hAnsi="Times New Roman" w:cs="Times New Roman"/>
          <w:b/>
          <w:sz w:val="24"/>
          <w:szCs w:val="24"/>
        </w:rPr>
        <w:t>Figure 1</w:t>
      </w:r>
      <w:r w:rsidRPr="001952B6">
        <w:rPr>
          <w:rFonts w:ascii="Times New Roman" w:hAnsi="Times New Roman" w:cs="Times New Roman"/>
          <w:sz w:val="24"/>
          <w:szCs w:val="24"/>
        </w:rPr>
        <w:t>) showed evidence for a non-linear association</w:t>
      </w:r>
      <w:r w:rsidR="003C111A" w:rsidRPr="001952B6">
        <w:rPr>
          <w:rFonts w:ascii="Times New Roman" w:hAnsi="Times New Roman" w:cs="Times New Roman"/>
          <w:sz w:val="24"/>
          <w:szCs w:val="24"/>
        </w:rPr>
        <w:t>. Compared to patients with 25(OH)D concentrations of 75.0</w:t>
      </w:r>
      <w:r w:rsidR="00F556B2" w:rsidRPr="001952B6">
        <w:rPr>
          <w:rFonts w:ascii="Times New Roman" w:eastAsia="Times New Roman" w:hAnsi="Times New Roman" w:cs="Times New Roman"/>
          <w:color w:val="000000"/>
          <w:sz w:val="24"/>
          <w:szCs w:val="24"/>
        </w:rPr>
        <w:t>–</w:t>
      </w:r>
      <w:r w:rsidR="003C111A" w:rsidRPr="001952B6">
        <w:rPr>
          <w:rFonts w:ascii="Times New Roman" w:hAnsi="Times New Roman" w:cs="Times New Roman"/>
          <w:sz w:val="24"/>
          <w:szCs w:val="24"/>
        </w:rPr>
        <w:t xml:space="preserve">99.9 nmol/L the </w:t>
      </w:r>
      <w:r w:rsidR="00582D92" w:rsidRPr="001952B6">
        <w:rPr>
          <w:rFonts w:ascii="Times New Roman" w:hAnsi="Times New Roman" w:cs="Times New Roman"/>
          <w:sz w:val="24"/>
          <w:szCs w:val="24"/>
        </w:rPr>
        <w:t>HR</w:t>
      </w:r>
      <w:r w:rsidR="003C111A" w:rsidRPr="001952B6">
        <w:rPr>
          <w:rFonts w:ascii="Times New Roman" w:hAnsi="Times New Roman" w:cs="Times New Roman"/>
          <w:sz w:val="24"/>
          <w:szCs w:val="24"/>
        </w:rPr>
        <w:t xml:space="preserve"> for CVD </w:t>
      </w:r>
      <w:r w:rsidR="0003082E" w:rsidRPr="001952B6">
        <w:rPr>
          <w:rFonts w:ascii="Times New Roman" w:hAnsi="Times New Roman" w:cs="Times New Roman"/>
          <w:sz w:val="24"/>
          <w:szCs w:val="24"/>
        </w:rPr>
        <w:t xml:space="preserve">and mortality </w:t>
      </w:r>
      <w:r w:rsidR="00FF1406" w:rsidRPr="001952B6">
        <w:rPr>
          <w:rFonts w:ascii="Times New Roman" w:hAnsi="Times New Roman" w:cs="Times New Roman"/>
          <w:sz w:val="24"/>
          <w:szCs w:val="24"/>
        </w:rPr>
        <w:t xml:space="preserve">were significantly different </w:t>
      </w:r>
      <w:r w:rsidRPr="001952B6">
        <w:rPr>
          <w:rFonts w:ascii="Times New Roman" w:hAnsi="Times New Roman" w:cs="Times New Roman"/>
          <w:sz w:val="24"/>
          <w:szCs w:val="24"/>
        </w:rPr>
        <w:t xml:space="preserve">for values of 25(OH)D </w:t>
      </w:r>
      <w:r w:rsidR="007E685E" w:rsidRPr="001952B6">
        <w:rPr>
          <w:rFonts w:ascii="Times New Roman" w:hAnsi="Times New Roman" w:cs="Times New Roman"/>
          <w:sz w:val="24"/>
          <w:szCs w:val="24"/>
        </w:rPr>
        <w:t>&lt;</w:t>
      </w:r>
      <w:r w:rsidRPr="001952B6">
        <w:rPr>
          <w:rFonts w:ascii="Times New Roman" w:hAnsi="Times New Roman" w:cs="Times New Roman"/>
          <w:sz w:val="24"/>
          <w:szCs w:val="24"/>
        </w:rPr>
        <w:t>35</w:t>
      </w:r>
      <w:r w:rsidR="00042F77" w:rsidRPr="001952B6">
        <w:rPr>
          <w:rFonts w:ascii="Times New Roman" w:hAnsi="Times New Roman" w:cs="Times New Roman"/>
          <w:sz w:val="24"/>
          <w:szCs w:val="24"/>
        </w:rPr>
        <w:t xml:space="preserve"> nmol/L</w:t>
      </w:r>
      <w:r w:rsidR="0003082E" w:rsidRPr="001952B6">
        <w:rPr>
          <w:rFonts w:ascii="Times New Roman" w:hAnsi="Times New Roman" w:cs="Times New Roman"/>
          <w:sz w:val="24"/>
          <w:szCs w:val="24"/>
        </w:rPr>
        <w:t xml:space="preserve"> and the </w:t>
      </w:r>
      <w:r w:rsidR="00582D92" w:rsidRPr="001952B6">
        <w:rPr>
          <w:rFonts w:ascii="Times New Roman" w:hAnsi="Times New Roman" w:cs="Times New Roman"/>
          <w:sz w:val="24"/>
          <w:szCs w:val="24"/>
        </w:rPr>
        <w:t xml:space="preserve">HR </w:t>
      </w:r>
      <w:r w:rsidR="00EA4EC9" w:rsidRPr="001952B6">
        <w:rPr>
          <w:rFonts w:ascii="Times New Roman" w:hAnsi="Times New Roman" w:cs="Times New Roman"/>
          <w:sz w:val="24"/>
          <w:szCs w:val="24"/>
        </w:rPr>
        <w:t xml:space="preserve">of mortality for </w:t>
      </w:r>
      <w:r w:rsidR="0085631E" w:rsidRPr="001952B6">
        <w:rPr>
          <w:rFonts w:ascii="Times New Roman" w:hAnsi="Times New Roman" w:cs="Times New Roman"/>
          <w:sz w:val="24"/>
          <w:szCs w:val="24"/>
        </w:rPr>
        <w:t>those</w:t>
      </w:r>
      <w:r w:rsidR="00EA4EC9" w:rsidRPr="001952B6">
        <w:rPr>
          <w:rFonts w:ascii="Times New Roman" w:hAnsi="Times New Roman" w:cs="Times New Roman"/>
          <w:sz w:val="24"/>
          <w:szCs w:val="24"/>
        </w:rPr>
        <w:t xml:space="preserve"> with </w:t>
      </w:r>
      <w:r w:rsidR="002A272A" w:rsidRPr="001952B6">
        <w:rPr>
          <w:rFonts w:ascii="Times New Roman" w:hAnsi="Times New Roman" w:cs="Times New Roman"/>
          <w:sz w:val="24"/>
          <w:szCs w:val="24"/>
        </w:rPr>
        <w:t xml:space="preserve">25(OH)D </w:t>
      </w:r>
      <w:r w:rsidR="00F556B2" w:rsidRPr="001952B6">
        <w:rPr>
          <w:rFonts w:ascii="Times New Roman" w:hAnsi="Times New Roman" w:cs="Times New Roman"/>
          <w:sz w:val="24"/>
          <w:szCs w:val="24"/>
        </w:rPr>
        <w:t xml:space="preserve">≥ </w:t>
      </w:r>
      <w:r w:rsidR="002A272A" w:rsidRPr="001952B6">
        <w:rPr>
          <w:rFonts w:ascii="Times New Roman" w:hAnsi="Times New Roman" w:cs="Times New Roman"/>
          <w:sz w:val="24"/>
          <w:szCs w:val="24"/>
        </w:rPr>
        <w:t>1</w:t>
      </w:r>
      <w:r w:rsidR="00DE413E" w:rsidRPr="001952B6">
        <w:rPr>
          <w:rFonts w:ascii="Times New Roman" w:hAnsi="Times New Roman" w:cs="Times New Roman"/>
          <w:sz w:val="24"/>
          <w:szCs w:val="24"/>
        </w:rPr>
        <w:t>00</w:t>
      </w:r>
      <w:r w:rsidR="00371E34" w:rsidRPr="001952B6">
        <w:rPr>
          <w:rFonts w:ascii="Times New Roman" w:hAnsi="Times New Roman" w:cs="Times New Roman"/>
          <w:sz w:val="24"/>
          <w:szCs w:val="24"/>
        </w:rPr>
        <w:t xml:space="preserve"> nmol/L </w:t>
      </w:r>
      <w:r w:rsidR="0085631E" w:rsidRPr="001952B6">
        <w:rPr>
          <w:rFonts w:ascii="Times New Roman" w:hAnsi="Times New Roman" w:cs="Times New Roman"/>
          <w:sz w:val="24"/>
          <w:szCs w:val="24"/>
        </w:rPr>
        <w:t>was</w:t>
      </w:r>
      <w:r w:rsidR="00371E34" w:rsidRPr="001952B6">
        <w:rPr>
          <w:rFonts w:ascii="Times New Roman" w:hAnsi="Times New Roman" w:cs="Times New Roman"/>
          <w:sz w:val="24"/>
          <w:szCs w:val="24"/>
        </w:rPr>
        <w:t xml:space="preserve"> also significantly </w:t>
      </w:r>
      <w:r w:rsidR="00582D92" w:rsidRPr="001952B6">
        <w:rPr>
          <w:rFonts w:ascii="Times New Roman" w:hAnsi="Times New Roman" w:cs="Times New Roman"/>
          <w:sz w:val="24"/>
          <w:szCs w:val="24"/>
        </w:rPr>
        <w:t>greater</w:t>
      </w:r>
      <w:r w:rsidR="00834D11" w:rsidRPr="001952B6">
        <w:rPr>
          <w:rFonts w:ascii="Times New Roman" w:hAnsi="Times New Roman" w:cs="Times New Roman"/>
          <w:sz w:val="24"/>
          <w:szCs w:val="24"/>
        </w:rPr>
        <w:t>.</w:t>
      </w:r>
    </w:p>
    <w:p w:rsidR="004A7F9D" w:rsidRPr="001952B6" w:rsidRDefault="004A7F9D" w:rsidP="00575E33">
      <w:pPr>
        <w:autoSpaceDE w:val="0"/>
        <w:autoSpaceDN w:val="0"/>
        <w:adjustRightInd w:val="0"/>
        <w:spacing w:after="0" w:line="480" w:lineRule="auto"/>
        <w:rPr>
          <w:rFonts w:ascii="Times New Roman" w:hAnsi="Times New Roman" w:cs="Times New Roman"/>
          <w:sz w:val="24"/>
          <w:szCs w:val="24"/>
        </w:rPr>
      </w:pPr>
    </w:p>
    <w:p w:rsidR="002F5A78" w:rsidRPr="001952B6" w:rsidRDefault="00240D53" w:rsidP="00575E33">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The</w:t>
      </w:r>
      <w:r w:rsidR="001C126D" w:rsidRPr="001952B6">
        <w:rPr>
          <w:rFonts w:ascii="Times New Roman" w:hAnsi="Times New Roman" w:cs="Times New Roman"/>
          <w:sz w:val="24"/>
          <w:szCs w:val="24"/>
        </w:rPr>
        <w:t xml:space="preserve"> </w:t>
      </w:r>
      <w:r w:rsidR="007E4FFB" w:rsidRPr="001952B6">
        <w:rPr>
          <w:rFonts w:ascii="Times New Roman" w:hAnsi="Times New Roman" w:cs="Times New Roman"/>
          <w:sz w:val="24"/>
          <w:szCs w:val="24"/>
        </w:rPr>
        <w:t>HR</w:t>
      </w:r>
      <w:r w:rsidR="001C126D" w:rsidRPr="001952B6">
        <w:rPr>
          <w:rFonts w:ascii="Times New Roman" w:hAnsi="Times New Roman" w:cs="Times New Roman"/>
          <w:sz w:val="24"/>
          <w:szCs w:val="24"/>
        </w:rPr>
        <w:t xml:space="preserve"> of CVD for a doubling of </w:t>
      </w:r>
      <w:r w:rsidR="00DC7785" w:rsidRPr="001952B6">
        <w:rPr>
          <w:rFonts w:ascii="Times New Roman" w:hAnsi="Times New Roman" w:cs="Times New Roman"/>
          <w:sz w:val="24"/>
          <w:szCs w:val="24"/>
        </w:rPr>
        <w:t xml:space="preserve">25(OH)D </w:t>
      </w:r>
      <w:r w:rsidR="00176A9B" w:rsidRPr="001952B6">
        <w:rPr>
          <w:rFonts w:ascii="Times New Roman" w:hAnsi="Times New Roman" w:cs="Times New Roman"/>
          <w:sz w:val="24"/>
          <w:szCs w:val="24"/>
        </w:rPr>
        <w:t xml:space="preserve">by subgroups of </w:t>
      </w:r>
      <w:r w:rsidR="00DC7785" w:rsidRPr="001952B6">
        <w:rPr>
          <w:rFonts w:ascii="Times New Roman" w:hAnsi="Times New Roman" w:cs="Times New Roman"/>
          <w:sz w:val="24"/>
          <w:szCs w:val="24"/>
        </w:rPr>
        <w:t>patient and CVD characteristics</w:t>
      </w:r>
      <w:r w:rsidRPr="001952B6">
        <w:rPr>
          <w:rFonts w:ascii="Times New Roman" w:hAnsi="Times New Roman" w:cs="Times New Roman"/>
          <w:sz w:val="24"/>
          <w:szCs w:val="24"/>
        </w:rPr>
        <w:t xml:space="preserve"> are shown in </w:t>
      </w:r>
      <w:r w:rsidRPr="001952B6">
        <w:rPr>
          <w:rFonts w:ascii="Times New Roman" w:hAnsi="Times New Roman" w:cs="Times New Roman"/>
          <w:b/>
          <w:sz w:val="24"/>
          <w:szCs w:val="24"/>
        </w:rPr>
        <w:t xml:space="preserve">Supplementary Figure </w:t>
      </w:r>
      <w:r w:rsidR="00F77A44" w:rsidRPr="001952B6">
        <w:rPr>
          <w:rFonts w:ascii="Times New Roman" w:hAnsi="Times New Roman" w:cs="Times New Roman"/>
          <w:b/>
          <w:sz w:val="24"/>
          <w:szCs w:val="24"/>
        </w:rPr>
        <w:t>3</w:t>
      </w:r>
      <w:r w:rsidR="00DC7785" w:rsidRPr="001952B6">
        <w:rPr>
          <w:rFonts w:ascii="Times New Roman" w:hAnsi="Times New Roman" w:cs="Times New Roman"/>
          <w:sz w:val="24"/>
          <w:szCs w:val="24"/>
        </w:rPr>
        <w:t xml:space="preserve">. </w:t>
      </w:r>
      <w:r w:rsidR="00581BFC" w:rsidRPr="001952B6">
        <w:rPr>
          <w:rFonts w:ascii="Times New Roman" w:hAnsi="Times New Roman" w:cs="Times New Roman"/>
          <w:sz w:val="24"/>
          <w:szCs w:val="24"/>
        </w:rPr>
        <w:t xml:space="preserve">The lower </w:t>
      </w:r>
      <w:r w:rsidR="00176A9B" w:rsidRPr="001952B6">
        <w:rPr>
          <w:rFonts w:ascii="Times New Roman" w:hAnsi="Times New Roman" w:cs="Times New Roman"/>
          <w:sz w:val="24"/>
          <w:szCs w:val="24"/>
        </w:rPr>
        <w:t xml:space="preserve">hazard </w:t>
      </w:r>
      <w:r w:rsidR="00581BFC" w:rsidRPr="001952B6">
        <w:rPr>
          <w:rFonts w:ascii="Times New Roman" w:hAnsi="Times New Roman" w:cs="Times New Roman"/>
          <w:sz w:val="24"/>
          <w:szCs w:val="24"/>
        </w:rPr>
        <w:t xml:space="preserve">of CVD for a higher concentration of 25(OH)D did not vary significantly between subgroups of patients defined by their sex, age, smoking, </w:t>
      </w:r>
      <w:r w:rsidR="008277EE" w:rsidRPr="001952B6">
        <w:rPr>
          <w:rFonts w:ascii="Times New Roman" w:hAnsi="Times New Roman" w:cs="Times New Roman"/>
          <w:sz w:val="24"/>
          <w:szCs w:val="24"/>
        </w:rPr>
        <w:t xml:space="preserve">socioeconomic status, </w:t>
      </w:r>
      <w:r w:rsidR="002E1966" w:rsidRPr="001952B6">
        <w:rPr>
          <w:rFonts w:ascii="Times New Roman" w:hAnsi="Times New Roman" w:cs="Times New Roman"/>
          <w:sz w:val="24"/>
          <w:szCs w:val="24"/>
        </w:rPr>
        <w:t xml:space="preserve">ethnicity, </w:t>
      </w:r>
      <w:r w:rsidR="00581BFC" w:rsidRPr="001952B6">
        <w:rPr>
          <w:rFonts w:ascii="Times New Roman" w:hAnsi="Times New Roman" w:cs="Times New Roman"/>
          <w:sz w:val="24"/>
          <w:szCs w:val="24"/>
        </w:rPr>
        <w:t>body mass index, whether they had CVD risk factors at baseline</w:t>
      </w:r>
      <w:r w:rsidRPr="001952B6">
        <w:rPr>
          <w:rFonts w:ascii="Times New Roman" w:hAnsi="Times New Roman" w:cs="Times New Roman"/>
          <w:sz w:val="24"/>
          <w:szCs w:val="24"/>
        </w:rPr>
        <w:t xml:space="preserve"> or by the time between testing for vitamin D and diagnosis of CVD</w:t>
      </w:r>
      <w:r w:rsidR="00581BFC" w:rsidRPr="001952B6">
        <w:rPr>
          <w:rFonts w:ascii="Times New Roman" w:hAnsi="Times New Roman" w:cs="Times New Roman"/>
          <w:sz w:val="24"/>
          <w:szCs w:val="24"/>
        </w:rPr>
        <w:t>.</w:t>
      </w:r>
      <w:r w:rsidR="008960B4" w:rsidRPr="001952B6">
        <w:rPr>
          <w:rFonts w:ascii="Times New Roman" w:hAnsi="Times New Roman" w:cs="Times New Roman"/>
          <w:sz w:val="24"/>
          <w:szCs w:val="24"/>
        </w:rPr>
        <w:t xml:space="preserve"> </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2E21B4" w:rsidRPr="001952B6" w:rsidRDefault="004E1CE4" w:rsidP="004A7F9D">
      <w:pPr>
        <w:autoSpaceDE w:val="0"/>
        <w:autoSpaceDN w:val="0"/>
        <w:adjustRightInd w:val="0"/>
        <w:spacing w:after="0" w:line="480" w:lineRule="auto"/>
        <w:rPr>
          <w:rFonts w:ascii="Times New Roman" w:hAnsi="Times New Roman" w:cs="Times New Roman"/>
          <w:sz w:val="24"/>
          <w:szCs w:val="24"/>
        </w:rPr>
        <w:sectPr w:rsidR="002E21B4" w:rsidRPr="001952B6" w:rsidSect="00C92679">
          <w:pgSz w:w="11906" w:h="16838"/>
          <w:pgMar w:top="1440" w:right="1440" w:bottom="1440" w:left="1440" w:header="708" w:footer="708" w:gutter="0"/>
          <w:lnNumType w:countBy="1"/>
          <w:cols w:space="708"/>
          <w:docGrid w:linePitch="360"/>
        </w:sectPr>
      </w:pPr>
      <w:r w:rsidRPr="001952B6">
        <w:rPr>
          <w:rFonts w:ascii="Times New Roman" w:hAnsi="Times New Roman" w:cs="Times New Roman"/>
          <w:sz w:val="24"/>
          <w:szCs w:val="24"/>
        </w:rPr>
        <w:t xml:space="preserve">The lower </w:t>
      </w:r>
      <w:r w:rsidR="007E4FFB" w:rsidRPr="001952B6">
        <w:rPr>
          <w:rFonts w:ascii="Times New Roman" w:hAnsi="Times New Roman" w:cs="Times New Roman"/>
          <w:sz w:val="24"/>
          <w:szCs w:val="24"/>
        </w:rPr>
        <w:t>HR</w:t>
      </w:r>
      <w:r w:rsidR="00176A9B" w:rsidRPr="001952B6">
        <w:rPr>
          <w:rFonts w:ascii="Times New Roman" w:hAnsi="Times New Roman" w:cs="Times New Roman"/>
          <w:sz w:val="24"/>
          <w:szCs w:val="24"/>
        </w:rPr>
        <w:t xml:space="preserve"> </w:t>
      </w:r>
      <w:r w:rsidRPr="001952B6">
        <w:rPr>
          <w:rFonts w:ascii="Times New Roman" w:hAnsi="Times New Roman" w:cs="Times New Roman"/>
          <w:sz w:val="24"/>
          <w:szCs w:val="24"/>
        </w:rPr>
        <w:t xml:space="preserve">of mortality </w:t>
      </w:r>
      <w:r w:rsidR="00176A9B" w:rsidRPr="001952B6">
        <w:rPr>
          <w:rFonts w:ascii="Times New Roman" w:hAnsi="Times New Roman" w:cs="Times New Roman"/>
          <w:sz w:val="24"/>
          <w:szCs w:val="24"/>
        </w:rPr>
        <w:t xml:space="preserve">associated </w:t>
      </w:r>
      <w:r w:rsidRPr="001952B6">
        <w:rPr>
          <w:rFonts w:ascii="Times New Roman" w:hAnsi="Times New Roman" w:cs="Times New Roman"/>
          <w:sz w:val="24"/>
          <w:szCs w:val="24"/>
        </w:rPr>
        <w:t>with a doubling of 25(OH)D did not differ according to sex, smoking, socioeconomic stat</w:t>
      </w:r>
      <w:r w:rsidR="005F3FE8" w:rsidRPr="001952B6">
        <w:rPr>
          <w:rFonts w:ascii="Times New Roman" w:hAnsi="Times New Roman" w:cs="Times New Roman"/>
          <w:sz w:val="24"/>
          <w:szCs w:val="24"/>
        </w:rPr>
        <w:t>us, or BMI</w:t>
      </w:r>
      <w:r w:rsidR="004D76BA" w:rsidRPr="001952B6">
        <w:rPr>
          <w:rFonts w:ascii="Times New Roman" w:hAnsi="Times New Roman" w:cs="Times New Roman"/>
          <w:sz w:val="24"/>
          <w:szCs w:val="24"/>
        </w:rPr>
        <w:t xml:space="preserve"> (</w:t>
      </w:r>
      <w:r w:rsidR="004D76BA" w:rsidRPr="001952B6">
        <w:rPr>
          <w:rFonts w:ascii="Times New Roman" w:hAnsi="Times New Roman" w:cs="Times New Roman"/>
          <w:b/>
          <w:sz w:val="24"/>
          <w:szCs w:val="24"/>
        </w:rPr>
        <w:t xml:space="preserve">Supplementary Figure </w:t>
      </w:r>
      <w:r w:rsidR="00850AEF" w:rsidRPr="001952B6">
        <w:rPr>
          <w:rFonts w:ascii="Times New Roman" w:hAnsi="Times New Roman" w:cs="Times New Roman"/>
          <w:b/>
          <w:sz w:val="24"/>
          <w:szCs w:val="24"/>
        </w:rPr>
        <w:t>4</w:t>
      </w:r>
      <w:r w:rsidR="004D76BA" w:rsidRPr="001952B6">
        <w:rPr>
          <w:rFonts w:ascii="Times New Roman" w:hAnsi="Times New Roman" w:cs="Times New Roman"/>
          <w:sz w:val="24"/>
          <w:szCs w:val="24"/>
        </w:rPr>
        <w:t>)</w:t>
      </w:r>
      <w:r w:rsidRPr="001952B6">
        <w:rPr>
          <w:rFonts w:ascii="Times New Roman" w:hAnsi="Times New Roman" w:cs="Times New Roman"/>
          <w:sz w:val="24"/>
          <w:szCs w:val="24"/>
        </w:rPr>
        <w:t xml:space="preserve">. </w:t>
      </w:r>
      <w:r w:rsidR="00FE3DE6" w:rsidRPr="001952B6">
        <w:rPr>
          <w:rFonts w:ascii="Times New Roman" w:hAnsi="Times New Roman" w:cs="Times New Roman"/>
          <w:sz w:val="24"/>
          <w:szCs w:val="24"/>
        </w:rPr>
        <w:t>In contrast, t</w:t>
      </w:r>
      <w:r w:rsidRPr="001952B6">
        <w:rPr>
          <w:rFonts w:ascii="Times New Roman" w:hAnsi="Times New Roman" w:cs="Times New Roman"/>
          <w:sz w:val="24"/>
          <w:szCs w:val="24"/>
        </w:rPr>
        <w:t>he association between 25(OH)D and mortality differ</w:t>
      </w:r>
      <w:r w:rsidR="00761DD4" w:rsidRPr="001952B6">
        <w:rPr>
          <w:rFonts w:ascii="Times New Roman" w:hAnsi="Times New Roman" w:cs="Times New Roman"/>
          <w:sz w:val="24"/>
          <w:szCs w:val="24"/>
        </w:rPr>
        <w:t>ed</w:t>
      </w:r>
      <w:r w:rsidRPr="001952B6">
        <w:rPr>
          <w:rFonts w:ascii="Times New Roman" w:hAnsi="Times New Roman" w:cs="Times New Roman"/>
          <w:sz w:val="24"/>
          <w:szCs w:val="24"/>
        </w:rPr>
        <w:t xml:space="preserve"> according to baseline age where the association was not as strong in patients who were older than 75 years when 25(OH)D was measured compared to younger patients</w:t>
      </w:r>
      <w:r w:rsidR="00176A9B" w:rsidRPr="001952B6">
        <w:rPr>
          <w:rFonts w:ascii="Times New Roman" w:hAnsi="Times New Roman" w:cs="Times New Roman"/>
          <w:sz w:val="24"/>
          <w:szCs w:val="24"/>
        </w:rPr>
        <w:t xml:space="preserve"> (</w:t>
      </w:r>
      <w:r w:rsidR="008656A8" w:rsidRPr="001952B6">
        <w:rPr>
          <w:rFonts w:ascii="Times New Roman" w:hAnsi="Times New Roman" w:cs="Times New Roman"/>
          <w:i/>
          <w:sz w:val="24"/>
          <w:szCs w:val="24"/>
        </w:rPr>
        <w:t>P</w:t>
      </w:r>
      <w:r w:rsidR="00176A9B" w:rsidRPr="001952B6">
        <w:rPr>
          <w:rFonts w:ascii="Times New Roman" w:hAnsi="Times New Roman" w:cs="Times New Roman"/>
          <w:sz w:val="24"/>
          <w:szCs w:val="24"/>
        </w:rPr>
        <w:t xml:space="preserve"> heterogeneity </w:t>
      </w:r>
      <w:r w:rsidR="006C6480" w:rsidRPr="001952B6">
        <w:rPr>
          <w:rFonts w:ascii="Times New Roman" w:hAnsi="Times New Roman" w:cs="Times New Roman"/>
          <w:sz w:val="24"/>
          <w:szCs w:val="24"/>
        </w:rPr>
        <w:t>&lt;</w:t>
      </w:r>
      <w:r w:rsidR="00176A9B" w:rsidRPr="001952B6">
        <w:rPr>
          <w:rFonts w:ascii="Times New Roman" w:hAnsi="Times New Roman" w:cs="Times New Roman"/>
          <w:sz w:val="24"/>
          <w:szCs w:val="24"/>
        </w:rPr>
        <w:t xml:space="preserve"> 0.0</w:t>
      </w:r>
      <w:r w:rsidR="006C6480" w:rsidRPr="001952B6">
        <w:rPr>
          <w:rFonts w:ascii="Times New Roman" w:hAnsi="Times New Roman" w:cs="Times New Roman"/>
          <w:sz w:val="24"/>
          <w:szCs w:val="24"/>
        </w:rPr>
        <w:t>01</w:t>
      </w:r>
      <w:r w:rsidR="00176A9B" w:rsidRPr="001952B6">
        <w:rPr>
          <w:rFonts w:ascii="Times New Roman" w:hAnsi="Times New Roman" w:cs="Times New Roman"/>
          <w:sz w:val="24"/>
          <w:szCs w:val="24"/>
        </w:rPr>
        <w:t>)</w:t>
      </w:r>
      <w:r w:rsidR="006C6480" w:rsidRPr="001952B6">
        <w:rPr>
          <w:rFonts w:ascii="Times New Roman" w:hAnsi="Times New Roman" w:cs="Times New Roman"/>
          <w:sz w:val="24"/>
          <w:szCs w:val="24"/>
        </w:rPr>
        <w:t xml:space="preserve"> and by ethnicity where the association was not as strong among non-white patients (</w:t>
      </w:r>
      <w:r w:rsidR="008656A8" w:rsidRPr="001952B6">
        <w:rPr>
          <w:rFonts w:ascii="Times New Roman" w:hAnsi="Times New Roman" w:cs="Times New Roman"/>
          <w:i/>
          <w:sz w:val="24"/>
          <w:szCs w:val="24"/>
        </w:rPr>
        <w:t>P</w:t>
      </w:r>
      <w:r w:rsidR="006C6480" w:rsidRPr="001952B6">
        <w:rPr>
          <w:rFonts w:ascii="Times New Roman" w:hAnsi="Times New Roman" w:cs="Times New Roman"/>
          <w:sz w:val="24"/>
          <w:szCs w:val="24"/>
        </w:rPr>
        <w:t xml:space="preserve"> heterogeneity = 0.04)</w:t>
      </w:r>
      <w:r w:rsidRPr="001952B6">
        <w:rPr>
          <w:rFonts w:ascii="Times New Roman" w:hAnsi="Times New Roman" w:cs="Times New Roman"/>
          <w:sz w:val="24"/>
          <w:szCs w:val="24"/>
        </w:rPr>
        <w:t xml:space="preserve">. The association between 25(OH)D and mortality also differed according to follow-up </w:t>
      </w:r>
      <w:r w:rsidR="00761DD4" w:rsidRPr="001952B6">
        <w:rPr>
          <w:rFonts w:ascii="Times New Roman" w:hAnsi="Times New Roman" w:cs="Times New Roman"/>
          <w:sz w:val="24"/>
          <w:szCs w:val="24"/>
        </w:rPr>
        <w:t xml:space="preserve">where it </w:t>
      </w:r>
    </w:p>
    <w:p w:rsidR="00050D68" w:rsidRPr="001952B6" w:rsidRDefault="00543BC4"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1B236182" wp14:editId="3760748B">
                <wp:simplePos x="0" y="0"/>
                <wp:positionH relativeFrom="column">
                  <wp:posOffset>-10160</wp:posOffset>
                </wp:positionH>
                <wp:positionV relativeFrom="paragraph">
                  <wp:posOffset>371475</wp:posOffset>
                </wp:positionV>
                <wp:extent cx="8819515" cy="4299585"/>
                <wp:effectExtent l="0" t="0" r="635"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9515" cy="4299585"/>
                          <a:chOff x="0" y="0"/>
                          <a:chExt cx="8819434" cy="4299843"/>
                        </a:xfrm>
                      </wpg:grpSpPr>
                      <wpg:graphicFrame>
                        <wpg:cNvPr id="2" name="Chart 2"/>
                        <wpg:cNvFrPr>
                          <a:graphicFrameLocks/>
                        </wpg:cNvFrPr>
                        <wpg:xfrm>
                          <a:off x="4540207" y="216023"/>
                          <a:ext cx="4279227" cy="4083819"/>
                        </wpg:xfrm>
                        <a:graphic>
                          <a:graphicData uri="http://schemas.openxmlformats.org/drawingml/2006/chart">
                            <c:chart xmlns:c="http://schemas.openxmlformats.org/drawingml/2006/chart" xmlns:r="http://schemas.openxmlformats.org/officeDocument/2006/relationships" r:id="rId13"/>
                          </a:graphicData>
                        </a:graphic>
                      </wpg:graphicFrame>
                      <wps:wsp>
                        <wps:cNvPr id="4" name="Straight Connector 4"/>
                        <wps:cNvCnPr/>
                        <wps:spPr>
                          <a:xfrm>
                            <a:off x="4950395" y="2857017"/>
                            <a:ext cx="3636000" cy="0"/>
                          </a:xfrm>
                          <a:prstGeom prst="line">
                            <a:avLst/>
                          </a:prstGeom>
                          <a:ln>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g:graphicFrame>
                        <wpg:cNvPr id="5" name="Chart 5"/>
                        <wpg:cNvFrPr>
                          <a:graphicFrameLocks/>
                        </wpg:cNvFrPr>
                        <wpg:xfrm>
                          <a:off x="0" y="216024"/>
                          <a:ext cx="4282083" cy="4083819"/>
                        </wpg:xfrm>
                        <a:graphic>
                          <a:graphicData uri="http://schemas.openxmlformats.org/drawingml/2006/chart">
                            <c:chart xmlns:c="http://schemas.openxmlformats.org/drawingml/2006/chart" xmlns:r="http://schemas.openxmlformats.org/officeDocument/2006/relationships" r:id="rId14"/>
                          </a:graphicData>
                        </a:graphic>
                      </wpg:graphicFrame>
                      <wps:wsp>
                        <wps:cNvPr id="6" name="Straight Connector 6"/>
                        <wps:cNvCnPr/>
                        <wps:spPr>
                          <a:xfrm>
                            <a:off x="407541" y="2846412"/>
                            <a:ext cx="3636000" cy="0"/>
                          </a:xfrm>
                          <a:prstGeom prst="line">
                            <a:avLst/>
                          </a:prstGeom>
                          <a:ln>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TextBox 1"/>
                        <wps:cNvSpPr txBox="1"/>
                        <wps:spPr>
                          <a:xfrm>
                            <a:off x="371510" y="0"/>
                            <a:ext cx="2879725" cy="266700"/>
                          </a:xfrm>
                          <a:prstGeom prst="rect">
                            <a:avLst/>
                          </a:prstGeom>
                          <a:noFill/>
                        </wps:spPr>
                        <wps:txbx>
                          <w:txbxContent>
                            <w:p w:rsidR="00FB484D" w:rsidRPr="00A75837" w:rsidRDefault="00FB484D" w:rsidP="00A75837">
                              <w:pPr>
                                <w:pStyle w:val="NormalWeb"/>
                                <w:spacing w:before="0" w:beforeAutospacing="0" w:after="0" w:afterAutospacing="0"/>
                              </w:pPr>
                              <w:r w:rsidRPr="00A75837">
                                <w:rPr>
                                  <w:color w:val="000000" w:themeColor="text1"/>
                                  <w:kern w:val="24"/>
                                </w:rPr>
                                <w:t>A. Cardiovascular disease</w:t>
                              </w:r>
                            </w:p>
                          </w:txbxContent>
                        </wps:txbx>
                        <wps:bodyPr wrap="square" rtlCol="0">
                          <a:spAutoFit/>
                        </wps:bodyPr>
                      </wps:wsp>
                      <wps:wsp>
                        <wps:cNvPr id="8" name="TextBox 7"/>
                        <wps:cNvSpPr txBox="1"/>
                        <wps:spPr>
                          <a:xfrm>
                            <a:off x="4960683" y="0"/>
                            <a:ext cx="2879725" cy="266700"/>
                          </a:xfrm>
                          <a:prstGeom prst="rect">
                            <a:avLst/>
                          </a:prstGeom>
                          <a:noFill/>
                        </wps:spPr>
                        <wps:txbx>
                          <w:txbxContent>
                            <w:p w:rsidR="00FB484D" w:rsidRPr="00A75837" w:rsidRDefault="00FB484D" w:rsidP="00A75837">
                              <w:pPr>
                                <w:pStyle w:val="NormalWeb"/>
                                <w:spacing w:before="0" w:beforeAutospacing="0" w:after="0" w:afterAutospacing="0"/>
                              </w:pPr>
                              <w:r w:rsidRPr="00A75837">
                                <w:rPr>
                                  <w:color w:val="000000" w:themeColor="text1"/>
                                  <w:kern w:val="24"/>
                                </w:rPr>
                                <w:t>B. All-cause mortality</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pt;margin-top:29.25pt;width:694.45pt;height:338.55pt;z-index:251659264" coordsize="88194,42998"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45414;top:2133;width:42794;height:408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">
                  <v:imagedata r:id="rId15" o:title=""/>
                  <o:lock v:ext="edit" aspectratio="f"/>
                </v:shape>
                <v:line id="Straight Connector 4" o:spid="_x0000_s1028" style="position:absolute;visibility:visible;mso-wrap-style:square" from="49503,28570" to="85863,2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4q8QAAADaAAAADwAAAGRycy9kb3ducmV2LnhtbESPT2sCMRTE70K/Q3iF3jTbUoqsRlFL&#10;qbQV8c/F2yN5brZuXpZN1K2f3hQEj8PM/IYZjltXiRM1ofSs4LmXgSDW3pRcKNhuPrp9ECEiG6w8&#10;k4I/CjAePXSGmBt/5hWd1rEQCcIhRwU2xjqXMmhLDkPP18TJ2/vGYUyyKaRp8JzgrpIvWfYmHZac&#10;FizWNLOkD+ujUzB9/90tvj+nNmq9NX7pN+XP10Wpp8d2MgARqY338K09Nwpe4f9KugFyd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fjirxAAAANoAAAAPAAAAAAAAAAAA&#10;AAAAAKECAABkcnMvZG93bnJldi54bWxQSwUGAAAAAAQABAD5AAAAkgMAAAAA&#10;" strokecolor="windowText">
                  <v:stroke dashstyle="dash"/>
                </v:line>
                <v:shape id="Chart 5" o:spid="_x0000_s1029" type="#_x0000_t75" style="position:absolute;top:2133;width:42793;height:408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">
                  <v:imagedata r:id="rId16" o:title=""/>
                  <o:lock v:ext="edit" aspectratio="f"/>
                </v:shape>
                <v:line id="Straight Connector 6" o:spid="_x0000_s1030" style="position:absolute;visibility:visible;mso-wrap-style:square" from="4075,28464" to="40435,2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DR8QAAADaAAAADwAAAGRycy9kb3ducmV2LnhtbESPT2sCMRTE74LfITyhN83qQWRrFP8g&#10;LWopVS+9PZLXzermZdmkuvrpm0Khx2FmfsNM562rxJWaUHpWMBxkIIi1NyUXCk7HTX8CIkRkg5Vn&#10;UnCnAPNZtzPF3Pgbf9D1EAuRIBxyVGBjrHMpg7bkMAx8TZy8L984jEk2hTQN3hLcVXKUZWPpsOS0&#10;YLGmlSV9OXw7Bcv1+fNt97K0UeuT8e/+WO63D6Weeu3iGUSkNv6H/9qvRsEYfq+kG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4ANHxAAAANoAAAAPAAAAAAAAAAAA&#10;AAAAAKECAABkcnMvZG93bnJldi54bWxQSwUGAAAAAAQABAD5AAAAkgMAAAAA&#10;" strokecolor="windowText">
                  <v:stroke dashstyle="dash"/>
                </v:line>
                <v:shapetype id="_x0000_t202" coordsize="21600,21600" o:spt="202" path="m,l,21600r21600,l21600,xe">
                  <v:stroke joinstyle="miter"/>
                  <v:path gradientshapeok="t" o:connecttype="rect"/>
                </v:shapetype>
                <v:shape id="TextBox 1" o:spid="_x0000_s1031" type="#_x0000_t202" style="position:absolute;left:3715;width:287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B484D" w:rsidRPr="00A75837" w:rsidRDefault="00FB484D" w:rsidP="00A75837">
                        <w:pPr>
                          <w:pStyle w:val="NormalWeb"/>
                          <w:spacing w:before="0" w:beforeAutospacing="0" w:after="0" w:afterAutospacing="0"/>
                        </w:pPr>
                        <w:r w:rsidRPr="00A75837">
                          <w:rPr>
                            <w:color w:val="000000" w:themeColor="text1"/>
                            <w:kern w:val="24"/>
                          </w:rPr>
                          <w:t>A. Cardiovascular disease</w:t>
                        </w:r>
                      </w:p>
                    </w:txbxContent>
                  </v:textbox>
                </v:shape>
                <v:shape id="_x0000_s1032" type="#_x0000_t202" style="position:absolute;left:49606;width:2879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FB484D" w:rsidRPr="00A75837" w:rsidRDefault="00FB484D" w:rsidP="00A75837">
                        <w:pPr>
                          <w:pStyle w:val="NormalWeb"/>
                          <w:spacing w:before="0" w:beforeAutospacing="0" w:after="0" w:afterAutospacing="0"/>
                        </w:pPr>
                        <w:r w:rsidRPr="00A75837">
                          <w:rPr>
                            <w:color w:val="000000" w:themeColor="text1"/>
                            <w:kern w:val="24"/>
                          </w:rPr>
                          <w:t>B. All-cause mortality</w:t>
                        </w:r>
                      </w:p>
                    </w:txbxContent>
                  </v:textbox>
                </v:shape>
              </v:group>
            </w:pict>
          </mc:Fallback>
        </mc:AlternateContent>
      </w: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050D68" w:rsidP="00050D68">
      <w:pPr>
        <w:rPr>
          <w:rFonts w:ascii="Times New Roman" w:hAnsi="Times New Roman" w:cs="Times New Roman"/>
          <w:sz w:val="24"/>
          <w:szCs w:val="24"/>
        </w:rPr>
      </w:pPr>
    </w:p>
    <w:p w:rsidR="00050D68" w:rsidRPr="001952B6" w:rsidRDefault="00F5108D" w:rsidP="00F5108D">
      <w:pPr>
        <w:jc w:val="both"/>
        <w:rPr>
          <w:rFonts w:ascii="Times New Roman" w:hAnsi="Times New Roman" w:cs="Times New Roman"/>
          <w:sz w:val="24"/>
          <w:szCs w:val="24"/>
        </w:rPr>
      </w:pPr>
      <w:r w:rsidRPr="001952B6">
        <w:rPr>
          <w:rFonts w:ascii="Times New Roman" w:hAnsi="Times New Roman" w:cs="Times New Roman"/>
          <w:b/>
          <w:bCs/>
          <w:sz w:val="24"/>
          <w:szCs w:val="24"/>
        </w:rPr>
        <w:t>Figure 1</w:t>
      </w:r>
      <w:r w:rsidRPr="001952B6">
        <w:rPr>
          <w:rFonts w:ascii="Times New Roman" w:hAnsi="Times New Roman" w:cs="Times New Roman"/>
          <w:bCs/>
          <w:sz w:val="24"/>
          <w:szCs w:val="24"/>
        </w:rPr>
        <w:t xml:space="preserve"> Dose-response trend of hazard ratios of (</w:t>
      </w:r>
      <w:r w:rsidRPr="001952B6">
        <w:rPr>
          <w:rFonts w:ascii="Times New Roman" w:hAnsi="Times New Roman" w:cs="Times New Roman"/>
          <w:bCs/>
          <w:i/>
          <w:sz w:val="24"/>
          <w:szCs w:val="24"/>
        </w:rPr>
        <w:t>A</w:t>
      </w:r>
      <w:r w:rsidRPr="001952B6">
        <w:rPr>
          <w:rFonts w:ascii="Times New Roman" w:hAnsi="Times New Roman" w:cs="Times New Roman"/>
          <w:bCs/>
          <w:sz w:val="24"/>
          <w:szCs w:val="24"/>
        </w:rPr>
        <w:t>) cardiovascular disease and (</w:t>
      </w:r>
      <w:r w:rsidRPr="001952B6">
        <w:rPr>
          <w:rFonts w:ascii="Times New Roman" w:hAnsi="Times New Roman" w:cs="Times New Roman"/>
          <w:bCs/>
          <w:i/>
          <w:sz w:val="24"/>
          <w:szCs w:val="24"/>
        </w:rPr>
        <w:t>B</w:t>
      </w:r>
      <w:r w:rsidRPr="001952B6">
        <w:rPr>
          <w:rFonts w:ascii="Times New Roman" w:hAnsi="Times New Roman" w:cs="Times New Roman"/>
          <w:bCs/>
          <w:sz w:val="24"/>
          <w:szCs w:val="24"/>
        </w:rPr>
        <w:t>) mortality by circulating concentrations of 25-hydroxyvitamin D.</w:t>
      </w:r>
      <w:r w:rsidRPr="001952B6">
        <w:rPr>
          <w:rFonts w:ascii="Times New Roman" w:hAnsi="Times New Roman" w:cs="Times New Roman"/>
          <w:b/>
          <w:bCs/>
          <w:sz w:val="24"/>
          <w:szCs w:val="24"/>
        </w:rPr>
        <w:t xml:space="preserve"> </w:t>
      </w:r>
      <w:r w:rsidRPr="001952B6">
        <w:rPr>
          <w:rFonts w:ascii="Times New Roman" w:hAnsi="Times New Roman" w:cs="Times New Roman"/>
          <w:sz w:val="24"/>
          <w:szCs w:val="24"/>
        </w:rPr>
        <w:t xml:space="preserve">Adjusted for age, sex, </w:t>
      </w:r>
      <w:r w:rsidRPr="001952B6">
        <w:rPr>
          <w:rFonts w:ascii="Times New Roman" w:eastAsia="Times New Roman" w:hAnsi="Times New Roman" w:cs="Times New Roman"/>
          <w:color w:val="000000"/>
          <w:sz w:val="24"/>
          <w:szCs w:val="24"/>
        </w:rPr>
        <w:t>smoking, socioeconomic status, ethnicity, BMI, hypertension, diabetes, use of lipid-lowering medication, and atrial fibrillation.</w:t>
      </w:r>
      <w:r w:rsidRPr="001952B6">
        <w:rPr>
          <w:rFonts w:ascii="Times New Roman" w:hAnsi="Times New Roman" w:cs="Times New Roman"/>
          <w:b/>
          <w:sz w:val="24"/>
          <w:szCs w:val="24"/>
        </w:rPr>
        <w:t xml:space="preserve"> </w:t>
      </w:r>
      <w:r w:rsidRPr="001952B6">
        <w:rPr>
          <w:rFonts w:ascii="Times New Roman" w:hAnsi="Times New Roman" w:cs="Times New Roman"/>
          <w:sz w:val="24"/>
          <w:szCs w:val="24"/>
        </w:rPr>
        <w:t xml:space="preserve">Hazard ratios [black line with 95% confidence interval as the grey lines] refer to the </w:t>
      </w:r>
      <w:r w:rsidRPr="001952B6">
        <w:rPr>
          <w:rFonts w:ascii="Times New Roman" w:hAnsi="Times New Roman" w:cs="Times New Roman"/>
          <w:bCs/>
          <w:sz w:val="24"/>
          <w:szCs w:val="24"/>
        </w:rPr>
        <w:t>25(OH)D</w:t>
      </w:r>
      <w:r w:rsidRPr="001952B6">
        <w:rPr>
          <w:rFonts w:ascii="Times New Roman" w:hAnsi="Times New Roman" w:cs="Times New Roman"/>
          <w:sz w:val="24"/>
          <w:szCs w:val="24"/>
        </w:rPr>
        <w:t xml:space="preserve"> concentration of 84.4 nmol/L (i.e. the median </w:t>
      </w:r>
      <w:r w:rsidRPr="001952B6">
        <w:rPr>
          <w:rFonts w:ascii="Times New Roman" w:hAnsi="Times New Roman" w:cs="Times New Roman"/>
          <w:bCs/>
          <w:sz w:val="24"/>
          <w:szCs w:val="24"/>
        </w:rPr>
        <w:t>25(OH)D</w:t>
      </w:r>
      <w:r w:rsidRPr="001952B6">
        <w:rPr>
          <w:rFonts w:ascii="Times New Roman" w:hAnsi="Times New Roman" w:cs="Times New Roman"/>
          <w:sz w:val="24"/>
          <w:szCs w:val="24"/>
        </w:rPr>
        <w:t xml:space="preserve"> concentration for the group with </w:t>
      </w:r>
      <w:r w:rsidRPr="001952B6">
        <w:rPr>
          <w:rFonts w:ascii="Times New Roman" w:hAnsi="Times New Roman" w:cs="Times New Roman"/>
          <w:bCs/>
          <w:sz w:val="24"/>
          <w:szCs w:val="24"/>
        </w:rPr>
        <w:t>25(OH)D</w:t>
      </w:r>
      <w:r w:rsidRPr="001952B6">
        <w:rPr>
          <w:rFonts w:ascii="Times New Roman" w:hAnsi="Times New Roman" w:cs="Times New Roman"/>
          <w:sz w:val="24"/>
          <w:szCs w:val="24"/>
        </w:rPr>
        <w:t xml:space="preserve"> concentrations from 75 to 99.9 nmol/L).</w:t>
      </w:r>
    </w:p>
    <w:p w:rsidR="002E21B4" w:rsidRPr="001952B6" w:rsidRDefault="002E21B4" w:rsidP="00050D68">
      <w:pPr>
        <w:rPr>
          <w:rFonts w:ascii="Times New Roman" w:hAnsi="Times New Roman" w:cs="Times New Roman"/>
          <w:sz w:val="24"/>
          <w:szCs w:val="24"/>
        </w:rPr>
        <w:sectPr w:rsidR="002E21B4" w:rsidRPr="001952B6" w:rsidSect="00C92679">
          <w:pgSz w:w="16838" w:h="11906" w:orient="landscape"/>
          <w:pgMar w:top="1440" w:right="1440" w:bottom="1440" w:left="1440" w:header="708" w:footer="708" w:gutter="0"/>
          <w:lnNumType w:countBy="1"/>
          <w:cols w:space="708"/>
          <w:docGrid w:linePitch="360"/>
        </w:sectPr>
      </w:pPr>
    </w:p>
    <w:p w:rsidR="004E1CE4" w:rsidRPr="001952B6" w:rsidRDefault="00761DD4"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was stronger among patients who died in the first three years of follow-up than among patients with a longer follow-up time</w:t>
      </w:r>
      <w:r w:rsidR="008E71E1" w:rsidRPr="001952B6">
        <w:rPr>
          <w:rFonts w:ascii="Times New Roman" w:hAnsi="Times New Roman" w:cs="Times New Roman"/>
          <w:sz w:val="24"/>
          <w:szCs w:val="24"/>
        </w:rPr>
        <w:t xml:space="preserve"> (</w:t>
      </w:r>
      <w:r w:rsidR="00E96960" w:rsidRPr="001952B6">
        <w:rPr>
          <w:rFonts w:ascii="Times New Roman" w:hAnsi="Times New Roman" w:cs="Times New Roman"/>
          <w:i/>
          <w:sz w:val="24"/>
          <w:szCs w:val="24"/>
        </w:rPr>
        <w:t>P</w:t>
      </w:r>
      <w:r w:rsidR="008E71E1" w:rsidRPr="001952B6">
        <w:rPr>
          <w:rFonts w:ascii="Times New Roman" w:hAnsi="Times New Roman" w:cs="Times New Roman"/>
          <w:sz w:val="24"/>
          <w:szCs w:val="24"/>
        </w:rPr>
        <w:t xml:space="preserve"> heterogeneity = 0.002)</w:t>
      </w:r>
      <w:r w:rsidR="004E1CE4" w:rsidRPr="001952B6">
        <w:rPr>
          <w:rFonts w:ascii="Times New Roman" w:hAnsi="Times New Roman" w:cs="Times New Roman"/>
          <w:sz w:val="24"/>
          <w:szCs w:val="24"/>
        </w:rPr>
        <w:t>.</w:t>
      </w:r>
    </w:p>
    <w:p w:rsidR="004A7F9D" w:rsidRPr="001952B6" w:rsidRDefault="004A7F9D" w:rsidP="004A7F9D">
      <w:pPr>
        <w:autoSpaceDE w:val="0"/>
        <w:autoSpaceDN w:val="0"/>
        <w:adjustRightInd w:val="0"/>
        <w:spacing w:after="0" w:line="480" w:lineRule="auto"/>
        <w:rPr>
          <w:rFonts w:ascii="Times New Roman" w:hAnsi="Times New Roman" w:cs="Times New Roman"/>
          <w:sz w:val="24"/>
          <w:szCs w:val="24"/>
        </w:rPr>
      </w:pPr>
    </w:p>
    <w:p w:rsidR="006A13FF" w:rsidRPr="001952B6" w:rsidRDefault="00D23625" w:rsidP="004A7F9D">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In sensitivity analysis, inclusion of only patients with complete data on BMI, ethnicity, smoking, and socioeconomic group made minimal difference to the associations of 25(OH)D with HR of CVD and mortality (</w:t>
      </w:r>
      <w:r w:rsidRPr="001952B6">
        <w:rPr>
          <w:rFonts w:ascii="Times New Roman" w:hAnsi="Times New Roman" w:cs="Times New Roman"/>
          <w:b/>
          <w:sz w:val="24"/>
          <w:szCs w:val="24"/>
        </w:rPr>
        <w:t>Supplementary table 1</w:t>
      </w:r>
      <w:r w:rsidRPr="001952B6">
        <w:rPr>
          <w:rFonts w:ascii="Times New Roman" w:hAnsi="Times New Roman" w:cs="Times New Roman"/>
          <w:sz w:val="24"/>
          <w:szCs w:val="24"/>
        </w:rPr>
        <w:t>).</w:t>
      </w:r>
      <w:r w:rsidR="006A13FF" w:rsidRPr="001952B6">
        <w:rPr>
          <w:rFonts w:ascii="Times New Roman" w:hAnsi="Times New Roman" w:cs="Times New Roman"/>
          <w:sz w:val="24"/>
          <w:szCs w:val="24"/>
        </w:rPr>
        <w:br w:type="page"/>
      </w:r>
    </w:p>
    <w:p w:rsidR="00581BFC" w:rsidRPr="001952B6" w:rsidRDefault="00714717" w:rsidP="00575E33">
      <w:pPr>
        <w:autoSpaceDE w:val="0"/>
        <w:autoSpaceDN w:val="0"/>
        <w:adjustRightInd w:val="0"/>
        <w:spacing w:after="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Discussion</w:t>
      </w:r>
    </w:p>
    <w:p w:rsidR="007A3904" w:rsidRPr="001952B6" w:rsidRDefault="004C053C" w:rsidP="004C053C">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In this large cohort</w:t>
      </w:r>
      <w:r w:rsidR="00D54893" w:rsidRPr="001952B6">
        <w:rPr>
          <w:rFonts w:ascii="Times New Roman" w:hAnsi="Times New Roman" w:cs="Times New Roman"/>
          <w:sz w:val="24"/>
          <w:szCs w:val="24"/>
        </w:rPr>
        <w:t>,</w:t>
      </w:r>
      <w:r w:rsidR="007A3904" w:rsidRPr="001952B6">
        <w:rPr>
          <w:rFonts w:ascii="Times New Roman" w:hAnsi="Times New Roman" w:cs="Times New Roman"/>
          <w:sz w:val="24"/>
          <w:szCs w:val="24"/>
        </w:rPr>
        <w:t xml:space="preserve"> </w:t>
      </w:r>
      <w:r w:rsidR="003749E2" w:rsidRPr="001952B6">
        <w:rPr>
          <w:rFonts w:ascii="Times New Roman" w:hAnsi="Times New Roman" w:cs="Times New Roman"/>
          <w:sz w:val="24"/>
          <w:szCs w:val="24"/>
        </w:rPr>
        <w:t xml:space="preserve">the </w:t>
      </w:r>
      <w:r w:rsidR="00D70F41" w:rsidRPr="001952B6">
        <w:rPr>
          <w:rFonts w:ascii="Times New Roman" w:hAnsi="Times New Roman" w:cs="Times New Roman"/>
          <w:sz w:val="24"/>
          <w:szCs w:val="24"/>
        </w:rPr>
        <w:t>median</w:t>
      </w:r>
      <w:r w:rsidR="007A3904" w:rsidRPr="001952B6">
        <w:rPr>
          <w:rFonts w:ascii="Times New Roman" w:hAnsi="Times New Roman" w:cs="Times New Roman"/>
          <w:sz w:val="24"/>
          <w:szCs w:val="24"/>
        </w:rPr>
        <w:t xml:space="preserve"> concentration of 25(OH)D was just </w:t>
      </w:r>
      <w:r w:rsidR="0079408C" w:rsidRPr="001952B6">
        <w:rPr>
          <w:rFonts w:ascii="Times New Roman" w:hAnsi="Times New Roman" w:cs="Times New Roman"/>
          <w:sz w:val="24"/>
          <w:szCs w:val="24"/>
        </w:rPr>
        <w:t>above</w:t>
      </w:r>
      <w:r w:rsidR="007A3904" w:rsidRPr="001952B6">
        <w:rPr>
          <w:rFonts w:ascii="Times New Roman" w:hAnsi="Times New Roman" w:cs="Times New Roman"/>
          <w:sz w:val="24"/>
          <w:szCs w:val="24"/>
        </w:rPr>
        <w:t xml:space="preserve"> </w:t>
      </w:r>
      <w:r w:rsidR="00354228" w:rsidRPr="001952B6">
        <w:rPr>
          <w:rFonts w:ascii="Times New Roman" w:hAnsi="Times New Roman" w:cs="Times New Roman"/>
          <w:sz w:val="24"/>
          <w:szCs w:val="24"/>
        </w:rPr>
        <w:t>that</w:t>
      </w:r>
      <w:r w:rsidR="00D70F41" w:rsidRPr="001952B6">
        <w:rPr>
          <w:rFonts w:ascii="Times New Roman" w:hAnsi="Times New Roman" w:cs="Times New Roman"/>
          <w:sz w:val="24"/>
          <w:szCs w:val="24"/>
        </w:rPr>
        <w:t xml:space="preserve"> </w:t>
      </w:r>
      <w:r w:rsidR="003749E2" w:rsidRPr="001952B6">
        <w:rPr>
          <w:rFonts w:ascii="Times New Roman" w:hAnsi="Times New Roman" w:cs="Times New Roman"/>
          <w:sz w:val="24"/>
          <w:szCs w:val="24"/>
        </w:rPr>
        <w:t>for</w:t>
      </w:r>
      <w:r w:rsidR="00D70F41" w:rsidRPr="001952B6">
        <w:rPr>
          <w:rFonts w:ascii="Times New Roman" w:hAnsi="Times New Roman" w:cs="Times New Roman"/>
          <w:sz w:val="24"/>
          <w:szCs w:val="24"/>
        </w:rPr>
        <w:t xml:space="preserve"> men and women age 19-64 in the </w:t>
      </w:r>
      <w:r w:rsidR="007A3904" w:rsidRPr="001952B6">
        <w:rPr>
          <w:rFonts w:ascii="Times New Roman" w:hAnsi="Times New Roman" w:cs="Times New Roman"/>
          <w:sz w:val="24"/>
          <w:szCs w:val="24"/>
        </w:rPr>
        <w:t>UK</w:t>
      </w:r>
      <w:r w:rsidR="00D70F41" w:rsidRPr="001952B6">
        <w:rPr>
          <w:rFonts w:ascii="Times New Roman" w:hAnsi="Times New Roman" w:cs="Times New Roman"/>
          <w:sz w:val="24"/>
          <w:szCs w:val="24"/>
        </w:rPr>
        <w:t xml:space="preserve"> (4</w:t>
      </w:r>
      <w:r w:rsidR="0079408C" w:rsidRPr="001952B6">
        <w:rPr>
          <w:rFonts w:ascii="Times New Roman" w:hAnsi="Times New Roman" w:cs="Times New Roman"/>
          <w:sz w:val="24"/>
          <w:szCs w:val="24"/>
        </w:rPr>
        <w:t>1</w:t>
      </w:r>
      <w:r w:rsidR="00D70F41" w:rsidRPr="001952B6">
        <w:rPr>
          <w:rFonts w:ascii="Times New Roman" w:hAnsi="Times New Roman" w:cs="Times New Roman"/>
          <w:sz w:val="24"/>
          <w:szCs w:val="24"/>
        </w:rPr>
        <w:t>.0 versus 40.6 nmol/L)</w:t>
      </w:r>
      <w:r w:rsidR="0052348E" w:rsidRPr="001952B6">
        <w:rPr>
          <w:rFonts w:ascii="Times New Roman" w:hAnsi="Times New Roman" w:cs="Times New Roman"/>
          <w:sz w:val="24"/>
          <w:szCs w:val="24"/>
        </w:rPr>
        <w:t xml:space="preserve"> </w:t>
      </w:r>
      <w:r w:rsidR="00071C8C" w:rsidRPr="001952B6">
        <w:rPr>
          <w:rFonts w:ascii="Times New Roman" w:hAnsi="Times New Roman" w:cs="Times New Roman"/>
          <w:sz w:val="24"/>
          <w:szCs w:val="24"/>
        </w:rPr>
        <w:t>(22)</w:t>
      </w:r>
      <w:r w:rsidR="0052348E" w:rsidRPr="001952B6">
        <w:rPr>
          <w:rFonts w:ascii="Times New Roman" w:hAnsi="Times New Roman" w:cs="Times New Roman"/>
          <w:sz w:val="24"/>
          <w:szCs w:val="24"/>
        </w:rPr>
        <w:t>.</w:t>
      </w:r>
      <w:r w:rsidR="001E47F0" w:rsidRPr="001952B6">
        <w:rPr>
          <w:rFonts w:ascii="Times New Roman" w:hAnsi="Times New Roman" w:cs="Times New Roman"/>
          <w:sz w:val="24"/>
          <w:szCs w:val="24"/>
        </w:rPr>
        <w:t xml:space="preserve"> There was a statistically significant </w:t>
      </w:r>
      <w:r w:rsidR="000A23DA" w:rsidRPr="001952B6">
        <w:rPr>
          <w:rFonts w:ascii="Times New Roman" w:hAnsi="Times New Roman" w:cs="Times New Roman"/>
          <w:sz w:val="24"/>
          <w:szCs w:val="24"/>
        </w:rPr>
        <w:t>greater</w:t>
      </w:r>
      <w:r w:rsidR="001E47F0" w:rsidRPr="001952B6">
        <w:rPr>
          <w:rFonts w:ascii="Times New Roman" w:hAnsi="Times New Roman" w:cs="Times New Roman"/>
          <w:sz w:val="24"/>
          <w:szCs w:val="24"/>
        </w:rPr>
        <w:t xml:space="preserve"> risk of cardiovascular disease (including </w:t>
      </w:r>
      <w:r w:rsidR="007A5B56" w:rsidRPr="001952B6">
        <w:rPr>
          <w:rFonts w:ascii="Times New Roman" w:hAnsi="Times New Roman" w:cs="Times New Roman"/>
          <w:sz w:val="24"/>
          <w:szCs w:val="24"/>
        </w:rPr>
        <w:t>IHD</w:t>
      </w:r>
      <w:r w:rsidR="000A23DA" w:rsidRPr="001952B6">
        <w:rPr>
          <w:rFonts w:ascii="Times New Roman" w:hAnsi="Times New Roman" w:cs="Times New Roman"/>
          <w:sz w:val="24"/>
          <w:szCs w:val="24"/>
        </w:rPr>
        <w:t xml:space="preserve"> </w:t>
      </w:r>
      <w:r w:rsidR="00EC1DFC" w:rsidRPr="001952B6">
        <w:rPr>
          <w:rFonts w:ascii="Times New Roman" w:hAnsi="Times New Roman" w:cs="Times New Roman"/>
          <w:sz w:val="24"/>
          <w:szCs w:val="24"/>
        </w:rPr>
        <w:t xml:space="preserve">and heart failure) </w:t>
      </w:r>
      <w:r w:rsidR="000A23DA" w:rsidRPr="001952B6">
        <w:rPr>
          <w:rFonts w:ascii="Times New Roman" w:hAnsi="Times New Roman" w:cs="Times New Roman"/>
          <w:sz w:val="24"/>
          <w:szCs w:val="24"/>
        </w:rPr>
        <w:t xml:space="preserve">and mortality </w:t>
      </w:r>
      <w:r w:rsidR="00EC1DFC" w:rsidRPr="001952B6">
        <w:rPr>
          <w:rFonts w:ascii="Times New Roman" w:hAnsi="Times New Roman" w:cs="Times New Roman"/>
          <w:sz w:val="24"/>
          <w:szCs w:val="24"/>
        </w:rPr>
        <w:t>among patients with</w:t>
      </w:r>
      <w:r w:rsidR="001E47F0" w:rsidRPr="001952B6">
        <w:rPr>
          <w:rFonts w:ascii="Times New Roman" w:hAnsi="Times New Roman" w:cs="Times New Roman"/>
          <w:sz w:val="24"/>
          <w:szCs w:val="24"/>
        </w:rPr>
        <w:t xml:space="preserve"> </w:t>
      </w:r>
      <w:r w:rsidR="00EC1DFC" w:rsidRPr="001952B6">
        <w:rPr>
          <w:rFonts w:ascii="Times New Roman" w:hAnsi="Times New Roman" w:cs="Times New Roman"/>
          <w:sz w:val="24"/>
          <w:szCs w:val="24"/>
        </w:rPr>
        <w:t xml:space="preserve">lower </w:t>
      </w:r>
      <w:r w:rsidR="001E47F0" w:rsidRPr="001952B6">
        <w:rPr>
          <w:rFonts w:ascii="Times New Roman" w:hAnsi="Times New Roman" w:cs="Times New Roman"/>
          <w:sz w:val="24"/>
          <w:szCs w:val="24"/>
        </w:rPr>
        <w:t xml:space="preserve">25(OH)D. </w:t>
      </w:r>
      <w:r w:rsidR="000A23DA" w:rsidRPr="001952B6">
        <w:rPr>
          <w:rFonts w:ascii="Times New Roman" w:hAnsi="Times New Roman" w:cs="Times New Roman"/>
          <w:sz w:val="24"/>
          <w:szCs w:val="24"/>
        </w:rPr>
        <w:t>The mortality association, but not that for CVD events, was much stronger over the first three years of follow-up compared to a longer follow-up time period</w:t>
      </w:r>
    </w:p>
    <w:p w:rsidR="004C053C" w:rsidRPr="001952B6" w:rsidRDefault="004C053C" w:rsidP="004C053C">
      <w:pPr>
        <w:autoSpaceDE w:val="0"/>
        <w:autoSpaceDN w:val="0"/>
        <w:adjustRightInd w:val="0"/>
        <w:spacing w:after="0" w:line="480" w:lineRule="auto"/>
        <w:jc w:val="both"/>
        <w:rPr>
          <w:rFonts w:ascii="Times New Roman" w:hAnsi="Times New Roman" w:cs="Times New Roman"/>
          <w:sz w:val="24"/>
          <w:szCs w:val="24"/>
        </w:rPr>
      </w:pPr>
    </w:p>
    <w:p w:rsidR="00350353" w:rsidRPr="001952B6" w:rsidRDefault="00350353" w:rsidP="004C053C">
      <w:pPr>
        <w:autoSpaceDE w:val="0"/>
        <w:autoSpaceDN w:val="0"/>
        <w:adjustRightInd w:val="0"/>
        <w:spacing w:after="0" w:line="480" w:lineRule="auto"/>
        <w:jc w:val="both"/>
        <w:rPr>
          <w:rFonts w:ascii="Times New Roman" w:hAnsi="Times New Roman" w:cs="Times New Roman"/>
          <w:sz w:val="24"/>
          <w:szCs w:val="24"/>
        </w:rPr>
      </w:pPr>
      <w:r w:rsidRPr="001952B6">
        <w:rPr>
          <w:rFonts w:ascii="Times New Roman" w:hAnsi="Times New Roman" w:cs="Times New Roman"/>
          <w:sz w:val="24"/>
          <w:szCs w:val="24"/>
        </w:rPr>
        <w:t>The most recent meta-analysis showed that each 25 nmol/L increase in 25(OH)D was associated with a reduction in incident CVD of</w:t>
      </w:r>
      <w:r w:rsidR="0052348E" w:rsidRPr="001952B6">
        <w:rPr>
          <w:rFonts w:ascii="Times New Roman" w:hAnsi="Times New Roman" w:cs="Times New Roman"/>
          <w:sz w:val="24"/>
          <w:szCs w:val="24"/>
        </w:rPr>
        <w:t xml:space="preserve"> 10% (RR=0.90 95% CI 0.86–0.94) </w:t>
      </w:r>
      <w:r w:rsidR="0038718D" w:rsidRPr="001952B6">
        <w:rPr>
          <w:rFonts w:ascii="Times New Roman" w:hAnsi="Times New Roman" w:cs="Times New Roman"/>
          <w:sz w:val="24"/>
          <w:szCs w:val="24"/>
        </w:rPr>
        <w:t>(1)</w:t>
      </w:r>
      <w:r w:rsidR="0052348E" w:rsidRPr="001952B6">
        <w:rPr>
          <w:rFonts w:ascii="Times New Roman" w:hAnsi="Times New Roman" w:cs="Times New Roman"/>
          <w:sz w:val="24"/>
          <w:szCs w:val="24"/>
        </w:rPr>
        <w:t>.</w:t>
      </w:r>
      <w:r w:rsidR="00FB4B9E" w:rsidRPr="001952B6">
        <w:rPr>
          <w:rFonts w:ascii="Times New Roman" w:hAnsi="Times New Roman" w:cs="Times New Roman"/>
          <w:sz w:val="24"/>
          <w:szCs w:val="24"/>
        </w:rPr>
        <w:t xml:space="preserve"> </w:t>
      </w:r>
      <w:r w:rsidRPr="001952B6">
        <w:rPr>
          <w:rFonts w:ascii="Times New Roman" w:hAnsi="Times New Roman" w:cs="Times New Roman"/>
          <w:sz w:val="24"/>
          <w:szCs w:val="24"/>
        </w:rPr>
        <w:t>The current study found a slightly weaker association whereby a 25 nmol/L increase in 25(OH)D reduced the risk of CVD by 7% (</w:t>
      </w:r>
      <w:r w:rsidR="00002084" w:rsidRPr="001952B6">
        <w:rPr>
          <w:rFonts w:ascii="Times New Roman" w:hAnsi="Times New Roman" w:cs="Times New Roman"/>
          <w:sz w:val="24"/>
          <w:szCs w:val="24"/>
        </w:rPr>
        <w:t xml:space="preserve">HR </w:t>
      </w:r>
      <w:r w:rsidRPr="001952B6">
        <w:rPr>
          <w:rFonts w:ascii="Times New Roman" w:hAnsi="Times New Roman" w:cs="Times New Roman"/>
          <w:sz w:val="24"/>
          <w:szCs w:val="24"/>
        </w:rPr>
        <w:t>0.93</w:t>
      </w:r>
      <w:r w:rsidR="00002084" w:rsidRPr="001952B6">
        <w:rPr>
          <w:rFonts w:ascii="Times New Roman" w:hAnsi="Times New Roman" w:cs="Times New Roman"/>
          <w:sz w:val="24"/>
          <w:szCs w:val="24"/>
        </w:rPr>
        <w:t>,</w:t>
      </w:r>
      <w:r w:rsidRPr="001952B6">
        <w:rPr>
          <w:rFonts w:ascii="Times New Roman" w:hAnsi="Times New Roman" w:cs="Times New Roman"/>
          <w:sz w:val="24"/>
          <w:szCs w:val="24"/>
        </w:rPr>
        <w:t xml:space="preserve"> 95% CI 0.90–0.96). The previous results suggested that a non-linear association with CVD risk of increasing only among participants with 25(OH)D &lt;60 nmol/L</w:t>
      </w:r>
      <w:r w:rsidR="00C240E0" w:rsidRPr="001952B6">
        <w:rPr>
          <w:rFonts w:ascii="Times New Roman" w:hAnsi="Times New Roman" w:cs="Times New Roman"/>
          <w:sz w:val="24"/>
          <w:szCs w:val="24"/>
        </w:rPr>
        <w:t>. In our study the elevated risk of CVD was</w:t>
      </w:r>
      <w:r w:rsidRPr="001952B6">
        <w:rPr>
          <w:rFonts w:ascii="Times New Roman" w:hAnsi="Times New Roman" w:cs="Times New Roman"/>
          <w:sz w:val="24"/>
          <w:szCs w:val="24"/>
        </w:rPr>
        <w:t xml:space="preserve"> particularly apparent among patients with vitamin D status &lt;35 nmol/L, a level considered insufficient. There was no evidence that risk of CVD was greater among patients with 25(OH)D </w:t>
      </w:r>
      <w:r w:rsidR="00C240E0" w:rsidRPr="001952B6">
        <w:rPr>
          <w:rFonts w:ascii="Times New Roman" w:hAnsi="Times New Roman" w:cs="Times New Roman"/>
          <w:sz w:val="24"/>
          <w:szCs w:val="24"/>
        </w:rPr>
        <w:t xml:space="preserve">that was </w:t>
      </w:r>
      <w:r w:rsidRPr="001952B6">
        <w:rPr>
          <w:rFonts w:ascii="Times New Roman" w:hAnsi="Times New Roman" w:cs="Times New Roman"/>
          <w:sz w:val="24"/>
          <w:szCs w:val="24"/>
        </w:rPr>
        <w:t>100 nmol/L</w:t>
      </w:r>
      <w:r w:rsidR="00C240E0" w:rsidRPr="001952B6">
        <w:rPr>
          <w:rFonts w:ascii="Times New Roman" w:hAnsi="Times New Roman" w:cs="Times New Roman"/>
          <w:sz w:val="24"/>
          <w:szCs w:val="24"/>
        </w:rPr>
        <w:t xml:space="preserve"> or higher</w:t>
      </w:r>
      <w:r w:rsidRPr="001952B6">
        <w:rPr>
          <w:rFonts w:ascii="Times New Roman" w:hAnsi="Times New Roman" w:cs="Times New Roman"/>
          <w:sz w:val="24"/>
          <w:szCs w:val="24"/>
        </w:rPr>
        <w:t xml:space="preserve">. Our data and those from the meta-analysis provide strong evidence that the risk of CVD was higher among those with 25(OH)D insufficiency.  </w:t>
      </w:r>
    </w:p>
    <w:p w:rsidR="007658E3" w:rsidRPr="001952B6" w:rsidRDefault="007658E3" w:rsidP="007658E3">
      <w:pPr>
        <w:autoSpaceDE w:val="0"/>
        <w:autoSpaceDN w:val="0"/>
        <w:adjustRightInd w:val="0"/>
        <w:spacing w:after="0" w:line="480" w:lineRule="auto"/>
        <w:jc w:val="both"/>
        <w:rPr>
          <w:rFonts w:ascii="Times New Roman" w:hAnsi="Times New Roman" w:cs="Times New Roman"/>
          <w:sz w:val="24"/>
          <w:szCs w:val="24"/>
        </w:rPr>
      </w:pPr>
    </w:p>
    <w:p w:rsidR="00CF156F" w:rsidRPr="001952B6" w:rsidRDefault="00350353" w:rsidP="007658E3">
      <w:pPr>
        <w:autoSpaceDE w:val="0"/>
        <w:autoSpaceDN w:val="0"/>
        <w:adjustRightInd w:val="0"/>
        <w:spacing w:after="0" w:line="480" w:lineRule="auto"/>
        <w:jc w:val="both"/>
        <w:rPr>
          <w:rFonts w:ascii="Times New Roman" w:hAnsi="Times New Roman" w:cs="Times New Roman"/>
          <w:sz w:val="24"/>
          <w:szCs w:val="24"/>
        </w:rPr>
      </w:pPr>
      <w:r w:rsidRPr="001952B6">
        <w:rPr>
          <w:rFonts w:ascii="Times New Roman" w:hAnsi="Times New Roman" w:cs="Times New Roman"/>
          <w:sz w:val="24"/>
          <w:szCs w:val="24"/>
        </w:rPr>
        <w:t>Our results also showed an inverse association between low circulating 25(OH)D specifically and a greater risk of developing IHD, and cerebrovascular disease which are generally consistent with findings from several meta-analyses of observational studies of IHD</w:t>
      </w:r>
      <w:r w:rsidR="00870E16"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(23)</w:t>
      </w:r>
      <w:r w:rsidR="00870E16" w:rsidRPr="001952B6">
        <w:rPr>
          <w:rFonts w:ascii="Times New Roman" w:hAnsi="Times New Roman" w:cs="Times New Roman"/>
          <w:sz w:val="24"/>
          <w:szCs w:val="24"/>
        </w:rPr>
        <w:t>.</w:t>
      </w:r>
      <w:r w:rsidR="0045056C" w:rsidRPr="001952B6">
        <w:rPr>
          <w:rFonts w:ascii="Times New Roman" w:hAnsi="Times New Roman" w:cs="Times New Roman"/>
          <w:sz w:val="24"/>
          <w:szCs w:val="24"/>
        </w:rPr>
        <w:t xml:space="preserve"> </w:t>
      </w:r>
      <w:r w:rsidRPr="001952B6">
        <w:rPr>
          <w:rFonts w:ascii="Times New Roman" w:hAnsi="Times New Roman" w:cs="Times New Roman"/>
          <w:sz w:val="24"/>
          <w:szCs w:val="24"/>
        </w:rPr>
        <w:t>Similar findings were observed between 25(OH</w:t>
      </w:r>
      <w:r w:rsidR="00AD3AE4" w:rsidRPr="001952B6">
        <w:rPr>
          <w:rFonts w:ascii="Times New Roman" w:hAnsi="Times New Roman" w:cs="Times New Roman"/>
          <w:sz w:val="24"/>
          <w:szCs w:val="24"/>
        </w:rPr>
        <w:t>)</w:t>
      </w:r>
      <w:r w:rsidRPr="001952B6">
        <w:rPr>
          <w:rFonts w:ascii="Times New Roman" w:hAnsi="Times New Roman" w:cs="Times New Roman"/>
          <w:sz w:val="24"/>
          <w:szCs w:val="24"/>
        </w:rPr>
        <w:t>D and heart failure which is consistent with results from some</w:t>
      </w:r>
      <w:r w:rsidR="00870E16"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(24, 25)</w:t>
      </w:r>
      <w:r w:rsidR="005A3247" w:rsidRPr="001952B6">
        <w:rPr>
          <w:rFonts w:ascii="Times New Roman" w:hAnsi="Times New Roman" w:cs="Times New Roman"/>
          <w:sz w:val="24"/>
          <w:szCs w:val="24"/>
        </w:rPr>
        <w:t xml:space="preserve"> </w:t>
      </w:r>
      <w:r w:rsidR="0082551D" w:rsidRPr="001952B6">
        <w:rPr>
          <w:rFonts w:ascii="Times New Roman" w:hAnsi="Times New Roman" w:cs="Times New Roman"/>
          <w:sz w:val="24"/>
          <w:szCs w:val="24"/>
        </w:rPr>
        <w:t>but not all</w:t>
      </w:r>
      <w:r w:rsidR="00870E16"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(26-28)</w:t>
      </w:r>
      <w:r w:rsidR="005A3247" w:rsidRPr="001952B6">
        <w:rPr>
          <w:rFonts w:ascii="Times New Roman" w:hAnsi="Times New Roman" w:cs="Times New Roman"/>
          <w:sz w:val="24"/>
          <w:szCs w:val="24"/>
        </w:rPr>
        <w:t xml:space="preserve"> </w:t>
      </w:r>
      <w:r w:rsidR="00901ADF" w:rsidRPr="001952B6">
        <w:rPr>
          <w:rFonts w:ascii="Times New Roman" w:hAnsi="Times New Roman" w:cs="Times New Roman"/>
          <w:sz w:val="24"/>
          <w:szCs w:val="24"/>
        </w:rPr>
        <w:t>prospective studies</w:t>
      </w:r>
      <w:r w:rsidR="00AD3AE4" w:rsidRPr="001952B6">
        <w:rPr>
          <w:rFonts w:ascii="Times New Roman" w:hAnsi="Times New Roman" w:cs="Times New Roman"/>
          <w:sz w:val="24"/>
          <w:szCs w:val="24"/>
        </w:rPr>
        <w:t>.</w:t>
      </w:r>
      <w:r w:rsidR="00CF156F" w:rsidRPr="001952B6">
        <w:rPr>
          <w:rFonts w:ascii="Times New Roman" w:hAnsi="Times New Roman" w:cs="Times New Roman"/>
          <w:sz w:val="24"/>
          <w:szCs w:val="24"/>
        </w:rPr>
        <w:t xml:space="preserve"> However, </w:t>
      </w:r>
      <w:r w:rsidR="00687CD6" w:rsidRPr="001952B6">
        <w:rPr>
          <w:rFonts w:ascii="Times New Roman" w:hAnsi="Times New Roman" w:cs="Times New Roman"/>
          <w:sz w:val="24"/>
          <w:szCs w:val="24"/>
        </w:rPr>
        <w:t>it was likely that many of these studies were under</w:t>
      </w:r>
      <w:r w:rsidR="00CF156F" w:rsidRPr="001952B6">
        <w:rPr>
          <w:rFonts w:ascii="Times New Roman" w:hAnsi="Times New Roman" w:cs="Times New Roman"/>
          <w:sz w:val="24"/>
          <w:szCs w:val="24"/>
        </w:rPr>
        <w:t>power</w:t>
      </w:r>
      <w:r w:rsidR="00687CD6" w:rsidRPr="001952B6">
        <w:rPr>
          <w:rFonts w:ascii="Times New Roman" w:hAnsi="Times New Roman" w:cs="Times New Roman"/>
          <w:sz w:val="24"/>
          <w:szCs w:val="24"/>
        </w:rPr>
        <w:t>ed</w:t>
      </w:r>
      <w:r w:rsidR="00CF156F" w:rsidRPr="001952B6">
        <w:rPr>
          <w:rFonts w:ascii="Times New Roman" w:hAnsi="Times New Roman" w:cs="Times New Roman"/>
          <w:sz w:val="24"/>
          <w:szCs w:val="24"/>
        </w:rPr>
        <w:t xml:space="preserve">, as it was the studies with more than 500 cases of </w:t>
      </w:r>
      <w:r w:rsidR="00CF156F" w:rsidRPr="001952B6">
        <w:rPr>
          <w:rFonts w:ascii="Times New Roman" w:hAnsi="Times New Roman" w:cs="Times New Roman"/>
          <w:sz w:val="24"/>
          <w:szCs w:val="24"/>
        </w:rPr>
        <w:lastRenderedPageBreak/>
        <w:t xml:space="preserve">heart failure that showed </w:t>
      </w:r>
      <w:r w:rsidR="0082551D" w:rsidRPr="001952B6">
        <w:rPr>
          <w:rFonts w:ascii="Times New Roman" w:hAnsi="Times New Roman" w:cs="Times New Roman"/>
          <w:sz w:val="24"/>
          <w:szCs w:val="24"/>
        </w:rPr>
        <w:t>evidence of a significant</w:t>
      </w:r>
      <w:r w:rsidR="00CF156F" w:rsidRPr="001952B6">
        <w:rPr>
          <w:rFonts w:ascii="Times New Roman" w:hAnsi="Times New Roman" w:cs="Times New Roman"/>
          <w:sz w:val="24"/>
          <w:szCs w:val="24"/>
        </w:rPr>
        <w:t xml:space="preserve"> association. Therefore, the totality of the evidence would suggest that lower circulating concentrations of 25(OH)D are associated with an greater risk of heart failure. </w:t>
      </w:r>
    </w:p>
    <w:p w:rsidR="007658E3" w:rsidRPr="001952B6" w:rsidRDefault="007658E3" w:rsidP="007658E3">
      <w:pPr>
        <w:autoSpaceDE w:val="0"/>
        <w:autoSpaceDN w:val="0"/>
        <w:adjustRightInd w:val="0"/>
        <w:spacing w:after="0" w:line="480" w:lineRule="auto"/>
        <w:rPr>
          <w:rFonts w:ascii="Times New Roman" w:hAnsi="Times New Roman" w:cs="Times New Roman"/>
          <w:sz w:val="24"/>
          <w:szCs w:val="24"/>
        </w:rPr>
      </w:pPr>
    </w:p>
    <w:p w:rsidR="00DA67B9" w:rsidRPr="001952B6" w:rsidRDefault="00CF156F" w:rsidP="007658E3">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The finding of an increased mortality in patients with low 25(OH)D is consistent with results from other individual participant meta-analyses</w:t>
      </w:r>
      <w:r w:rsidR="00870E16"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(5, 29)</w:t>
      </w:r>
      <w:r w:rsidR="00870E16" w:rsidRPr="001952B6">
        <w:rPr>
          <w:rFonts w:ascii="Times New Roman" w:hAnsi="Times New Roman" w:cs="Times New Roman"/>
          <w:sz w:val="24"/>
          <w:szCs w:val="24"/>
        </w:rPr>
        <w:t>,</w:t>
      </w:r>
      <w:r w:rsidR="0062004B" w:rsidRPr="001952B6">
        <w:rPr>
          <w:rFonts w:ascii="Times New Roman" w:hAnsi="Times New Roman" w:cs="Times New Roman"/>
          <w:sz w:val="24"/>
          <w:szCs w:val="24"/>
        </w:rPr>
        <w:t xml:space="preserve"> </w:t>
      </w:r>
      <w:r w:rsidR="0021368A" w:rsidRPr="001952B6">
        <w:rPr>
          <w:rFonts w:ascii="Times New Roman" w:hAnsi="Times New Roman" w:cs="Times New Roman"/>
          <w:sz w:val="24"/>
          <w:szCs w:val="24"/>
        </w:rPr>
        <w:t>tabular meta-analyses</w:t>
      </w:r>
      <w:r w:rsidR="0038718D" w:rsidRPr="001952B6">
        <w:rPr>
          <w:rFonts w:ascii="Times New Roman" w:hAnsi="Times New Roman" w:cs="Times New Roman"/>
          <w:sz w:val="24"/>
          <w:szCs w:val="24"/>
        </w:rPr>
        <w:t>(4, 30)</w:t>
      </w:r>
      <w:r w:rsidR="00870E16" w:rsidRPr="001952B6">
        <w:rPr>
          <w:rFonts w:ascii="Times New Roman" w:hAnsi="Times New Roman" w:cs="Times New Roman"/>
          <w:sz w:val="24"/>
          <w:szCs w:val="24"/>
        </w:rPr>
        <w:t>,</w:t>
      </w:r>
      <w:r w:rsidR="0062004B" w:rsidRPr="001952B6">
        <w:rPr>
          <w:rFonts w:ascii="Times New Roman" w:hAnsi="Times New Roman" w:cs="Times New Roman"/>
          <w:sz w:val="24"/>
          <w:szCs w:val="24"/>
        </w:rPr>
        <w:t xml:space="preserve"> and other cohort studies not included in these meta-analyses</w:t>
      </w:r>
      <w:r w:rsidR="00870E16"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(6, 7)</w:t>
      </w:r>
      <w:r w:rsidR="00870E16" w:rsidRPr="001952B6">
        <w:rPr>
          <w:rFonts w:ascii="Times New Roman" w:hAnsi="Times New Roman" w:cs="Times New Roman"/>
          <w:sz w:val="24"/>
          <w:szCs w:val="24"/>
        </w:rPr>
        <w:t>.</w:t>
      </w:r>
      <w:r w:rsidR="00C01FFF" w:rsidRPr="001952B6">
        <w:rPr>
          <w:rFonts w:ascii="Times New Roman" w:hAnsi="Times New Roman" w:cs="Times New Roman"/>
          <w:sz w:val="24"/>
          <w:szCs w:val="24"/>
        </w:rPr>
        <w:t xml:space="preserve"> While these studies showed no evidence of a </w:t>
      </w:r>
      <w:r w:rsidR="006A208E" w:rsidRPr="001952B6">
        <w:rPr>
          <w:rFonts w:ascii="Times New Roman" w:hAnsi="Times New Roman" w:cs="Times New Roman"/>
          <w:sz w:val="24"/>
          <w:szCs w:val="24"/>
        </w:rPr>
        <w:t xml:space="preserve">major </w:t>
      </w:r>
      <w:r w:rsidR="00C01FFF" w:rsidRPr="001952B6">
        <w:rPr>
          <w:rFonts w:ascii="Times New Roman" w:hAnsi="Times New Roman" w:cs="Times New Roman"/>
          <w:sz w:val="24"/>
          <w:szCs w:val="24"/>
        </w:rPr>
        <w:t>difference in risk among participants with a longer follow-up time, the findings reported herein suggest that the association between 25(OH)D and mortality was only apparent during the first three years of follow-up</w:t>
      </w:r>
      <w:r w:rsidR="006A208E" w:rsidRPr="001952B6">
        <w:rPr>
          <w:rFonts w:ascii="Times New Roman" w:hAnsi="Times New Roman" w:cs="Times New Roman"/>
          <w:sz w:val="24"/>
          <w:szCs w:val="24"/>
        </w:rPr>
        <w:t xml:space="preserve"> which has </w:t>
      </w:r>
      <w:r w:rsidR="00AD3AE4" w:rsidRPr="001952B6">
        <w:rPr>
          <w:rFonts w:ascii="Times New Roman" w:hAnsi="Times New Roman" w:cs="Times New Roman"/>
          <w:sz w:val="24"/>
          <w:szCs w:val="24"/>
        </w:rPr>
        <w:t xml:space="preserve">also </w:t>
      </w:r>
      <w:r w:rsidR="006A208E" w:rsidRPr="001952B6">
        <w:rPr>
          <w:rFonts w:ascii="Times New Roman" w:hAnsi="Times New Roman" w:cs="Times New Roman"/>
          <w:sz w:val="24"/>
          <w:szCs w:val="24"/>
        </w:rPr>
        <w:t xml:space="preserve">been reported in </w:t>
      </w:r>
      <w:r w:rsidR="00364445" w:rsidRPr="001952B6">
        <w:rPr>
          <w:rFonts w:ascii="Times New Roman" w:hAnsi="Times New Roman" w:cs="Times New Roman"/>
          <w:sz w:val="24"/>
          <w:szCs w:val="24"/>
        </w:rPr>
        <w:t>another individual study</w:t>
      </w:r>
      <w:r w:rsidR="005C75BB"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(31)</w:t>
      </w:r>
      <w:r w:rsidR="005C75BB" w:rsidRPr="001952B6">
        <w:rPr>
          <w:rFonts w:ascii="Times New Roman" w:hAnsi="Times New Roman" w:cs="Times New Roman"/>
          <w:sz w:val="24"/>
          <w:szCs w:val="24"/>
        </w:rPr>
        <w:t>.</w:t>
      </w:r>
      <w:r w:rsidR="00C01FFF" w:rsidRPr="001952B6">
        <w:rPr>
          <w:rFonts w:ascii="Times New Roman" w:hAnsi="Times New Roman" w:cs="Times New Roman"/>
          <w:sz w:val="24"/>
          <w:szCs w:val="24"/>
        </w:rPr>
        <w:t xml:space="preserve"> It is possible that differences between studies in the underlying participant population might account for some of this heterogeneity</w:t>
      </w:r>
      <w:r w:rsidR="007F4A42" w:rsidRPr="001952B6">
        <w:rPr>
          <w:rFonts w:ascii="Times New Roman" w:hAnsi="Times New Roman" w:cs="Times New Roman"/>
          <w:sz w:val="24"/>
          <w:szCs w:val="24"/>
        </w:rPr>
        <w:t xml:space="preserve"> </w:t>
      </w:r>
      <w:r w:rsidR="006A208E" w:rsidRPr="001952B6">
        <w:rPr>
          <w:rFonts w:ascii="Times New Roman" w:hAnsi="Times New Roman" w:cs="Times New Roman"/>
          <w:sz w:val="24"/>
          <w:szCs w:val="24"/>
        </w:rPr>
        <w:t xml:space="preserve">where the population for these studies </w:t>
      </w:r>
      <w:r w:rsidR="00AD3AE4" w:rsidRPr="001952B6">
        <w:rPr>
          <w:rFonts w:ascii="Times New Roman" w:hAnsi="Times New Roman" w:cs="Times New Roman"/>
          <w:sz w:val="24"/>
          <w:szCs w:val="24"/>
        </w:rPr>
        <w:t xml:space="preserve">were </w:t>
      </w:r>
      <w:r w:rsidR="00C01FFF" w:rsidRPr="001952B6">
        <w:rPr>
          <w:rFonts w:ascii="Times New Roman" w:hAnsi="Times New Roman" w:cs="Times New Roman"/>
          <w:sz w:val="24"/>
          <w:szCs w:val="24"/>
        </w:rPr>
        <w:t xml:space="preserve">drawn from patients attending primary care practices who had circulating concentrations of 25(OH)D measured. </w:t>
      </w:r>
      <w:r w:rsidR="009042E0" w:rsidRPr="001952B6">
        <w:rPr>
          <w:rFonts w:ascii="Times New Roman" w:hAnsi="Times New Roman" w:cs="Times New Roman"/>
          <w:sz w:val="24"/>
          <w:szCs w:val="24"/>
        </w:rPr>
        <w:t xml:space="preserve">Those with prevalent CVD were excluded from this analysis. However, it is possible that others </w:t>
      </w:r>
      <w:r w:rsidR="00171E8F" w:rsidRPr="001952B6">
        <w:rPr>
          <w:rFonts w:ascii="Times New Roman" w:hAnsi="Times New Roman" w:cs="Times New Roman"/>
          <w:sz w:val="24"/>
          <w:szCs w:val="24"/>
        </w:rPr>
        <w:t>with</w:t>
      </w:r>
      <w:r w:rsidR="009042E0" w:rsidRPr="001952B6">
        <w:rPr>
          <w:rFonts w:ascii="Times New Roman" w:hAnsi="Times New Roman" w:cs="Times New Roman"/>
          <w:sz w:val="24"/>
          <w:szCs w:val="24"/>
        </w:rPr>
        <w:t xml:space="preserve"> undiagnosed ill health had lower 25(OH)D levels from reduced photosynthetic production because they </w:t>
      </w:r>
      <w:r w:rsidR="00DA67B9" w:rsidRPr="001952B6">
        <w:rPr>
          <w:rFonts w:ascii="Times New Roman" w:hAnsi="Times New Roman" w:cs="Times New Roman"/>
          <w:sz w:val="24"/>
          <w:szCs w:val="24"/>
        </w:rPr>
        <w:t>spent less time</w:t>
      </w:r>
      <w:r w:rsidR="009042E0" w:rsidRPr="001952B6">
        <w:rPr>
          <w:rFonts w:ascii="Times New Roman" w:hAnsi="Times New Roman" w:cs="Times New Roman"/>
          <w:sz w:val="24"/>
          <w:szCs w:val="24"/>
        </w:rPr>
        <w:t xml:space="preserve"> outdoors and</w:t>
      </w:r>
      <w:r w:rsidR="00F53B9B" w:rsidRPr="001952B6">
        <w:rPr>
          <w:rFonts w:ascii="Times New Roman" w:hAnsi="Times New Roman" w:cs="Times New Roman"/>
          <w:sz w:val="24"/>
          <w:szCs w:val="24"/>
        </w:rPr>
        <w:t xml:space="preserve"> had </w:t>
      </w:r>
      <w:r w:rsidR="009042E0" w:rsidRPr="001952B6">
        <w:rPr>
          <w:rFonts w:ascii="Times New Roman" w:hAnsi="Times New Roman" w:cs="Times New Roman"/>
          <w:sz w:val="24"/>
          <w:szCs w:val="24"/>
        </w:rPr>
        <w:t xml:space="preserve"> reduced dietary intake </w:t>
      </w:r>
      <w:r w:rsidR="00F53B9B" w:rsidRPr="001952B6">
        <w:rPr>
          <w:rFonts w:ascii="Times New Roman" w:hAnsi="Times New Roman" w:cs="Times New Roman"/>
          <w:sz w:val="24"/>
          <w:szCs w:val="24"/>
        </w:rPr>
        <w:t xml:space="preserve">of vitamin D </w:t>
      </w:r>
      <w:r w:rsidR="009042E0" w:rsidRPr="001952B6">
        <w:rPr>
          <w:rFonts w:ascii="Times New Roman" w:hAnsi="Times New Roman" w:cs="Times New Roman"/>
          <w:sz w:val="24"/>
          <w:szCs w:val="24"/>
        </w:rPr>
        <w:t>through a poorer diet due to their underlying ill</w:t>
      </w:r>
      <w:r w:rsidR="00171E8F" w:rsidRPr="001952B6">
        <w:rPr>
          <w:rFonts w:ascii="Times New Roman" w:hAnsi="Times New Roman" w:cs="Times New Roman"/>
          <w:sz w:val="24"/>
          <w:szCs w:val="24"/>
        </w:rPr>
        <w:t>ness</w:t>
      </w:r>
      <w:r w:rsidR="009042E0"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(8, 32)</w:t>
      </w:r>
      <w:r w:rsidR="009042E0" w:rsidRPr="001952B6">
        <w:rPr>
          <w:rFonts w:ascii="Times New Roman" w:hAnsi="Times New Roman" w:cs="Times New Roman"/>
          <w:sz w:val="24"/>
          <w:szCs w:val="24"/>
        </w:rPr>
        <w:t>. This may therefore be an example of reverse causation which is illustrated by the finding of a stronger association of circulating 25(OH)D and risk of mortality in the first three years but not after three years. This was not however the case with CVD events.</w:t>
      </w:r>
      <w:r w:rsidR="00DA67B9" w:rsidRPr="001952B6">
        <w:rPr>
          <w:rFonts w:ascii="Times New Roman" w:hAnsi="Times New Roman" w:cs="Times New Roman"/>
          <w:sz w:val="24"/>
          <w:szCs w:val="24"/>
        </w:rPr>
        <w:t xml:space="preserve"> </w:t>
      </w:r>
    </w:p>
    <w:p w:rsidR="00AC726C" w:rsidRPr="001952B6" w:rsidRDefault="00AC726C" w:rsidP="007658E3">
      <w:pPr>
        <w:autoSpaceDE w:val="0"/>
        <w:autoSpaceDN w:val="0"/>
        <w:adjustRightInd w:val="0"/>
        <w:spacing w:after="0" w:line="480" w:lineRule="auto"/>
        <w:rPr>
          <w:rFonts w:ascii="Times New Roman" w:hAnsi="Times New Roman" w:cs="Times New Roman"/>
          <w:sz w:val="24"/>
          <w:szCs w:val="24"/>
        </w:rPr>
      </w:pPr>
    </w:p>
    <w:p w:rsidR="00CF156F" w:rsidRPr="001952B6" w:rsidRDefault="006A208E" w:rsidP="007658E3">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These results also showed that patients with 25(OH)D </w:t>
      </w:r>
      <w:r w:rsidR="00B560AB" w:rsidRPr="001952B6">
        <w:rPr>
          <w:rFonts w:ascii="Times New Roman" w:hAnsi="Times New Roman" w:cs="Times New Roman"/>
          <w:sz w:val="24"/>
          <w:szCs w:val="24"/>
        </w:rPr>
        <w:t xml:space="preserve">that was 100 nmol/L or higher </w:t>
      </w:r>
      <w:r w:rsidRPr="001952B6">
        <w:rPr>
          <w:rFonts w:ascii="Times New Roman" w:hAnsi="Times New Roman" w:cs="Times New Roman"/>
          <w:sz w:val="24"/>
          <w:szCs w:val="24"/>
        </w:rPr>
        <w:t>also had a greater risk of dying which has also</w:t>
      </w:r>
      <w:r w:rsidR="0021368A" w:rsidRPr="001952B6">
        <w:rPr>
          <w:rFonts w:ascii="Times New Roman" w:hAnsi="Times New Roman" w:cs="Times New Roman"/>
          <w:sz w:val="24"/>
          <w:szCs w:val="24"/>
        </w:rPr>
        <w:t xml:space="preserve"> been reported in another study</w:t>
      </w:r>
      <w:r w:rsidR="005C75BB" w:rsidRPr="001952B6">
        <w:rPr>
          <w:rFonts w:ascii="Times New Roman" w:hAnsi="Times New Roman" w:cs="Times New Roman"/>
          <w:sz w:val="24"/>
          <w:szCs w:val="24"/>
        </w:rPr>
        <w:t xml:space="preserve"> </w:t>
      </w:r>
      <w:r w:rsidR="0038718D" w:rsidRPr="001952B6">
        <w:rPr>
          <w:rFonts w:ascii="Times New Roman" w:hAnsi="Times New Roman" w:cs="Times New Roman"/>
          <w:sz w:val="24"/>
          <w:szCs w:val="24"/>
        </w:rPr>
        <w:t>(6)</w:t>
      </w:r>
      <w:r w:rsidR="001208DF" w:rsidRPr="001952B6">
        <w:rPr>
          <w:rFonts w:ascii="Times New Roman" w:hAnsi="Times New Roman" w:cs="Times New Roman"/>
          <w:sz w:val="24"/>
          <w:szCs w:val="24"/>
        </w:rPr>
        <w:t xml:space="preserve"> </w:t>
      </w:r>
      <w:r w:rsidRPr="001952B6">
        <w:rPr>
          <w:rFonts w:ascii="Times New Roman" w:hAnsi="Times New Roman" w:cs="Times New Roman"/>
          <w:sz w:val="24"/>
          <w:szCs w:val="24"/>
        </w:rPr>
        <w:t>but not in the indiv</w:t>
      </w:r>
      <w:r w:rsidR="0021368A" w:rsidRPr="001952B6">
        <w:rPr>
          <w:rFonts w:ascii="Times New Roman" w:hAnsi="Times New Roman" w:cs="Times New Roman"/>
          <w:sz w:val="24"/>
          <w:szCs w:val="24"/>
        </w:rPr>
        <w:t>idual participant meta-analyses</w:t>
      </w:r>
      <w:r w:rsidR="00470A1F" w:rsidRPr="001952B6">
        <w:rPr>
          <w:rFonts w:ascii="Times New Roman" w:hAnsi="Times New Roman" w:cs="Times New Roman"/>
          <w:sz w:val="24"/>
          <w:szCs w:val="24"/>
        </w:rPr>
        <w:t xml:space="preserve"> </w:t>
      </w:r>
      <w:r w:rsidR="00910570" w:rsidRPr="001952B6">
        <w:rPr>
          <w:rFonts w:ascii="Times New Roman" w:hAnsi="Times New Roman" w:cs="Times New Roman"/>
          <w:sz w:val="24"/>
          <w:szCs w:val="24"/>
        </w:rPr>
        <w:t>(5, 29)</w:t>
      </w:r>
      <w:r w:rsidRPr="001952B6">
        <w:rPr>
          <w:rFonts w:ascii="Times New Roman" w:hAnsi="Times New Roman" w:cs="Times New Roman"/>
          <w:sz w:val="24"/>
          <w:szCs w:val="24"/>
        </w:rPr>
        <w:t xml:space="preserve"> and likewise may be due to patients with ill health starting to take </w:t>
      </w:r>
      <w:r w:rsidR="00B560AB" w:rsidRPr="001952B6">
        <w:rPr>
          <w:rFonts w:ascii="Times New Roman" w:hAnsi="Times New Roman" w:cs="Times New Roman"/>
          <w:sz w:val="24"/>
          <w:szCs w:val="24"/>
        </w:rPr>
        <w:t xml:space="preserve">high-dose </w:t>
      </w:r>
      <w:r w:rsidRPr="001952B6">
        <w:rPr>
          <w:rFonts w:ascii="Times New Roman" w:hAnsi="Times New Roman" w:cs="Times New Roman"/>
          <w:sz w:val="24"/>
          <w:szCs w:val="24"/>
        </w:rPr>
        <w:t>vitamin D supplements</w:t>
      </w:r>
      <w:r w:rsidR="005C75BB" w:rsidRPr="001952B6">
        <w:rPr>
          <w:rFonts w:ascii="Times New Roman" w:hAnsi="Times New Roman" w:cs="Times New Roman"/>
          <w:sz w:val="24"/>
          <w:szCs w:val="24"/>
        </w:rPr>
        <w:t xml:space="preserve"> </w:t>
      </w:r>
      <w:r w:rsidR="00910570" w:rsidRPr="001952B6">
        <w:rPr>
          <w:rFonts w:ascii="Times New Roman" w:hAnsi="Times New Roman" w:cs="Times New Roman"/>
          <w:sz w:val="24"/>
          <w:szCs w:val="24"/>
        </w:rPr>
        <w:t>(33)</w:t>
      </w:r>
      <w:r w:rsidR="005C75BB" w:rsidRPr="001952B6">
        <w:rPr>
          <w:rFonts w:ascii="Times New Roman" w:hAnsi="Times New Roman" w:cs="Times New Roman"/>
          <w:sz w:val="24"/>
          <w:szCs w:val="24"/>
        </w:rPr>
        <w:t>.</w:t>
      </w:r>
    </w:p>
    <w:p w:rsidR="007658E3" w:rsidRPr="001952B6" w:rsidRDefault="007658E3" w:rsidP="007658E3">
      <w:pPr>
        <w:autoSpaceDE w:val="0"/>
        <w:autoSpaceDN w:val="0"/>
        <w:adjustRightInd w:val="0"/>
        <w:spacing w:after="0" w:line="480" w:lineRule="auto"/>
        <w:rPr>
          <w:rFonts w:ascii="Times New Roman" w:hAnsi="Times New Roman" w:cs="Times New Roman"/>
          <w:sz w:val="24"/>
          <w:szCs w:val="24"/>
        </w:rPr>
      </w:pPr>
    </w:p>
    <w:p w:rsidR="00837163" w:rsidRPr="001952B6" w:rsidRDefault="0004769D" w:rsidP="00A715C6">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The biological mechanisms that may underlie the associations of vitamin D and heart disease are </w:t>
      </w:r>
      <w:r w:rsidR="0020663F" w:rsidRPr="001952B6">
        <w:rPr>
          <w:rFonts w:ascii="Times New Roman" w:hAnsi="Times New Roman" w:cs="Times New Roman"/>
          <w:sz w:val="24"/>
          <w:szCs w:val="24"/>
        </w:rPr>
        <w:t>yet</w:t>
      </w:r>
      <w:r w:rsidRPr="001952B6">
        <w:rPr>
          <w:rFonts w:ascii="Times New Roman" w:hAnsi="Times New Roman" w:cs="Times New Roman"/>
          <w:sz w:val="24"/>
          <w:szCs w:val="24"/>
        </w:rPr>
        <w:t xml:space="preserve"> </w:t>
      </w:r>
      <w:r w:rsidR="0020663F" w:rsidRPr="001952B6">
        <w:rPr>
          <w:rFonts w:ascii="Times New Roman" w:hAnsi="Times New Roman" w:cs="Times New Roman"/>
          <w:sz w:val="24"/>
          <w:szCs w:val="24"/>
        </w:rPr>
        <w:t>to be</w:t>
      </w:r>
      <w:r w:rsidRPr="001952B6">
        <w:rPr>
          <w:rFonts w:ascii="Times New Roman" w:hAnsi="Times New Roman" w:cs="Times New Roman"/>
          <w:sz w:val="24"/>
          <w:szCs w:val="24"/>
        </w:rPr>
        <w:t xml:space="preserve"> fully elucidated. </w:t>
      </w:r>
      <w:r w:rsidR="00AE7052" w:rsidRPr="001952B6">
        <w:rPr>
          <w:rFonts w:ascii="Times New Roman" w:hAnsi="Times New Roman" w:cs="Times New Roman"/>
          <w:sz w:val="24"/>
          <w:szCs w:val="24"/>
        </w:rPr>
        <w:t>A possible</w:t>
      </w:r>
      <w:r w:rsidR="00925AF8" w:rsidRPr="001952B6">
        <w:rPr>
          <w:rFonts w:ascii="Times New Roman" w:hAnsi="Times New Roman" w:cs="Times New Roman"/>
          <w:sz w:val="24"/>
          <w:szCs w:val="24"/>
        </w:rPr>
        <w:t xml:space="preserve"> mechanism</w:t>
      </w:r>
      <w:r w:rsidR="00863A8D" w:rsidRPr="001952B6">
        <w:rPr>
          <w:rFonts w:ascii="Times New Roman" w:hAnsi="Times New Roman" w:cs="Times New Roman"/>
          <w:sz w:val="24"/>
          <w:szCs w:val="24"/>
        </w:rPr>
        <w:t xml:space="preserve"> of action include</w:t>
      </w:r>
      <w:r w:rsidR="007319D6" w:rsidRPr="001952B6">
        <w:rPr>
          <w:rFonts w:ascii="Times New Roman" w:hAnsi="Times New Roman" w:cs="Times New Roman"/>
          <w:sz w:val="24"/>
          <w:szCs w:val="24"/>
        </w:rPr>
        <w:t>s</w:t>
      </w:r>
      <w:r w:rsidR="00863A8D" w:rsidRPr="001952B6">
        <w:rPr>
          <w:rFonts w:ascii="Times New Roman" w:hAnsi="Times New Roman" w:cs="Times New Roman"/>
          <w:sz w:val="24"/>
          <w:szCs w:val="24"/>
        </w:rPr>
        <w:t xml:space="preserve"> an anti-inflammatory effect of vitamin D</w:t>
      </w:r>
      <w:r w:rsidR="007319D6" w:rsidRPr="001952B6">
        <w:rPr>
          <w:rFonts w:ascii="Times New Roman" w:hAnsi="Times New Roman" w:cs="Times New Roman"/>
          <w:sz w:val="24"/>
          <w:szCs w:val="24"/>
        </w:rPr>
        <w:t>,</w:t>
      </w:r>
      <w:r w:rsidR="00145EB5" w:rsidRPr="001952B6">
        <w:rPr>
          <w:rFonts w:ascii="Times New Roman" w:hAnsi="Times New Roman" w:cs="Times New Roman"/>
          <w:sz w:val="24"/>
          <w:szCs w:val="24"/>
        </w:rPr>
        <w:t xml:space="preserve"> which may </w:t>
      </w:r>
      <w:r w:rsidR="007319D6" w:rsidRPr="001952B6">
        <w:rPr>
          <w:rFonts w:ascii="Times New Roman" w:hAnsi="Times New Roman" w:cs="Times New Roman"/>
          <w:sz w:val="24"/>
          <w:szCs w:val="24"/>
        </w:rPr>
        <w:t xml:space="preserve">help </w:t>
      </w:r>
      <w:r w:rsidR="00145EB5" w:rsidRPr="001952B6">
        <w:rPr>
          <w:rFonts w:ascii="Times New Roman" w:hAnsi="Times New Roman" w:cs="Times New Roman"/>
          <w:sz w:val="24"/>
          <w:szCs w:val="24"/>
        </w:rPr>
        <w:t xml:space="preserve">protect </w:t>
      </w:r>
      <w:r w:rsidR="007319D6" w:rsidRPr="001952B6">
        <w:rPr>
          <w:rFonts w:ascii="Times New Roman" w:hAnsi="Times New Roman" w:cs="Times New Roman"/>
          <w:sz w:val="24"/>
          <w:szCs w:val="24"/>
        </w:rPr>
        <w:t>against CVD by</w:t>
      </w:r>
      <w:r w:rsidR="00145EB5" w:rsidRPr="001952B6">
        <w:rPr>
          <w:rFonts w:ascii="Times New Roman" w:hAnsi="Times New Roman" w:cs="Times New Roman"/>
          <w:sz w:val="24"/>
          <w:szCs w:val="24"/>
        </w:rPr>
        <w:t xml:space="preserve"> inhibiting the formation of foam cells from macrophages</w:t>
      </w:r>
      <w:r w:rsidR="00174188" w:rsidRPr="001952B6">
        <w:rPr>
          <w:rFonts w:ascii="Times New Roman" w:hAnsi="Times New Roman" w:cs="Times New Roman"/>
          <w:sz w:val="24"/>
          <w:szCs w:val="24"/>
        </w:rPr>
        <w:t xml:space="preserve"> </w:t>
      </w:r>
      <w:r w:rsidR="00910570" w:rsidRPr="001952B6">
        <w:rPr>
          <w:rFonts w:ascii="Times New Roman" w:hAnsi="Times New Roman" w:cs="Times New Roman"/>
          <w:sz w:val="24"/>
          <w:szCs w:val="24"/>
        </w:rPr>
        <w:t>(34)</w:t>
      </w:r>
      <w:r w:rsidR="00174188" w:rsidRPr="001952B6">
        <w:rPr>
          <w:rFonts w:ascii="Times New Roman" w:hAnsi="Times New Roman" w:cs="Times New Roman"/>
          <w:sz w:val="24"/>
          <w:szCs w:val="24"/>
        </w:rPr>
        <w:t>.</w:t>
      </w:r>
      <w:r w:rsidR="00863A8D" w:rsidRPr="001952B6">
        <w:rPr>
          <w:rFonts w:ascii="Times New Roman" w:hAnsi="Times New Roman" w:cs="Times New Roman"/>
          <w:sz w:val="24"/>
          <w:szCs w:val="24"/>
        </w:rPr>
        <w:t xml:space="preserve"> </w:t>
      </w:r>
      <w:r w:rsidR="00E4735D" w:rsidRPr="001952B6">
        <w:rPr>
          <w:rFonts w:ascii="Times New Roman" w:hAnsi="Times New Roman" w:cs="Times New Roman"/>
          <w:sz w:val="24"/>
          <w:szCs w:val="24"/>
        </w:rPr>
        <w:t xml:space="preserve">A recent systematic review showed that </w:t>
      </w:r>
      <w:r w:rsidR="003524A2" w:rsidRPr="001952B6">
        <w:rPr>
          <w:rFonts w:ascii="Times New Roman" w:hAnsi="Times New Roman" w:cs="Times New Roman"/>
          <w:sz w:val="24"/>
          <w:szCs w:val="24"/>
        </w:rPr>
        <w:t xml:space="preserve">patients with type 2 diabetes </w:t>
      </w:r>
      <w:r w:rsidR="00E4735D" w:rsidRPr="001952B6">
        <w:rPr>
          <w:rFonts w:ascii="Times New Roman" w:hAnsi="Times New Roman" w:cs="Times New Roman"/>
          <w:sz w:val="24"/>
          <w:szCs w:val="24"/>
        </w:rPr>
        <w:t>supplemented with vitamin D had lower circulating concentrations of the inflammatory marker tumo</w:t>
      </w:r>
      <w:r w:rsidR="002A5AEA" w:rsidRPr="001952B6">
        <w:rPr>
          <w:rFonts w:ascii="Times New Roman" w:hAnsi="Times New Roman" w:cs="Times New Roman"/>
          <w:sz w:val="24"/>
          <w:szCs w:val="24"/>
        </w:rPr>
        <w:t>u</w:t>
      </w:r>
      <w:r w:rsidR="00E4735D" w:rsidRPr="001952B6">
        <w:rPr>
          <w:rFonts w:ascii="Times New Roman" w:hAnsi="Times New Roman" w:cs="Times New Roman"/>
          <w:sz w:val="24"/>
          <w:szCs w:val="24"/>
        </w:rPr>
        <w:t>r necrosis factor-alpha (TNF-α)</w:t>
      </w:r>
      <w:r w:rsidR="007319D6" w:rsidRPr="001952B6">
        <w:rPr>
          <w:rFonts w:ascii="Times New Roman" w:hAnsi="Times New Roman" w:cs="Times New Roman"/>
          <w:sz w:val="24"/>
          <w:szCs w:val="24"/>
        </w:rPr>
        <w:t>,</w:t>
      </w:r>
      <w:r w:rsidR="00E4735D" w:rsidRPr="001952B6">
        <w:rPr>
          <w:rFonts w:ascii="Times New Roman" w:hAnsi="Times New Roman" w:cs="Times New Roman"/>
          <w:sz w:val="24"/>
          <w:szCs w:val="24"/>
        </w:rPr>
        <w:t xml:space="preserve"> </w:t>
      </w:r>
      <w:r w:rsidR="007319D6" w:rsidRPr="001952B6">
        <w:rPr>
          <w:rFonts w:ascii="Times New Roman" w:hAnsi="Times New Roman" w:cs="Times New Roman"/>
          <w:sz w:val="24"/>
          <w:szCs w:val="24"/>
        </w:rPr>
        <w:t xml:space="preserve">giving </w:t>
      </w:r>
      <w:r w:rsidR="00925AF8" w:rsidRPr="001952B6">
        <w:rPr>
          <w:rFonts w:ascii="Times New Roman" w:hAnsi="Times New Roman" w:cs="Times New Roman"/>
          <w:sz w:val="24"/>
          <w:szCs w:val="24"/>
        </w:rPr>
        <w:t>some</w:t>
      </w:r>
      <w:r w:rsidR="00E4735D" w:rsidRPr="001952B6">
        <w:rPr>
          <w:rFonts w:ascii="Times New Roman" w:hAnsi="Times New Roman" w:cs="Times New Roman"/>
          <w:sz w:val="24"/>
          <w:szCs w:val="24"/>
        </w:rPr>
        <w:t xml:space="preserve"> weight to the case for biological plausibility </w:t>
      </w:r>
      <w:r w:rsidR="00910570" w:rsidRPr="001952B6">
        <w:rPr>
          <w:rFonts w:ascii="Times New Roman" w:hAnsi="Times New Roman" w:cs="Times New Roman"/>
          <w:sz w:val="24"/>
          <w:szCs w:val="24"/>
        </w:rPr>
        <w:t>(35)</w:t>
      </w:r>
      <w:r w:rsidR="001F3892" w:rsidRPr="001952B6">
        <w:rPr>
          <w:rFonts w:ascii="Times New Roman" w:hAnsi="Times New Roman" w:cs="Times New Roman"/>
          <w:sz w:val="24"/>
          <w:szCs w:val="24"/>
        </w:rPr>
        <w:t xml:space="preserve"> but future studies may help understand</w:t>
      </w:r>
      <w:r w:rsidR="00A42A9F" w:rsidRPr="001952B6">
        <w:rPr>
          <w:rFonts w:ascii="Times New Roman" w:hAnsi="Times New Roman" w:cs="Times New Roman"/>
          <w:sz w:val="24"/>
          <w:szCs w:val="24"/>
        </w:rPr>
        <w:t xml:space="preserve"> </w:t>
      </w:r>
      <w:r w:rsidR="00174188" w:rsidRPr="001952B6">
        <w:rPr>
          <w:rFonts w:ascii="Times New Roman" w:hAnsi="Times New Roman" w:cs="Times New Roman"/>
          <w:sz w:val="24"/>
          <w:szCs w:val="24"/>
        </w:rPr>
        <w:t xml:space="preserve"> these mechanisms better </w:t>
      </w:r>
      <w:r w:rsidR="00910570" w:rsidRPr="001952B6">
        <w:rPr>
          <w:rFonts w:ascii="Times New Roman" w:hAnsi="Times New Roman" w:cs="Times New Roman"/>
          <w:sz w:val="24"/>
          <w:szCs w:val="24"/>
        </w:rPr>
        <w:t>(36)</w:t>
      </w:r>
      <w:r w:rsidR="005D692A" w:rsidRPr="001952B6">
        <w:rPr>
          <w:rFonts w:ascii="Times New Roman" w:hAnsi="Times New Roman" w:cs="Times New Roman"/>
          <w:sz w:val="24"/>
          <w:szCs w:val="24"/>
        </w:rPr>
        <w:t>.</w:t>
      </w:r>
      <w:r w:rsidR="009125BA" w:rsidRPr="001952B6">
        <w:rPr>
          <w:rFonts w:ascii="Times New Roman" w:hAnsi="Times New Roman" w:cs="Times New Roman"/>
          <w:sz w:val="24"/>
          <w:szCs w:val="24"/>
        </w:rPr>
        <w:t xml:space="preserve"> The mechanisms of action are unlikely to include an effect of vitamin D on CVD risk factors such as blood pressure, lipids</w:t>
      </w:r>
      <w:r w:rsidR="00583B53" w:rsidRPr="001952B6">
        <w:rPr>
          <w:rFonts w:ascii="Times New Roman" w:hAnsi="Times New Roman" w:cs="Times New Roman"/>
          <w:sz w:val="24"/>
          <w:szCs w:val="24"/>
        </w:rPr>
        <w:t>,</w:t>
      </w:r>
      <w:r w:rsidR="009125BA" w:rsidRPr="001952B6">
        <w:rPr>
          <w:rFonts w:ascii="Times New Roman" w:hAnsi="Times New Roman" w:cs="Times New Roman"/>
          <w:sz w:val="24"/>
          <w:szCs w:val="24"/>
        </w:rPr>
        <w:t xml:space="preserve"> or markers of glucose metabolism as a recent individual participant meta-analysis of randomised controlled trials showed no evidence for an effect of vitamin D supplementation on these biomarkers, even in participants with vitamin D levels considered deficient</w:t>
      </w:r>
      <w:r w:rsidR="0043554D" w:rsidRPr="001952B6">
        <w:rPr>
          <w:rFonts w:ascii="Times New Roman" w:hAnsi="Times New Roman" w:cs="Times New Roman"/>
          <w:sz w:val="24"/>
          <w:szCs w:val="24"/>
        </w:rPr>
        <w:t xml:space="preserve"> </w:t>
      </w:r>
      <w:r w:rsidR="00910570" w:rsidRPr="001952B6">
        <w:rPr>
          <w:rFonts w:ascii="Times New Roman" w:hAnsi="Times New Roman" w:cs="Times New Roman"/>
          <w:sz w:val="24"/>
          <w:szCs w:val="24"/>
        </w:rPr>
        <w:t>(37)</w:t>
      </w:r>
      <w:r w:rsidR="009125BA" w:rsidRPr="001952B6">
        <w:rPr>
          <w:rFonts w:ascii="Times New Roman" w:hAnsi="Times New Roman" w:cs="Times New Roman"/>
          <w:sz w:val="24"/>
          <w:szCs w:val="24"/>
        </w:rPr>
        <w:t>.</w:t>
      </w:r>
    </w:p>
    <w:p w:rsidR="007658E3" w:rsidRPr="001952B6" w:rsidRDefault="007658E3" w:rsidP="00A715C6">
      <w:pPr>
        <w:autoSpaceDE w:val="0"/>
        <w:autoSpaceDN w:val="0"/>
        <w:adjustRightInd w:val="0"/>
        <w:spacing w:after="0" w:line="480" w:lineRule="auto"/>
        <w:jc w:val="both"/>
        <w:rPr>
          <w:rFonts w:ascii="Times New Roman" w:hAnsi="Times New Roman" w:cs="Times New Roman"/>
          <w:sz w:val="24"/>
          <w:szCs w:val="24"/>
        </w:rPr>
      </w:pPr>
    </w:p>
    <w:p w:rsidR="00515F23" w:rsidRPr="001952B6" w:rsidRDefault="00B041EC" w:rsidP="00A715C6">
      <w:pPr>
        <w:spacing w:after="0" w:line="480" w:lineRule="auto"/>
        <w:rPr>
          <w:rFonts w:ascii="Times New Roman" w:hAnsi="Times New Roman" w:cs="Times New Roman"/>
          <w:sz w:val="24"/>
          <w:szCs w:val="24"/>
        </w:rPr>
      </w:pPr>
      <w:r w:rsidRPr="001952B6">
        <w:rPr>
          <w:rFonts w:ascii="Times New Roman" w:hAnsi="Times New Roman" w:cs="Times New Roman"/>
          <w:sz w:val="24"/>
          <w:szCs w:val="24"/>
        </w:rPr>
        <w:t>Due to the wide-range range of potential confounders, and the possibility that low circulating 25(OH)D may be a result</w:t>
      </w:r>
      <w:r w:rsidR="005D692A" w:rsidRPr="001952B6">
        <w:rPr>
          <w:rFonts w:ascii="Times New Roman" w:hAnsi="Times New Roman" w:cs="Times New Roman"/>
          <w:sz w:val="24"/>
          <w:szCs w:val="24"/>
        </w:rPr>
        <w:t xml:space="preserve"> rather than a cause of disease</w:t>
      </w:r>
      <w:r w:rsidR="00FB0807" w:rsidRPr="001952B6">
        <w:rPr>
          <w:rFonts w:ascii="Times New Roman" w:hAnsi="Times New Roman" w:cs="Times New Roman"/>
          <w:sz w:val="24"/>
          <w:szCs w:val="24"/>
        </w:rPr>
        <w:t xml:space="preserve"> </w:t>
      </w:r>
      <w:r w:rsidR="00910570" w:rsidRPr="001952B6">
        <w:rPr>
          <w:rFonts w:ascii="Times New Roman" w:hAnsi="Times New Roman" w:cs="Times New Roman"/>
          <w:sz w:val="24"/>
          <w:szCs w:val="24"/>
        </w:rPr>
        <w:t>(38)</w:t>
      </w:r>
      <w:r w:rsidR="00FB0807" w:rsidRPr="001952B6">
        <w:rPr>
          <w:rFonts w:ascii="Times New Roman" w:hAnsi="Times New Roman" w:cs="Times New Roman"/>
          <w:sz w:val="24"/>
          <w:szCs w:val="24"/>
        </w:rPr>
        <w:t>,</w:t>
      </w:r>
      <w:r w:rsidRPr="001952B6">
        <w:rPr>
          <w:rFonts w:ascii="Times New Roman" w:hAnsi="Times New Roman" w:cs="Times New Roman"/>
          <w:sz w:val="24"/>
          <w:szCs w:val="24"/>
        </w:rPr>
        <w:t xml:space="preserve"> large randomised </w:t>
      </w:r>
      <w:r w:rsidR="00B71EDC" w:rsidRPr="001952B6">
        <w:rPr>
          <w:rFonts w:ascii="Times New Roman" w:hAnsi="Times New Roman" w:cs="Times New Roman"/>
          <w:sz w:val="24"/>
          <w:szCs w:val="24"/>
        </w:rPr>
        <w:t xml:space="preserve">controlled </w:t>
      </w:r>
      <w:r w:rsidRPr="001952B6">
        <w:rPr>
          <w:rFonts w:ascii="Times New Roman" w:hAnsi="Times New Roman" w:cs="Times New Roman"/>
          <w:sz w:val="24"/>
          <w:szCs w:val="24"/>
        </w:rPr>
        <w:t xml:space="preserve">trials were initiated and have recently reported their findings. Two large trials of vitamin D supplementation, ViDA </w:t>
      </w:r>
      <w:r w:rsidR="00910570" w:rsidRPr="001952B6">
        <w:rPr>
          <w:rFonts w:ascii="Times New Roman" w:hAnsi="Times New Roman" w:cs="Times New Roman"/>
          <w:sz w:val="24"/>
          <w:szCs w:val="24"/>
        </w:rPr>
        <w:t>(10)</w:t>
      </w:r>
      <w:r w:rsidR="001E693E" w:rsidRPr="001952B6">
        <w:rPr>
          <w:rFonts w:ascii="Times New Roman" w:hAnsi="Times New Roman" w:cs="Times New Roman"/>
          <w:sz w:val="24"/>
          <w:szCs w:val="24"/>
        </w:rPr>
        <w:t xml:space="preserve"> </w:t>
      </w:r>
      <w:r w:rsidR="00FB0807" w:rsidRPr="001952B6">
        <w:rPr>
          <w:rFonts w:ascii="Times New Roman" w:hAnsi="Times New Roman" w:cs="Times New Roman"/>
          <w:sz w:val="24"/>
          <w:szCs w:val="24"/>
        </w:rPr>
        <w:t xml:space="preserve">and VITAL </w:t>
      </w:r>
      <w:r w:rsidR="00910570" w:rsidRPr="001952B6">
        <w:rPr>
          <w:rFonts w:ascii="Times New Roman" w:hAnsi="Times New Roman" w:cs="Times New Roman"/>
          <w:sz w:val="24"/>
          <w:szCs w:val="24"/>
        </w:rPr>
        <w:t>(11)</w:t>
      </w:r>
      <w:r w:rsidR="00FB0807" w:rsidRPr="001952B6">
        <w:rPr>
          <w:rFonts w:ascii="Times New Roman" w:hAnsi="Times New Roman" w:cs="Times New Roman"/>
          <w:sz w:val="24"/>
          <w:szCs w:val="24"/>
        </w:rPr>
        <w:t>,</w:t>
      </w:r>
      <w:r w:rsidR="00D45A3C" w:rsidRPr="001952B6">
        <w:rPr>
          <w:rFonts w:ascii="Times New Roman" w:hAnsi="Times New Roman" w:cs="Times New Roman"/>
          <w:sz w:val="24"/>
          <w:szCs w:val="24"/>
        </w:rPr>
        <w:t xml:space="preserve"> </w:t>
      </w:r>
      <w:r w:rsidR="00FD149D" w:rsidRPr="001952B6">
        <w:rPr>
          <w:rFonts w:ascii="Times New Roman" w:hAnsi="Times New Roman" w:cs="Times New Roman"/>
          <w:sz w:val="24"/>
          <w:szCs w:val="24"/>
        </w:rPr>
        <w:t>found no evidence in their primary outcomes to support  a beneficial effect of vitamin D supplementation on the risk of CVD</w:t>
      </w:r>
      <w:r w:rsidRPr="001952B6">
        <w:rPr>
          <w:rFonts w:ascii="Times New Roman" w:hAnsi="Times New Roman" w:cs="Times New Roman"/>
          <w:sz w:val="24"/>
          <w:szCs w:val="24"/>
        </w:rPr>
        <w:t xml:space="preserve">. One of the main limitations of the VITAL study was that overall the study sample was relatively vitamin D replete, with a mean baseline 25(OH)D of 75 nmol/L; only 13% had a 25(OH)D less than 50 nmol/L. Even in the ViDA study, fewer than 25% of the study participants had circulating 25(OH)D less than 50 nmol/L. The finding from this study and other studies show that the risk of CVD is only higher among those whose circulating 25(OH)D are below 50 nmol/L. Therefore, a possible explanation for recent findings that vitamin D supplementation has </w:t>
      </w:r>
      <w:r w:rsidRPr="001952B6">
        <w:rPr>
          <w:rFonts w:ascii="Times New Roman" w:hAnsi="Times New Roman" w:cs="Times New Roman"/>
          <w:sz w:val="24"/>
          <w:szCs w:val="24"/>
        </w:rPr>
        <w:lastRenderedPageBreak/>
        <w:t>shown little benefit in preventing CVD is that there were too few participants with levels below this threshold included in these trials</w:t>
      </w:r>
      <w:r w:rsidR="00F71923" w:rsidRPr="001952B6">
        <w:rPr>
          <w:rFonts w:ascii="Times New Roman" w:hAnsi="Times New Roman" w:cs="Times New Roman"/>
          <w:sz w:val="24"/>
          <w:szCs w:val="24"/>
        </w:rPr>
        <w:t xml:space="preserve">. </w:t>
      </w:r>
      <w:r w:rsidR="00515F23" w:rsidRPr="001952B6">
        <w:rPr>
          <w:rFonts w:ascii="Times New Roman" w:hAnsi="Times New Roman" w:cs="Times New Roman"/>
          <w:sz w:val="24"/>
          <w:szCs w:val="24"/>
        </w:rPr>
        <w:t xml:space="preserve">Nevertheless, </w:t>
      </w:r>
      <w:r w:rsidR="00ED31EE" w:rsidRPr="001952B6">
        <w:rPr>
          <w:rFonts w:ascii="Times New Roman" w:hAnsi="Times New Roman" w:cs="Times New Roman"/>
          <w:sz w:val="24"/>
          <w:szCs w:val="24"/>
          <w:lang w:val="en-NZ"/>
        </w:rPr>
        <w:t>individual</w:t>
      </w:r>
      <w:r w:rsidR="00F71923" w:rsidRPr="001952B6">
        <w:rPr>
          <w:rFonts w:ascii="Times New Roman" w:hAnsi="Times New Roman" w:cs="Times New Roman"/>
          <w:sz w:val="24"/>
          <w:szCs w:val="24"/>
          <w:lang w:val="en-NZ"/>
        </w:rPr>
        <w:t xml:space="preserve"> participant meta-analyses of these existing randomised controlled trials (e.g. VITAL and ViDA) offer an opportunity to </w:t>
      </w:r>
      <w:r w:rsidR="00C33560" w:rsidRPr="001952B6">
        <w:rPr>
          <w:rFonts w:ascii="Times New Roman" w:hAnsi="Times New Roman" w:cs="Times New Roman"/>
          <w:sz w:val="24"/>
          <w:szCs w:val="24"/>
          <w:lang w:val="en-NZ"/>
        </w:rPr>
        <w:t>determine</w:t>
      </w:r>
      <w:r w:rsidR="00F71923" w:rsidRPr="001952B6">
        <w:rPr>
          <w:rFonts w:ascii="Times New Roman" w:hAnsi="Times New Roman" w:cs="Times New Roman"/>
          <w:sz w:val="24"/>
          <w:szCs w:val="24"/>
          <w:lang w:val="en-NZ"/>
        </w:rPr>
        <w:t xml:space="preserve"> </w:t>
      </w:r>
      <w:r w:rsidR="00C33560" w:rsidRPr="001952B6">
        <w:rPr>
          <w:rFonts w:ascii="Times New Roman" w:hAnsi="Times New Roman" w:cs="Times New Roman"/>
          <w:sz w:val="24"/>
          <w:szCs w:val="24"/>
          <w:lang w:val="en-NZ"/>
        </w:rPr>
        <w:t>whether</w:t>
      </w:r>
      <w:r w:rsidR="00F71923" w:rsidRPr="001952B6">
        <w:rPr>
          <w:rFonts w:ascii="Times New Roman" w:hAnsi="Times New Roman" w:cs="Times New Roman"/>
          <w:sz w:val="24"/>
          <w:szCs w:val="24"/>
          <w:lang w:val="en-NZ"/>
        </w:rPr>
        <w:t xml:space="preserve"> there are beneficial effects </w:t>
      </w:r>
      <w:r w:rsidR="00792A76" w:rsidRPr="001952B6">
        <w:rPr>
          <w:rFonts w:ascii="Times New Roman" w:hAnsi="Times New Roman" w:cs="Times New Roman"/>
          <w:sz w:val="24"/>
          <w:szCs w:val="24"/>
          <w:lang w:val="en-NZ"/>
        </w:rPr>
        <w:t xml:space="preserve">of </w:t>
      </w:r>
      <w:r w:rsidR="00F71923" w:rsidRPr="001952B6">
        <w:rPr>
          <w:rFonts w:ascii="Times New Roman" w:hAnsi="Times New Roman" w:cs="Times New Roman"/>
          <w:sz w:val="24"/>
          <w:szCs w:val="24"/>
          <w:lang w:val="en-NZ"/>
        </w:rPr>
        <w:t xml:space="preserve">vitamin D </w:t>
      </w:r>
      <w:r w:rsidR="00792A76" w:rsidRPr="001952B6">
        <w:rPr>
          <w:rFonts w:ascii="Times New Roman" w:hAnsi="Times New Roman" w:cs="Times New Roman"/>
          <w:sz w:val="24"/>
          <w:szCs w:val="24"/>
          <w:lang w:val="en-NZ"/>
        </w:rPr>
        <w:t xml:space="preserve">supplementation </w:t>
      </w:r>
      <w:r w:rsidR="00F71923" w:rsidRPr="001952B6">
        <w:rPr>
          <w:rFonts w:ascii="Times New Roman" w:hAnsi="Times New Roman" w:cs="Times New Roman"/>
          <w:sz w:val="24"/>
          <w:szCs w:val="24"/>
          <w:lang w:val="en-NZ"/>
        </w:rPr>
        <w:t xml:space="preserve">in people with low </w:t>
      </w:r>
      <w:r w:rsidR="00542764" w:rsidRPr="001952B6">
        <w:rPr>
          <w:rFonts w:ascii="Times New Roman" w:hAnsi="Times New Roman" w:cs="Times New Roman"/>
          <w:sz w:val="24"/>
          <w:szCs w:val="24"/>
          <w:lang w:val="en-NZ"/>
        </w:rPr>
        <w:t xml:space="preserve">levels of </w:t>
      </w:r>
      <w:r w:rsidR="00F71923" w:rsidRPr="001952B6">
        <w:rPr>
          <w:rFonts w:ascii="Times New Roman" w:hAnsi="Times New Roman" w:cs="Times New Roman"/>
          <w:sz w:val="24"/>
          <w:szCs w:val="24"/>
          <w:lang w:val="en-NZ"/>
        </w:rPr>
        <w:t>25(OH)D.</w:t>
      </w:r>
      <w:r w:rsidRPr="001952B6">
        <w:rPr>
          <w:rFonts w:ascii="Times New Roman" w:hAnsi="Times New Roman" w:cs="Times New Roman"/>
          <w:sz w:val="24"/>
          <w:szCs w:val="24"/>
        </w:rPr>
        <w:t xml:space="preserve"> </w:t>
      </w:r>
      <w:r w:rsidR="00A25D33" w:rsidRPr="001952B6">
        <w:rPr>
          <w:rFonts w:ascii="Times New Roman" w:hAnsi="Times New Roman" w:cs="Times New Roman"/>
          <w:sz w:val="24"/>
          <w:szCs w:val="24"/>
        </w:rPr>
        <w:t>The trials and our data show that circulating 25(OH)D levels above 50 nmol/L are not associated with an increased risk of CVD.</w:t>
      </w:r>
    </w:p>
    <w:p w:rsidR="00515F23" w:rsidRPr="001952B6" w:rsidRDefault="00515F23" w:rsidP="00A715C6">
      <w:pPr>
        <w:spacing w:after="0" w:line="480" w:lineRule="auto"/>
        <w:rPr>
          <w:rFonts w:ascii="Times New Roman" w:hAnsi="Times New Roman" w:cs="Times New Roman"/>
          <w:sz w:val="24"/>
          <w:szCs w:val="24"/>
        </w:rPr>
      </w:pPr>
    </w:p>
    <w:p w:rsidR="00D45A3C" w:rsidRPr="001952B6" w:rsidRDefault="006A5074" w:rsidP="00A715C6">
      <w:pPr>
        <w:spacing w:after="0" w:line="480" w:lineRule="auto"/>
        <w:rPr>
          <w:rFonts w:ascii="Times New Roman" w:hAnsi="Times New Roman" w:cs="Times New Roman"/>
          <w:sz w:val="24"/>
          <w:szCs w:val="24"/>
        </w:rPr>
      </w:pPr>
      <w:r w:rsidRPr="001952B6">
        <w:rPr>
          <w:rFonts w:ascii="Times New Roman" w:hAnsi="Times New Roman" w:cs="Times New Roman"/>
          <w:sz w:val="24"/>
          <w:szCs w:val="24"/>
          <w:lang w:val="en-NZ"/>
        </w:rPr>
        <w:t xml:space="preserve">Mendelian randomisation studies of 25(OH)D with risk of CVD do not support a causal role of vitamin D </w:t>
      </w:r>
      <w:r w:rsidR="00910570" w:rsidRPr="001952B6">
        <w:rPr>
          <w:rFonts w:ascii="Times New Roman" w:hAnsi="Times New Roman" w:cs="Times New Roman"/>
          <w:sz w:val="24"/>
          <w:szCs w:val="24"/>
          <w:lang w:val="en-NZ"/>
        </w:rPr>
        <w:t>(39-42)</w:t>
      </w:r>
      <w:r w:rsidRPr="001952B6">
        <w:rPr>
          <w:rFonts w:ascii="Times New Roman" w:hAnsi="Times New Roman" w:cs="Times New Roman"/>
          <w:sz w:val="24"/>
          <w:szCs w:val="24"/>
          <w:lang w:val="en-NZ"/>
        </w:rPr>
        <w:t xml:space="preserve"> however, such studies are not able to provide a definitive answer on causality for two reasons. First, Mendelian randomisation studies assume a linear association between 25(OH)D and CVD but our results and that of others have shown this association is non-linear. Second, the distribution of 25(OH)D concentrations from Mendelian randomisation studies do not extend to levels that would be considered low enough to exclude a causal relationship between vitamin D with </w:t>
      </w:r>
      <w:r w:rsidR="0026749E" w:rsidRPr="001952B6">
        <w:rPr>
          <w:rFonts w:ascii="Times New Roman" w:hAnsi="Times New Roman" w:cs="Times New Roman"/>
          <w:sz w:val="24"/>
          <w:szCs w:val="24"/>
          <w:lang w:val="en-NZ"/>
        </w:rPr>
        <w:t>CVD</w:t>
      </w:r>
      <w:r w:rsidR="006E41A5" w:rsidRPr="001952B6">
        <w:rPr>
          <w:rFonts w:ascii="Times New Roman" w:hAnsi="Times New Roman" w:cs="Times New Roman"/>
          <w:sz w:val="24"/>
          <w:szCs w:val="24"/>
          <w:lang w:val="en-NZ"/>
        </w:rPr>
        <w:t>.</w:t>
      </w:r>
      <w:r w:rsidR="002E25AD" w:rsidRPr="001952B6">
        <w:rPr>
          <w:rFonts w:ascii="Times New Roman" w:hAnsi="Times New Roman" w:cs="Times New Roman"/>
          <w:sz w:val="24"/>
          <w:szCs w:val="24"/>
          <w:lang w:val="en-NZ"/>
        </w:rPr>
        <w:t xml:space="preserve"> </w:t>
      </w:r>
      <w:r w:rsidR="00B041EC" w:rsidRPr="001952B6">
        <w:rPr>
          <w:rFonts w:ascii="Times New Roman" w:hAnsi="Times New Roman" w:cs="Times New Roman"/>
          <w:sz w:val="24"/>
          <w:szCs w:val="24"/>
        </w:rPr>
        <w:t xml:space="preserve">Future trials that include participants with insufficient </w:t>
      </w:r>
      <w:r w:rsidR="004922A8" w:rsidRPr="001952B6">
        <w:rPr>
          <w:rFonts w:ascii="Times New Roman" w:hAnsi="Times New Roman" w:cs="Times New Roman"/>
          <w:sz w:val="24"/>
          <w:szCs w:val="24"/>
        </w:rPr>
        <w:t>levels of</w:t>
      </w:r>
      <w:r w:rsidR="00B041EC" w:rsidRPr="001952B6">
        <w:rPr>
          <w:rFonts w:ascii="Times New Roman" w:hAnsi="Times New Roman" w:cs="Times New Roman"/>
          <w:sz w:val="24"/>
          <w:szCs w:val="24"/>
        </w:rPr>
        <w:t xml:space="preserve"> 25(OH)D may help to overcome this limitation</w:t>
      </w:r>
      <w:r w:rsidR="002C6259" w:rsidRPr="001952B6">
        <w:rPr>
          <w:rFonts w:ascii="Times New Roman" w:hAnsi="Times New Roman" w:cs="Times New Roman"/>
          <w:sz w:val="24"/>
          <w:szCs w:val="24"/>
        </w:rPr>
        <w:t xml:space="preserve"> </w:t>
      </w:r>
      <w:r w:rsidR="00107C17" w:rsidRPr="001952B6">
        <w:rPr>
          <w:rFonts w:ascii="Times New Roman" w:hAnsi="Times New Roman" w:cs="Times New Roman"/>
          <w:sz w:val="24"/>
          <w:szCs w:val="24"/>
        </w:rPr>
        <w:t>(32)</w:t>
      </w:r>
      <w:r w:rsidR="00A715C6" w:rsidRPr="001952B6">
        <w:rPr>
          <w:rFonts w:ascii="Times New Roman" w:hAnsi="Times New Roman" w:cs="Times New Roman"/>
          <w:sz w:val="24"/>
          <w:szCs w:val="24"/>
        </w:rPr>
        <w:t xml:space="preserve">, although such studies would need to be carefully designed to address ethical considerations of assigning vitamin D deficient participants to a placebo </w:t>
      </w:r>
      <w:r w:rsidR="00107C17" w:rsidRPr="001952B6">
        <w:rPr>
          <w:rFonts w:ascii="Times New Roman" w:hAnsi="Times New Roman" w:cs="Times New Roman"/>
          <w:sz w:val="24"/>
          <w:szCs w:val="24"/>
        </w:rPr>
        <w:t>(43)</w:t>
      </w:r>
      <w:r w:rsidR="00B71EDC" w:rsidRPr="001952B6">
        <w:rPr>
          <w:rFonts w:ascii="Times New Roman" w:hAnsi="Times New Roman" w:cs="Times New Roman"/>
          <w:sz w:val="24"/>
          <w:szCs w:val="24"/>
        </w:rPr>
        <w:t xml:space="preserve">. </w:t>
      </w:r>
    </w:p>
    <w:p w:rsidR="007658E3" w:rsidRPr="001952B6" w:rsidRDefault="007658E3" w:rsidP="007658E3">
      <w:pPr>
        <w:autoSpaceDE w:val="0"/>
        <w:autoSpaceDN w:val="0"/>
        <w:adjustRightInd w:val="0"/>
        <w:spacing w:after="0" w:line="480" w:lineRule="auto"/>
        <w:rPr>
          <w:rFonts w:ascii="Times New Roman" w:hAnsi="Times New Roman" w:cs="Times New Roman"/>
          <w:sz w:val="24"/>
          <w:szCs w:val="24"/>
        </w:rPr>
      </w:pPr>
    </w:p>
    <w:p w:rsidR="0023495F" w:rsidRPr="001952B6" w:rsidRDefault="00077F2B" w:rsidP="007658E3">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Strengths of this study include </w:t>
      </w:r>
      <w:r w:rsidR="009E34D0" w:rsidRPr="001952B6">
        <w:rPr>
          <w:rFonts w:ascii="Times New Roman" w:hAnsi="Times New Roman" w:cs="Times New Roman"/>
          <w:sz w:val="24"/>
          <w:szCs w:val="24"/>
        </w:rPr>
        <w:t xml:space="preserve">its </w:t>
      </w:r>
      <w:r w:rsidRPr="001952B6">
        <w:rPr>
          <w:rFonts w:ascii="Times New Roman" w:hAnsi="Times New Roman" w:cs="Times New Roman"/>
          <w:sz w:val="24"/>
          <w:szCs w:val="24"/>
        </w:rPr>
        <w:t>very large sample size</w:t>
      </w:r>
      <w:r w:rsidR="009E34D0" w:rsidRPr="001952B6">
        <w:rPr>
          <w:rFonts w:ascii="Times New Roman" w:hAnsi="Times New Roman" w:cs="Times New Roman"/>
          <w:sz w:val="24"/>
          <w:szCs w:val="24"/>
        </w:rPr>
        <w:t>, and the</w:t>
      </w:r>
      <w:r w:rsidRPr="001952B6">
        <w:rPr>
          <w:rFonts w:ascii="Times New Roman" w:hAnsi="Times New Roman" w:cs="Times New Roman"/>
          <w:sz w:val="24"/>
          <w:szCs w:val="24"/>
        </w:rPr>
        <w:t xml:space="preserve"> </w:t>
      </w:r>
      <w:r w:rsidR="00241D08" w:rsidRPr="001952B6">
        <w:rPr>
          <w:rFonts w:ascii="Times New Roman" w:hAnsi="Times New Roman" w:cs="Times New Roman"/>
          <w:sz w:val="24"/>
          <w:szCs w:val="24"/>
        </w:rPr>
        <w:t>inclu</w:t>
      </w:r>
      <w:r w:rsidR="009E34D0" w:rsidRPr="001952B6">
        <w:rPr>
          <w:rFonts w:ascii="Times New Roman" w:hAnsi="Times New Roman" w:cs="Times New Roman"/>
          <w:sz w:val="24"/>
          <w:szCs w:val="24"/>
        </w:rPr>
        <w:t>sion of</w:t>
      </w:r>
      <w:r w:rsidR="00241D08" w:rsidRPr="001952B6">
        <w:rPr>
          <w:rFonts w:ascii="Times New Roman" w:hAnsi="Times New Roman" w:cs="Times New Roman"/>
          <w:sz w:val="24"/>
          <w:szCs w:val="24"/>
        </w:rPr>
        <w:t xml:space="preserve"> patients with a wide range of circulating concentrations of 25(OH)D</w:t>
      </w:r>
      <w:r w:rsidR="009E34D0" w:rsidRPr="001952B6">
        <w:rPr>
          <w:rFonts w:ascii="Times New Roman" w:hAnsi="Times New Roman" w:cs="Times New Roman"/>
          <w:sz w:val="24"/>
          <w:szCs w:val="24"/>
        </w:rPr>
        <w:t>.</w:t>
      </w:r>
      <w:r w:rsidR="0019635E" w:rsidRPr="001952B6">
        <w:rPr>
          <w:rFonts w:ascii="Times New Roman" w:hAnsi="Times New Roman" w:cs="Times New Roman"/>
          <w:sz w:val="24"/>
          <w:szCs w:val="24"/>
        </w:rPr>
        <w:t xml:space="preserve"> </w:t>
      </w:r>
      <w:r w:rsidR="00241D08" w:rsidRPr="001952B6">
        <w:rPr>
          <w:rFonts w:ascii="Times New Roman" w:hAnsi="Times New Roman" w:cs="Times New Roman"/>
          <w:sz w:val="24"/>
          <w:szCs w:val="24"/>
        </w:rPr>
        <w:t>More than 60% of this study population h</w:t>
      </w:r>
      <w:r w:rsidR="00542553" w:rsidRPr="001952B6">
        <w:rPr>
          <w:rFonts w:ascii="Times New Roman" w:hAnsi="Times New Roman" w:cs="Times New Roman"/>
          <w:sz w:val="24"/>
          <w:szCs w:val="24"/>
        </w:rPr>
        <w:t xml:space="preserve">ad 25(OH)D less than 50 nmol/L and just over 20% had values less than 25 nmol/L. </w:t>
      </w:r>
      <w:r w:rsidR="005534B0" w:rsidRPr="001952B6">
        <w:rPr>
          <w:rFonts w:ascii="Times New Roman" w:hAnsi="Times New Roman" w:cs="Times New Roman"/>
          <w:sz w:val="24"/>
          <w:szCs w:val="24"/>
        </w:rPr>
        <w:t xml:space="preserve">We were also able to include a number of risk factors for CVD including </w:t>
      </w:r>
      <w:r w:rsidR="000A4C10" w:rsidRPr="001952B6">
        <w:rPr>
          <w:rFonts w:ascii="Times New Roman" w:hAnsi="Times New Roman" w:cs="Times New Roman"/>
          <w:sz w:val="24"/>
          <w:szCs w:val="24"/>
        </w:rPr>
        <w:t xml:space="preserve">a diagnosis of </w:t>
      </w:r>
      <w:r w:rsidR="005534B0" w:rsidRPr="001952B6">
        <w:rPr>
          <w:rFonts w:ascii="Times New Roman" w:hAnsi="Times New Roman" w:cs="Times New Roman"/>
          <w:sz w:val="24"/>
          <w:szCs w:val="24"/>
        </w:rPr>
        <w:t>atrial fibrillation</w:t>
      </w:r>
      <w:r w:rsidR="004922A8" w:rsidRPr="001952B6">
        <w:rPr>
          <w:rFonts w:ascii="Times New Roman" w:hAnsi="Times New Roman" w:cs="Times New Roman"/>
          <w:sz w:val="24"/>
          <w:szCs w:val="24"/>
        </w:rPr>
        <w:t>, an important risk factor</w:t>
      </w:r>
      <w:r w:rsidR="00023DD9" w:rsidRPr="001952B6">
        <w:rPr>
          <w:rFonts w:ascii="Times New Roman" w:hAnsi="Times New Roman" w:cs="Times New Roman"/>
          <w:sz w:val="24"/>
          <w:szCs w:val="24"/>
        </w:rPr>
        <w:t>,</w:t>
      </w:r>
      <w:r w:rsidR="002B79F0" w:rsidRPr="001952B6">
        <w:rPr>
          <w:rFonts w:ascii="Times New Roman" w:hAnsi="Times New Roman" w:cs="Times New Roman"/>
          <w:sz w:val="24"/>
          <w:szCs w:val="24"/>
        </w:rPr>
        <w:t xml:space="preserve"> which has not been included as a confounding variable in many other cohort studies</w:t>
      </w:r>
      <w:r w:rsidR="005534B0" w:rsidRPr="001952B6">
        <w:rPr>
          <w:rFonts w:ascii="Times New Roman" w:hAnsi="Times New Roman" w:cs="Times New Roman"/>
          <w:sz w:val="24"/>
          <w:szCs w:val="24"/>
        </w:rPr>
        <w:t xml:space="preserve">. </w:t>
      </w:r>
      <w:r w:rsidR="002F7DE9" w:rsidRPr="001952B6">
        <w:rPr>
          <w:rFonts w:ascii="Times New Roman" w:hAnsi="Times New Roman" w:cs="Times New Roman"/>
          <w:sz w:val="24"/>
          <w:szCs w:val="24"/>
        </w:rPr>
        <w:t>Nevertheless</w:t>
      </w:r>
      <w:r w:rsidR="00B041EC" w:rsidRPr="001952B6">
        <w:rPr>
          <w:rFonts w:ascii="Times New Roman" w:hAnsi="Times New Roman" w:cs="Times New Roman"/>
          <w:sz w:val="24"/>
          <w:szCs w:val="24"/>
        </w:rPr>
        <w:t xml:space="preserve">, physical activity is not routinely collected in the THIN database so we were not able to adjust for this confounding variable. </w:t>
      </w:r>
      <w:r w:rsidR="00B041EC" w:rsidRPr="001952B6">
        <w:rPr>
          <w:rFonts w:ascii="Times New Roman" w:hAnsi="Times New Roman" w:cs="Times New Roman"/>
          <w:sz w:val="24"/>
          <w:szCs w:val="24"/>
        </w:rPr>
        <w:lastRenderedPageBreak/>
        <w:t xml:space="preserve">Moreover, while heterogeneity in the associations was examined in a range of subgroups, it is possible that there may be residual confounding in the associations with 25(OH)D. </w:t>
      </w:r>
      <w:r w:rsidR="0019635E" w:rsidRPr="001952B6">
        <w:rPr>
          <w:rFonts w:ascii="Times New Roman" w:hAnsi="Times New Roman" w:cs="Times New Roman"/>
          <w:sz w:val="24"/>
          <w:szCs w:val="24"/>
        </w:rPr>
        <w:t xml:space="preserve">There </w:t>
      </w:r>
      <w:r w:rsidR="00B041EC" w:rsidRPr="001952B6">
        <w:rPr>
          <w:rFonts w:ascii="Times New Roman" w:hAnsi="Times New Roman" w:cs="Times New Roman"/>
          <w:sz w:val="24"/>
          <w:szCs w:val="24"/>
        </w:rPr>
        <w:t xml:space="preserve">was a </w:t>
      </w:r>
      <w:r w:rsidR="00331C84" w:rsidRPr="001952B6">
        <w:rPr>
          <w:rFonts w:ascii="Times New Roman" w:hAnsi="Times New Roman" w:cs="Times New Roman"/>
          <w:sz w:val="24"/>
          <w:szCs w:val="24"/>
        </w:rPr>
        <w:t>greater number of women compared with men</w:t>
      </w:r>
      <w:r w:rsidR="00B041EC" w:rsidRPr="001952B6">
        <w:rPr>
          <w:rFonts w:ascii="Times New Roman" w:hAnsi="Times New Roman" w:cs="Times New Roman"/>
          <w:sz w:val="24"/>
          <w:szCs w:val="24"/>
        </w:rPr>
        <w:t xml:space="preserve"> because t</w:t>
      </w:r>
      <w:r w:rsidR="00331C84" w:rsidRPr="001952B6">
        <w:rPr>
          <w:rFonts w:ascii="Times New Roman" w:hAnsi="Times New Roman" w:cs="Times New Roman"/>
          <w:sz w:val="24"/>
          <w:szCs w:val="24"/>
        </w:rPr>
        <w:t>h</w:t>
      </w:r>
      <w:r w:rsidR="006911D1" w:rsidRPr="001952B6">
        <w:rPr>
          <w:rFonts w:ascii="Times New Roman" w:hAnsi="Times New Roman" w:cs="Times New Roman"/>
          <w:sz w:val="24"/>
          <w:szCs w:val="24"/>
        </w:rPr>
        <w:t>is</w:t>
      </w:r>
      <w:r w:rsidR="00331C84" w:rsidRPr="001952B6">
        <w:rPr>
          <w:rFonts w:ascii="Times New Roman" w:hAnsi="Times New Roman" w:cs="Times New Roman"/>
          <w:sz w:val="24"/>
          <w:szCs w:val="24"/>
        </w:rPr>
        <w:t xml:space="preserve"> cohort was taken from</w:t>
      </w:r>
      <w:r w:rsidR="00B041EC" w:rsidRPr="001952B6">
        <w:rPr>
          <w:rFonts w:ascii="Times New Roman" w:hAnsi="Times New Roman" w:cs="Times New Roman"/>
          <w:sz w:val="24"/>
          <w:szCs w:val="24"/>
        </w:rPr>
        <w:t xml:space="preserve"> a population </w:t>
      </w:r>
      <w:r w:rsidR="00FC3E7E" w:rsidRPr="001952B6">
        <w:rPr>
          <w:rFonts w:ascii="Times New Roman" w:hAnsi="Times New Roman" w:cs="Times New Roman"/>
          <w:sz w:val="24"/>
          <w:szCs w:val="24"/>
        </w:rPr>
        <w:t>who were tested for vitamin D deficiency in primary care and women were more likely to be tested</w:t>
      </w:r>
      <w:r w:rsidR="00C116A0" w:rsidRPr="001952B6">
        <w:rPr>
          <w:rFonts w:ascii="Times New Roman" w:hAnsi="Times New Roman" w:cs="Times New Roman"/>
          <w:sz w:val="24"/>
          <w:szCs w:val="24"/>
        </w:rPr>
        <w:t xml:space="preserve"> </w:t>
      </w:r>
      <w:r w:rsidR="0091725A" w:rsidRPr="001952B6">
        <w:rPr>
          <w:rFonts w:ascii="Times New Roman" w:hAnsi="Times New Roman" w:cs="Times New Roman"/>
          <w:sz w:val="24"/>
          <w:szCs w:val="24"/>
        </w:rPr>
        <w:t>than men</w:t>
      </w:r>
      <w:r w:rsidR="002E0B84" w:rsidRPr="001952B6">
        <w:rPr>
          <w:rFonts w:ascii="Times New Roman" w:hAnsi="Times New Roman" w:cs="Times New Roman"/>
          <w:sz w:val="24"/>
          <w:szCs w:val="24"/>
        </w:rPr>
        <w:t xml:space="preserve"> </w:t>
      </w:r>
      <w:r w:rsidR="00107C17" w:rsidRPr="001952B6">
        <w:rPr>
          <w:rFonts w:ascii="Times New Roman" w:hAnsi="Times New Roman" w:cs="Times New Roman"/>
          <w:sz w:val="24"/>
          <w:szCs w:val="24"/>
        </w:rPr>
        <w:t>(12)</w:t>
      </w:r>
      <w:r w:rsidR="002E0B84" w:rsidRPr="001952B6">
        <w:rPr>
          <w:rFonts w:ascii="Times New Roman" w:hAnsi="Times New Roman" w:cs="Times New Roman"/>
          <w:sz w:val="24"/>
          <w:szCs w:val="24"/>
        </w:rPr>
        <w:t>.</w:t>
      </w:r>
      <w:r w:rsidR="00AB0715" w:rsidRPr="001952B6">
        <w:rPr>
          <w:rFonts w:ascii="Times New Roman" w:hAnsi="Times New Roman" w:cs="Times New Roman"/>
          <w:sz w:val="24"/>
          <w:szCs w:val="24"/>
        </w:rPr>
        <w:t xml:space="preserve"> Despite this</w:t>
      </w:r>
      <w:r w:rsidR="00CA554D" w:rsidRPr="001952B6">
        <w:rPr>
          <w:rFonts w:ascii="Times New Roman" w:hAnsi="Times New Roman" w:cs="Times New Roman"/>
          <w:sz w:val="24"/>
          <w:szCs w:val="24"/>
        </w:rPr>
        <w:t xml:space="preserve"> imbalance</w:t>
      </w:r>
      <w:r w:rsidR="00AB0715" w:rsidRPr="001952B6">
        <w:rPr>
          <w:rFonts w:ascii="Times New Roman" w:hAnsi="Times New Roman" w:cs="Times New Roman"/>
          <w:sz w:val="24"/>
          <w:szCs w:val="24"/>
        </w:rPr>
        <w:t xml:space="preserve">, </w:t>
      </w:r>
      <w:r w:rsidR="00210149" w:rsidRPr="001952B6">
        <w:rPr>
          <w:rFonts w:ascii="Times New Roman" w:hAnsi="Times New Roman" w:cs="Times New Roman"/>
          <w:sz w:val="24"/>
          <w:szCs w:val="24"/>
        </w:rPr>
        <w:t xml:space="preserve">there was </w:t>
      </w:r>
      <w:r w:rsidR="00CC1044" w:rsidRPr="001952B6">
        <w:rPr>
          <w:rFonts w:ascii="Times New Roman" w:hAnsi="Times New Roman" w:cs="Times New Roman"/>
          <w:sz w:val="24"/>
          <w:szCs w:val="24"/>
        </w:rPr>
        <w:t xml:space="preserve">no evidence that the associations of </w:t>
      </w:r>
      <w:r w:rsidR="001818B4" w:rsidRPr="001952B6">
        <w:rPr>
          <w:rFonts w:ascii="Times New Roman" w:hAnsi="Times New Roman" w:cs="Times New Roman"/>
          <w:sz w:val="24"/>
          <w:szCs w:val="24"/>
        </w:rPr>
        <w:t>25(OH)D</w:t>
      </w:r>
      <w:r w:rsidR="00CC1044" w:rsidRPr="001952B6">
        <w:rPr>
          <w:rFonts w:ascii="Times New Roman" w:hAnsi="Times New Roman" w:cs="Times New Roman"/>
          <w:sz w:val="24"/>
          <w:szCs w:val="24"/>
        </w:rPr>
        <w:t xml:space="preserve"> with risk of CVD and mortality differed between men and women.</w:t>
      </w:r>
      <w:r w:rsidR="0019635E" w:rsidRPr="001952B6">
        <w:rPr>
          <w:rFonts w:ascii="Times New Roman" w:hAnsi="Times New Roman" w:cs="Times New Roman"/>
          <w:sz w:val="24"/>
          <w:szCs w:val="24"/>
        </w:rPr>
        <w:t xml:space="preserve"> </w:t>
      </w:r>
    </w:p>
    <w:p w:rsidR="007658E3" w:rsidRPr="001952B6" w:rsidRDefault="007658E3" w:rsidP="007658E3">
      <w:pPr>
        <w:autoSpaceDE w:val="0"/>
        <w:autoSpaceDN w:val="0"/>
        <w:adjustRightInd w:val="0"/>
        <w:spacing w:after="0" w:line="480" w:lineRule="auto"/>
        <w:rPr>
          <w:rFonts w:ascii="Times New Roman" w:hAnsi="Times New Roman" w:cs="Times New Roman"/>
          <w:sz w:val="24"/>
          <w:szCs w:val="24"/>
        </w:rPr>
      </w:pPr>
    </w:p>
    <w:p w:rsidR="00703F94" w:rsidRPr="001952B6" w:rsidRDefault="00B041EC" w:rsidP="00575E33">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In summary, the evidence from this large prospective study suggests that circulating concentrations of 25(OH)D less than 35 nmol/L are associated with an increased risk of </w:t>
      </w:r>
      <w:r w:rsidR="002F7DE9" w:rsidRPr="001952B6">
        <w:rPr>
          <w:rFonts w:ascii="Times New Roman" w:hAnsi="Times New Roman" w:cs="Times New Roman"/>
          <w:sz w:val="24"/>
          <w:szCs w:val="24"/>
        </w:rPr>
        <w:t>CVD</w:t>
      </w:r>
      <w:r w:rsidRPr="001952B6">
        <w:rPr>
          <w:rFonts w:ascii="Times New Roman" w:hAnsi="Times New Roman" w:cs="Times New Roman"/>
          <w:sz w:val="24"/>
          <w:szCs w:val="24"/>
        </w:rPr>
        <w:t xml:space="preserve"> and mortality. Taken together with strong evidence of these associations from other observational studies, these results suggest that the effects of vitamin D supplementation on CVD should be investigated in future large clinical trials that </w:t>
      </w:r>
      <w:r w:rsidR="00667524" w:rsidRPr="001952B6">
        <w:rPr>
          <w:rFonts w:ascii="Times New Roman" w:hAnsi="Times New Roman" w:cs="Times New Roman"/>
          <w:sz w:val="24"/>
          <w:szCs w:val="24"/>
        </w:rPr>
        <w:t xml:space="preserve">include </w:t>
      </w:r>
      <w:r w:rsidR="00A5312B" w:rsidRPr="001952B6">
        <w:rPr>
          <w:rFonts w:ascii="Times New Roman" w:hAnsi="Times New Roman" w:cs="Times New Roman"/>
          <w:sz w:val="24"/>
          <w:szCs w:val="24"/>
        </w:rPr>
        <w:t>large number of</w:t>
      </w:r>
      <w:r w:rsidRPr="001952B6">
        <w:rPr>
          <w:rFonts w:ascii="Times New Roman" w:hAnsi="Times New Roman" w:cs="Times New Roman"/>
          <w:sz w:val="24"/>
          <w:szCs w:val="24"/>
        </w:rPr>
        <w:t xml:space="preserve"> vitamin D insufficient participants. </w:t>
      </w:r>
      <w:r w:rsidR="00703F94" w:rsidRPr="001952B6">
        <w:rPr>
          <w:rFonts w:ascii="Times New Roman" w:hAnsi="Times New Roman" w:cs="Times New Roman"/>
          <w:sz w:val="24"/>
          <w:szCs w:val="24"/>
        </w:rPr>
        <w:br w:type="page"/>
      </w:r>
    </w:p>
    <w:p w:rsidR="00A80036" w:rsidRPr="001952B6" w:rsidRDefault="00A80036" w:rsidP="00A80036">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Sources of funding</w:t>
      </w:r>
    </w:p>
    <w:p w:rsidR="00A80036" w:rsidRPr="001952B6" w:rsidRDefault="00A80036" w:rsidP="00A80036">
      <w:pPr>
        <w:tabs>
          <w:tab w:val="left" w:pos="1843"/>
        </w:tabs>
        <w:spacing w:before="60" w:after="20" w:line="480" w:lineRule="auto"/>
        <w:rPr>
          <w:rFonts w:ascii="Times New Roman" w:hAnsi="Times New Roman" w:cs="Times New Roman"/>
          <w:sz w:val="24"/>
          <w:szCs w:val="24"/>
        </w:rPr>
      </w:pPr>
      <w:r w:rsidRPr="001952B6">
        <w:rPr>
          <w:rFonts w:ascii="Times New Roman" w:hAnsi="Times New Roman" w:cs="Times New Roman"/>
          <w:sz w:val="24"/>
          <w:szCs w:val="24"/>
        </w:rPr>
        <w:t>No specific funding was received for this work</w:t>
      </w:r>
    </w:p>
    <w:p w:rsidR="00A80036" w:rsidRPr="001952B6" w:rsidRDefault="00EF6F9A" w:rsidP="00A80036">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b/>
          <w:sz w:val="24"/>
          <w:szCs w:val="24"/>
        </w:rPr>
        <w:t>Declarations of interest</w:t>
      </w:r>
    </w:p>
    <w:p w:rsidR="005524DF" w:rsidRPr="001952B6" w:rsidRDefault="00656C32" w:rsidP="00584221">
      <w:pPr>
        <w:tabs>
          <w:tab w:val="left" w:pos="1843"/>
        </w:tabs>
        <w:spacing w:before="60" w:after="20" w:line="480" w:lineRule="auto"/>
        <w:rPr>
          <w:rFonts w:ascii="Times New Roman" w:hAnsi="Times New Roman" w:cs="Times New Roman"/>
          <w:b/>
          <w:sz w:val="24"/>
          <w:szCs w:val="24"/>
        </w:rPr>
      </w:pPr>
      <w:r w:rsidRPr="001952B6">
        <w:rPr>
          <w:rFonts w:ascii="Times New Roman" w:hAnsi="Times New Roman" w:cs="Times New Roman"/>
          <w:sz w:val="24"/>
          <w:szCs w:val="24"/>
        </w:rPr>
        <w:t>None</w:t>
      </w:r>
      <w:r w:rsidR="005524DF" w:rsidRPr="001952B6">
        <w:rPr>
          <w:rFonts w:ascii="Times New Roman" w:hAnsi="Times New Roman" w:cs="Times New Roman"/>
          <w:b/>
          <w:sz w:val="24"/>
          <w:szCs w:val="24"/>
        </w:rPr>
        <w:br w:type="page"/>
      </w:r>
    </w:p>
    <w:p w:rsidR="00B053F7" w:rsidRPr="001952B6" w:rsidRDefault="00703F94" w:rsidP="0061372F">
      <w:pPr>
        <w:autoSpaceDE w:val="0"/>
        <w:autoSpaceDN w:val="0"/>
        <w:adjustRightInd w:val="0"/>
        <w:spacing w:after="0" w:line="36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References</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  Zhang R, Li B, Gao X, Tian R, Pan Y, Jiang Y, Gu H, Wang Y, Wang Y, Liu G. Serum 25-hydroxyVitamin D and the risk of cardiovascular disease: Dose-response meta-analysis of prospective studies1-3. Am J Clin Nutr 2017;105:810-9.</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  Wang TJ, Pencina MJ, Booth SL, Jacques PF, Ingelsson E, Lanier K, Benjamin EJ, D'Agostino RB, Wolf M, Vasan RS. Vitamin D deficiency and risk of cardiovascular disease. Circulation 2008;117:503-11.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  Semba RD, Houston DK, Bandinelli S, Sun K, Cherubini A, Cappola AR, Guralnik JM, Ferrucci L. Relationship of 25-hydroxyvitamin D with all-cause and cardiovascular disease mortality in older community-dwelling adults. Eur J Clin Nutr 2010;64:203-9.</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4.  Garland CF, Kim JJ, Mohr SB, Gorham ED, Grant WB, Giovannucci EL, Baggerly L, Hofflich H, Ramsdell JW, Zeng K, et al. Meta-analysis of all-cause mortality according to serum 25-hydroxyvitamin D. Am J Public Health 2014;104:e43-50.</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5.  Gaksch M, Jorde R, Grimnes G, Joakimsen R, Schirmer H, Wilsgaard T, Mathiesen EB, Njølstad I, Løchen M-, Maürz W, et al. Vitamin D and mortality: Individual participant data meta-analysis of standardized 25-hydroxyvitamin D in 26916 individuals from a European consortium. PLoS ONE 2017;12:e0170791.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6.  Degerud E, Nygard O, de Vogel S, Hoff R, Svingen GFT, Pedersen ER, Nilsen DWT, Nordrehaug JE, Midttun O, Ueland PM, et al. Plasma 25-Hydroxyvitamin D and Mortality in Patients With Suspected Stable Angina Pectoris. J Clin Endocrinol Metab 2018;103:1161-70.</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7.  Zhu K, Knuiman M, Divitini M, Hung J, Lim EM, Cooke BR, Walsh JP. Serum 25-hydroxyvitamin D as a predictor of mortality and cardiovascular events: A 20-year study of a community-based cohort. Clin Endocrinol (Oxf) 2018;88:154-63.</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 xml:space="preserve">8.  </w:t>
      </w:r>
      <w:bookmarkStart w:id="0" w:name="_GoBack"/>
      <w:r w:rsidRPr="001952B6">
        <w:rPr>
          <w:rFonts w:ascii="Times New Roman" w:hAnsi="Times New Roman" w:cs="Times New Roman"/>
          <w:sz w:val="24"/>
          <w:szCs w:val="24"/>
        </w:rPr>
        <w:t>Autier P, Mullie P, Macacu A, Dragomir M, Boniol M, Coppens K, Pizot C, Boniol M. Effect of vitamin D supplementation on non-skeletal disorders: a systematic review of meta-analyses and randomised trials. Lancet Diabetes Endocrinol 2017;5:986-1004.</w:t>
      </w:r>
    </w:p>
    <w:bookmarkEnd w:id="0"/>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9.  Rejnmark L, Bislev LS, Cashman KD, Eiríksdottir G, Gaksch M, Grübler M, Grimnes G, Gudnason V, Lips P, Pilz S, et al. Non-skeletal health effects of Vitamin D supplementation: A systematic review on findings from meta-Analyses summarizing trial data. PLoS ONE 2017;12:e0180512.</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10.  Scragg R, Stewart AW, Waayer D, Lawes CMM, Toop L, Sluyter J, Murphy J, Khaw K-, Camargo CA. Effect of monthly high-dose vitamin D supplementation on cardiovascular disease in the vitamin D assessment study: A randomized clinical trial. JAMA Cardiol 2017;2:608-16.</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11.  Manson JE, Cook NR, Lee IM, Christen W, Bassuk SS, Mora S, Gibson H, Gordon D, Copeland T, D'Agostino D, et al. Vitamin D Supplements and Prevention of Cancer and Cardiovascular Disease. N Engl J Med 2019;380:33-44.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12.  Crowe FL, Jolly K, MacArthur C, Manaseki-Holland S, Gittoes NJL, Hewison M, Scragg R, Nirantharakumar K. Trends in the incidence of testing for vitamin D deficiency in primary care in the United Kingdom: a retrospective analysis of The Health Improvement Network (THIN), 2005 to 2015. BMJ Open 2019;9:e028355.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13.  Blak BT, Thompson M, Dattani H, Bourke A. Generalisability of the Health Improvement Network (THIN) database: Demographics, chronic disease prevalence and mortality rates. Informatics Prim Care 2011;19:251-5.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14.  Booth N. What are the Read Codes? Health Libr Rev 1994;11:177-82.</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15.  Maguire A, Blak BT, Thompson M. The importance of defining periods of complete mortality reporting for research using automated data from primary care. Pharmacoepidemiol Drug Saf 2009;18:76-83.</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16.  Horsfall L, Walters K, Petersen I. Identifying periods of acceptable computer usage in primary care research databases. Pharmacoepidemiol Drug Saf 2013;22:64-9.</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17.  Gaist D, Wallander MA, Gonzalez-Perez A, Garcia-Rodriguez LA. Incidence of hemorrhagic stroke in the general population: validation of data from The Health Improvement Network. Pharmacoepidemiol Drug Saf 2013;22:176-82.</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18.  Hammad TA, McAdams MA, Feight A, Iyasu S, Dal Pan GJ. Determining the predictive value of Read/OXMIS codes to identify incident acute myocardial infarction in the General Practice Research Database. Pharmacoepidemiol Drug Saf 2008;17:1197-201.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19.  Ruigomez A, Martin-Merino E, Rodriguez LA. Validation of ischemic cerebrovascular diagnoses in the health improvement network (THIN). Pharmacoepidemiol Drug Saf 2010;19:579-85.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20.  Herrett E, Thomas SL, Schoonen WM, Smeeth L, Hall AJ. Validation and validity of diagnoses in the General Practice Research Database: a systematic review. Br J Clin Pharmacol 2010;69:4-14.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21.  Sachs MC, Shoben A, Levin GP, Robinson-Cohen C, Hoofnagle AN, Swords-Jenny N, Ix JH, Budoff M, Lutsey PL, Siscovick DS, et al. Estimating mean annual 25-hydroxyvitamin D concentrations from single measurements: The Multi-Ethnic Study of Atherosclerosis. Am J Clin Nutr 2013;97:1243-51.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22.  Bates B, Lennox A, Prentice A, et al. National Diet and Nutrition Survey Results from Years 5 and 6 (combined) of the Rolling Programme (2012/2013 – 2013/14). London: Public Health England, 2016.</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23.  Theodoratou E, Tzoulaki I, Zgaga L, Ioannidis JPA. Vitamin D and multiple health outcomes: Umbrella review of systematic reviews and meta-analyses of observational stu</w:t>
      </w:r>
      <w:r w:rsidRPr="001952B6">
        <w:rPr>
          <w:rFonts w:ascii="Times New Roman" w:hAnsi="Times New Roman" w:cs="Times New Roman"/>
          <w:sz w:val="24"/>
          <w:szCs w:val="24"/>
        </w:rPr>
        <w:t>dies and randomised trials. BMJ</w:t>
      </w:r>
      <w:r w:rsidRPr="001952B6">
        <w:rPr>
          <w:rFonts w:ascii="Times New Roman" w:hAnsi="Times New Roman" w:cs="Times New Roman"/>
          <w:sz w:val="24"/>
          <w:szCs w:val="24"/>
        </w:rPr>
        <w:t xml:space="preserve"> 2014;348:g2035.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24.  Anderson JL, May HT, Horne BD, Bair TL, Hall NL, Carlquist JF, Lapp DL, Muhlestein JB. Relation of vitamin D deficiency to cardiovascular risk factors, disease status, and incident events in a general healthcare population. Am J Cardiol 2010;106:963-8.</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25.  Lutsey PL, Eckfeldt JH, Ogagarue ER, Folsom AR, Michos ED, Gross M. The 25-hydroxyvitamin D3C-3 epimer: Distribution, correlates, and reclassification of 25-hydroxyvitamin D status in the population-based Atherosclerosis Risk in Communities Study (ARIC). Clin Chim Acta 2015;442:75-81.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26.  Bansal N, Zelnick L, Robinson-Cohen C, Hoofnagle AN, Ix JH, Lima JA, Shoben AB, Peralta CA, Siscovick DS, Kestenbaum B, et al. Serum parathyroid hormone and 25-hydroxyvitamin d concentrations and risk of incident heart failure: The Multi-Ethnic Study of Atherosclerosis. J Am Heart Assoc 2014;3:e001278.</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27.  Giuseppe RD, Buijsse B, Hirche F, Wirth J, Arregui M, Westphal S, Isermann B, Hense HW, Dierkes J, Boeing H, et al. Plasma fibroblast growth factor 23, parathyroid hormone, 25-hydroxyvitamin D3, and risk of heart failure: A prospective, case-cohort study. J Clin Endocrinol Metab 2014;99:947-55.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28.  Wannamethee GS, Welsh PW, Papacosta OP, Lennon L, Whincup PH, Sattar N. Elevated parathyroid hormone, but not vitamin D deficiency, is associated with increased risk of heart failure in older men with and without cardiovascular disease. Circ Heart Fail 2014;7:732-9.</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29.  Schöttker B, Jorde R, Peasey A, Thorand B, Jansen EHJM, De Groot L, Streppel M, Gardiner J, Ordóñez-Mena JM, Perna L, et al. Vitamin D and mortality: Meta-analysis of individual participant data from a large consortium of cohort studies from Europe and the United States. BMJ 2014;348:g3656.</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30.  Chowdhury R, Kunutsor S, Vitezova A, Oliver-Williams C, Chowdhury S, Kiefte-De-Jong JC, Khan H, Baena CP, Prabhakaran D, Hoshen MB, et al. Vitamin D and risk of cause specific death: Systematic review and meta-analysis of observational cohort and randomised intervention studies. BMJ 2014;348:g1903.</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31.  Durup D, Jorgensen HL, Christensen J, Tjonneland A, Olsen A, Halkjaer J, Lind B, Heegaard AM, Schwarz P. A Reverse J-Shaped Association Between Serum 25-Hydroxyvitamin D and Cardiovascular Disease Mortality: The CopD Study. J Clin Endocrinol Metab 2015;100:2339-46.</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32.  Jorde R. RCTS are the only appropriate way to demonstrate the role of vitamin D in health. J Steroid Biochem Mol Biol 2018;177:10-4.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33.  Ensrud KE, Ewing SK, Fredman L, Hochberg MC, Cauley JA, Hillier TA, Cummings SR, Yaffe K, Cawthon PM, Study of Osteoporotic Fractures Research Group. Circulating 25-hydroxyvitamin D levels and frailty status in older women. J Clin Endocrinol Metab 2010;95:5266-73.</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34.  Rebsamen MC, Sun J, Norman AW, Liao JK. 1a,25-dihydroxyvitamin D3 induces vascular smooth muscle cell migration via activation of phosphatidylinositol 3-kinase. Circ Res 2002;91:17-24.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35.  Mousa A, Naderpoor N, Teede H, Scragg R, de Courten B. Vitamin D supplementation for improvement of chronic low-grade inflammation in patients with type 2 diabetes: A systematic review and meta-analysis of randomized controlled trials. Nutr Rev 2018;76:380-94.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36.  Mousa A, Misso M, Teede H, Scragg R, De Courten B. Effect of Vitamin D supplementation on inflammation: Protocol for a systematic review. BMJ Open 2016;6:e010804.</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37.  Swart KMA, Lips P, Brouwer IA, Jorde R, Heymans MW, Grimnes G, Grübler MR, Gaksch M, Tomaschitz A, Pilz S, et al. Effects of Vitamin D supplementation on markers for cardiovascular disease and type 2 diabetes: An individual participant data meta-analysis of randomized controlled trials. Am J Clin Nutr 2018;107:1043-53.</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lastRenderedPageBreak/>
        <w:t>38.  Meyer HE, Holvik K, Lips P. Should vitamin D supplements be recommended to prevent chronic diseases? BMJ 2015;350:h321.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39.  Jorde R, Schirmer H, Wilsgaard T, Joakimsen RM, Mat</w:t>
      </w:r>
      <w:r w:rsidR="006E29D9" w:rsidRPr="001952B6">
        <w:rPr>
          <w:rFonts w:ascii="Times New Roman" w:hAnsi="Times New Roman" w:cs="Times New Roman"/>
          <w:sz w:val="24"/>
          <w:szCs w:val="24"/>
        </w:rPr>
        <w:t>hiesen EB, Njølstad I, Løchen M</w:t>
      </w:r>
      <w:r w:rsidRPr="001952B6">
        <w:rPr>
          <w:rFonts w:ascii="Times New Roman" w:hAnsi="Times New Roman" w:cs="Times New Roman"/>
          <w:sz w:val="24"/>
          <w:szCs w:val="24"/>
        </w:rPr>
        <w:t>, Figenschau Y, Berg JP, Svartberg J, et al. Polymorphisms related to the serum 25-Hydroxyvitamin D level and risk of Myocardial infarction, diabetes, cancer and mortality. The Tromsø study. PLoS ONE 2012;7</w:t>
      </w:r>
      <w:r w:rsidR="008C54DF" w:rsidRPr="001952B6">
        <w:rPr>
          <w:rFonts w:ascii="Times New Roman" w:hAnsi="Times New Roman" w:cs="Times New Roman"/>
          <w:sz w:val="24"/>
          <w:szCs w:val="24"/>
        </w:rPr>
        <w:t>(5):e37295</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40.  Afzal S, Brøndum-Jacobsen P, Bojesen SE, Nordestgaard BG. Genetically low vitamin D concentrations and increased mortality: Mendelian randomisation analysis in three large cohorts. BMJ 2014;349:</w:t>
      </w:r>
      <w:r w:rsidR="008C54DF" w:rsidRPr="001952B6">
        <w:t xml:space="preserve"> </w:t>
      </w:r>
      <w:r w:rsidR="008C54DF" w:rsidRPr="001952B6">
        <w:rPr>
          <w:rFonts w:ascii="Times New Roman" w:hAnsi="Times New Roman" w:cs="Times New Roman"/>
          <w:sz w:val="24"/>
          <w:szCs w:val="24"/>
        </w:rPr>
        <w:t>g6330</w:t>
      </w:r>
      <w:r w:rsidR="00B2728E" w:rsidRPr="001952B6">
        <w:rPr>
          <w:rFonts w:ascii="Times New Roman" w:hAnsi="Times New Roman" w:cs="Times New Roman"/>
          <w:sz w:val="24"/>
          <w:szCs w:val="24"/>
        </w:rPr>
        <w:t>.</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41.  Brøndum-Jacobsen P, Benn M, Afzal S, Nordestgaard BG. No evidence that genetically reduced 25-hydroxyvitamin D is associated with increased risk of ischaemic heart disease or myocardial infarction: A Mendelian randomization study. Int J Epidemiol 2015;44:651-61.</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42.  Manousaki D, Mokry LE, Ross S, Goltzman D, Brent Richards J. Mendelian Randomization Studies Do Not Support a Role for Vitamin D in Coronary Artery Disease. Circ Cardiovasc Genet 2016;9:349-56.</w:t>
      </w:r>
    </w:p>
    <w:p w:rsidR="00C92679" w:rsidRPr="001952B6" w:rsidRDefault="00C92679" w:rsidP="00C92679">
      <w:pPr>
        <w:autoSpaceDE w:val="0"/>
        <w:autoSpaceDN w:val="0"/>
        <w:adjustRightInd w:val="0"/>
        <w:spacing w:after="0" w:line="480" w:lineRule="auto"/>
        <w:rPr>
          <w:rFonts w:ascii="Times New Roman" w:hAnsi="Times New Roman" w:cs="Times New Roman"/>
          <w:sz w:val="24"/>
          <w:szCs w:val="24"/>
        </w:rPr>
      </w:pPr>
      <w:r w:rsidRPr="001952B6">
        <w:rPr>
          <w:rFonts w:ascii="Times New Roman" w:hAnsi="Times New Roman" w:cs="Times New Roman"/>
          <w:sz w:val="24"/>
          <w:szCs w:val="24"/>
        </w:rPr>
        <w:t>43.  Scragg R. Limitations of vitamin D supplementation trials: Why observational studies will continue to help determine the role of vitamin D in health. J Steroid Biochem Mol Biol 2018;177:6-9.</w:t>
      </w:r>
    </w:p>
    <w:p w:rsidR="00C92679" w:rsidRPr="001952B6" w:rsidRDefault="00C92679" w:rsidP="0061372F">
      <w:pPr>
        <w:autoSpaceDE w:val="0"/>
        <w:autoSpaceDN w:val="0"/>
        <w:adjustRightInd w:val="0"/>
        <w:spacing w:after="0" w:line="360" w:lineRule="auto"/>
        <w:rPr>
          <w:rFonts w:ascii="Times New Roman" w:hAnsi="Times New Roman" w:cs="Times New Roman"/>
          <w:b/>
          <w:sz w:val="24"/>
          <w:szCs w:val="24"/>
        </w:rPr>
        <w:sectPr w:rsidR="00C92679" w:rsidRPr="001952B6" w:rsidSect="00C92679">
          <w:pgSz w:w="11906" w:h="16838"/>
          <w:pgMar w:top="1440" w:right="1440" w:bottom="1440" w:left="1440" w:header="708" w:footer="708" w:gutter="0"/>
          <w:lnNumType w:countBy="1"/>
          <w:cols w:space="708"/>
          <w:docGrid w:linePitch="360"/>
        </w:sectPr>
      </w:pPr>
    </w:p>
    <w:p w:rsidR="00825AD3" w:rsidRPr="001952B6" w:rsidRDefault="00825AD3" w:rsidP="00825AD3">
      <w:pPr>
        <w:spacing w:line="360" w:lineRule="auto"/>
        <w:rPr>
          <w:rFonts w:ascii="Times New Roman" w:hAnsi="Times New Roman" w:cs="Times New Roman"/>
          <w:b/>
          <w:sz w:val="24"/>
          <w:szCs w:val="24"/>
        </w:rPr>
      </w:pPr>
      <w:r w:rsidRPr="001952B6">
        <w:rPr>
          <w:rFonts w:ascii="Times New Roman" w:hAnsi="Times New Roman" w:cs="Times New Roman"/>
          <w:b/>
          <w:sz w:val="24"/>
          <w:szCs w:val="24"/>
        </w:rPr>
        <w:lastRenderedPageBreak/>
        <w:t>Supplementary material</w:t>
      </w:r>
      <w:r w:rsidRPr="001952B6">
        <w:rPr>
          <w:rFonts w:ascii="Times New Roman" w:hAnsi="Times New Roman" w:cs="Times New Roman"/>
          <w:b/>
          <w:sz w:val="24"/>
          <w:szCs w:val="24"/>
        </w:rPr>
        <w:br w:type="page"/>
      </w:r>
    </w:p>
    <w:p w:rsidR="00825AD3" w:rsidRPr="001952B6" w:rsidRDefault="00825AD3" w:rsidP="00825AD3">
      <w:pPr>
        <w:spacing w:line="360" w:lineRule="auto"/>
        <w:rPr>
          <w:rFonts w:ascii="Times New Roman" w:hAnsi="Times New Roman" w:cs="Times New Roman"/>
          <w:sz w:val="24"/>
          <w:szCs w:val="24"/>
        </w:rPr>
      </w:pPr>
    </w:p>
    <w:p w:rsidR="00825AD3" w:rsidRPr="001952B6" w:rsidRDefault="00543BC4" w:rsidP="00825AD3">
      <w:pPr>
        <w:spacing w:line="360" w:lineRule="auto"/>
        <w:rPr>
          <w:rFonts w:ascii="Times New Roman" w:hAnsi="Times New Roman" w:cs="Times New Roman"/>
          <w:sz w:val="24"/>
          <w:szCs w:val="24"/>
        </w:rPr>
      </w:pPr>
      <w:r w:rsidRPr="001952B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63DACE" wp14:editId="33CDD04D">
                <wp:simplePos x="0" y="0"/>
                <wp:positionH relativeFrom="column">
                  <wp:posOffset>185420</wp:posOffset>
                </wp:positionH>
                <wp:positionV relativeFrom="paragraph">
                  <wp:posOffset>42545</wp:posOffset>
                </wp:positionV>
                <wp:extent cx="5515610" cy="319405"/>
                <wp:effectExtent l="0" t="0" r="27940" b="23495"/>
                <wp:wrapNone/>
                <wp:docPr id="1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5610" cy="319405"/>
                        </a:xfrm>
                        <a:prstGeom prst="rect">
                          <a:avLst/>
                        </a:prstGeom>
                        <a:noFill/>
                        <a:ln w="12700">
                          <a:solidFill>
                            <a:schemeClr val="tx1"/>
                          </a:solidFill>
                        </a:ln>
                      </wps:spPr>
                      <wps:txbx>
                        <w:txbxContent>
                          <w:p w:rsidR="00FB484D" w:rsidRDefault="00FB484D" w:rsidP="00825AD3">
                            <w:pPr>
                              <w:pStyle w:val="NormalWeb"/>
                              <w:spacing w:before="0" w:beforeAutospacing="0" w:after="0" w:afterAutospacing="0"/>
                              <w:jc w:val="center"/>
                            </w:pPr>
                            <w:r>
                              <w:rPr>
                                <w:color w:val="000000" w:themeColor="text1"/>
                                <w:kern w:val="24"/>
                              </w:rPr>
                              <w:t>202,804 patients with circulating concentrations of 25(OH)D</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5" o:spid="_x0000_s1033" type="#_x0000_t202" style="position:absolute;margin-left:14.6pt;margin-top:3.35pt;width:434.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" filled="f" strokecolor="black [3213]" strokeweight="1pt">
                <v:path arrowok="t"/>
                <v:textbox>
                  <w:txbxContent>
                    <w:p w:rsidR="00FB484D" w:rsidRDefault="00FB484D" w:rsidP="00825AD3">
                      <w:pPr>
                        <w:pStyle w:val="NormalWeb"/>
                        <w:spacing w:before="0" w:beforeAutospacing="0" w:after="0" w:afterAutospacing="0"/>
                        <w:jc w:val="center"/>
                      </w:pPr>
                      <w:r>
                        <w:rPr>
                          <w:color w:val="000000" w:themeColor="text1"/>
                          <w:kern w:val="24"/>
                        </w:rPr>
                        <w:t>202,804 patients with circulating concentrations of 25(OH)D</w:t>
                      </w:r>
                    </w:p>
                  </w:txbxContent>
                </v:textbox>
              </v:shape>
            </w:pict>
          </mc:Fallback>
        </mc:AlternateContent>
      </w:r>
    </w:p>
    <w:p w:rsidR="00825AD3" w:rsidRPr="001952B6" w:rsidRDefault="00543BC4" w:rsidP="00825AD3">
      <w:pPr>
        <w:spacing w:line="360" w:lineRule="auto"/>
        <w:rPr>
          <w:rFonts w:ascii="Times New Roman" w:hAnsi="Times New Roman" w:cs="Times New Roman"/>
          <w:sz w:val="24"/>
          <w:szCs w:val="24"/>
        </w:rPr>
      </w:pPr>
      <w:r w:rsidRPr="001952B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BCEE0A" wp14:editId="6004EE31">
                <wp:simplePos x="0" y="0"/>
                <wp:positionH relativeFrom="column">
                  <wp:posOffset>3166745</wp:posOffset>
                </wp:positionH>
                <wp:positionV relativeFrom="paragraph">
                  <wp:posOffset>229235</wp:posOffset>
                </wp:positionV>
                <wp:extent cx="2534285" cy="1428115"/>
                <wp:effectExtent l="0" t="0" r="18415" b="19685"/>
                <wp:wrapNone/>
                <wp:docPr id="1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4285" cy="1428115"/>
                        </a:xfrm>
                        <a:prstGeom prst="rect">
                          <a:avLst/>
                        </a:prstGeom>
                        <a:noFill/>
                        <a:ln w="12700">
                          <a:solidFill>
                            <a:schemeClr val="tx1"/>
                          </a:solidFill>
                        </a:ln>
                      </wps:spPr>
                      <wps:txbx>
                        <w:txbxContent>
                          <w:p w:rsidR="00FB484D" w:rsidRDefault="00FB484D" w:rsidP="00825AD3">
                            <w:pPr>
                              <w:pStyle w:val="NormalWeb"/>
                              <w:spacing w:before="0" w:beforeAutospacing="0" w:after="0" w:afterAutospacing="0"/>
                              <w:jc w:val="both"/>
                            </w:pPr>
                            <w:r>
                              <w:rPr>
                                <w:color w:val="000000" w:themeColor="text1"/>
                                <w:kern w:val="24"/>
                              </w:rPr>
                              <w:t>22,541 patients excluded</w:t>
                            </w:r>
                          </w:p>
                          <w:p w:rsidR="00FB484D" w:rsidRDefault="00FB484D" w:rsidP="00825AD3">
                            <w:pPr>
                              <w:pStyle w:val="NormalWeb"/>
                              <w:numPr>
                                <w:ilvl w:val="0"/>
                                <w:numId w:val="4"/>
                              </w:numPr>
                              <w:spacing w:before="0" w:beforeAutospacing="0" w:after="0" w:afterAutospacing="0"/>
                            </w:pPr>
                            <w:r>
                              <w:rPr>
                                <w:color w:val="000000" w:themeColor="text1"/>
                                <w:kern w:val="24"/>
                              </w:rPr>
                              <w:t>prevalent IHD (</w:t>
                            </w:r>
                            <w:r w:rsidRPr="00C23412">
                              <w:rPr>
                                <w:i/>
                                <w:color w:val="000000" w:themeColor="text1"/>
                                <w:kern w:val="24"/>
                              </w:rPr>
                              <w:t>n</w:t>
                            </w:r>
                            <w:r>
                              <w:rPr>
                                <w:color w:val="000000" w:themeColor="text1"/>
                                <w:kern w:val="24"/>
                              </w:rPr>
                              <w:t>=14,502)</w:t>
                            </w:r>
                          </w:p>
                          <w:p w:rsidR="00FB484D" w:rsidRDefault="00FB484D" w:rsidP="00825AD3">
                            <w:pPr>
                              <w:pStyle w:val="NormalWeb"/>
                              <w:numPr>
                                <w:ilvl w:val="0"/>
                                <w:numId w:val="4"/>
                              </w:numPr>
                              <w:spacing w:before="0" w:beforeAutospacing="0" w:after="0" w:afterAutospacing="0"/>
                              <w:jc w:val="both"/>
                            </w:pPr>
                            <w:r>
                              <w:rPr>
                                <w:color w:val="000000" w:themeColor="text1"/>
                                <w:kern w:val="24"/>
                              </w:rPr>
                              <w:t>prevalent cerebrovascular disease (</w:t>
                            </w:r>
                            <w:r w:rsidRPr="00C23412">
                              <w:rPr>
                                <w:i/>
                                <w:color w:val="000000" w:themeColor="text1"/>
                                <w:kern w:val="24"/>
                              </w:rPr>
                              <w:t>n</w:t>
                            </w:r>
                            <w:r>
                              <w:rPr>
                                <w:color w:val="000000" w:themeColor="text1"/>
                                <w:kern w:val="24"/>
                              </w:rPr>
                              <w:t>=6,595)</w:t>
                            </w:r>
                          </w:p>
                          <w:p w:rsidR="00FB484D" w:rsidRDefault="00FB484D" w:rsidP="00825AD3">
                            <w:pPr>
                              <w:pStyle w:val="NormalWeb"/>
                              <w:numPr>
                                <w:ilvl w:val="0"/>
                                <w:numId w:val="4"/>
                              </w:numPr>
                              <w:spacing w:before="0" w:beforeAutospacing="0" w:after="0" w:afterAutospacing="0"/>
                              <w:jc w:val="both"/>
                            </w:pPr>
                            <w:r>
                              <w:rPr>
                                <w:color w:val="000000" w:themeColor="text1"/>
                                <w:kern w:val="24"/>
                              </w:rPr>
                              <w:t>prevalent heart failure (</w:t>
                            </w:r>
                            <w:r w:rsidRPr="00C23412">
                              <w:rPr>
                                <w:i/>
                                <w:color w:val="000000" w:themeColor="text1"/>
                                <w:kern w:val="24"/>
                              </w:rPr>
                              <w:t>n</w:t>
                            </w:r>
                            <w:r>
                              <w:rPr>
                                <w:color w:val="000000" w:themeColor="text1"/>
                                <w:kern w:val="24"/>
                              </w:rPr>
                              <w:t>=1,427)</w:t>
                            </w:r>
                          </w:p>
                          <w:p w:rsidR="00FB484D" w:rsidRDefault="00FB484D" w:rsidP="00825AD3">
                            <w:pPr>
                              <w:pStyle w:val="NormalWeb"/>
                              <w:numPr>
                                <w:ilvl w:val="0"/>
                                <w:numId w:val="4"/>
                              </w:numPr>
                              <w:spacing w:before="0" w:beforeAutospacing="0" w:after="0" w:afterAutospacing="0"/>
                              <w:jc w:val="both"/>
                            </w:pPr>
                            <w:r>
                              <w:rPr>
                                <w:color w:val="000000" w:themeColor="text1"/>
                                <w:kern w:val="24"/>
                              </w:rPr>
                              <w:t>no follow-up (</w:t>
                            </w:r>
                            <w:r w:rsidRPr="00C23412">
                              <w:rPr>
                                <w:i/>
                                <w:color w:val="000000" w:themeColor="text1"/>
                                <w:kern w:val="24"/>
                              </w:rPr>
                              <w:t>n</w:t>
                            </w:r>
                            <w:r>
                              <w:rPr>
                                <w:color w:val="000000" w:themeColor="text1"/>
                                <w:kern w:val="24"/>
                              </w:rPr>
                              <w:t>=17)</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8" o:spid="_x0000_s1034" type="#_x0000_t202" style="position:absolute;margin-left:249.35pt;margin-top:18.05pt;width:199.55pt;height:1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" filled="f" strokecolor="black [3213]" strokeweight="1pt">
                <v:path arrowok="t"/>
                <v:textbox>
                  <w:txbxContent>
                    <w:p w:rsidR="00FB484D" w:rsidRDefault="00FB484D" w:rsidP="00825AD3">
                      <w:pPr>
                        <w:pStyle w:val="NormalWeb"/>
                        <w:spacing w:before="0" w:beforeAutospacing="0" w:after="0" w:afterAutospacing="0"/>
                        <w:jc w:val="both"/>
                      </w:pPr>
                      <w:r>
                        <w:rPr>
                          <w:color w:val="000000" w:themeColor="text1"/>
                          <w:kern w:val="24"/>
                        </w:rPr>
                        <w:t>22,541 patients excluded</w:t>
                      </w:r>
                    </w:p>
                    <w:p w:rsidR="00FB484D" w:rsidRDefault="00FB484D" w:rsidP="00825AD3">
                      <w:pPr>
                        <w:pStyle w:val="NormalWeb"/>
                        <w:numPr>
                          <w:ilvl w:val="0"/>
                          <w:numId w:val="4"/>
                        </w:numPr>
                        <w:spacing w:before="0" w:beforeAutospacing="0" w:after="0" w:afterAutospacing="0"/>
                      </w:pPr>
                      <w:r>
                        <w:rPr>
                          <w:color w:val="000000" w:themeColor="text1"/>
                          <w:kern w:val="24"/>
                        </w:rPr>
                        <w:t>prevalent IHD (</w:t>
                      </w:r>
                      <w:r w:rsidRPr="00C23412">
                        <w:rPr>
                          <w:i/>
                          <w:color w:val="000000" w:themeColor="text1"/>
                          <w:kern w:val="24"/>
                        </w:rPr>
                        <w:t>n</w:t>
                      </w:r>
                      <w:r>
                        <w:rPr>
                          <w:color w:val="000000" w:themeColor="text1"/>
                          <w:kern w:val="24"/>
                        </w:rPr>
                        <w:t>=14,502)</w:t>
                      </w:r>
                    </w:p>
                    <w:p w:rsidR="00FB484D" w:rsidRDefault="00FB484D" w:rsidP="00825AD3">
                      <w:pPr>
                        <w:pStyle w:val="NormalWeb"/>
                        <w:numPr>
                          <w:ilvl w:val="0"/>
                          <w:numId w:val="4"/>
                        </w:numPr>
                        <w:spacing w:before="0" w:beforeAutospacing="0" w:after="0" w:afterAutospacing="0"/>
                        <w:jc w:val="both"/>
                      </w:pPr>
                      <w:r>
                        <w:rPr>
                          <w:color w:val="000000" w:themeColor="text1"/>
                          <w:kern w:val="24"/>
                        </w:rPr>
                        <w:t>prevalent cerebrovascular disease (</w:t>
                      </w:r>
                      <w:r w:rsidRPr="00C23412">
                        <w:rPr>
                          <w:i/>
                          <w:color w:val="000000" w:themeColor="text1"/>
                          <w:kern w:val="24"/>
                        </w:rPr>
                        <w:t>n</w:t>
                      </w:r>
                      <w:r>
                        <w:rPr>
                          <w:color w:val="000000" w:themeColor="text1"/>
                          <w:kern w:val="24"/>
                        </w:rPr>
                        <w:t>=6,595)</w:t>
                      </w:r>
                    </w:p>
                    <w:p w:rsidR="00FB484D" w:rsidRDefault="00FB484D" w:rsidP="00825AD3">
                      <w:pPr>
                        <w:pStyle w:val="NormalWeb"/>
                        <w:numPr>
                          <w:ilvl w:val="0"/>
                          <w:numId w:val="4"/>
                        </w:numPr>
                        <w:spacing w:before="0" w:beforeAutospacing="0" w:after="0" w:afterAutospacing="0"/>
                        <w:jc w:val="both"/>
                      </w:pPr>
                      <w:r>
                        <w:rPr>
                          <w:color w:val="000000" w:themeColor="text1"/>
                          <w:kern w:val="24"/>
                        </w:rPr>
                        <w:t>prevalent heart failure (</w:t>
                      </w:r>
                      <w:r w:rsidRPr="00C23412">
                        <w:rPr>
                          <w:i/>
                          <w:color w:val="000000" w:themeColor="text1"/>
                          <w:kern w:val="24"/>
                        </w:rPr>
                        <w:t>n</w:t>
                      </w:r>
                      <w:r>
                        <w:rPr>
                          <w:color w:val="000000" w:themeColor="text1"/>
                          <w:kern w:val="24"/>
                        </w:rPr>
                        <w:t>=1,427)</w:t>
                      </w:r>
                    </w:p>
                    <w:p w:rsidR="00FB484D" w:rsidRDefault="00FB484D" w:rsidP="00825AD3">
                      <w:pPr>
                        <w:pStyle w:val="NormalWeb"/>
                        <w:numPr>
                          <w:ilvl w:val="0"/>
                          <w:numId w:val="4"/>
                        </w:numPr>
                        <w:spacing w:before="0" w:beforeAutospacing="0" w:after="0" w:afterAutospacing="0"/>
                        <w:jc w:val="both"/>
                      </w:pPr>
                      <w:r>
                        <w:rPr>
                          <w:color w:val="000000" w:themeColor="text1"/>
                          <w:kern w:val="24"/>
                        </w:rPr>
                        <w:t>no follow-up (</w:t>
                      </w:r>
                      <w:r w:rsidRPr="00C23412">
                        <w:rPr>
                          <w:i/>
                          <w:color w:val="000000" w:themeColor="text1"/>
                          <w:kern w:val="24"/>
                        </w:rPr>
                        <w:t>n</w:t>
                      </w:r>
                      <w:r>
                        <w:rPr>
                          <w:color w:val="000000" w:themeColor="text1"/>
                          <w:kern w:val="24"/>
                        </w:rPr>
                        <w:t>=17)</w:t>
                      </w:r>
                    </w:p>
                  </w:txbxContent>
                </v:textbox>
              </v:shape>
            </w:pict>
          </mc:Fallback>
        </mc:AlternateContent>
      </w:r>
      <w:r w:rsidRPr="001952B6">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3832B1AE" wp14:editId="0BD73EEC">
                <wp:simplePos x="0" y="0"/>
                <wp:positionH relativeFrom="column">
                  <wp:posOffset>2382519</wp:posOffset>
                </wp:positionH>
                <wp:positionV relativeFrom="paragraph">
                  <wp:posOffset>23495</wp:posOffset>
                </wp:positionV>
                <wp:extent cx="0" cy="1821180"/>
                <wp:effectExtent l="95250" t="0" r="5715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11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87.6pt;margin-top:1.85pt;width:0;height:143.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" strokecolor="black [3213]" strokeweight="1pt">
                <v:stroke endarrow="open"/>
                <o:lock v:ext="edit" shapetype="f"/>
              </v:shape>
            </w:pict>
          </mc:Fallback>
        </mc:AlternateContent>
      </w:r>
    </w:p>
    <w:p w:rsidR="00825AD3" w:rsidRPr="001952B6" w:rsidRDefault="00825AD3" w:rsidP="00825AD3">
      <w:pPr>
        <w:spacing w:line="360" w:lineRule="auto"/>
        <w:rPr>
          <w:rFonts w:ascii="Times New Roman" w:hAnsi="Times New Roman" w:cs="Times New Roman"/>
          <w:sz w:val="24"/>
          <w:szCs w:val="24"/>
        </w:rPr>
      </w:pPr>
    </w:p>
    <w:p w:rsidR="00825AD3" w:rsidRPr="001952B6" w:rsidRDefault="00543BC4" w:rsidP="00825AD3">
      <w:pPr>
        <w:spacing w:line="360" w:lineRule="auto"/>
        <w:rPr>
          <w:rFonts w:ascii="Times New Roman" w:hAnsi="Times New Roman" w:cs="Times New Roman"/>
          <w:sz w:val="24"/>
          <w:szCs w:val="24"/>
        </w:rPr>
      </w:pPr>
      <w:r w:rsidRPr="001952B6">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5B95ADFD" wp14:editId="18409CFA">
                <wp:simplePos x="0" y="0"/>
                <wp:positionH relativeFrom="column">
                  <wp:posOffset>2382520</wp:posOffset>
                </wp:positionH>
                <wp:positionV relativeFrom="paragraph">
                  <wp:posOffset>288924</wp:posOffset>
                </wp:positionV>
                <wp:extent cx="784225" cy="0"/>
                <wp:effectExtent l="0" t="76200" r="15875"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2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87.6pt;margin-top:22.75pt;width:61.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" strokecolor="black [3213]" strokeweight="1pt">
                <v:stroke endarrow="open"/>
                <o:lock v:ext="edit" shapetype="f"/>
              </v:shape>
            </w:pict>
          </mc:Fallback>
        </mc:AlternateContent>
      </w:r>
    </w:p>
    <w:p w:rsidR="00825AD3" w:rsidRPr="001952B6" w:rsidRDefault="00825AD3" w:rsidP="00825AD3">
      <w:pPr>
        <w:spacing w:line="360" w:lineRule="auto"/>
        <w:rPr>
          <w:rFonts w:ascii="Times New Roman" w:hAnsi="Times New Roman" w:cs="Times New Roman"/>
          <w:sz w:val="24"/>
          <w:szCs w:val="24"/>
        </w:rPr>
      </w:pPr>
    </w:p>
    <w:p w:rsidR="00825AD3" w:rsidRPr="001952B6" w:rsidRDefault="00825AD3" w:rsidP="00825AD3">
      <w:pPr>
        <w:spacing w:line="360" w:lineRule="auto"/>
        <w:rPr>
          <w:rFonts w:ascii="Times New Roman" w:hAnsi="Times New Roman" w:cs="Times New Roman"/>
          <w:sz w:val="24"/>
          <w:szCs w:val="24"/>
        </w:rPr>
      </w:pPr>
      <w:r w:rsidRPr="001952B6">
        <w:rPr>
          <w:rFonts w:ascii="Times New Roman" w:hAnsi="Times New Roman" w:cs="Times New Roman"/>
          <w:sz w:val="24"/>
          <w:szCs w:val="24"/>
        </w:rPr>
        <w:t xml:space="preserve">                                                                                                                     </w:t>
      </w:r>
    </w:p>
    <w:p w:rsidR="00825AD3" w:rsidRPr="001952B6" w:rsidRDefault="00543BC4" w:rsidP="00825AD3">
      <w:pPr>
        <w:spacing w:line="360" w:lineRule="auto"/>
        <w:rPr>
          <w:rFonts w:ascii="Times New Roman" w:hAnsi="Times New Roman" w:cs="Times New Roman"/>
          <w:sz w:val="24"/>
          <w:szCs w:val="24"/>
        </w:rPr>
      </w:pPr>
      <w:r w:rsidRPr="001952B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1D2E30A" wp14:editId="125C9D4D">
                <wp:simplePos x="0" y="0"/>
                <wp:positionH relativeFrom="column">
                  <wp:posOffset>185420</wp:posOffset>
                </wp:positionH>
                <wp:positionV relativeFrom="paragraph">
                  <wp:posOffset>168275</wp:posOffset>
                </wp:positionV>
                <wp:extent cx="5515610" cy="323850"/>
                <wp:effectExtent l="0" t="0" r="27940" b="19050"/>
                <wp:wrapNone/>
                <wp:docPr id="1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5610" cy="323850"/>
                        </a:xfrm>
                        <a:prstGeom prst="rect">
                          <a:avLst/>
                        </a:prstGeom>
                        <a:noFill/>
                        <a:ln w="12700">
                          <a:solidFill>
                            <a:schemeClr val="tx1"/>
                          </a:solidFill>
                        </a:ln>
                      </wps:spPr>
                      <wps:txbx>
                        <w:txbxContent>
                          <w:p w:rsidR="00FB484D" w:rsidRDefault="00FB484D" w:rsidP="00825AD3">
                            <w:pPr>
                              <w:pStyle w:val="NormalWeb"/>
                              <w:spacing w:before="0" w:beforeAutospacing="0" w:after="0" w:afterAutospacing="0"/>
                              <w:jc w:val="center"/>
                            </w:pPr>
                            <w:r>
                              <w:rPr>
                                <w:color w:val="000000" w:themeColor="text1"/>
                                <w:kern w:val="24"/>
                              </w:rPr>
                              <w:t>180,263 patients included in the 25(OH)D CVD and mortality analysis</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7" o:spid="_x0000_s1035" type="#_x0000_t202" style="position:absolute;margin-left:14.6pt;margin-top:13.25pt;width:434.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" filled="f" strokecolor="black [3213]" strokeweight="1pt">
                <v:path arrowok="t"/>
                <v:textbox>
                  <w:txbxContent>
                    <w:p w:rsidR="00FB484D" w:rsidRDefault="00FB484D" w:rsidP="00825AD3">
                      <w:pPr>
                        <w:pStyle w:val="NormalWeb"/>
                        <w:spacing w:before="0" w:beforeAutospacing="0" w:after="0" w:afterAutospacing="0"/>
                        <w:jc w:val="center"/>
                      </w:pPr>
                      <w:r>
                        <w:rPr>
                          <w:color w:val="000000" w:themeColor="text1"/>
                          <w:kern w:val="24"/>
                        </w:rPr>
                        <w:t>180,263 patients included in the 25(OH)D CVD and mortality analysis</w:t>
                      </w:r>
                    </w:p>
                  </w:txbxContent>
                </v:textbox>
              </v:shape>
            </w:pict>
          </mc:Fallback>
        </mc:AlternateContent>
      </w:r>
    </w:p>
    <w:p w:rsidR="00825AD3" w:rsidRPr="001952B6" w:rsidRDefault="00825AD3" w:rsidP="00825AD3">
      <w:pPr>
        <w:spacing w:line="360" w:lineRule="auto"/>
        <w:rPr>
          <w:rFonts w:ascii="Times New Roman" w:hAnsi="Times New Roman" w:cs="Times New Roman"/>
          <w:sz w:val="24"/>
          <w:szCs w:val="24"/>
        </w:rPr>
      </w:pPr>
    </w:p>
    <w:p w:rsidR="00825AD3" w:rsidRPr="001952B6" w:rsidRDefault="00825AD3" w:rsidP="00825AD3">
      <w:pPr>
        <w:spacing w:line="360" w:lineRule="auto"/>
        <w:rPr>
          <w:rFonts w:ascii="Times New Roman" w:hAnsi="Times New Roman" w:cs="Times New Roman"/>
          <w:b/>
          <w:bCs/>
          <w:sz w:val="24"/>
          <w:szCs w:val="24"/>
        </w:rPr>
      </w:pPr>
    </w:p>
    <w:p w:rsidR="00825AD3" w:rsidRPr="001952B6" w:rsidRDefault="00825AD3" w:rsidP="00825AD3">
      <w:pPr>
        <w:spacing w:line="360" w:lineRule="auto"/>
        <w:rPr>
          <w:rFonts w:ascii="Times New Roman" w:hAnsi="Times New Roman" w:cs="Times New Roman"/>
          <w:b/>
          <w:bCs/>
          <w:sz w:val="24"/>
          <w:szCs w:val="24"/>
        </w:rPr>
      </w:pPr>
    </w:p>
    <w:p w:rsidR="00825AD3" w:rsidRPr="001952B6" w:rsidRDefault="00825AD3" w:rsidP="00825AD3">
      <w:pPr>
        <w:spacing w:line="360" w:lineRule="auto"/>
        <w:rPr>
          <w:rFonts w:ascii="Times New Roman" w:hAnsi="Times New Roman" w:cs="Times New Roman"/>
          <w:b/>
          <w:sz w:val="24"/>
          <w:szCs w:val="24"/>
        </w:rPr>
      </w:pPr>
      <w:r w:rsidRPr="001952B6">
        <w:rPr>
          <w:rFonts w:ascii="Times New Roman" w:hAnsi="Times New Roman" w:cs="Times New Roman"/>
          <w:b/>
          <w:bCs/>
          <w:sz w:val="24"/>
          <w:szCs w:val="24"/>
        </w:rPr>
        <w:t>Supplementary Figure 1</w:t>
      </w:r>
    </w:p>
    <w:p w:rsidR="00825AD3" w:rsidRPr="001952B6" w:rsidRDefault="00825AD3" w:rsidP="00825AD3">
      <w:pPr>
        <w:spacing w:line="360" w:lineRule="auto"/>
        <w:rPr>
          <w:rFonts w:ascii="Times New Roman" w:hAnsi="Times New Roman" w:cs="Times New Roman"/>
          <w:sz w:val="24"/>
          <w:szCs w:val="24"/>
        </w:rPr>
      </w:pPr>
      <w:r w:rsidRPr="001952B6">
        <w:rPr>
          <w:rFonts w:ascii="Times New Roman" w:hAnsi="Times New Roman" w:cs="Times New Roman"/>
          <w:sz w:val="24"/>
          <w:szCs w:val="24"/>
        </w:rPr>
        <w:t>Flow diagram of patients included in associations of circulating concentrations of 25(OH)D with risk of CVD and mortality</w:t>
      </w:r>
      <w:r w:rsidRPr="001952B6">
        <w:rPr>
          <w:rFonts w:ascii="Times New Roman" w:hAnsi="Times New Roman" w:cs="Times New Roman"/>
          <w:sz w:val="24"/>
          <w:szCs w:val="24"/>
        </w:rPr>
        <w:br w:type="page"/>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lastRenderedPageBreak/>
        <w:t>Calculation of de-seasonalised circulating concentrations of 25(OH)D</w:t>
      </w:r>
    </w:p>
    <w:p w:rsidR="00825AD3" w:rsidRPr="001952B6" w:rsidRDefault="00825AD3" w:rsidP="00825AD3">
      <w:pPr>
        <w:autoSpaceDE w:val="0"/>
        <w:autoSpaceDN w:val="0"/>
        <w:adjustRightInd w:val="0"/>
        <w:spacing w:after="0" w:line="360" w:lineRule="auto"/>
        <w:rPr>
          <w:rFonts w:ascii="Times New Roman" w:hAnsi="Times New Roman" w:cs="Times New Roman"/>
          <w:iCs/>
          <w:sz w:val="24"/>
          <w:szCs w:val="24"/>
        </w:rPr>
      </w:pPr>
    </w:p>
    <w:p w:rsidR="00825AD3" w:rsidRPr="001952B6" w:rsidRDefault="00825AD3" w:rsidP="00825AD3">
      <w:pPr>
        <w:autoSpaceDE w:val="0"/>
        <w:autoSpaceDN w:val="0"/>
        <w:adjustRightInd w:val="0"/>
        <w:spacing w:after="0" w:line="360" w:lineRule="auto"/>
        <w:rPr>
          <w:rFonts w:ascii="Times New Roman" w:hAnsi="Times New Roman" w:cs="Times New Roman"/>
          <w:iCs/>
          <w:sz w:val="24"/>
          <w:szCs w:val="24"/>
        </w:rPr>
      </w:pPr>
      <w:r w:rsidRPr="001952B6">
        <w:rPr>
          <w:rFonts w:ascii="Times New Roman" w:hAnsi="Times New Roman" w:cs="Times New Roman"/>
          <w:iCs/>
          <w:sz w:val="24"/>
          <w:szCs w:val="24"/>
        </w:rPr>
        <w:t>The mean vitamin D values were  plotted by month using a cosinor model. T</w:t>
      </w:r>
      <w:r w:rsidRPr="001952B6">
        <w:rPr>
          <w:rFonts w:ascii="Times New Roman" w:hAnsi="Times New Roman" w:cs="Times New Roman"/>
          <w:sz w:val="24"/>
          <w:szCs w:val="24"/>
        </w:rPr>
        <w:t xml:space="preserve">he regression model for a single component cosinor (one cycle) is given as: </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Y</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 M + Acos(2πt</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/τ + ϕ)+e</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Where,</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Y</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 Vitamin D collected at time t</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(n = 1,2,,…. N) and N is the number of observed values</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M – MESOR (midline statistic of rhythm),</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A – The amplitude (a measure of half the extent of predictable variation within a cycle),</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ϕ – The acrophase (a measure of the time of overall high values recurring in each cycle),</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τ – The period or duration of one cycle,</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e</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 The error term and assumed to be independently normally distributed with mean 0 and constant variance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1952B6">
        <w:rPr>
          <w:rFonts w:ascii="Times New Roman" w:hAnsi="Times New Roman" w:cs="Times New Roman"/>
          <w:sz w:val="24"/>
          <w:szCs w:val="24"/>
        </w:rPr>
        <w:t>.</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We considered that τ (τ=12) is known and using the trigonometric formula, the model can be rewritten as Y</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 xml:space="preserve"> = M + βx + γz +e</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Where, β=Acosϕ, γ= -Asinϕ, x=cos(2πt</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/12), z=sin(2πt</w:t>
      </w:r>
      <w:r w:rsidRPr="001952B6">
        <w:rPr>
          <w:rFonts w:ascii="Times New Roman" w:hAnsi="Times New Roman" w:cs="Times New Roman"/>
          <w:sz w:val="24"/>
          <w:szCs w:val="24"/>
          <w:vertAlign w:val="subscript"/>
        </w:rPr>
        <w:t>n</w:t>
      </w:r>
      <w:r w:rsidRPr="001952B6">
        <w:rPr>
          <w:rFonts w:ascii="Times New Roman" w:hAnsi="Times New Roman" w:cs="Times New Roman"/>
          <w:sz w:val="24"/>
          <w:szCs w:val="24"/>
        </w:rPr>
        <w:t>/12) and M is the annual mean.</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 xml:space="preserve">This model is now linear and its parameters M, β and γ. The least square method was used to estimate the parameters. The estimated values for amplitude (A) and acrophase (ϕ) are given by </w:t>
      </w:r>
      <m:oMath>
        <m:acc>
          <m:accPr>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β</m:t>
                    </m:r>
                  </m:e>
                </m:acc>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γ</m:t>
                    </m:r>
                  </m:e>
                </m:acc>
              </m:e>
              <m:sup>
                <m:r>
                  <w:rPr>
                    <w:rFonts w:ascii="Cambria Math" w:hAnsi="Cambria Math" w:cs="Times New Roman"/>
                    <w:sz w:val="24"/>
                    <w:szCs w:val="24"/>
                  </w:rPr>
                  <m:t>2</m:t>
                </m:r>
              </m:sup>
            </m:sSup>
            <m:r>
              <w:rPr>
                <w:rFonts w:ascii="Cambria Math" w:hAnsi="Cambria Math" w:cs="Times New Roman"/>
                <w:sz w:val="24"/>
                <w:szCs w:val="24"/>
              </w:rPr>
              <m:t>)</m:t>
            </m:r>
          </m:e>
          <m:sup>
            <m:r>
              <w:rPr>
                <w:rFonts w:ascii="Cambria Math" w:hAnsi="Cambria Math" w:cs="Times New Roman"/>
                <w:sz w:val="24"/>
                <w:szCs w:val="24"/>
              </w:rPr>
              <m:t>1/2</m:t>
            </m:r>
          </m:sup>
        </m:sSup>
      </m:oMath>
      <w:r w:rsidRPr="001952B6">
        <w:rPr>
          <w:rFonts w:ascii="Times New Roman" w:hAnsi="Times New Roman" w:cs="Times New Roman"/>
          <w:sz w:val="24"/>
          <w:szCs w:val="24"/>
        </w:rPr>
        <w:t xml:space="preserve"> and  </w:t>
      </w:r>
      <m:oMath>
        <m:acc>
          <m:accPr>
            <m:ctrlPr>
              <w:rPr>
                <w:rFonts w:ascii="Cambria Math" w:hAnsi="Cambria Math" w:cs="Times New Roman"/>
                <w:i/>
                <w:sz w:val="24"/>
                <w:szCs w:val="24"/>
              </w:rPr>
            </m:ctrlPr>
          </m:accPr>
          <m:e>
            <m:r>
              <w:rPr>
                <w:rFonts w:ascii="Cambria Math" w:hAnsi="Cambria Math" w:cs="Times New Roman"/>
                <w:sz w:val="24"/>
                <w:szCs w:val="24"/>
              </w:rPr>
              <m:t>ϕ</m:t>
            </m:r>
          </m:e>
        </m:acc>
      </m:oMath>
      <w:r w:rsidRPr="001952B6">
        <w:rPr>
          <w:rFonts w:ascii="Times New Roman" w:hAnsi="Times New Roman" w:cs="Times New Roman"/>
          <w:sz w:val="24"/>
          <w:szCs w:val="24"/>
        </w:rPr>
        <w:t xml:space="preserve"> = arctan(-</w:t>
      </w:r>
      <m:oMath>
        <m:acc>
          <m:accPr>
            <m:ctrlPr>
              <w:rPr>
                <w:rFonts w:ascii="Cambria Math" w:hAnsi="Cambria Math" w:cs="Times New Roman"/>
                <w:i/>
                <w:sz w:val="24"/>
                <w:szCs w:val="24"/>
              </w:rPr>
            </m:ctrlPr>
          </m:accPr>
          <m:e>
            <m:r>
              <w:rPr>
                <w:rFonts w:ascii="Cambria Math" w:hAnsi="Cambria Math" w:cs="Times New Roman"/>
                <w:sz w:val="24"/>
                <w:szCs w:val="24"/>
              </w:rPr>
              <m:t>γ</m:t>
            </m:r>
          </m:e>
        </m:acc>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1952B6">
        <w:rPr>
          <w:rFonts w:ascii="Times New Roman" w:hAnsi="Times New Roman" w:cs="Times New Roman"/>
          <w:sz w:val="24"/>
          <w:szCs w:val="24"/>
        </w:rPr>
        <w:t>).</w:t>
      </w:r>
    </w:p>
    <w:p w:rsidR="00825AD3" w:rsidRPr="001952B6" w:rsidRDefault="00825AD3" w:rsidP="00825AD3">
      <w:pPr>
        <w:autoSpaceDE w:val="0"/>
        <w:autoSpaceDN w:val="0"/>
        <w:adjustRightInd w:val="0"/>
        <w:spacing w:after="0" w:line="360" w:lineRule="auto"/>
        <w:rPr>
          <w:rFonts w:ascii="Times New Roman" w:hAnsi="Times New Roman" w:cs="Times New Roman"/>
          <w:sz w:val="24"/>
          <w:szCs w:val="24"/>
        </w:rPr>
      </w:pP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Lucida Console" w:eastAsia="Times New Roman" w:hAnsi="Lucida Console" w:cs="Courier New"/>
          <w:color w:val="0000FF"/>
          <w:szCs w:val="20"/>
        </w:rPr>
      </w:pP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Lucida Console" w:eastAsia="Times New Roman" w:hAnsi="Lucida Console" w:cs="Courier New"/>
          <w:color w:val="0000FF"/>
          <w:sz w:val="32"/>
          <w:szCs w:val="32"/>
        </w:rPr>
      </w:pPr>
      <w:r w:rsidRPr="001952B6">
        <w:rPr>
          <w:rFonts w:ascii="Lucida Console" w:eastAsia="Times New Roman" w:hAnsi="Lucida Console" w:cs="Courier New"/>
          <w:noProof/>
          <w:color w:val="0000FF"/>
          <w:sz w:val="32"/>
          <w:szCs w:val="32"/>
        </w:rPr>
        <w:lastRenderedPageBreak/>
        <w:drawing>
          <wp:inline distT="0" distB="0" distL="0" distR="0" wp14:anchorId="060B3BF7" wp14:editId="7808248E">
            <wp:extent cx="5619750" cy="3495675"/>
            <wp:effectExtent l="0" t="0" r="0" b="9525"/>
            <wp:docPr id="1" name="Picture 1" descr="U:\Work_RF\VitaminD_CVD\Final_Vitamin_D\Cosinor_pl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ork_RF\VitaminD_CVD\Final_Vitamin_D\Cosinor_plot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0" cy="3495675"/>
                    </a:xfrm>
                    <a:prstGeom prst="rect">
                      <a:avLst/>
                    </a:prstGeom>
                    <a:noFill/>
                    <a:ln>
                      <a:noFill/>
                    </a:ln>
                  </pic:spPr>
                </pic:pic>
              </a:graphicData>
            </a:graphic>
          </wp:inline>
        </w:drawing>
      </w: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b/>
          <w:iCs/>
          <w:sz w:val="24"/>
          <w:szCs w:val="24"/>
        </w:rPr>
      </w:pP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b/>
          <w:iCs/>
          <w:sz w:val="24"/>
          <w:szCs w:val="24"/>
        </w:rPr>
      </w:pPr>
      <w:r w:rsidRPr="001952B6">
        <w:rPr>
          <w:rFonts w:ascii="Times New Roman" w:hAnsi="Times New Roman" w:cs="Times New Roman"/>
          <w:b/>
          <w:iCs/>
          <w:sz w:val="24"/>
          <w:szCs w:val="24"/>
        </w:rPr>
        <w:t xml:space="preserve">Supplementary Figure 2 </w:t>
      </w: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iCs/>
          <w:sz w:val="24"/>
          <w:szCs w:val="24"/>
        </w:rPr>
      </w:pP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iCs/>
          <w:sz w:val="24"/>
          <w:szCs w:val="24"/>
        </w:rPr>
      </w:pPr>
      <w:r w:rsidRPr="001952B6">
        <w:rPr>
          <w:rFonts w:ascii="Times New Roman" w:hAnsi="Times New Roman" w:cs="Times New Roman"/>
          <w:iCs/>
          <w:sz w:val="24"/>
          <w:szCs w:val="24"/>
        </w:rPr>
        <w:t xml:space="preserve">Graphical representation of the cosinor curve </w:t>
      </w: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iCs/>
          <w:sz w:val="24"/>
          <w:szCs w:val="24"/>
        </w:rPr>
      </w:pPr>
      <w:r w:rsidRPr="001952B6">
        <w:rPr>
          <w:rFonts w:ascii="Times New Roman" w:hAnsi="Times New Roman" w:cs="Times New Roman"/>
          <w:iCs/>
          <w:sz w:val="24"/>
          <w:szCs w:val="24"/>
        </w:rPr>
        <w:br w:type="page"/>
      </w:r>
    </w:p>
    <w:p w:rsidR="00825AD3" w:rsidRPr="001952B6" w:rsidRDefault="00825AD3" w:rsidP="00825AD3">
      <w:pPr>
        <w:spacing w:line="360" w:lineRule="auto"/>
        <w:rPr>
          <w:rFonts w:ascii="Times New Roman" w:hAnsi="Times New Roman" w:cs="Times New Roman"/>
          <w:b/>
          <w:sz w:val="24"/>
          <w:szCs w:val="24"/>
        </w:rPr>
      </w:pPr>
      <w:r w:rsidRPr="001952B6">
        <w:rPr>
          <w:rFonts w:ascii="Times New Roman" w:hAnsi="Times New Roman" w:cs="Times New Roman"/>
          <w:b/>
          <w:noProof/>
          <w:sz w:val="24"/>
          <w:szCs w:val="24"/>
        </w:rPr>
        <w:lastRenderedPageBreak/>
        <w:drawing>
          <wp:inline distT="0" distB="0" distL="0" distR="0" wp14:anchorId="6B6F53C5" wp14:editId="28ED93E5">
            <wp:extent cx="5731510" cy="64236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dthincvd_subgroupfigure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6423660"/>
                    </a:xfrm>
                    <a:prstGeom prst="rect">
                      <a:avLst/>
                    </a:prstGeom>
                  </pic:spPr>
                </pic:pic>
              </a:graphicData>
            </a:graphic>
          </wp:inline>
        </w:drawing>
      </w:r>
    </w:p>
    <w:p w:rsidR="00825AD3" w:rsidRPr="001952B6" w:rsidRDefault="00825AD3" w:rsidP="00825AD3">
      <w:pPr>
        <w:spacing w:line="360" w:lineRule="auto"/>
        <w:rPr>
          <w:rFonts w:ascii="Times New Roman" w:hAnsi="Times New Roman" w:cs="Times New Roman"/>
          <w:b/>
          <w:sz w:val="24"/>
          <w:szCs w:val="24"/>
        </w:rPr>
      </w:pPr>
    </w:p>
    <w:p w:rsidR="00825AD3" w:rsidRPr="001952B6" w:rsidRDefault="00825AD3" w:rsidP="00825AD3">
      <w:pPr>
        <w:spacing w:line="360" w:lineRule="auto"/>
        <w:rPr>
          <w:rFonts w:ascii="Times New Roman" w:hAnsi="Times New Roman" w:cs="Times New Roman"/>
          <w:b/>
          <w:sz w:val="24"/>
          <w:szCs w:val="24"/>
        </w:rPr>
      </w:pPr>
      <w:r w:rsidRPr="001952B6">
        <w:rPr>
          <w:rFonts w:ascii="Times New Roman" w:hAnsi="Times New Roman" w:cs="Times New Roman"/>
          <w:b/>
          <w:sz w:val="24"/>
          <w:szCs w:val="24"/>
        </w:rPr>
        <w:t>Supplementary Figure 3</w:t>
      </w:r>
    </w:p>
    <w:p w:rsidR="00825AD3" w:rsidRPr="001952B6" w:rsidRDefault="00825AD3" w:rsidP="00825AD3">
      <w:pPr>
        <w:spacing w:line="360" w:lineRule="auto"/>
        <w:rPr>
          <w:rFonts w:ascii="Times New Roman" w:eastAsia="Times New Roman" w:hAnsi="Times New Roman" w:cs="Times New Roman"/>
          <w:color w:val="000000"/>
          <w:sz w:val="24"/>
          <w:szCs w:val="24"/>
        </w:rPr>
      </w:pPr>
      <w:r w:rsidRPr="001952B6">
        <w:rPr>
          <w:rFonts w:ascii="Times New Roman" w:hAnsi="Times New Roman" w:cs="Times New Roman"/>
          <w:sz w:val="24"/>
          <w:szCs w:val="24"/>
        </w:rPr>
        <w:t xml:space="preserve">Hazard ratio (95% CI) of cardiovascular disease for a doubling of concentration of 25(OH)D by chosen characteristics. Adjusted for age, sex, </w:t>
      </w:r>
      <w:r w:rsidRPr="001952B6">
        <w:rPr>
          <w:rFonts w:ascii="Times New Roman" w:eastAsia="Times New Roman" w:hAnsi="Times New Roman" w:cs="Times New Roman"/>
          <w:color w:val="000000"/>
          <w:sz w:val="24"/>
          <w:szCs w:val="24"/>
        </w:rPr>
        <w:t>smoking, socioeconomic status, ethnicity, BMI, hypertension, diabetes, use of lipid-lowering medication, and atrial fibrillation (where appropriate). All subgroup analyses P heterogeneity &gt; 0.05.</w:t>
      </w:r>
      <w:r w:rsidRPr="001952B6">
        <w:rPr>
          <w:rFonts w:ascii="Times New Roman" w:eastAsia="Times New Roman" w:hAnsi="Times New Roman" w:cs="Times New Roman"/>
          <w:color w:val="000000"/>
          <w:sz w:val="24"/>
          <w:szCs w:val="24"/>
        </w:rPr>
        <w:br w:type="page"/>
      </w:r>
    </w:p>
    <w:p w:rsidR="00825AD3" w:rsidRPr="001952B6" w:rsidRDefault="00825AD3" w:rsidP="00825AD3">
      <w:pPr>
        <w:spacing w:line="360" w:lineRule="auto"/>
        <w:rPr>
          <w:rFonts w:ascii="Times New Roman" w:hAnsi="Times New Roman" w:cs="Times New Roman"/>
          <w:b/>
          <w:noProof/>
          <w:sz w:val="24"/>
          <w:szCs w:val="24"/>
        </w:rPr>
      </w:pPr>
      <w:r w:rsidRPr="001952B6">
        <w:rPr>
          <w:rFonts w:ascii="Times New Roman" w:hAnsi="Times New Roman" w:cs="Times New Roman"/>
          <w:b/>
          <w:noProof/>
          <w:sz w:val="24"/>
          <w:szCs w:val="24"/>
        </w:rPr>
        <w:lastRenderedPageBreak/>
        <w:drawing>
          <wp:inline distT="0" distB="0" distL="0" distR="0" wp14:anchorId="3D4F7E40" wp14:editId="2DAB30B9">
            <wp:extent cx="5731510" cy="62382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dthinmortality_subgroupfigureall.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6238240"/>
                    </a:xfrm>
                    <a:prstGeom prst="rect">
                      <a:avLst/>
                    </a:prstGeom>
                  </pic:spPr>
                </pic:pic>
              </a:graphicData>
            </a:graphic>
          </wp:inline>
        </w:drawing>
      </w:r>
    </w:p>
    <w:p w:rsidR="00825AD3" w:rsidRPr="001952B6" w:rsidRDefault="00825AD3" w:rsidP="00825AD3">
      <w:pPr>
        <w:spacing w:line="360" w:lineRule="auto"/>
        <w:rPr>
          <w:rFonts w:ascii="Times New Roman" w:hAnsi="Times New Roman" w:cs="Times New Roman"/>
          <w:b/>
          <w:sz w:val="24"/>
          <w:szCs w:val="24"/>
        </w:rPr>
      </w:pPr>
    </w:p>
    <w:p w:rsidR="00825AD3" w:rsidRPr="001952B6" w:rsidRDefault="00825AD3" w:rsidP="00825AD3">
      <w:pPr>
        <w:spacing w:line="360" w:lineRule="auto"/>
        <w:rPr>
          <w:rFonts w:ascii="Times New Roman" w:hAnsi="Times New Roman" w:cs="Times New Roman"/>
          <w:b/>
          <w:sz w:val="24"/>
          <w:szCs w:val="24"/>
        </w:rPr>
      </w:pPr>
      <w:r w:rsidRPr="001952B6">
        <w:rPr>
          <w:rFonts w:ascii="Times New Roman" w:hAnsi="Times New Roman" w:cs="Times New Roman"/>
          <w:b/>
          <w:sz w:val="24"/>
          <w:szCs w:val="24"/>
        </w:rPr>
        <w:t>Supplementary Figure 4</w:t>
      </w:r>
    </w:p>
    <w:p w:rsidR="00825AD3" w:rsidRPr="001952B6" w:rsidRDefault="00825AD3" w:rsidP="00825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hAnsi="Times New Roman" w:cs="Times New Roman"/>
          <w:sz w:val="24"/>
          <w:szCs w:val="24"/>
        </w:rPr>
      </w:pPr>
      <w:r w:rsidRPr="001952B6">
        <w:rPr>
          <w:rFonts w:ascii="Times New Roman" w:hAnsi="Times New Roman" w:cs="Times New Roman"/>
          <w:sz w:val="24"/>
          <w:szCs w:val="24"/>
        </w:rPr>
        <w:t xml:space="preserve">Hazard ratio (95% CI) of mortality for a doubling of concentration of 25(OH)D by chosen characteristics. Adjusted for age, sex, </w:t>
      </w:r>
      <w:r w:rsidRPr="001952B6">
        <w:rPr>
          <w:rFonts w:ascii="Times New Roman" w:eastAsia="Times New Roman" w:hAnsi="Times New Roman" w:cs="Times New Roman"/>
          <w:color w:val="000000"/>
          <w:sz w:val="24"/>
          <w:szCs w:val="24"/>
        </w:rPr>
        <w:t xml:space="preserve">smoking, socioeconomic status, ethnicity, BMI, hypertension, diabetes, use of lipid-lowering medication, and atrial fibrillation (where appropriate). Subgroup </w:t>
      </w:r>
      <w:r w:rsidRPr="001952B6">
        <w:rPr>
          <w:rFonts w:ascii="Times New Roman" w:eastAsia="Times New Roman" w:hAnsi="Times New Roman" w:cs="Times New Roman"/>
          <w:i/>
          <w:color w:val="000000"/>
          <w:sz w:val="24"/>
          <w:szCs w:val="24"/>
        </w:rPr>
        <w:t>P</w:t>
      </w:r>
      <w:r w:rsidRPr="001952B6">
        <w:rPr>
          <w:rFonts w:ascii="Times New Roman" w:eastAsia="Times New Roman" w:hAnsi="Times New Roman" w:cs="Times New Roman"/>
          <w:color w:val="000000"/>
          <w:sz w:val="24"/>
          <w:szCs w:val="24"/>
        </w:rPr>
        <w:t xml:space="preserve"> heterogeneity &lt; 0.001 for age category, and </w:t>
      </w:r>
      <w:r w:rsidRPr="001952B6">
        <w:rPr>
          <w:rFonts w:ascii="Times New Roman" w:eastAsia="Times New Roman" w:hAnsi="Times New Roman" w:cs="Times New Roman"/>
          <w:i/>
          <w:color w:val="000000"/>
          <w:sz w:val="24"/>
          <w:szCs w:val="24"/>
        </w:rPr>
        <w:t>P</w:t>
      </w:r>
      <w:r w:rsidRPr="001952B6">
        <w:rPr>
          <w:rFonts w:ascii="Times New Roman" w:eastAsia="Times New Roman" w:hAnsi="Times New Roman" w:cs="Times New Roman"/>
          <w:color w:val="000000"/>
          <w:sz w:val="24"/>
          <w:szCs w:val="24"/>
        </w:rPr>
        <w:t xml:space="preserve"> = 0.037 for ethnicity and </w:t>
      </w:r>
      <w:r w:rsidRPr="001952B6">
        <w:rPr>
          <w:rFonts w:ascii="Times New Roman" w:eastAsia="Times New Roman" w:hAnsi="Times New Roman" w:cs="Times New Roman"/>
          <w:i/>
          <w:color w:val="000000"/>
          <w:sz w:val="24"/>
          <w:szCs w:val="24"/>
        </w:rPr>
        <w:t>P</w:t>
      </w:r>
      <w:r w:rsidRPr="001952B6">
        <w:rPr>
          <w:rFonts w:ascii="Times New Roman" w:eastAsia="Times New Roman" w:hAnsi="Times New Roman" w:cs="Times New Roman"/>
          <w:color w:val="000000"/>
          <w:sz w:val="24"/>
          <w:szCs w:val="24"/>
        </w:rPr>
        <w:t xml:space="preserve"> = 0.002 for follow-up time (all other subgroups </w:t>
      </w:r>
      <w:r w:rsidRPr="001952B6">
        <w:rPr>
          <w:rFonts w:ascii="Times New Roman" w:eastAsia="Times New Roman" w:hAnsi="Times New Roman" w:cs="Times New Roman"/>
          <w:i/>
          <w:color w:val="000000"/>
          <w:sz w:val="24"/>
          <w:szCs w:val="24"/>
        </w:rPr>
        <w:t>P</w:t>
      </w:r>
      <w:r w:rsidRPr="001952B6">
        <w:rPr>
          <w:rFonts w:ascii="Times New Roman" w:eastAsia="Times New Roman" w:hAnsi="Times New Roman" w:cs="Times New Roman"/>
          <w:color w:val="000000"/>
          <w:sz w:val="24"/>
          <w:szCs w:val="24"/>
        </w:rPr>
        <w:t xml:space="preserve"> heterogeneity &gt; 0.05).</w:t>
      </w:r>
    </w:p>
    <w:p w:rsidR="00825AD3" w:rsidRPr="001952B6" w:rsidRDefault="00825AD3" w:rsidP="00825AD3">
      <w:pPr>
        <w:spacing w:line="360" w:lineRule="auto"/>
        <w:rPr>
          <w:rFonts w:ascii="Times New Roman" w:hAnsi="Times New Roman" w:cs="Times New Roman"/>
          <w:sz w:val="24"/>
          <w:szCs w:val="24"/>
        </w:rPr>
      </w:pPr>
      <w:r w:rsidRPr="001952B6">
        <w:rPr>
          <w:rFonts w:ascii="Times New Roman" w:hAnsi="Times New Roman" w:cs="Times New Roman"/>
          <w:sz w:val="24"/>
          <w:szCs w:val="24"/>
        </w:rPr>
        <w:br w:type="page"/>
      </w:r>
    </w:p>
    <w:p w:rsidR="00825AD3" w:rsidRPr="001952B6" w:rsidRDefault="00825AD3" w:rsidP="00825AD3">
      <w:pPr>
        <w:spacing w:line="360" w:lineRule="auto"/>
        <w:rPr>
          <w:rFonts w:ascii="Times New Roman" w:hAnsi="Times New Roman" w:cs="Times New Roman"/>
          <w:sz w:val="24"/>
          <w:szCs w:val="24"/>
        </w:rPr>
        <w:sectPr w:rsidR="00825AD3" w:rsidRPr="001952B6" w:rsidSect="00B85DE3">
          <w:pgSz w:w="11906" w:h="16838"/>
          <w:pgMar w:top="1440" w:right="1440" w:bottom="1440" w:left="1440" w:header="708" w:footer="708" w:gutter="0"/>
          <w:cols w:space="708"/>
          <w:docGrid w:linePitch="360"/>
        </w:sectPr>
      </w:pPr>
    </w:p>
    <w:tbl>
      <w:tblPr>
        <w:tblW w:w="14487" w:type="dxa"/>
        <w:tblInd w:w="93" w:type="dxa"/>
        <w:tblLook w:val="04A0" w:firstRow="1" w:lastRow="0" w:firstColumn="1" w:lastColumn="0" w:noHBand="0" w:noVBand="1"/>
      </w:tblPr>
      <w:tblGrid>
        <w:gridCol w:w="3084"/>
        <w:gridCol w:w="2388"/>
        <w:gridCol w:w="2376"/>
        <w:gridCol w:w="2333"/>
        <w:gridCol w:w="2333"/>
        <w:gridCol w:w="1973"/>
      </w:tblGrid>
      <w:tr w:rsidR="00825AD3" w:rsidRPr="001952B6" w:rsidTr="00FB484D">
        <w:trPr>
          <w:trHeight w:val="315"/>
        </w:trPr>
        <w:tc>
          <w:tcPr>
            <w:tcW w:w="14487" w:type="dxa"/>
            <w:gridSpan w:val="6"/>
            <w:vMerge w:val="restart"/>
            <w:tcBorders>
              <w:top w:val="nil"/>
              <w:left w:val="nil"/>
              <w:bottom w:val="nil"/>
              <w:right w:val="nil"/>
            </w:tcBorders>
            <w:shd w:val="clear" w:color="auto" w:fill="auto"/>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lastRenderedPageBreak/>
              <w:t xml:space="preserve">Supplementary Table 1 </w:t>
            </w:r>
            <w:r w:rsidRPr="001952B6">
              <w:rPr>
                <w:rFonts w:ascii="Times New Roman" w:eastAsia="Times New Roman" w:hAnsi="Times New Roman" w:cs="Times New Roman"/>
                <w:bCs/>
                <w:color w:val="000000"/>
                <w:sz w:val="24"/>
                <w:szCs w:val="24"/>
              </w:rPr>
              <w:t>Hazards ratio (95% CI) of cardiovascular disease and mortality by quintiles of circulating concentrations of 25-hydroxyvitamin D among patients with complete data for all variables</w:t>
            </w:r>
            <w:r w:rsidRPr="001952B6">
              <w:rPr>
                <w:rFonts w:ascii="Times New Roman" w:eastAsia="Times New Roman" w:hAnsi="Times New Roman" w:cs="Times New Roman"/>
                <w:bCs/>
                <w:color w:val="000000"/>
                <w:sz w:val="24"/>
                <w:szCs w:val="24"/>
                <w:vertAlign w:val="superscript"/>
              </w:rPr>
              <w:t>*</w:t>
            </w:r>
          </w:p>
        </w:tc>
      </w:tr>
      <w:tr w:rsidR="00825AD3" w:rsidRPr="001952B6" w:rsidTr="00FB484D">
        <w:trPr>
          <w:trHeight w:val="330"/>
        </w:trPr>
        <w:tc>
          <w:tcPr>
            <w:tcW w:w="14487" w:type="dxa"/>
            <w:gridSpan w:val="6"/>
            <w:vMerge/>
            <w:tcBorders>
              <w:top w:val="nil"/>
              <w:left w:val="nil"/>
              <w:bottom w:val="nil"/>
              <w:right w:val="nil"/>
            </w:tcBorders>
            <w:vAlign w:val="center"/>
            <w:hideMark/>
          </w:tcPr>
          <w:p w:rsidR="00825AD3" w:rsidRPr="001952B6" w:rsidRDefault="00825AD3" w:rsidP="00FB484D">
            <w:pPr>
              <w:spacing w:after="0"/>
              <w:rPr>
                <w:rFonts w:ascii="Times New Roman" w:eastAsia="Times New Roman" w:hAnsi="Times New Roman" w:cs="Times New Roman"/>
                <w:b/>
                <w:bCs/>
                <w:color w:val="000000"/>
                <w:sz w:val="24"/>
                <w:szCs w:val="24"/>
              </w:rPr>
            </w:pPr>
          </w:p>
        </w:tc>
      </w:tr>
      <w:tr w:rsidR="00825AD3" w:rsidRPr="001952B6" w:rsidTr="00FB484D">
        <w:trPr>
          <w:trHeight w:val="330"/>
        </w:trPr>
        <w:tc>
          <w:tcPr>
            <w:tcW w:w="3084"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c>
          <w:tcPr>
            <w:tcW w:w="2388"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c>
          <w:tcPr>
            <w:tcW w:w="2376"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c>
          <w:tcPr>
            <w:tcW w:w="197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 </w:t>
            </w:r>
          </w:p>
        </w:tc>
      </w:tr>
      <w:tr w:rsidR="00825AD3" w:rsidRPr="001952B6" w:rsidTr="00FB484D">
        <w:trPr>
          <w:trHeight w:val="315"/>
        </w:trPr>
        <w:tc>
          <w:tcPr>
            <w:tcW w:w="3084" w:type="dxa"/>
            <w:tcBorders>
              <w:top w:val="nil"/>
              <w:left w:val="nil"/>
              <w:bottom w:val="nil"/>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 </w:t>
            </w:r>
          </w:p>
        </w:tc>
        <w:tc>
          <w:tcPr>
            <w:tcW w:w="11403" w:type="dxa"/>
            <w:gridSpan w:val="5"/>
            <w:tcBorders>
              <w:top w:val="single" w:sz="4" w:space="0" w:color="auto"/>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b/>
                <w:bCs/>
                <w:color w:val="000000"/>
                <w:sz w:val="24"/>
                <w:szCs w:val="24"/>
              </w:rPr>
            </w:pPr>
            <w:r w:rsidRPr="001952B6">
              <w:rPr>
                <w:rFonts w:ascii="Times New Roman" w:eastAsia="Times New Roman" w:hAnsi="Times New Roman" w:cs="Times New Roman"/>
                <w:b/>
                <w:bCs/>
                <w:color w:val="000000"/>
                <w:sz w:val="24"/>
                <w:szCs w:val="24"/>
              </w:rPr>
              <w:t>Quintiles of circulating concentrations of 25-hydroxyvitamin D (nmol/L)</w:t>
            </w:r>
          </w:p>
        </w:tc>
      </w:tr>
      <w:tr w:rsidR="00825AD3" w:rsidRPr="001952B6" w:rsidTr="00FB484D">
        <w:trPr>
          <w:trHeight w:val="315"/>
        </w:trPr>
        <w:tc>
          <w:tcPr>
            <w:tcW w:w="3084"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 </w:t>
            </w:r>
          </w:p>
        </w:tc>
        <w:tc>
          <w:tcPr>
            <w:tcW w:w="2388"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0.05 to 23.09</w:t>
            </w:r>
          </w:p>
        </w:tc>
        <w:tc>
          <w:tcPr>
            <w:tcW w:w="2376"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23.10 to 34.83</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34.84 to 48.27</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48.28 to 67.49</w:t>
            </w:r>
          </w:p>
        </w:tc>
        <w:tc>
          <w:tcPr>
            <w:tcW w:w="197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67.50 to 206.49</w:t>
            </w:r>
          </w:p>
        </w:tc>
      </w:tr>
      <w:tr w:rsidR="00825AD3" w:rsidRPr="001952B6" w:rsidTr="00FB484D">
        <w:trPr>
          <w:trHeight w:val="360"/>
        </w:trPr>
        <w:tc>
          <w:tcPr>
            <w:tcW w:w="3084" w:type="dxa"/>
            <w:tcBorders>
              <w:top w:val="nil"/>
              <w:left w:val="nil"/>
              <w:bottom w:val="nil"/>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Cardiovascular disease</w:t>
            </w:r>
            <w:r w:rsidRPr="001952B6">
              <w:rPr>
                <w:rFonts w:ascii="Calibri" w:eastAsia="Times New Roman" w:hAnsi="Calibri" w:cs="Times New Roman"/>
                <w:color w:val="000000"/>
                <w:sz w:val="24"/>
                <w:szCs w:val="24"/>
                <w:vertAlign w:val="superscript"/>
              </w:rPr>
              <w:t>†</w:t>
            </w:r>
          </w:p>
        </w:tc>
        <w:tc>
          <w:tcPr>
            <w:tcW w:w="2388"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1.30 (1.12 to 1.52)</w:t>
            </w:r>
          </w:p>
        </w:tc>
        <w:tc>
          <w:tcPr>
            <w:tcW w:w="2376"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1.27 (1.11 to 1.46)</w:t>
            </w: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1.09 (0.95 to 1.26)</w:t>
            </w: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1.10 (0.95 to 1.28)</w:t>
            </w:r>
          </w:p>
        </w:tc>
        <w:tc>
          <w:tcPr>
            <w:tcW w:w="197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1.00 (ref)</w:t>
            </w:r>
          </w:p>
        </w:tc>
      </w:tr>
      <w:tr w:rsidR="00825AD3" w:rsidRPr="001952B6" w:rsidTr="00FB484D">
        <w:trPr>
          <w:trHeight w:val="360"/>
        </w:trPr>
        <w:tc>
          <w:tcPr>
            <w:tcW w:w="3084"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All-cause mortality</w:t>
            </w:r>
            <w:r w:rsidRPr="001952B6">
              <w:rPr>
                <w:rFonts w:ascii="Calibri" w:eastAsia="Times New Roman" w:hAnsi="Calibri" w:cs="Times New Roman"/>
                <w:color w:val="000000"/>
                <w:sz w:val="24"/>
                <w:szCs w:val="24"/>
                <w:vertAlign w:val="superscript"/>
              </w:rPr>
              <w:t>†</w:t>
            </w:r>
          </w:p>
        </w:tc>
        <w:tc>
          <w:tcPr>
            <w:tcW w:w="2388"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1.75 (1.52 to 2.03)</w:t>
            </w:r>
          </w:p>
        </w:tc>
        <w:tc>
          <w:tcPr>
            <w:tcW w:w="2376"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1.14 (0.97 to 1.33)</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1.02 (0.88 to 1.19)</w:t>
            </w:r>
          </w:p>
        </w:tc>
        <w:tc>
          <w:tcPr>
            <w:tcW w:w="233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0.91 (0.78 to 1.07)</w:t>
            </w:r>
          </w:p>
        </w:tc>
        <w:tc>
          <w:tcPr>
            <w:tcW w:w="1973" w:type="dxa"/>
            <w:tcBorders>
              <w:top w:val="nil"/>
              <w:left w:val="nil"/>
              <w:bottom w:val="single" w:sz="4" w:space="0" w:color="auto"/>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1.00 (ref)</w:t>
            </w:r>
          </w:p>
        </w:tc>
      </w:tr>
      <w:tr w:rsidR="00825AD3" w:rsidRPr="001952B6" w:rsidTr="00FB484D">
        <w:trPr>
          <w:trHeight w:val="315"/>
        </w:trPr>
        <w:tc>
          <w:tcPr>
            <w:tcW w:w="3084" w:type="dxa"/>
            <w:tcBorders>
              <w:top w:val="nil"/>
              <w:left w:val="nil"/>
              <w:bottom w:val="nil"/>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rPr>
              <w:t>CI, confidence intervals</w:t>
            </w:r>
          </w:p>
        </w:tc>
        <w:tc>
          <w:tcPr>
            <w:tcW w:w="2388"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2376"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197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r>
      <w:tr w:rsidR="00825AD3" w:rsidRPr="001952B6" w:rsidTr="00FB484D">
        <w:trPr>
          <w:trHeight w:val="375"/>
        </w:trPr>
        <w:tc>
          <w:tcPr>
            <w:tcW w:w="7848" w:type="dxa"/>
            <w:gridSpan w:val="3"/>
            <w:tcBorders>
              <w:top w:val="nil"/>
              <w:left w:val="nil"/>
              <w:bottom w:val="nil"/>
              <w:right w:val="nil"/>
            </w:tcBorders>
            <w:shd w:val="clear" w:color="auto" w:fill="auto"/>
            <w:noWrap/>
            <w:vAlign w:val="bottom"/>
            <w:hideMark/>
          </w:tcPr>
          <w:p w:rsidR="00825AD3" w:rsidRPr="001952B6" w:rsidRDefault="00825AD3" w:rsidP="00FB484D">
            <w:pPr>
              <w:spacing w:after="0"/>
              <w:rPr>
                <w:rFonts w:ascii="Times New Roman" w:eastAsia="Times New Roman" w:hAnsi="Times New Roman" w:cs="Times New Roman"/>
                <w:color w:val="000000"/>
                <w:sz w:val="24"/>
                <w:szCs w:val="24"/>
              </w:rPr>
            </w:pPr>
            <w:r w:rsidRPr="001952B6">
              <w:rPr>
                <w:rFonts w:ascii="Times New Roman" w:eastAsia="Times New Roman" w:hAnsi="Times New Roman" w:cs="Times New Roman"/>
                <w:color w:val="000000"/>
                <w:sz w:val="24"/>
                <w:szCs w:val="24"/>
                <w:vertAlign w:val="superscript"/>
              </w:rPr>
              <w:t>*</w:t>
            </w:r>
            <w:r w:rsidRPr="001952B6">
              <w:rPr>
                <w:rFonts w:ascii="Times New Roman" w:eastAsia="Times New Roman" w:hAnsi="Times New Roman" w:cs="Times New Roman"/>
                <w:color w:val="000000"/>
                <w:sz w:val="24"/>
                <w:szCs w:val="24"/>
              </w:rPr>
              <w:t>94,642 patients including 1,924 cases of CVD and 1,757 deaths.</w:t>
            </w: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233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c>
          <w:tcPr>
            <w:tcW w:w="1973" w:type="dxa"/>
            <w:tcBorders>
              <w:top w:val="nil"/>
              <w:left w:val="nil"/>
              <w:bottom w:val="nil"/>
              <w:right w:val="nil"/>
            </w:tcBorders>
            <w:shd w:val="clear" w:color="auto" w:fill="auto"/>
            <w:noWrap/>
            <w:vAlign w:val="bottom"/>
            <w:hideMark/>
          </w:tcPr>
          <w:p w:rsidR="00825AD3" w:rsidRPr="001952B6" w:rsidRDefault="00825AD3" w:rsidP="00FB484D">
            <w:pPr>
              <w:spacing w:after="0"/>
              <w:jc w:val="center"/>
              <w:rPr>
                <w:rFonts w:ascii="Times New Roman" w:eastAsia="Times New Roman" w:hAnsi="Times New Roman" w:cs="Times New Roman"/>
                <w:color w:val="000000"/>
                <w:sz w:val="24"/>
                <w:szCs w:val="24"/>
              </w:rPr>
            </w:pPr>
          </w:p>
        </w:tc>
      </w:tr>
      <w:tr w:rsidR="00825AD3" w:rsidRPr="005734DD" w:rsidTr="00FB484D">
        <w:trPr>
          <w:trHeight w:val="360"/>
        </w:trPr>
        <w:tc>
          <w:tcPr>
            <w:tcW w:w="14487" w:type="dxa"/>
            <w:gridSpan w:val="6"/>
            <w:tcBorders>
              <w:top w:val="nil"/>
              <w:left w:val="nil"/>
              <w:bottom w:val="nil"/>
              <w:right w:val="nil"/>
            </w:tcBorders>
            <w:shd w:val="clear" w:color="auto" w:fill="auto"/>
            <w:noWrap/>
            <w:vAlign w:val="center"/>
            <w:hideMark/>
          </w:tcPr>
          <w:p w:rsidR="00825AD3" w:rsidRPr="005734DD" w:rsidRDefault="00825AD3" w:rsidP="00FB484D">
            <w:pPr>
              <w:spacing w:after="0"/>
              <w:rPr>
                <w:rFonts w:ascii="Times New Roman" w:eastAsia="Times New Roman" w:hAnsi="Times New Roman" w:cs="Times New Roman"/>
                <w:color w:val="000000"/>
                <w:sz w:val="24"/>
                <w:szCs w:val="24"/>
              </w:rPr>
            </w:pPr>
            <w:r w:rsidRPr="001952B6">
              <w:rPr>
                <w:rFonts w:ascii="Calibri" w:eastAsia="Times New Roman" w:hAnsi="Calibri" w:cs="Times New Roman"/>
                <w:color w:val="000000"/>
                <w:sz w:val="24"/>
                <w:szCs w:val="24"/>
                <w:vertAlign w:val="superscript"/>
              </w:rPr>
              <w:t>†</w:t>
            </w:r>
            <w:r w:rsidRPr="001952B6">
              <w:rPr>
                <w:rFonts w:ascii="Times New Roman" w:eastAsia="Times New Roman" w:hAnsi="Times New Roman" w:cs="Times New Roman"/>
                <w:color w:val="000000"/>
                <w:sz w:val="24"/>
                <w:szCs w:val="24"/>
              </w:rPr>
              <w:t>Adjusted for age, sex, socioeconomic status, ethnicity, smoking , BMI, hypertension, diabetes, use of lipid-lowering medication, and atrial fibrillation</w:t>
            </w:r>
          </w:p>
        </w:tc>
      </w:tr>
    </w:tbl>
    <w:p w:rsidR="001E2EB4" w:rsidRPr="0061372F" w:rsidRDefault="001E2EB4" w:rsidP="006F1D39">
      <w:pPr>
        <w:suppressLineNumbers/>
        <w:autoSpaceDE w:val="0"/>
        <w:autoSpaceDN w:val="0"/>
        <w:adjustRightInd w:val="0"/>
        <w:spacing w:after="0"/>
        <w:rPr>
          <w:rFonts w:ascii="Times New Roman" w:hAnsi="Times New Roman" w:cs="Times New Roman"/>
          <w:b/>
          <w:sz w:val="24"/>
          <w:szCs w:val="24"/>
        </w:rPr>
      </w:pPr>
    </w:p>
    <w:sectPr w:rsidR="001E2EB4" w:rsidRPr="0061372F" w:rsidSect="0049749D">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4ED9B" w15:done="0"/>
  <w15:commentEx w15:paraId="75066FE1" w15:done="0"/>
  <w15:commentEx w15:paraId="6E233A1F" w15:paraIdParent="75066FE1" w15:done="0"/>
  <w15:commentEx w15:paraId="61FE708E" w15:done="0"/>
  <w15:commentEx w15:paraId="384024A9" w15:done="0"/>
  <w15:commentEx w15:paraId="12FF0B65" w15:done="0"/>
  <w15:commentEx w15:paraId="5D64D085" w15:done="0"/>
  <w15:commentEx w15:paraId="44AFD13A" w15:done="0"/>
  <w15:commentEx w15:paraId="7FA06C4F" w15:done="0"/>
  <w15:commentEx w15:paraId="487F28C9" w15:done="0"/>
  <w15:commentEx w15:paraId="4868056A" w15:done="0"/>
  <w15:commentEx w15:paraId="1392378C" w15:done="0"/>
  <w15:commentEx w15:paraId="59A490F1" w15:done="0"/>
  <w15:commentEx w15:paraId="19595ACD" w15:done="0"/>
  <w15:commentEx w15:paraId="6342A0CF" w15:done="0"/>
  <w15:commentEx w15:paraId="13FD1782" w15:done="0"/>
  <w15:commentEx w15:paraId="6B6165EF" w15:done="0"/>
  <w15:commentEx w15:paraId="46C49899" w15:done="0"/>
  <w15:commentEx w15:paraId="6F7B9012" w15:done="0"/>
  <w15:commentEx w15:paraId="7252E511" w15:done="0"/>
  <w15:commentEx w15:paraId="712AB7FB" w15:done="0"/>
  <w15:commentEx w15:paraId="50FB089C" w15:done="0"/>
  <w15:commentEx w15:paraId="18CB694E" w15:done="0"/>
  <w15:commentEx w15:paraId="0749F829" w15:done="0"/>
  <w15:commentEx w15:paraId="0EE10D4D" w15:done="0"/>
  <w15:commentEx w15:paraId="6AC7F2D9" w15:done="0"/>
  <w15:commentEx w15:paraId="5684F9A2" w15:done="0"/>
  <w15:commentEx w15:paraId="014A498A" w15:done="0"/>
  <w15:commentEx w15:paraId="0D68E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4D" w:rsidRDefault="00FB484D" w:rsidP="00EB71F2">
      <w:pPr>
        <w:spacing w:after="0"/>
      </w:pPr>
      <w:r>
        <w:separator/>
      </w:r>
    </w:p>
  </w:endnote>
  <w:endnote w:type="continuationSeparator" w:id="0">
    <w:p w:rsidR="00FB484D" w:rsidRDefault="00FB484D" w:rsidP="00EB7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192275"/>
      <w:docPartObj>
        <w:docPartGallery w:val="Page Numbers (Bottom of Page)"/>
        <w:docPartUnique/>
      </w:docPartObj>
    </w:sdtPr>
    <w:sdtEndPr>
      <w:rPr>
        <w:noProof/>
      </w:rPr>
    </w:sdtEndPr>
    <w:sdtContent>
      <w:p w:rsidR="00FB484D" w:rsidRDefault="00D520F1">
        <w:pPr>
          <w:pStyle w:val="Footer"/>
          <w:jc w:val="right"/>
        </w:pPr>
        <w:r>
          <w:fldChar w:fldCharType="begin"/>
        </w:r>
        <w:r w:rsidR="00FB484D">
          <w:instrText xml:space="preserve"> PAGE   \* MERGEFORMAT </w:instrText>
        </w:r>
        <w:r>
          <w:fldChar w:fldCharType="separate"/>
        </w:r>
        <w:r w:rsidR="00D20C3F">
          <w:rPr>
            <w:noProof/>
          </w:rPr>
          <w:t>24</w:t>
        </w:r>
        <w:r>
          <w:rPr>
            <w:noProof/>
          </w:rPr>
          <w:fldChar w:fldCharType="end"/>
        </w:r>
      </w:p>
    </w:sdtContent>
  </w:sdt>
  <w:p w:rsidR="00FB484D" w:rsidRDefault="00FB4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4D" w:rsidRDefault="00FB484D" w:rsidP="00EB71F2">
      <w:pPr>
        <w:spacing w:after="0"/>
      </w:pPr>
      <w:r>
        <w:separator/>
      </w:r>
    </w:p>
  </w:footnote>
  <w:footnote w:type="continuationSeparator" w:id="0">
    <w:p w:rsidR="00FB484D" w:rsidRDefault="00FB484D" w:rsidP="00EB71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6C6E"/>
    <w:multiLevelType w:val="hybridMultilevel"/>
    <w:tmpl w:val="F61C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36D9F"/>
    <w:multiLevelType w:val="hybridMultilevel"/>
    <w:tmpl w:val="5BE00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03418E2"/>
    <w:multiLevelType w:val="hybridMultilevel"/>
    <w:tmpl w:val="87D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A3803"/>
    <w:multiLevelType w:val="hybridMultilevel"/>
    <w:tmpl w:val="58D2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Scragg">
    <w15:presenceInfo w15:providerId="AD" w15:userId="S-1-5-21-614565923-1027956908-3001582966-147514"/>
  </w15:person>
  <w15:person w15:author="Rasiah Thayakaran (Institute of Applied Health Research)">
    <w15:presenceInfo w15:providerId="AD" w15:userId="S-1-5-21-1390067357-308236825-725345543-47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6C"/>
    <w:rsid w:val="00002084"/>
    <w:rsid w:val="00005BDE"/>
    <w:rsid w:val="00010D30"/>
    <w:rsid w:val="00015063"/>
    <w:rsid w:val="00015092"/>
    <w:rsid w:val="000177E2"/>
    <w:rsid w:val="00020018"/>
    <w:rsid w:val="000226BC"/>
    <w:rsid w:val="00022AA6"/>
    <w:rsid w:val="00022AAE"/>
    <w:rsid w:val="00022DA3"/>
    <w:rsid w:val="00023DD9"/>
    <w:rsid w:val="00024CE1"/>
    <w:rsid w:val="0003082E"/>
    <w:rsid w:val="00031CE0"/>
    <w:rsid w:val="00042F77"/>
    <w:rsid w:val="000450E4"/>
    <w:rsid w:val="000453FC"/>
    <w:rsid w:val="0004544C"/>
    <w:rsid w:val="0004769D"/>
    <w:rsid w:val="00050D68"/>
    <w:rsid w:val="0005508A"/>
    <w:rsid w:val="000636A5"/>
    <w:rsid w:val="00063BAE"/>
    <w:rsid w:val="00063E94"/>
    <w:rsid w:val="00067A61"/>
    <w:rsid w:val="00071C8C"/>
    <w:rsid w:val="0007505E"/>
    <w:rsid w:val="00075087"/>
    <w:rsid w:val="000754F7"/>
    <w:rsid w:val="00075CEC"/>
    <w:rsid w:val="00077DF8"/>
    <w:rsid w:val="00077F2B"/>
    <w:rsid w:val="00085E27"/>
    <w:rsid w:val="00094273"/>
    <w:rsid w:val="000951AF"/>
    <w:rsid w:val="000A099E"/>
    <w:rsid w:val="000A23DA"/>
    <w:rsid w:val="000A439C"/>
    <w:rsid w:val="000A4C10"/>
    <w:rsid w:val="000A4D4C"/>
    <w:rsid w:val="000A6A64"/>
    <w:rsid w:val="000B10A3"/>
    <w:rsid w:val="000B60C4"/>
    <w:rsid w:val="000B71FE"/>
    <w:rsid w:val="000B7B7F"/>
    <w:rsid w:val="000C4318"/>
    <w:rsid w:val="000C505D"/>
    <w:rsid w:val="000D23B4"/>
    <w:rsid w:val="000D5DA7"/>
    <w:rsid w:val="000D68CE"/>
    <w:rsid w:val="000E011C"/>
    <w:rsid w:val="000E3CF1"/>
    <w:rsid w:val="000E4591"/>
    <w:rsid w:val="000E7909"/>
    <w:rsid w:val="000F145E"/>
    <w:rsid w:val="000F1813"/>
    <w:rsid w:val="000F2728"/>
    <w:rsid w:val="000F45E2"/>
    <w:rsid w:val="000F4D20"/>
    <w:rsid w:val="000F6417"/>
    <w:rsid w:val="00103100"/>
    <w:rsid w:val="00103F87"/>
    <w:rsid w:val="00104155"/>
    <w:rsid w:val="00106DD4"/>
    <w:rsid w:val="00107C17"/>
    <w:rsid w:val="001122B5"/>
    <w:rsid w:val="00114EBE"/>
    <w:rsid w:val="001208DF"/>
    <w:rsid w:val="00126C1D"/>
    <w:rsid w:val="001271C8"/>
    <w:rsid w:val="001301A8"/>
    <w:rsid w:val="0013327C"/>
    <w:rsid w:val="001350AA"/>
    <w:rsid w:val="00136F5E"/>
    <w:rsid w:val="00137301"/>
    <w:rsid w:val="00140CEA"/>
    <w:rsid w:val="00141710"/>
    <w:rsid w:val="00141924"/>
    <w:rsid w:val="00141CA1"/>
    <w:rsid w:val="001427A3"/>
    <w:rsid w:val="00145EB5"/>
    <w:rsid w:val="0014621F"/>
    <w:rsid w:val="00151A2F"/>
    <w:rsid w:val="00155259"/>
    <w:rsid w:val="001565A6"/>
    <w:rsid w:val="001607AA"/>
    <w:rsid w:val="00160E36"/>
    <w:rsid w:val="001630A7"/>
    <w:rsid w:val="0016488E"/>
    <w:rsid w:val="00171E8F"/>
    <w:rsid w:val="00174188"/>
    <w:rsid w:val="00176A9B"/>
    <w:rsid w:val="00176DE0"/>
    <w:rsid w:val="001818B4"/>
    <w:rsid w:val="001826B1"/>
    <w:rsid w:val="00183205"/>
    <w:rsid w:val="001840E0"/>
    <w:rsid w:val="00185744"/>
    <w:rsid w:val="001871C3"/>
    <w:rsid w:val="001877F8"/>
    <w:rsid w:val="00192367"/>
    <w:rsid w:val="00194513"/>
    <w:rsid w:val="001952B6"/>
    <w:rsid w:val="0019635E"/>
    <w:rsid w:val="00196656"/>
    <w:rsid w:val="00196BD4"/>
    <w:rsid w:val="001A19C0"/>
    <w:rsid w:val="001A2A11"/>
    <w:rsid w:val="001A6364"/>
    <w:rsid w:val="001B031A"/>
    <w:rsid w:val="001B2996"/>
    <w:rsid w:val="001C126D"/>
    <w:rsid w:val="001C310C"/>
    <w:rsid w:val="001C4D6E"/>
    <w:rsid w:val="001C4EDF"/>
    <w:rsid w:val="001D4C52"/>
    <w:rsid w:val="001D61BF"/>
    <w:rsid w:val="001D78DE"/>
    <w:rsid w:val="001E12D8"/>
    <w:rsid w:val="001E2EB4"/>
    <w:rsid w:val="001E47F0"/>
    <w:rsid w:val="001E693E"/>
    <w:rsid w:val="001F1ABA"/>
    <w:rsid w:val="001F3892"/>
    <w:rsid w:val="001F7A0B"/>
    <w:rsid w:val="0020024D"/>
    <w:rsid w:val="0020331A"/>
    <w:rsid w:val="0020663F"/>
    <w:rsid w:val="00206C4A"/>
    <w:rsid w:val="00207357"/>
    <w:rsid w:val="00210149"/>
    <w:rsid w:val="0021368A"/>
    <w:rsid w:val="00213B57"/>
    <w:rsid w:val="002209FB"/>
    <w:rsid w:val="00223F71"/>
    <w:rsid w:val="00224ACE"/>
    <w:rsid w:val="002275F9"/>
    <w:rsid w:val="002317D5"/>
    <w:rsid w:val="0023495F"/>
    <w:rsid w:val="0023711E"/>
    <w:rsid w:val="00237880"/>
    <w:rsid w:val="00240250"/>
    <w:rsid w:val="00240D53"/>
    <w:rsid w:val="00241D08"/>
    <w:rsid w:val="00241E32"/>
    <w:rsid w:val="00244E54"/>
    <w:rsid w:val="002513B9"/>
    <w:rsid w:val="00251D0C"/>
    <w:rsid w:val="0025527B"/>
    <w:rsid w:val="00256505"/>
    <w:rsid w:val="00257951"/>
    <w:rsid w:val="002614B2"/>
    <w:rsid w:val="0026242B"/>
    <w:rsid w:val="00262EAA"/>
    <w:rsid w:val="00264C44"/>
    <w:rsid w:val="0026749E"/>
    <w:rsid w:val="00270AB8"/>
    <w:rsid w:val="00271347"/>
    <w:rsid w:val="00273A6A"/>
    <w:rsid w:val="00274344"/>
    <w:rsid w:val="00274D1A"/>
    <w:rsid w:val="00275809"/>
    <w:rsid w:val="00275D3E"/>
    <w:rsid w:val="00281550"/>
    <w:rsid w:val="00281782"/>
    <w:rsid w:val="002842F5"/>
    <w:rsid w:val="00285674"/>
    <w:rsid w:val="002973CA"/>
    <w:rsid w:val="002A0337"/>
    <w:rsid w:val="002A272A"/>
    <w:rsid w:val="002A3666"/>
    <w:rsid w:val="002A46A0"/>
    <w:rsid w:val="002A4ECF"/>
    <w:rsid w:val="002A5AEA"/>
    <w:rsid w:val="002A7947"/>
    <w:rsid w:val="002B23C9"/>
    <w:rsid w:val="002B5EBF"/>
    <w:rsid w:val="002B7683"/>
    <w:rsid w:val="002B79F0"/>
    <w:rsid w:val="002C1D5F"/>
    <w:rsid w:val="002C5814"/>
    <w:rsid w:val="002C6259"/>
    <w:rsid w:val="002D2872"/>
    <w:rsid w:val="002D3535"/>
    <w:rsid w:val="002D4C08"/>
    <w:rsid w:val="002E0B84"/>
    <w:rsid w:val="002E1966"/>
    <w:rsid w:val="002E21B4"/>
    <w:rsid w:val="002E25AD"/>
    <w:rsid w:val="002E4DBF"/>
    <w:rsid w:val="002F5A78"/>
    <w:rsid w:val="002F5D46"/>
    <w:rsid w:val="002F6AD5"/>
    <w:rsid w:val="002F7DE9"/>
    <w:rsid w:val="00300F8D"/>
    <w:rsid w:val="00306E93"/>
    <w:rsid w:val="003106BE"/>
    <w:rsid w:val="003113F6"/>
    <w:rsid w:val="00313436"/>
    <w:rsid w:val="003156D7"/>
    <w:rsid w:val="003158B9"/>
    <w:rsid w:val="003242FF"/>
    <w:rsid w:val="00325CB0"/>
    <w:rsid w:val="00327CF0"/>
    <w:rsid w:val="003305A0"/>
    <w:rsid w:val="00330B0E"/>
    <w:rsid w:val="0033143B"/>
    <w:rsid w:val="00331994"/>
    <w:rsid w:val="00331C84"/>
    <w:rsid w:val="003415F0"/>
    <w:rsid w:val="00343062"/>
    <w:rsid w:val="0034506E"/>
    <w:rsid w:val="00347D61"/>
    <w:rsid w:val="00350353"/>
    <w:rsid w:val="00350D92"/>
    <w:rsid w:val="003524A2"/>
    <w:rsid w:val="00353070"/>
    <w:rsid w:val="00354228"/>
    <w:rsid w:val="00354CDF"/>
    <w:rsid w:val="00355205"/>
    <w:rsid w:val="003558DE"/>
    <w:rsid w:val="00357C14"/>
    <w:rsid w:val="00364445"/>
    <w:rsid w:val="003658FF"/>
    <w:rsid w:val="00366328"/>
    <w:rsid w:val="00366D07"/>
    <w:rsid w:val="00366FCF"/>
    <w:rsid w:val="00371E34"/>
    <w:rsid w:val="00374994"/>
    <w:rsid w:val="003749E2"/>
    <w:rsid w:val="00375931"/>
    <w:rsid w:val="00375DD8"/>
    <w:rsid w:val="003772E4"/>
    <w:rsid w:val="003838ED"/>
    <w:rsid w:val="003851E3"/>
    <w:rsid w:val="00385FD0"/>
    <w:rsid w:val="0038718D"/>
    <w:rsid w:val="0038784C"/>
    <w:rsid w:val="00387AF6"/>
    <w:rsid w:val="00391981"/>
    <w:rsid w:val="00391C13"/>
    <w:rsid w:val="0039214C"/>
    <w:rsid w:val="00392C11"/>
    <w:rsid w:val="00396FDC"/>
    <w:rsid w:val="003A3C88"/>
    <w:rsid w:val="003A4537"/>
    <w:rsid w:val="003A6584"/>
    <w:rsid w:val="003A7148"/>
    <w:rsid w:val="003A7E84"/>
    <w:rsid w:val="003B24F1"/>
    <w:rsid w:val="003B7537"/>
    <w:rsid w:val="003C0AEB"/>
    <w:rsid w:val="003C111A"/>
    <w:rsid w:val="003C1E12"/>
    <w:rsid w:val="003C545F"/>
    <w:rsid w:val="003C73F0"/>
    <w:rsid w:val="003C7D1B"/>
    <w:rsid w:val="003D2E59"/>
    <w:rsid w:val="003D6FE2"/>
    <w:rsid w:val="003E3C46"/>
    <w:rsid w:val="003E642F"/>
    <w:rsid w:val="003F0134"/>
    <w:rsid w:val="003F03ED"/>
    <w:rsid w:val="003F528D"/>
    <w:rsid w:val="003F6B70"/>
    <w:rsid w:val="00401B76"/>
    <w:rsid w:val="00402EFA"/>
    <w:rsid w:val="0040364F"/>
    <w:rsid w:val="004061A6"/>
    <w:rsid w:val="00411D6B"/>
    <w:rsid w:val="00414DC6"/>
    <w:rsid w:val="00422285"/>
    <w:rsid w:val="00423C42"/>
    <w:rsid w:val="004256B7"/>
    <w:rsid w:val="00425A17"/>
    <w:rsid w:val="004278BC"/>
    <w:rsid w:val="0043554D"/>
    <w:rsid w:val="00436077"/>
    <w:rsid w:val="00444273"/>
    <w:rsid w:val="00444B98"/>
    <w:rsid w:val="00444C79"/>
    <w:rsid w:val="00447B12"/>
    <w:rsid w:val="00450389"/>
    <w:rsid w:val="0045056C"/>
    <w:rsid w:val="00454BBD"/>
    <w:rsid w:val="00455A99"/>
    <w:rsid w:val="004574C0"/>
    <w:rsid w:val="00457CB0"/>
    <w:rsid w:val="0046558B"/>
    <w:rsid w:val="00466334"/>
    <w:rsid w:val="00466D73"/>
    <w:rsid w:val="004703D1"/>
    <w:rsid w:val="004708B0"/>
    <w:rsid w:val="00470A1F"/>
    <w:rsid w:val="00472397"/>
    <w:rsid w:val="00472C85"/>
    <w:rsid w:val="00473169"/>
    <w:rsid w:val="0047502E"/>
    <w:rsid w:val="0047593C"/>
    <w:rsid w:val="004763CE"/>
    <w:rsid w:val="00481426"/>
    <w:rsid w:val="004833E8"/>
    <w:rsid w:val="00483EBC"/>
    <w:rsid w:val="004848F1"/>
    <w:rsid w:val="004857A6"/>
    <w:rsid w:val="004922A8"/>
    <w:rsid w:val="00492741"/>
    <w:rsid w:val="00496138"/>
    <w:rsid w:val="0049685A"/>
    <w:rsid w:val="0049749D"/>
    <w:rsid w:val="004A21B4"/>
    <w:rsid w:val="004A464D"/>
    <w:rsid w:val="004A7823"/>
    <w:rsid w:val="004A7F9D"/>
    <w:rsid w:val="004B22EE"/>
    <w:rsid w:val="004B31B6"/>
    <w:rsid w:val="004B3996"/>
    <w:rsid w:val="004B6DBE"/>
    <w:rsid w:val="004B6F03"/>
    <w:rsid w:val="004B7ABB"/>
    <w:rsid w:val="004C053C"/>
    <w:rsid w:val="004C423A"/>
    <w:rsid w:val="004D39F9"/>
    <w:rsid w:val="004D76BA"/>
    <w:rsid w:val="004E1793"/>
    <w:rsid w:val="004E1CE4"/>
    <w:rsid w:val="004E3C54"/>
    <w:rsid w:val="004E446C"/>
    <w:rsid w:val="004E53A2"/>
    <w:rsid w:val="004F10F9"/>
    <w:rsid w:val="004F5242"/>
    <w:rsid w:val="004F5EE6"/>
    <w:rsid w:val="004F7A81"/>
    <w:rsid w:val="005044EF"/>
    <w:rsid w:val="005050DF"/>
    <w:rsid w:val="00505B77"/>
    <w:rsid w:val="005139B6"/>
    <w:rsid w:val="005153C3"/>
    <w:rsid w:val="00515E43"/>
    <w:rsid w:val="00515F23"/>
    <w:rsid w:val="00521445"/>
    <w:rsid w:val="0052160B"/>
    <w:rsid w:val="0052348E"/>
    <w:rsid w:val="00524EC1"/>
    <w:rsid w:val="005262B1"/>
    <w:rsid w:val="0052788A"/>
    <w:rsid w:val="005301FB"/>
    <w:rsid w:val="0053060C"/>
    <w:rsid w:val="005322D2"/>
    <w:rsid w:val="00533FD2"/>
    <w:rsid w:val="00536284"/>
    <w:rsid w:val="005365E3"/>
    <w:rsid w:val="005401F8"/>
    <w:rsid w:val="00542553"/>
    <w:rsid w:val="00542764"/>
    <w:rsid w:val="00543BC4"/>
    <w:rsid w:val="005452F5"/>
    <w:rsid w:val="005456C4"/>
    <w:rsid w:val="00546572"/>
    <w:rsid w:val="005506EB"/>
    <w:rsid w:val="005524DF"/>
    <w:rsid w:val="005534B0"/>
    <w:rsid w:val="00554936"/>
    <w:rsid w:val="0055662E"/>
    <w:rsid w:val="005656AE"/>
    <w:rsid w:val="005677CB"/>
    <w:rsid w:val="00570CE6"/>
    <w:rsid w:val="00571CE8"/>
    <w:rsid w:val="00572A93"/>
    <w:rsid w:val="00572A9A"/>
    <w:rsid w:val="0057460D"/>
    <w:rsid w:val="00574D69"/>
    <w:rsid w:val="00575744"/>
    <w:rsid w:val="00575E33"/>
    <w:rsid w:val="005773B0"/>
    <w:rsid w:val="00581535"/>
    <w:rsid w:val="00581BFC"/>
    <w:rsid w:val="00582D92"/>
    <w:rsid w:val="00583751"/>
    <w:rsid w:val="00583B53"/>
    <w:rsid w:val="00584221"/>
    <w:rsid w:val="00587DF1"/>
    <w:rsid w:val="00590ACC"/>
    <w:rsid w:val="00594034"/>
    <w:rsid w:val="00594A99"/>
    <w:rsid w:val="00596046"/>
    <w:rsid w:val="0059765B"/>
    <w:rsid w:val="005A116B"/>
    <w:rsid w:val="005A1880"/>
    <w:rsid w:val="005A3247"/>
    <w:rsid w:val="005A44D0"/>
    <w:rsid w:val="005B0CD0"/>
    <w:rsid w:val="005B1701"/>
    <w:rsid w:val="005B7F2A"/>
    <w:rsid w:val="005C4ACD"/>
    <w:rsid w:val="005C75BB"/>
    <w:rsid w:val="005D1DE4"/>
    <w:rsid w:val="005D692A"/>
    <w:rsid w:val="005E5128"/>
    <w:rsid w:val="005F3FE8"/>
    <w:rsid w:val="005F46DD"/>
    <w:rsid w:val="006022E0"/>
    <w:rsid w:val="006103A5"/>
    <w:rsid w:val="006105AD"/>
    <w:rsid w:val="006132BE"/>
    <w:rsid w:val="0061372F"/>
    <w:rsid w:val="0062004B"/>
    <w:rsid w:val="00622B95"/>
    <w:rsid w:val="00623BAA"/>
    <w:rsid w:val="00626A1A"/>
    <w:rsid w:val="00632B07"/>
    <w:rsid w:val="006330F4"/>
    <w:rsid w:val="00637D87"/>
    <w:rsid w:val="006416B1"/>
    <w:rsid w:val="00641CF9"/>
    <w:rsid w:val="00641DBB"/>
    <w:rsid w:val="00642FC9"/>
    <w:rsid w:val="006449D5"/>
    <w:rsid w:val="00645770"/>
    <w:rsid w:val="00647173"/>
    <w:rsid w:val="0065095F"/>
    <w:rsid w:val="006509A0"/>
    <w:rsid w:val="00653056"/>
    <w:rsid w:val="00656A5A"/>
    <w:rsid w:val="00656C32"/>
    <w:rsid w:val="00663E6F"/>
    <w:rsid w:val="00665159"/>
    <w:rsid w:val="006669D2"/>
    <w:rsid w:val="00667524"/>
    <w:rsid w:val="00675D78"/>
    <w:rsid w:val="00675DA8"/>
    <w:rsid w:val="00681936"/>
    <w:rsid w:val="0068582B"/>
    <w:rsid w:val="00686093"/>
    <w:rsid w:val="00687868"/>
    <w:rsid w:val="00687CD6"/>
    <w:rsid w:val="006911D1"/>
    <w:rsid w:val="006926BC"/>
    <w:rsid w:val="006942AF"/>
    <w:rsid w:val="00696C6E"/>
    <w:rsid w:val="006A04BB"/>
    <w:rsid w:val="006A13FF"/>
    <w:rsid w:val="006A16ED"/>
    <w:rsid w:val="006A208E"/>
    <w:rsid w:val="006A2F59"/>
    <w:rsid w:val="006A5074"/>
    <w:rsid w:val="006B05D2"/>
    <w:rsid w:val="006B1CB9"/>
    <w:rsid w:val="006B2171"/>
    <w:rsid w:val="006B2EAE"/>
    <w:rsid w:val="006B5549"/>
    <w:rsid w:val="006B618F"/>
    <w:rsid w:val="006C01AF"/>
    <w:rsid w:val="006C3521"/>
    <w:rsid w:val="006C6480"/>
    <w:rsid w:val="006C6E24"/>
    <w:rsid w:val="006D3925"/>
    <w:rsid w:val="006D394A"/>
    <w:rsid w:val="006D4A2F"/>
    <w:rsid w:val="006D5C1B"/>
    <w:rsid w:val="006D5F63"/>
    <w:rsid w:val="006D626A"/>
    <w:rsid w:val="006D69D1"/>
    <w:rsid w:val="006D75FB"/>
    <w:rsid w:val="006E12BA"/>
    <w:rsid w:val="006E29D9"/>
    <w:rsid w:val="006E41A5"/>
    <w:rsid w:val="006F1D39"/>
    <w:rsid w:val="006F5826"/>
    <w:rsid w:val="006F7B5F"/>
    <w:rsid w:val="007038DF"/>
    <w:rsid w:val="00703F94"/>
    <w:rsid w:val="00704BB0"/>
    <w:rsid w:val="00714717"/>
    <w:rsid w:val="00715586"/>
    <w:rsid w:val="00715C15"/>
    <w:rsid w:val="007166B4"/>
    <w:rsid w:val="0072203C"/>
    <w:rsid w:val="00723098"/>
    <w:rsid w:val="00723F4B"/>
    <w:rsid w:val="00726FB1"/>
    <w:rsid w:val="007319D6"/>
    <w:rsid w:val="00731B48"/>
    <w:rsid w:val="00732996"/>
    <w:rsid w:val="0073469A"/>
    <w:rsid w:val="007346B8"/>
    <w:rsid w:val="00736080"/>
    <w:rsid w:val="0074138C"/>
    <w:rsid w:val="00746C07"/>
    <w:rsid w:val="007558EF"/>
    <w:rsid w:val="00756F90"/>
    <w:rsid w:val="0075723B"/>
    <w:rsid w:val="007575F6"/>
    <w:rsid w:val="007609F1"/>
    <w:rsid w:val="00761549"/>
    <w:rsid w:val="00761DD4"/>
    <w:rsid w:val="007658E3"/>
    <w:rsid w:val="0076698E"/>
    <w:rsid w:val="00766EBB"/>
    <w:rsid w:val="00767BA6"/>
    <w:rsid w:val="0077168D"/>
    <w:rsid w:val="00776D48"/>
    <w:rsid w:val="00776E9A"/>
    <w:rsid w:val="00784120"/>
    <w:rsid w:val="0078603D"/>
    <w:rsid w:val="00787D29"/>
    <w:rsid w:val="00790F49"/>
    <w:rsid w:val="00792A76"/>
    <w:rsid w:val="00793187"/>
    <w:rsid w:val="0079408C"/>
    <w:rsid w:val="00795647"/>
    <w:rsid w:val="00795798"/>
    <w:rsid w:val="007A18DA"/>
    <w:rsid w:val="007A3904"/>
    <w:rsid w:val="007A4EFE"/>
    <w:rsid w:val="007A5B56"/>
    <w:rsid w:val="007A7E14"/>
    <w:rsid w:val="007B22F0"/>
    <w:rsid w:val="007B426E"/>
    <w:rsid w:val="007C1CFA"/>
    <w:rsid w:val="007C561A"/>
    <w:rsid w:val="007C57D0"/>
    <w:rsid w:val="007D3011"/>
    <w:rsid w:val="007D432F"/>
    <w:rsid w:val="007D6DD4"/>
    <w:rsid w:val="007E4FFB"/>
    <w:rsid w:val="007E53D2"/>
    <w:rsid w:val="007E685E"/>
    <w:rsid w:val="007F389B"/>
    <w:rsid w:val="007F4A42"/>
    <w:rsid w:val="00800DE9"/>
    <w:rsid w:val="008018FE"/>
    <w:rsid w:val="00804C2B"/>
    <w:rsid w:val="00806D5C"/>
    <w:rsid w:val="00814523"/>
    <w:rsid w:val="00824373"/>
    <w:rsid w:val="0082551D"/>
    <w:rsid w:val="00825AD3"/>
    <w:rsid w:val="0082679E"/>
    <w:rsid w:val="00827268"/>
    <w:rsid w:val="008277EE"/>
    <w:rsid w:val="008278B6"/>
    <w:rsid w:val="00827EDC"/>
    <w:rsid w:val="00831708"/>
    <w:rsid w:val="00834D11"/>
    <w:rsid w:val="00837163"/>
    <w:rsid w:val="00842504"/>
    <w:rsid w:val="00847442"/>
    <w:rsid w:val="008509B7"/>
    <w:rsid w:val="00850AEF"/>
    <w:rsid w:val="00852FBA"/>
    <w:rsid w:val="008541FA"/>
    <w:rsid w:val="0085631E"/>
    <w:rsid w:val="00860C8E"/>
    <w:rsid w:val="0086371F"/>
    <w:rsid w:val="00863A8D"/>
    <w:rsid w:val="008640BC"/>
    <w:rsid w:val="00864E8C"/>
    <w:rsid w:val="008656A8"/>
    <w:rsid w:val="00865738"/>
    <w:rsid w:val="008706FB"/>
    <w:rsid w:val="00870DE8"/>
    <w:rsid w:val="00870E16"/>
    <w:rsid w:val="00873156"/>
    <w:rsid w:val="00880FF9"/>
    <w:rsid w:val="00881C8F"/>
    <w:rsid w:val="00882A44"/>
    <w:rsid w:val="00883946"/>
    <w:rsid w:val="00883C1F"/>
    <w:rsid w:val="008866AB"/>
    <w:rsid w:val="00886BC2"/>
    <w:rsid w:val="008960B4"/>
    <w:rsid w:val="00896326"/>
    <w:rsid w:val="00896A29"/>
    <w:rsid w:val="0089779B"/>
    <w:rsid w:val="008A1BBF"/>
    <w:rsid w:val="008A3DE3"/>
    <w:rsid w:val="008A552A"/>
    <w:rsid w:val="008A7E3A"/>
    <w:rsid w:val="008B7DA4"/>
    <w:rsid w:val="008C090D"/>
    <w:rsid w:val="008C0F83"/>
    <w:rsid w:val="008C54DF"/>
    <w:rsid w:val="008C6048"/>
    <w:rsid w:val="008C7217"/>
    <w:rsid w:val="008D3994"/>
    <w:rsid w:val="008D5182"/>
    <w:rsid w:val="008D714F"/>
    <w:rsid w:val="008E07FB"/>
    <w:rsid w:val="008E1E74"/>
    <w:rsid w:val="008E3E14"/>
    <w:rsid w:val="008E6493"/>
    <w:rsid w:val="008E6954"/>
    <w:rsid w:val="008E71E1"/>
    <w:rsid w:val="008F38D1"/>
    <w:rsid w:val="008F51F2"/>
    <w:rsid w:val="008F5869"/>
    <w:rsid w:val="008F5A2F"/>
    <w:rsid w:val="0090164F"/>
    <w:rsid w:val="00901ADF"/>
    <w:rsid w:val="009042E0"/>
    <w:rsid w:val="009063FE"/>
    <w:rsid w:val="00907B5E"/>
    <w:rsid w:val="00907FE6"/>
    <w:rsid w:val="00910570"/>
    <w:rsid w:val="00910E52"/>
    <w:rsid w:val="009125BA"/>
    <w:rsid w:val="0091590E"/>
    <w:rsid w:val="0091725A"/>
    <w:rsid w:val="009203F6"/>
    <w:rsid w:val="009246E9"/>
    <w:rsid w:val="00925AF8"/>
    <w:rsid w:val="00926D96"/>
    <w:rsid w:val="00933322"/>
    <w:rsid w:val="00935E86"/>
    <w:rsid w:val="00936258"/>
    <w:rsid w:val="00942DE3"/>
    <w:rsid w:val="00943F3F"/>
    <w:rsid w:val="00944A30"/>
    <w:rsid w:val="00956C14"/>
    <w:rsid w:val="009616DB"/>
    <w:rsid w:val="00961C12"/>
    <w:rsid w:val="00963A62"/>
    <w:rsid w:val="00967224"/>
    <w:rsid w:val="00976946"/>
    <w:rsid w:val="00977AF1"/>
    <w:rsid w:val="009802E0"/>
    <w:rsid w:val="00980747"/>
    <w:rsid w:val="00990207"/>
    <w:rsid w:val="009972E9"/>
    <w:rsid w:val="009A2886"/>
    <w:rsid w:val="009A2A83"/>
    <w:rsid w:val="009B34E6"/>
    <w:rsid w:val="009B36E5"/>
    <w:rsid w:val="009B457C"/>
    <w:rsid w:val="009B5BBA"/>
    <w:rsid w:val="009C291B"/>
    <w:rsid w:val="009E008B"/>
    <w:rsid w:val="009E15B2"/>
    <w:rsid w:val="009E2306"/>
    <w:rsid w:val="009E343E"/>
    <w:rsid w:val="009E34D0"/>
    <w:rsid w:val="009E503D"/>
    <w:rsid w:val="009F39BA"/>
    <w:rsid w:val="009F5761"/>
    <w:rsid w:val="009F72AC"/>
    <w:rsid w:val="00A01CDA"/>
    <w:rsid w:val="00A022C4"/>
    <w:rsid w:val="00A02DE7"/>
    <w:rsid w:val="00A04204"/>
    <w:rsid w:val="00A04905"/>
    <w:rsid w:val="00A15076"/>
    <w:rsid w:val="00A17CE8"/>
    <w:rsid w:val="00A20087"/>
    <w:rsid w:val="00A23089"/>
    <w:rsid w:val="00A25D33"/>
    <w:rsid w:val="00A2693B"/>
    <w:rsid w:val="00A31E37"/>
    <w:rsid w:val="00A32A8C"/>
    <w:rsid w:val="00A33D07"/>
    <w:rsid w:val="00A35C0E"/>
    <w:rsid w:val="00A3762C"/>
    <w:rsid w:val="00A42A9F"/>
    <w:rsid w:val="00A46595"/>
    <w:rsid w:val="00A5108A"/>
    <w:rsid w:val="00A5312B"/>
    <w:rsid w:val="00A56C79"/>
    <w:rsid w:val="00A60976"/>
    <w:rsid w:val="00A60E63"/>
    <w:rsid w:val="00A62533"/>
    <w:rsid w:val="00A66572"/>
    <w:rsid w:val="00A665FA"/>
    <w:rsid w:val="00A715C6"/>
    <w:rsid w:val="00A733DC"/>
    <w:rsid w:val="00A73497"/>
    <w:rsid w:val="00A75837"/>
    <w:rsid w:val="00A75EEC"/>
    <w:rsid w:val="00A77975"/>
    <w:rsid w:val="00A80036"/>
    <w:rsid w:val="00A82AB7"/>
    <w:rsid w:val="00A86E86"/>
    <w:rsid w:val="00A916C3"/>
    <w:rsid w:val="00A93661"/>
    <w:rsid w:val="00A95AC3"/>
    <w:rsid w:val="00A96870"/>
    <w:rsid w:val="00AA011D"/>
    <w:rsid w:val="00AA162A"/>
    <w:rsid w:val="00AA32CA"/>
    <w:rsid w:val="00AA4898"/>
    <w:rsid w:val="00AA74F7"/>
    <w:rsid w:val="00AB0715"/>
    <w:rsid w:val="00AB1681"/>
    <w:rsid w:val="00AB5E54"/>
    <w:rsid w:val="00AC2920"/>
    <w:rsid w:val="00AC66F5"/>
    <w:rsid w:val="00AC726C"/>
    <w:rsid w:val="00AD14B9"/>
    <w:rsid w:val="00AD1A54"/>
    <w:rsid w:val="00AD264F"/>
    <w:rsid w:val="00AD321C"/>
    <w:rsid w:val="00AD3AE4"/>
    <w:rsid w:val="00AE0342"/>
    <w:rsid w:val="00AE2039"/>
    <w:rsid w:val="00AE2BE1"/>
    <w:rsid w:val="00AE4246"/>
    <w:rsid w:val="00AE5ABD"/>
    <w:rsid w:val="00AE7052"/>
    <w:rsid w:val="00AF1E2F"/>
    <w:rsid w:val="00AF26D8"/>
    <w:rsid w:val="00AF2729"/>
    <w:rsid w:val="00AF5960"/>
    <w:rsid w:val="00AF60A8"/>
    <w:rsid w:val="00B041EC"/>
    <w:rsid w:val="00B053F7"/>
    <w:rsid w:val="00B11F9E"/>
    <w:rsid w:val="00B2389C"/>
    <w:rsid w:val="00B254DD"/>
    <w:rsid w:val="00B2728E"/>
    <w:rsid w:val="00B279A7"/>
    <w:rsid w:val="00B337C1"/>
    <w:rsid w:val="00B40D85"/>
    <w:rsid w:val="00B4574C"/>
    <w:rsid w:val="00B46751"/>
    <w:rsid w:val="00B5434A"/>
    <w:rsid w:val="00B560AB"/>
    <w:rsid w:val="00B62322"/>
    <w:rsid w:val="00B64915"/>
    <w:rsid w:val="00B66E31"/>
    <w:rsid w:val="00B67660"/>
    <w:rsid w:val="00B67CCD"/>
    <w:rsid w:val="00B67FA4"/>
    <w:rsid w:val="00B7163F"/>
    <w:rsid w:val="00B71EDC"/>
    <w:rsid w:val="00B767F1"/>
    <w:rsid w:val="00B775B8"/>
    <w:rsid w:val="00B85DE3"/>
    <w:rsid w:val="00B9139C"/>
    <w:rsid w:val="00B928AE"/>
    <w:rsid w:val="00B92EE0"/>
    <w:rsid w:val="00B9529B"/>
    <w:rsid w:val="00B97F34"/>
    <w:rsid w:val="00BA0E55"/>
    <w:rsid w:val="00BB4388"/>
    <w:rsid w:val="00BB7A70"/>
    <w:rsid w:val="00BC123B"/>
    <w:rsid w:val="00BC3EE4"/>
    <w:rsid w:val="00BC4D10"/>
    <w:rsid w:val="00BD48A8"/>
    <w:rsid w:val="00BE0AFF"/>
    <w:rsid w:val="00BE2219"/>
    <w:rsid w:val="00BE4DF9"/>
    <w:rsid w:val="00BE65C6"/>
    <w:rsid w:val="00BE710F"/>
    <w:rsid w:val="00BF00C2"/>
    <w:rsid w:val="00BF047B"/>
    <w:rsid w:val="00BF0D2C"/>
    <w:rsid w:val="00C00441"/>
    <w:rsid w:val="00C01FFF"/>
    <w:rsid w:val="00C03691"/>
    <w:rsid w:val="00C03F9E"/>
    <w:rsid w:val="00C06630"/>
    <w:rsid w:val="00C06871"/>
    <w:rsid w:val="00C116A0"/>
    <w:rsid w:val="00C17DDD"/>
    <w:rsid w:val="00C23412"/>
    <w:rsid w:val="00C240E0"/>
    <w:rsid w:val="00C27490"/>
    <w:rsid w:val="00C30BF0"/>
    <w:rsid w:val="00C3352D"/>
    <w:rsid w:val="00C33560"/>
    <w:rsid w:val="00C4488B"/>
    <w:rsid w:val="00C4577F"/>
    <w:rsid w:val="00C469B2"/>
    <w:rsid w:val="00C5257C"/>
    <w:rsid w:val="00C5442C"/>
    <w:rsid w:val="00C55F0E"/>
    <w:rsid w:val="00C7095A"/>
    <w:rsid w:val="00C92679"/>
    <w:rsid w:val="00C93CDB"/>
    <w:rsid w:val="00C95089"/>
    <w:rsid w:val="00C956DA"/>
    <w:rsid w:val="00C975BC"/>
    <w:rsid w:val="00CA22F7"/>
    <w:rsid w:val="00CA554D"/>
    <w:rsid w:val="00CA729A"/>
    <w:rsid w:val="00CB21F0"/>
    <w:rsid w:val="00CB3B6B"/>
    <w:rsid w:val="00CC037B"/>
    <w:rsid w:val="00CC1044"/>
    <w:rsid w:val="00CC1355"/>
    <w:rsid w:val="00CC15AA"/>
    <w:rsid w:val="00CC25E6"/>
    <w:rsid w:val="00CC43EE"/>
    <w:rsid w:val="00CC5FF3"/>
    <w:rsid w:val="00CD0522"/>
    <w:rsid w:val="00CD05D0"/>
    <w:rsid w:val="00CD0DBB"/>
    <w:rsid w:val="00CD2D27"/>
    <w:rsid w:val="00CD3D62"/>
    <w:rsid w:val="00CE0B06"/>
    <w:rsid w:val="00CE11C3"/>
    <w:rsid w:val="00CE7725"/>
    <w:rsid w:val="00CF156F"/>
    <w:rsid w:val="00CF6ACB"/>
    <w:rsid w:val="00D0049D"/>
    <w:rsid w:val="00D03AD2"/>
    <w:rsid w:val="00D048FD"/>
    <w:rsid w:val="00D05192"/>
    <w:rsid w:val="00D06404"/>
    <w:rsid w:val="00D0717A"/>
    <w:rsid w:val="00D20C3F"/>
    <w:rsid w:val="00D22926"/>
    <w:rsid w:val="00D23625"/>
    <w:rsid w:val="00D2791D"/>
    <w:rsid w:val="00D321EA"/>
    <w:rsid w:val="00D35447"/>
    <w:rsid w:val="00D37F35"/>
    <w:rsid w:val="00D41B8C"/>
    <w:rsid w:val="00D433FB"/>
    <w:rsid w:val="00D44FAD"/>
    <w:rsid w:val="00D45A3C"/>
    <w:rsid w:val="00D520F1"/>
    <w:rsid w:val="00D54893"/>
    <w:rsid w:val="00D57E39"/>
    <w:rsid w:val="00D62631"/>
    <w:rsid w:val="00D662F8"/>
    <w:rsid w:val="00D70F41"/>
    <w:rsid w:val="00D71450"/>
    <w:rsid w:val="00D721FA"/>
    <w:rsid w:val="00D739F0"/>
    <w:rsid w:val="00D802CB"/>
    <w:rsid w:val="00D84C25"/>
    <w:rsid w:val="00D84E0E"/>
    <w:rsid w:val="00D87975"/>
    <w:rsid w:val="00D87A8C"/>
    <w:rsid w:val="00D902FA"/>
    <w:rsid w:val="00D93679"/>
    <w:rsid w:val="00D977D4"/>
    <w:rsid w:val="00D97FD0"/>
    <w:rsid w:val="00DA67B9"/>
    <w:rsid w:val="00DA7674"/>
    <w:rsid w:val="00DB064E"/>
    <w:rsid w:val="00DB2C81"/>
    <w:rsid w:val="00DB5A09"/>
    <w:rsid w:val="00DB61C4"/>
    <w:rsid w:val="00DB7DDB"/>
    <w:rsid w:val="00DC7785"/>
    <w:rsid w:val="00DD09E1"/>
    <w:rsid w:val="00DE0B54"/>
    <w:rsid w:val="00DE1925"/>
    <w:rsid w:val="00DE1B3A"/>
    <w:rsid w:val="00DE2699"/>
    <w:rsid w:val="00DE413E"/>
    <w:rsid w:val="00DE461B"/>
    <w:rsid w:val="00DE5788"/>
    <w:rsid w:val="00DF247F"/>
    <w:rsid w:val="00E05920"/>
    <w:rsid w:val="00E1104E"/>
    <w:rsid w:val="00E118D4"/>
    <w:rsid w:val="00E15B1D"/>
    <w:rsid w:val="00E20261"/>
    <w:rsid w:val="00E202C1"/>
    <w:rsid w:val="00E206AE"/>
    <w:rsid w:val="00E20DD0"/>
    <w:rsid w:val="00E20F5A"/>
    <w:rsid w:val="00E25FBE"/>
    <w:rsid w:val="00E26731"/>
    <w:rsid w:val="00E34E80"/>
    <w:rsid w:val="00E3739B"/>
    <w:rsid w:val="00E4095D"/>
    <w:rsid w:val="00E4733B"/>
    <w:rsid w:val="00E4735D"/>
    <w:rsid w:val="00E47813"/>
    <w:rsid w:val="00E56F9C"/>
    <w:rsid w:val="00E57BF8"/>
    <w:rsid w:val="00E618B3"/>
    <w:rsid w:val="00E63D82"/>
    <w:rsid w:val="00E64A19"/>
    <w:rsid w:val="00E813C5"/>
    <w:rsid w:val="00E81C05"/>
    <w:rsid w:val="00E81D86"/>
    <w:rsid w:val="00E86CCE"/>
    <w:rsid w:val="00E86FD8"/>
    <w:rsid w:val="00E9250C"/>
    <w:rsid w:val="00E9332E"/>
    <w:rsid w:val="00E94DBF"/>
    <w:rsid w:val="00E96960"/>
    <w:rsid w:val="00EA02CB"/>
    <w:rsid w:val="00EA2976"/>
    <w:rsid w:val="00EA4EC9"/>
    <w:rsid w:val="00EA5843"/>
    <w:rsid w:val="00EA65AC"/>
    <w:rsid w:val="00EB457B"/>
    <w:rsid w:val="00EB71F2"/>
    <w:rsid w:val="00EC1DFC"/>
    <w:rsid w:val="00EC2885"/>
    <w:rsid w:val="00EC3EC1"/>
    <w:rsid w:val="00ED31EE"/>
    <w:rsid w:val="00ED40D4"/>
    <w:rsid w:val="00ED585F"/>
    <w:rsid w:val="00ED77C3"/>
    <w:rsid w:val="00EE3121"/>
    <w:rsid w:val="00EE34D8"/>
    <w:rsid w:val="00EE5B06"/>
    <w:rsid w:val="00EE6809"/>
    <w:rsid w:val="00EF0176"/>
    <w:rsid w:val="00EF1598"/>
    <w:rsid w:val="00EF23E9"/>
    <w:rsid w:val="00EF4421"/>
    <w:rsid w:val="00EF5314"/>
    <w:rsid w:val="00EF6BDA"/>
    <w:rsid w:val="00EF6F9A"/>
    <w:rsid w:val="00F04240"/>
    <w:rsid w:val="00F046E9"/>
    <w:rsid w:val="00F04F08"/>
    <w:rsid w:val="00F053B0"/>
    <w:rsid w:val="00F05F8B"/>
    <w:rsid w:val="00F06CD0"/>
    <w:rsid w:val="00F077A7"/>
    <w:rsid w:val="00F07F98"/>
    <w:rsid w:val="00F12F57"/>
    <w:rsid w:val="00F14465"/>
    <w:rsid w:val="00F14B1F"/>
    <w:rsid w:val="00F1667B"/>
    <w:rsid w:val="00F253B3"/>
    <w:rsid w:val="00F40716"/>
    <w:rsid w:val="00F4126F"/>
    <w:rsid w:val="00F50189"/>
    <w:rsid w:val="00F50F33"/>
    <w:rsid w:val="00F5108D"/>
    <w:rsid w:val="00F521C2"/>
    <w:rsid w:val="00F535EA"/>
    <w:rsid w:val="00F53682"/>
    <w:rsid w:val="00F53B9B"/>
    <w:rsid w:val="00F53C99"/>
    <w:rsid w:val="00F54660"/>
    <w:rsid w:val="00F54E6A"/>
    <w:rsid w:val="00F556B2"/>
    <w:rsid w:val="00F60B9C"/>
    <w:rsid w:val="00F668B2"/>
    <w:rsid w:val="00F6745E"/>
    <w:rsid w:val="00F71923"/>
    <w:rsid w:val="00F723C4"/>
    <w:rsid w:val="00F764F8"/>
    <w:rsid w:val="00F77A1F"/>
    <w:rsid w:val="00F77A44"/>
    <w:rsid w:val="00F77F6C"/>
    <w:rsid w:val="00F8063F"/>
    <w:rsid w:val="00F83004"/>
    <w:rsid w:val="00F83904"/>
    <w:rsid w:val="00F846D4"/>
    <w:rsid w:val="00F84A9F"/>
    <w:rsid w:val="00F868CE"/>
    <w:rsid w:val="00F90835"/>
    <w:rsid w:val="00F97F54"/>
    <w:rsid w:val="00FA1757"/>
    <w:rsid w:val="00FA1FCB"/>
    <w:rsid w:val="00FA266C"/>
    <w:rsid w:val="00FA3664"/>
    <w:rsid w:val="00FB0807"/>
    <w:rsid w:val="00FB0A37"/>
    <w:rsid w:val="00FB1113"/>
    <w:rsid w:val="00FB2934"/>
    <w:rsid w:val="00FB321F"/>
    <w:rsid w:val="00FB484D"/>
    <w:rsid w:val="00FB4B9E"/>
    <w:rsid w:val="00FB59CB"/>
    <w:rsid w:val="00FC2BF3"/>
    <w:rsid w:val="00FC3E7E"/>
    <w:rsid w:val="00FC522A"/>
    <w:rsid w:val="00FD041A"/>
    <w:rsid w:val="00FD149D"/>
    <w:rsid w:val="00FD5785"/>
    <w:rsid w:val="00FD5BDA"/>
    <w:rsid w:val="00FD62EA"/>
    <w:rsid w:val="00FE20FB"/>
    <w:rsid w:val="00FE3DE6"/>
    <w:rsid w:val="00FE6D89"/>
    <w:rsid w:val="00FF1406"/>
    <w:rsid w:val="00FF1827"/>
    <w:rsid w:val="00FF1F2D"/>
    <w:rsid w:val="00FF31FE"/>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6C"/>
    <w:pPr>
      <w:spacing w:after="120" w:line="240" w:lineRule="auto"/>
    </w:pPr>
    <w:rPr>
      <w:rFonts w:ascii="Arial" w:eastAsiaTheme="minorEastAsia" w:hAnsi="Arial"/>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C6E"/>
    <w:rPr>
      <w:color w:val="808080"/>
    </w:rPr>
  </w:style>
  <w:style w:type="character" w:styleId="Emphasis">
    <w:name w:val="Emphasis"/>
    <w:basedOn w:val="DefaultParagraphFont"/>
    <w:uiPriority w:val="20"/>
    <w:qFormat/>
    <w:rsid w:val="00736080"/>
    <w:rPr>
      <w:i/>
      <w:iCs/>
    </w:rPr>
  </w:style>
  <w:style w:type="paragraph" w:styleId="Header">
    <w:name w:val="header"/>
    <w:basedOn w:val="Normal"/>
    <w:link w:val="HeaderChar"/>
    <w:uiPriority w:val="99"/>
    <w:unhideWhenUsed/>
    <w:rsid w:val="00EB71F2"/>
    <w:pPr>
      <w:tabs>
        <w:tab w:val="center" w:pos="4513"/>
        <w:tab w:val="right" w:pos="9026"/>
      </w:tabs>
      <w:spacing w:after="0"/>
    </w:pPr>
  </w:style>
  <w:style w:type="character" w:customStyle="1" w:styleId="HeaderChar">
    <w:name w:val="Header Char"/>
    <w:basedOn w:val="DefaultParagraphFont"/>
    <w:link w:val="Header"/>
    <w:uiPriority w:val="99"/>
    <w:rsid w:val="00EB71F2"/>
    <w:rPr>
      <w:rFonts w:ascii="Arial" w:eastAsiaTheme="minorEastAsia" w:hAnsi="Arial"/>
      <w:sz w:val="20"/>
      <w:lang w:eastAsia="en-GB"/>
    </w:rPr>
  </w:style>
  <w:style w:type="paragraph" w:styleId="Footer">
    <w:name w:val="footer"/>
    <w:basedOn w:val="Normal"/>
    <w:link w:val="FooterChar"/>
    <w:uiPriority w:val="99"/>
    <w:unhideWhenUsed/>
    <w:rsid w:val="00EB71F2"/>
    <w:pPr>
      <w:tabs>
        <w:tab w:val="center" w:pos="4513"/>
        <w:tab w:val="right" w:pos="9026"/>
      </w:tabs>
      <w:spacing w:after="0"/>
    </w:pPr>
  </w:style>
  <w:style w:type="character" w:customStyle="1" w:styleId="FooterChar">
    <w:name w:val="Footer Char"/>
    <w:basedOn w:val="DefaultParagraphFont"/>
    <w:link w:val="Footer"/>
    <w:uiPriority w:val="99"/>
    <w:rsid w:val="00EB71F2"/>
    <w:rPr>
      <w:rFonts w:ascii="Arial" w:eastAsiaTheme="minorEastAsia" w:hAnsi="Arial"/>
      <w:sz w:val="20"/>
      <w:lang w:eastAsia="en-GB"/>
    </w:rPr>
  </w:style>
  <w:style w:type="paragraph" w:styleId="BalloonText">
    <w:name w:val="Balloon Text"/>
    <w:basedOn w:val="Normal"/>
    <w:link w:val="BalloonTextChar"/>
    <w:uiPriority w:val="99"/>
    <w:semiHidden/>
    <w:unhideWhenUsed/>
    <w:rsid w:val="009333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2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687868"/>
    <w:rPr>
      <w:sz w:val="16"/>
      <w:szCs w:val="16"/>
    </w:rPr>
  </w:style>
  <w:style w:type="paragraph" w:styleId="CommentText">
    <w:name w:val="annotation text"/>
    <w:basedOn w:val="Normal"/>
    <w:link w:val="CommentTextChar"/>
    <w:uiPriority w:val="99"/>
    <w:semiHidden/>
    <w:unhideWhenUsed/>
    <w:rsid w:val="00687868"/>
    <w:rPr>
      <w:szCs w:val="20"/>
    </w:rPr>
  </w:style>
  <w:style w:type="character" w:customStyle="1" w:styleId="CommentTextChar">
    <w:name w:val="Comment Text Char"/>
    <w:basedOn w:val="DefaultParagraphFont"/>
    <w:link w:val="CommentText"/>
    <w:uiPriority w:val="99"/>
    <w:semiHidden/>
    <w:rsid w:val="00687868"/>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687868"/>
    <w:rPr>
      <w:b/>
      <w:bCs/>
    </w:rPr>
  </w:style>
  <w:style w:type="character" w:customStyle="1" w:styleId="CommentSubjectChar">
    <w:name w:val="Comment Subject Char"/>
    <w:basedOn w:val="CommentTextChar"/>
    <w:link w:val="CommentSubject"/>
    <w:uiPriority w:val="99"/>
    <w:semiHidden/>
    <w:rsid w:val="00687868"/>
    <w:rPr>
      <w:rFonts w:ascii="Arial" w:eastAsiaTheme="minorEastAsia" w:hAnsi="Arial"/>
      <w:b/>
      <w:bCs/>
      <w:sz w:val="20"/>
      <w:szCs w:val="20"/>
      <w:lang w:eastAsia="en-GB"/>
    </w:rPr>
  </w:style>
  <w:style w:type="paragraph" w:styleId="ListParagraph">
    <w:name w:val="List Paragraph"/>
    <w:basedOn w:val="Normal"/>
    <w:uiPriority w:val="34"/>
    <w:qFormat/>
    <w:rsid w:val="005C4ACD"/>
    <w:pPr>
      <w:ind w:left="720"/>
      <w:contextualSpacing/>
    </w:pPr>
  </w:style>
  <w:style w:type="paragraph" w:styleId="NormalWeb">
    <w:name w:val="Normal (Web)"/>
    <w:basedOn w:val="Normal"/>
    <w:uiPriority w:val="99"/>
    <w:semiHidden/>
    <w:unhideWhenUsed/>
    <w:rsid w:val="00AF1E2F"/>
    <w:pPr>
      <w:spacing w:before="100" w:beforeAutospacing="1" w:after="100" w:afterAutospacing="1"/>
    </w:pPr>
    <w:rPr>
      <w:rFonts w:ascii="Times New Roman" w:hAnsi="Times New Roman" w:cs="Times New Roman"/>
      <w:sz w:val="24"/>
      <w:szCs w:val="24"/>
    </w:rPr>
  </w:style>
  <w:style w:type="paragraph" w:customStyle="1" w:styleId="EndNoteBibliography">
    <w:name w:val="EndNote Bibliography"/>
    <w:basedOn w:val="Normal"/>
    <w:link w:val="EndNoteBibliographyChar"/>
    <w:rsid w:val="00085E27"/>
    <w:pPr>
      <w:spacing w:after="160"/>
    </w:pPr>
    <w:rPr>
      <w:rFonts w:ascii="Verdana" w:eastAsiaTheme="minorHAnsi" w:hAnsi="Verdana"/>
      <w:noProof/>
      <w:sz w:val="22"/>
      <w:lang w:val="en-US" w:eastAsia="en-US"/>
    </w:rPr>
  </w:style>
  <w:style w:type="character" w:customStyle="1" w:styleId="EndNoteBibliographyChar">
    <w:name w:val="EndNote Bibliography Char"/>
    <w:basedOn w:val="DefaultParagraphFont"/>
    <w:link w:val="EndNoteBibliography"/>
    <w:rsid w:val="00085E27"/>
    <w:rPr>
      <w:rFonts w:ascii="Verdana" w:hAnsi="Verdana"/>
      <w:noProof/>
      <w:lang w:val="en-US"/>
    </w:rPr>
  </w:style>
  <w:style w:type="character" w:styleId="Hyperlink">
    <w:name w:val="Hyperlink"/>
    <w:basedOn w:val="DefaultParagraphFont"/>
    <w:uiPriority w:val="99"/>
    <w:unhideWhenUsed/>
    <w:rsid w:val="00795647"/>
    <w:rPr>
      <w:color w:val="0000FF" w:themeColor="hyperlink"/>
      <w:u w:val="single"/>
    </w:rPr>
  </w:style>
  <w:style w:type="character" w:styleId="LineNumber">
    <w:name w:val="line number"/>
    <w:basedOn w:val="DefaultParagraphFont"/>
    <w:uiPriority w:val="99"/>
    <w:semiHidden/>
    <w:unhideWhenUsed/>
    <w:rsid w:val="003D2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6C"/>
    <w:pPr>
      <w:spacing w:after="120" w:line="240" w:lineRule="auto"/>
    </w:pPr>
    <w:rPr>
      <w:rFonts w:ascii="Arial" w:eastAsiaTheme="minorEastAsia" w:hAnsi="Arial"/>
      <w:sz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C6E"/>
    <w:rPr>
      <w:color w:val="808080"/>
    </w:rPr>
  </w:style>
  <w:style w:type="character" w:styleId="Emphasis">
    <w:name w:val="Emphasis"/>
    <w:basedOn w:val="DefaultParagraphFont"/>
    <w:uiPriority w:val="20"/>
    <w:qFormat/>
    <w:rsid w:val="00736080"/>
    <w:rPr>
      <w:i/>
      <w:iCs/>
    </w:rPr>
  </w:style>
  <w:style w:type="paragraph" w:styleId="Header">
    <w:name w:val="header"/>
    <w:basedOn w:val="Normal"/>
    <w:link w:val="HeaderChar"/>
    <w:uiPriority w:val="99"/>
    <w:unhideWhenUsed/>
    <w:rsid w:val="00EB71F2"/>
    <w:pPr>
      <w:tabs>
        <w:tab w:val="center" w:pos="4513"/>
        <w:tab w:val="right" w:pos="9026"/>
      </w:tabs>
      <w:spacing w:after="0"/>
    </w:pPr>
  </w:style>
  <w:style w:type="character" w:customStyle="1" w:styleId="HeaderChar">
    <w:name w:val="Header Char"/>
    <w:basedOn w:val="DefaultParagraphFont"/>
    <w:link w:val="Header"/>
    <w:uiPriority w:val="99"/>
    <w:rsid w:val="00EB71F2"/>
    <w:rPr>
      <w:rFonts w:ascii="Arial" w:eastAsiaTheme="minorEastAsia" w:hAnsi="Arial"/>
      <w:sz w:val="20"/>
      <w:lang w:eastAsia="en-GB"/>
    </w:rPr>
  </w:style>
  <w:style w:type="paragraph" w:styleId="Footer">
    <w:name w:val="footer"/>
    <w:basedOn w:val="Normal"/>
    <w:link w:val="FooterChar"/>
    <w:uiPriority w:val="99"/>
    <w:unhideWhenUsed/>
    <w:rsid w:val="00EB71F2"/>
    <w:pPr>
      <w:tabs>
        <w:tab w:val="center" w:pos="4513"/>
        <w:tab w:val="right" w:pos="9026"/>
      </w:tabs>
      <w:spacing w:after="0"/>
    </w:pPr>
  </w:style>
  <w:style w:type="character" w:customStyle="1" w:styleId="FooterChar">
    <w:name w:val="Footer Char"/>
    <w:basedOn w:val="DefaultParagraphFont"/>
    <w:link w:val="Footer"/>
    <w:uiPriority w:val="99"/>
    <w:rsid w:val="00EB71F2"/>
    <w:rPr>
      <w:rFonts w:ascii="Arial" w:eastAsiaTheme="minorEastAsia" w:hAnsi="Arial"/>
      <w:sz w:val="20"/>
      <w:lang w:eastAsia="en-GB"/>
    </w:rPr>
  </w:style>
  <w:style w:type="paragraph" w:styleId="BalloonText">
    <w:name w:val="Balloon Text"/>
    <w:basedOn w:val="Normal"/>
    <w:link w:val="BalloonTextChar"/>
    <w:uiPriority w:val="99"/>
    <w:semiHidden/>
    <w:unhideWhenUsed/>
    <w:rsid w:val="009333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2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687868"/>
    <w:rPr>
      <w:sz w:val="16"/>
      <w:szCs w:val="16"/>
    </w:rPr>
  </w:style>
  <w:style w:type="paragraph" w:styleId="CommentText">
    <w:name w:val="annotation text"/>
    <w:basedOn w:val="Normal"/>
    <w:link w:val="CommentTextChar"/>
    <w:uiPriority w:val="99"/>
    <w:semiHidden/>
    <w:unhideWhenUsed/>
    <w:rsid w:val="00687868"/>
    <w:rPr>
      <w:szCs w:val="20"/>
    </w:rPr>
  </w:style>
  <w:style w:type="character" w:customStyle="1" w:styleId="CommentTextChar">
    <w:name w:val="Comment Text Char"/>
    <w:basedOn w:val="DefaultParagraphFont"/>
    <w:link w:val="CommentText"/>
    <w:uiPriority w:val="99"/>
    <w:semiHidden/>
    <w:rsid w:val="00687868"/>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687868"/>
    <w:rPr>
      <w:b/>
      <w:bCs/>
    </w:rPr>
  </w:style>
  <w:style w:type="character" w:customStyle="1" w:styleId="CommentSubjectChar">
    <w:name w:val="Comment Subject Char"/>
    <w:basedOn w:val="CommentTextChar"/>
    <w:link w:val="CommentSubject"/>
    <w:uiPriority w:val="99"/>
    <w:semiHidden/>
    <w:rsid w:val="00687868"/>
    <w:rPr>
      <w:rFonts w:ascii="Arial" w:eastAsiaTheme="minorEastAsia" w:hAnsi="Arial"/>
      <w:b/>
      <w:bCs/>
      <w:sz w:val="20"/>
      <w:szCs w:val="20"/>
      <w:lang w:eastAsia="en-GB"/>
    </w:rPr>
  </w:style>
  <w:style w:type="paragraph" w:styleId="ListParagraph">
    <w:name w:val="List Paragraph"/>
    <w:basedOn w:val="Normal"/>
    <w:uiPriority w:val="34"/>
    <w:qFormat/>
    <w:rsid w:val="005C4ACD"/>
    <w:pPr>
      <w:ind w:left="720"/>
      <w:contextualSpacing/>
    </w:pPr>
  </w:style>
  <w:style w:type="paragraph" w:styleId="NormalWeb">
    <w:name w:val="Normal (Web)"/>
    <w:basedOn w:val="Normal"/>
    <w:uiPriority w:val="99"/>
    <w:semiHidden/>
    <w:unhideWhenUsed/>
    <w:rsid w:val="00AF1E2F"/>
    <w:pPr>
      <w:spacing w:before="100" w:beforeAutospacing="1" w:after="100" w:afterAutospacing="1"/>
    </w:pPr>
    <w:rPr>
      <w:rFonts w:ascii="Times New Roman" w:hAnsi="Times New Roman" w:cs="Times New Roman"/>
      <w:sz w:val="24"/>
      <w:szCs w:val="24"/>
    </w:rPr>
  </w:style>
  <w:style w:type="paragraph" w:customStyle="1" w:styleId="EndNoteBibliography">
    <w:name w:val="EndNote Bibliography"/>
    <w:basedOn w:val="Normal"/>
    <w:link w:val="EndNoteBibliographyChar"/>
    <w:rsid w:val="00085E27"/>
    <w:pPr>
      <w:spacing w:after="160"/>
    </w:pPr>
    <w:rPr>
      <w:rFonts w:ascii="Verdana" w:eastAsiaTheme="minorHAnsi" w:hAnsi="Verdana"/>
      <w:noProof/>
      <w:sz w:val="22"/>
      <w:lang w:val="en-US" w:eastAsia="en-US"/>
    </w:rPr>
  </w:style>
  <w:style w:type="character" w:customStyle="1" w:styleId="EndNoteBibliographyChar">
    <w:name w:val="EndNote Bibliography Char"/>
    <w:basedOn w:val="DefaultParagraphFont"/>
    <w:link w:val="EndNoteBibliography"/>
    <w:rsid w:val="00085E27"/>
    <w:rPr>
      <w:rFonts w:ascii="Verdana" w:hAnsi="Verdana"/>
      <w:noProof/>
      <w:lang w:val="en-US"/>
    </w:rPr>
  </w:style>
  <w:style w:type="character" w:styleId="Hyperlink">
    <w:name w:val="Hyperlink"/>
    <w:basedOn w:val="DefaultParagraphFont"/>
    <w:uiPriority w:val="99"/>
    <w:unhideWhenUsed/>
    <w:rsid w:val="00795647"/>
    <w:rPr>
      <w:color w:val="0000FF" w:themeColor="hyperlink"/>
      <w:u w:val="single"/>
    </w:rPr>
  </w:style>
  <w:style w:type="character" w:styleId="LineNumber">
    <w:name w:val="line number"/>
    <w:basedOn w:val="DefaultParagraphFont"/>
    <w:uiPriority w:val="99"/>
    <w:semiHidden/>
    <w:unhideWhenUsed/>
    <w:rsid w:val="003D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55">
      <w:bodyDiv w:val="1"/>
      <w:marLeft w:val="0"/>
      <w:marRight w:val="0"/>
      <w:marTop w:val="0"/>
      <w:marBottom w:val="0"/>
      <w:divBdr>
        <w:top w:val="none" w:sz="0" w:space="0" w:color="auto"/>
        <w:left w:val="none" w:sz="0" w:space="0" w:color="auto"/>
        <w:bottom w:val="none" w:sz="0" w:space="0" w:color="auto"/>
        <w:right w:val="none" w:sz="0" w:space="0" w:color="auto"/>
      </w:divBdr>
    </w:div>
    <w:div w:id="31267378">
      <w:bodyDiv w:val="1"/>
      <w:marLeft w:val="0"/>
      <w:marRight w:val="0"/>
      <w:marTop w:val="0"/>
      <w:marBottom w:val="0"/>
      <w:divBdr>
        <w:top w:val="none" w:sz="0" w:space="0" w:color="auto"/>
        <w:left w:val="none" w:sz="0" w:space="0" w:color="auto"/>
        <w:bottom w:val="none" w:sz="0" w:space="0" w:color="auto"/>
        <w:right w:val="none" w:sz="0" w:space="0" w:color="auto"/>
      </w:divBdr>
    </w:div>
    <w:div w:id="108936505">
      <w:bodyDiv w:val="1"/>
      <w:marLeft w:val="0"/>
      <w:marRight w:val="0"/>
      <w:marTop w:val="0"/>
      <w:marBottom w:val="0"/>
      <w:divBdr>
        <w:top w:val="none" w:sz="0" w:space="0" w:color="auto"/>
        <w:left w:val="none" w:sz="0" w:space="0" w:color="auto"/>
        <w:bottom w:val="none" w:sz="0" w:space="0" w:color="auto"/>
        <w:right w:val="none" w:sz="0" w:space="0" w:color="auto"/>
      </w:divBdr>
    </w:div>
    <w:div w:id="221261316">
      <w:bodyDiv w:val="1"/>
      <w:marLeft w:val="0"/>
      <w:marRight w:val="0"/>
      <w:marTop w:val="0"/>
      <w:marBottom w:val="0"/>
      <w:divBdr>
        <w:top w:val="none" w:sz="0" w:space="0" w:color="auto"/>
        <w:left w:val="none" w:sz="0" w:space="0" w:color="auto"/>
        <w:bottom w:val="none" w:sz="0" w:space="0" w:color="auto"/>
        <w:right w:val="none" w:sz="0" w:space="0" w:color="auto"/>
      </w:divBdr>
    </w:div>
    <w:div w:id="262492989">
      <w:bodyDiv w:val="1"/>
      <w:marLeft w:val="0"/>
      <w:marRight w:val="0"/>
      <w:marTop w:val="0"/>
      <w:marBottom w:val="0"/>
      <w:divBdr>
        <w:top w:val="none" w:sz="0" w:space="0" w:color="auto"/>
        <w:left w:val="none" w:sz="0" w:space="0" w:color="auto"/>
        <w:bottom w:val="none" w:sz="0" w:space="0" w:color="auto"/>
        <w:right w:val="none" w:sz="0" w:space="0" w:color="auto"/>
      </w:divBdr>
    </w:div>
    <w:div w:id="336274206">
      <w:bodyDiv w:val="1"/>
      <w:marLeft w:val="0"/>
      <w:marRight w:val="0"/>
      <w:marTop w:val="0"/>
      <w:marBottom w:val="0"/>
      <w:divBdr>
        <w:top w:val="none" w:sz="0" w:space="0" w:color="auto"/>
        <w:left w:val="none" w:sz="0" w:space="0" w:color="auto"/>
        <w:bottom w:val="none" w:sz="0" w:space="0" w:color="auto"/>
        <w:right w:val="none" w:sz="0" w:space="0" w:color="auto"/>
      </w:divBdr>
    </w:div>
    <w:div w:id="451944427">
      <w:bodyDiv w:val="1"/>
      <w:marLeft w:val="0"/>
      <w:marRight w:val="0"/>
      <w:marTop w:val="0"/>
      <w:marBottom w:val="0"/>
      <w:divBdr>
        <w:top w:val="none" w:sz="0" w:space="0" w:color="auto"/>
        <w:left w:val="none" w:sz="0" w:space="0" w:color="auto"/>
        <w:bottom w:val="none" w:sz="0" w:space="0" w:color="auto"/>
        <w:right w:val="none" w:sz="0" w:space="0" w:color="auto"/>
      </w:divBdr>
    </w:div>
    <w:div w:id="460853279">
      <w:bodyDiv w:val="1"/>
      <w:marLeft w:val="0"/>
      <w:marRight w:val="0"/>
      <w:marTop w:val="0"/>
      <w:marBottom w:val="0"/>
      <w:divBdr>
        <w:top w:val="none" w:sz="0" w:space="0" w:color="auto"/>
        <w:left w:val="none" w:sz="0" w:space="0" w:color="auto"/>
        <w:bottom w:val="none" w:sz="0" w:space="0" w:color="auto"/>
        <w:right w:val="none" w:sz="0" w:space="0" w:color="auto"/>
      </w:divBdr>
    </w:div>
    <w:div w:id="500241804">
      <w:bodyDiv w:val="1"/>
      <w:marLeft w:val="0"/>
      <w:marRight w:val="0"/>
      <w:marTop w:val="0"/>
      <w:marBottom w:val="0"/>
      <w:divBdr>
        <w:top w:val="none" w:sz="0" w:space="0" w:color="auto"/>
        <w:left w:val="none" w:sz="0" w:space="0" w:color="auto"/>
        <w:bottom w:val="none" w:sz="0" w:space="0" w:color="auto"/>
        <w:right w:val="none" w:sz="0" w:space="0" w:color="auto"/>
      </w:divBdr>
    </w:div>
    <w:div w:id="519851634">
      <w:bodyDiv w:val="1"/>
      <w:marLeft w:val="0"/>
      <w:marRight w:val="0"/>
      <w:marTop w:val="0"/>
      <w:marBottom w:val="0"/>
      <w:divBdr>
        <w:top w:val="none" w:sz="0" w:space="0" w:color="auto"/>
        <w:left w:val="none" w:sz="0" w:space="0" w:color="auto"/>
        <w:bottom w:val="none" w:sz="0" w:space="0" w:color="auto"/>
        <w:right w:val="none" w:sz="0" w:space="0" w:color="auto"/>
      </w:divBdr>
    </w:div>
    <w:div w:id="553930134">
      <w:bodyDiv w:val="1"/>
      <w:marLeft w:val="0"/>
      <w:marRight w:val="0"/>
      <w:marTop w:val="0"/>
      <w:marBottom w:val="0"/>
      <w:divBdr>
        <w:top w:val="none" w:sz="0" w:space="0" w:color="auto"/>
        <w:left w:val="none" w:sz="0" w:space="0" w:color="auto"/>
        <w:bottom w:val="none" w:sz="0" w:space="0" w:color="auto"/>
        <w:right w:val="none" w:sz="0" w:space="0" w:color="auto"/>
      </w:divBdr>
    </w:div>
    <w:div w:id="619413432">
      <w:bodyDiv w:val="1"/>
      <w:marLeft w:val="0"/>
      <w:marRight w:val="0"/>
      <w:marTop w:val="0"/>
      <w:marBottom w:val="0"/>
      <w:divBdr>
        <w:top w:val="none" w:sz="0" w:space="0" w:color="auto"/>
        <w:left w:val="none" w:sz="0" w:space="0" w:color="auto"/>
        <w:bottom w:val="none" w:sz="0" w:space="0" w:color="auto"/>
        <w:right w:val="none" w:sz="0" w:space="0" w:color="auto"/>
      </w:divBdr>
    </w:div>
    <w:div w:id="628629997">
      <w:bodyDiv w:val="1"/>
      <w:marLeft w:val="0"/>
      <w:marRight w:val="0"/>
      <w:marTop w:val="0"/>
      <w:marBottom w:val="0"/>
      <w:divBdr>
        <w:top w:val="none" w:sz="0" w:space="0" w:color="auto"/>
        <w:left w:val="none" w:sz="0" w:space="0" w:color="auto"/>
        <w:bottom w:val="none" w:sz="0" w:space="0" w:color="auto"/>
        <w:right w:val="none" w:sz="0" w:space="0" w:color="auto"/>
      </w:divBdr>
    </w:div>
    <w:div w:id="663627682">
      <w:bodyDiv w:val="1"/>
      <w:marLeft w:val="0"/>
      <w:marRight w:val="0"/>
      <w:marTop w:val="0"/>
      <w:marBottom w:val="0"/>
      <w:divBdr>
        <w:top w:val="none" w:sz="0" w:space="0" w:color="auto"/>
        <w:left w:val="none" w:sz="0" w:space="0" w:color="auto"/>
        <w:bottom w:val="none" w:sz="0" w:space="0" w:color="auto"/>
        <w:right w:val="none" w:sz="0" w:space="0" w:color="auto"/>
      </w:divBdr>
    </w:div>
    <w:div w:id="762804072">
      <w:bodyDiv w:val="1"/>
      <w:marLeft w:val="0"/>
      <w:marRight w:val="0"/>
      <w:marTop w:val="0"/>
      <w:marBottom w:val="0"/>
      <w:divBdr>
        <w:top w:val="none" w:sz="0" w:space="0" w:color="auto"/>
        <w:left w:val="none" w:sz="0" w:space="0" w:color="auto"/>
        <w:bottom w:val="none" w:sz="0" w:space="0" w:color="auto"/>
        <w:right w:val="none" w:sz="0" w:space="0" w:color="auto"/>
      </w:divBdr>
      <w:divsChild>
        <w:div w:id="538056548">
          <w:marLeft w:val="0"/>
          <w:marRight w:val="0"/>
          <w:marTop w:val="0"/>
          <w:marBottom w:val="0"/>
          <w:divBdr>
            <w:top w:val="none" w:sz="0" w:space="0" w:color="auto"/>
            <w:left w:val="none" w:sz="0" w:space="0" w:color="auto"/>
            <w:bottom w:val="none" w:sz="0" w:space="0" w:color="auto"/>
            <w:right w:val="none" w:sz="0" w:space="0" w:color="auto"/>
          </w:divBdr>
        </w:div>
      </w:divsChild>
    </w:div>
    <w:div w:id="783885715">
      <w:bodyDiv w:val="1"/>
      <w:marLeft w:val="0"/>
      <w:marRight w:val="0"/>
      <w:marTop w:val="0"/>
      <w:marBottom w:val="0"/>
      <w:divBdr>
        <w:top w:val="none" w:sz="0" w:space="0" w:color="auto"/>
        <w:left w:val="none" w:sz="0" w:space="0" w:color="auto"/>
        <w:bottom w:val="none" w:sz="0" w:space="0" w:color="auto"/>
        <w:right w:val="none" w:sz="0" w:space="0" w:color="auto"/>
      </w:divBdr>
    </w:div>
    <w:div w:id="793402327">
      <w:bodyDiv w:val="1"/>
      <w:marLeft w:val="0"/>
      <w:marRight w:val="0"/>
      <w:marTop w:val="0"/>
      <w:marBottom w:val="0"/>
      <w:divBdr>
        <w:top w:val="none" w:sz="0" w:space="0" w:color="auto"/>
        <w:left w:val="none" w:sz="0" w:space="0" w:color="auto"/>
        <w:bottom w:val="none" w:sz="0" w:space="0" w:color="auto"/>
        <w:right w:val="none" w:sz="0" w:space="0" w:color="auto"/>
      </w:divBdr>
    </w:div>
    <w:div w:id="866605594">
      <w:bodyDiv w:val="1"/>
      <w:marLeft w:val="0"/>
      <w:marRight w:val="0"/>
      <w:marTop w:val="0"/>
      <w:marBottom w:val="0"/>
      <w:divBdr>
        <w:top w:val="none" w:sz="0" w:space="0" w:color="auto"/>
        <w:left w:val="none" w:sz="0" w:space="0" w:color="auto"/>
        <w:bottom w:val="none" w:sz="0" w:space="0" w:color="auto"/>
        <w:right w:val="none" w:sz="0" w:space="0" w:color="auto"/>
      </w:divBdr>
    </w:div>
    <w:div w:id="977491231">
      <w:bodyDiv w:val="1"/>
      <w:marLeft w:val="0"/>
      <w:marRight w:val="0"/>
      <w:marTop w:val="0"/>
      <w:marBottom w:val="0"/>
      <w:divBdr>
        <w:top w:val="none" w:sz="0" w:space="0" w:color="auto"/>
        <w:left w:val="none" w:sz="0" w:space="0" w:color="auto"/>
        <w:bottom w:val="none" w:sz="0" w:space="0" w:color="auto"/>
        <w:right w:val="none" w:sz="0" w:space="0" w:color="auto"/>
      </w:divBdr>
    </w:div>
    <w:div w:id="977497753">
      <w:bodyDiv w:val="1"/>
      <w:marLeft w:val="0"/>
      <w:marRight w:val="0"/>
      <w:marTop w:val="0"/>
      <w:marBottom w:val="0"/>
      <w:divBdr>
        <w:top w:val="none" w:sz="0" w:space="0" w:color="auto"/>
        <w:left w:val="none" w:sz="0" w:space="0" w:color="auto"/>
        <w:bottom w:val="none" w:sz="0" w:space="0" w:color="auto"/>
        <w:right w:val="none" w:sz="0" w:space="0" w:color="auto"/>
      </w:divBdr>
    </w:div>
    <w:div w:id="1057896904">
      <w:bodyDiv w:val="1"/>
      <w:marLeft w:val="0"/>
      <w:marRight w:val="0"/>
      <w:marTop w:val="0"/>
      <w:marBottom w:val="0"/>
      <w:divBdr>
        <w:top w:val="none" w:sz="0" w:space="0" w:color="auto"/>
        <w:left w:val="none" w:sz="0" w:space="0" w:color="auto"/>
        <w:bottom w:val="none" w:sz="0" w:space="0" w:color="auto"/>
        <w:right w:val="none" w:sz="0" w:space="0" w:color="auto"/>
      </w:divBdr>
    </w:div>
    <w:div w:id="1243493464">
      <w:bodyDiv w:val="1"/>
      <w:marLeft w:val="0"/>
      <w:marRight w:val="0"/>
      <w:marTop w:val="0"/>
      <w:marBottom w:val="0"/>
      <w:divBdr>
        <w:top w:val="none" w:sz="0" w:space="0" w:color="auto"/>
        <w:left w:val="none" w:sz="0" w:space="0" w:color="auto"/>
        <w:bottom w:val="none" w:sz="0" w:space="0" w:color="auto"/>
        <w:right w:val="none" w:sz="0" w:space="0" w:color="auto"/>
      </w:divBdr>
    </w:div>
    <w:div w:id="1245457224">
      <w:bodyDiv w:val="1"/>
      <w:marLeft w:val="0"/>
      <w:marRight w:val="0"/>
      <w:marTop w:val="0"/>
      <w:marBottom w:val="0"/>
      <w:divBdr>
        <w:top w:val="none" w:sz="0" w:space="0" w:color="auto"/>
        <w:left w:val="none" w:sz="0" w:space="0" w:color="auto"/>
        <w:bottom w:val="none" w:sz="0" w:space="0" w:color="auto"/>
        <w:right w:val="none" w:sz="0" w:space="0" w:color="auto"/>
      </w:divBdr>
    </w:div>
    <w:div w:id="1261066125">
      <w:bodyDiv w:val="1"/>
      <w:marLeft w:val="0"/>
      <w:marRight w:val="0"/>
      <w:marTop w:val="0"/>
      <w:marBottom w:val="0"/>
      <w:divBdr>
        <w:top w:val="none" w:sz="0" w:space="0" w:color="auto"/>
        <w:left w:val="none" w:sz="0" w:space="0" w:color="auto"/>
        <w:bottom w:val="none" w:sz="0" w:space="0" w:color="auto"/>
        <w:right w:val="none" w:sz="0" w:space="0" w:color="auto"/>
      </w:divBdr>
    </w:div>
    <w:div w:id="1338264934">
      <w:bodyDiv w:val="1"/>
      <w:marLeft w:val="0"/>
      <w:marRight w:val="0"/>
      <w:marTop w:val="0"/>
      <w:marBottom w:val="0"/>
      <w:divBdr>
        <w:top w:val="none" w:sz="0" w:space="0" w:color="auto"/>
        <w:left w:val="none" w:sz="0" w:space="0" w:color="auto"/>
        <w:bottom w:val="none" w:sz="0" w:space="0" w:color="auto"/>
        <w:right w:val="none" w:sz="0" w:space="0" w:color="auto"/>
      </w:divBdr>
    </w:div>
    <w:div w:id="1495872331">
      <w:bodyDiv w:val="1"/>
      <w:marLeft w:val="0"/>
      <w:marRight w:val="0"/>
      <w:marTop w:val="0"/>
      <w:marBottom w:val="0"/>
      <w:divBdr>
        <w:top w:val="none" w:sz="0" w:space="0" w:color="auto"/>
        <w:left w:val="none" w:sz="0" w:space="0" w:color="auto"/>
        <w:bottom w:val="none" w:sz="0" w:space="0" w:color="auto"/>
        <w:right w:val="none" w:sz="0" w:space="0" w:color="auto"/>
      </w:divBdr>
    </w:div>
    <w:div w:id="1503160090">
      <w:bodyDiv w:val="1"/>
      <w:marLeft w:val="0"/>
      <w:marRight w:val="0"/>
      <w:marTop w:val="0"/>
      <w:marBottom w:val="0"/>
      <w:divBdr>
        <w:top w:val="none" w:sz="0" w:space="0" w:color="auto"/>
        <w:left w:val="none" w:sz="0" w:space="0" w:color="auto"/>
        <w:bottom w:val="none" w:sz="0" w:space="0" w:color="auto"/>
        <w:right w:val="none" w:sz="0" w:space="0" w:color="auto"/>
      </w:divBdr>
    </w:div>
    <w:div w:id="1580602284">
      <w:bodyDiv w:val="1"/>
      <w:marLeft w:val="0"/>
      <w:marRight w:val="0"/>
      <w:marTop w:val="0"/>
      <w:marBottom w:val="0"/>
      <w:divBdr>
        <w:top w:val="none" w:sz="0" w:space="0" w:color="auto"/>
        <w:left w:val="none" w:sz="0" w:space="0" w:color="auto"/>
        <w:bottom w:val="none" w:sz="0" w:space="0" w:color="auto"/>
        <w:right w:val="none" w:sz="0" w:space="0" w:color="auto"/>
      </w:divBdr>
    </w:div>
    <w:div w:id="1614938583">
      <w:bodyDiv w:val="1"/>
      <w:marLeft w:val="0"/>
      <w:marRight w:val="0"/>
      <w:marTop w:val="0"/>
      <w:marBottom w:val="0"/>
      <w:divBdr>
        <w:top w:val="none" w:sz="0" w:space="0" w:color="auto"/>
        <w:left w:val="none" w:sz="0" w:space="0" w:color="auto"/>
        <w:bottom w:val="none" w:sz="0" w:space="0" w:color="auto"/>
        <w:right w:val="none" w:sz="0" w:space="0" w:color="auto"/>
      </w:divBdr>
    </w:div>
    <w:div w:id="1710373312">
      <w:bodyDiv w:val="1"/>
      <w:marLeft w:val="0"/>
      <w:marRight w:val="0"/>
      <w:marTop w:val="0"/>
      <w:marBottom w:val="0"/>
      <w:divBdr>
        <w:top w:val="none" w:sz="0" w:space="0" w:color="auto"/>
        <w:left w:val="none" w:sz="0" w:space="0" w:color="auto"/>
        <w:bottom w:val="none" w:sz="0" w:space="0" w:color="auto"/>
        <w:right w:val="none" w:sz="0" w:space="0" w:color="auto"/>
      </w:divBdr>
    </w:div>
    <w:div w:id="1899826023">
      <w:bodyDiv w:val="1"/>
      <w:marLeft w:val="0"/>
      <w:marRight w:val="0"/>
      <w:marTop w:val="0"/>
      <w:marBottom w:val="0"/>
      <w:divBdr>
        <w:top w:val="none" w:sz="0" w:space="0" w:color="auto"/>
        <w:left w:val="none" w:sz="0" w:space="0" w:color="auto"/>
        <w:bottom w:val="none" w:sz="0" w:space="0" w:color="auto"/>
        <w:right w:val="none" w:sz="0" w:space="0" w:color="auto"/>
      </w:divBdr>
    </w:div>
    <w:div w:id="1929147847">
      <w:bodyDiv w:val="1"/>
      <w:marLeft w:val="0"/>
      <w:marRight w:val="0"/>
      <w:marTop w:val="0"/>
      <w:marBottom w:val="0"/>
      <w:divBdr>
        <w:top w:val="none" w:sz="0" w:space="0" w:color="auto"/>
        <w:left w:val="none" w:sz="0" w:space="0" w:color="auto"/>
        <w:bottom w:val="none" w:sz="0" w:space="0" w:color="auto"/>
        <w:right w:val="none" w:sz="0" w:space="0" w:color="auto"/>
      </w:divBdr>
    </w:div>
    <w:div w:id="1957833758">
      <w:bodyDiv w:val="1"/>
      <w:marLeft w:val="0"/>
      <w:marRight w:val="0"/>
      <w:marTop w:val="0"/>
      <w:marBottom w:val="0"/>
      <w:divBdr>
        <w:top w:val="none" w:sz="0" w:space="0" w:color="auto"/>
        <w:left w:val="none" w:sz="0" w:space="0" w:color="auto"/>
        <w:bottom w:val="none" w:sz="0" w:space="0" w:color="auto"/>
        <w:right w:val="none" w:sz="0" w:space="0" w:color="auto"/>
      </w:divBdr>
    </w:div>
    <w:div w:id="2103794580">
      <w:bodyDiv w:val="1"/>
      <w:marLeft w:val="0"/>
      <w:marRight w:val="0"/>
      <w:marTop w:val="0"/>
      <w:marBottom w:val="0"/>
      <w:divBdr>
        <w:top w:val="none" w:sz="0" w:space="0" w:color="auto"/>
        <w:left w:val="none" w:sz="0" w:space="0" w:color="auto"/>
        <w:bottom w:val="none" w:sz="0" w:space="0" w:color="auto"/>
        <w:right w:val="none" w:sz="0" w:space="0" w:color="auto"/>
      </w:divBdr>
    </w:div>
    <w:div w:id="2112847533">
      <w:bodyDiv w:val="1"/>
      <w:marLeft w:val="0"/>
      <w:marRight w:val="0"/>
      <w:marTop w:val="0"/>
      <w:marBottom w:val="0"/>
      <w:divBdr>
        <w:top w:val="none" w:sz="0" w:space="0" w:color="auto"/>
        <w:left w:val="none" w:sz="0" w:space="0" w:color="auto"/>
        <w:bottom w:val="none" w:sz="0" w:space="0" w:color="auto"/>
        <w:right w:val="none" w:sz="0" w:space="0" w:color="auto"/>
      </w:divBdr>
    </w:div>
    <w:div w:id="2130083509">
      <w:bodyDiv w:val="1"/>
      <w:marLeft w:val="0"/>
      <w:marRight w:val="0"/>
      <w:marTop w:val="0"/>
      <w:marBottom w:val="0"/>
      <w:divBdr>
        <w:top w:val="none" w:sz="0" w:space="0" w:color="auto"/>
        <w:left w:val="none" w:sz="0" w:space="0" w:color="auto"/>
        <w:bottom w:val="none" w:sz="0" w:space="0" w:color="auto"/>
        <w:right w:val="none" w:sz="0" w:space="0" w:color="auto"/>
      </w:divBdr>
    </w:div>
    <w:div w:id="2145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cragg@auckland.ac.nz" TargetMode="Externa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hyperlink" Target="Tel:+64" TargetMode="External"/><Relationship Id="rId19" Type="http://schemas.openxmlformats.org/officeDocument/2006/relationships/image" Target="media/image5.tiff"/><Relationship Id="rId4" Type="http://schemas.microsoft.com/office/2007/relationships/stylesWithEffects" Target="stylesWithEffects.xml"/><Relationship Id="rId9" Type="http://schemas.openxmlformats.org/officeDocument/2006/relationships/hyperlink" Target="mailto:K.Nirantharan@bham.ac.uk" TargetMode="External"/><Relationship Id="rId14" Type="http://schemas.openxmlformats.org/officeDocument/2006/relationships/chart" Target="charts/chart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Mds\user\A-F\CroweF\F%20Crowe%20work\Vitamin%20D%20THIN\Vitamin%20D%20CVD\EXCEL\Results%20vitamin%20d%20risk%20of%20CVD%20using%20values%20vitamin%20d%20fited%20for%20season%20March%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ds\user\A-F\CroweF\F%20Crowe%20work\Vitamin%20D%20THIN\Vitamin%20D%20CVD\EXCEL\Results%20vitamin%20d%20risk%20of%20CVD%20using%20values%20vitamin%20d%20fited%20for%20season%20March%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HR</c:v>
          </c:tx>
          <c:spPr>
            <a:ln w="19050">
              <a:solidFill>
                <a:schemeClr val="tx1"/>
              </a:solidFill>
            </a:ln>
          </c:spPr>
          <c:marker>
            <c:symbol val="none"/>
          </c:marker>
          <c:xVal>
            <c:numRef>
              <c:f>'Dose-response'!$L$2:$L$11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'Dose-response'!$M$2:$M$11</c:f>
              <c:numCache>
                <c:formatCode>General</c:formatCode>
                <c:ptCount val="10"/>
                <c:pt idx="1">
                  <c:v>2.261101</c:v>
                </c:pt>
                <c:pt idx="2">
                  <c:v>2.0686070000000001</c:v>
                </c:pt>
                <c:pt idx="3">
                  <c:v>1.488022</c:v>
                </c:pt>
                <c:pt idx="4">
                  <c:v>1.267002</c:v>
                </c:pt>
                <c:pt idx="5">
                  <c:v>1.093256</c:v>
                </c:pt>
                <c:pt idx="6">
                  <c:v>0.94550080000000003</c:v>
                </c:pt>
                <c:pt idx="7">
                  <c:v>1</c:v>
                </c:pt>
                <c:pt idx="8">
                  <c:v>1.3010139999999999</c:v>
                </c:pt>
                <c:pt idx="9">
                  <c:v>1.366978</c:v>
                </c:pt>
              </c:numCache>
            </c:numRef>
          </c:yVal>
          <c:smooth val="1"/>
        </c:ser>
        <c:ser>
          <c:idx val="1"/>
          <c:order val="1"/>
          <c:tx>
            <c:v>LCIHR</c:v>
          </c:tx>
          <c:spPr>
            <a:ln w="15875">
              <a:solidFill>
                <a:schemeClr val="tx1">
                  <a:lumMod val="50000"/>
                  <a:lumOff val="50000"/>
                </a:schemeClr>
              </a:solidFill>
              <a:prstDash val="solid"/>
            </a:ln>
          </c:spPr>
          <c:marker>
            <c:symbol val="none"/>
          </c:marker>
          <c:xVal>
            <c:numRef>
              <c:f>'Dose-response'!$L$2:$L$11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'Dose-response'!$Q$2:$Q$11</c:f>
              <c:numCache>
                <c:formatCode>General</c:formatCode>
                <c:ptCount val="10"/>
                <c:pt idx="1">
                  <c:v>1.875311</c:v>
                </c:pt>
                <c:pt idx="2">
                  <c:v>1.794079</c:v>
                </c:pt>
                <c:pt idx="3">
                  <c:v>1.301741</c:v>
                </c:pt>
                <c:pt idx="4">
                  <c:v>1.114152</c:v>
                </c:pt>
                <c:pt idx="5">
                  <c:v>0.96199920000000005</c:v>
                </c:pt>
                <c:pt idx="6">
                  <c:v>0.82923239999999998</c:v>
                </c:pt>
                <c:pt idx="7">
                  <c:v>1</c:v>
                </c:pt>
                <c:pt idx="8">
                  <c:v>1.067178</c:v>
                </c:pt>
                <c:pt idx="9">
                  <c:v>1.0796650000000001</c:v>
                </c:pt>
              </c:numCache>
            </c:numRef>
          </c:yVal>
          <c:smooth val="1"/>
        </c:ser>
        <c:ser>
          <c:idx val="2"/>
          <c:order val="2"/>
          <c:tx>
            <c:v>UCIHR</c:v>
          </c:tx>
          <c:spPr>
            <a:ln w="15875">
              <a:solidFill>
                <a:schemeClr val="tx1">
                  <a:lumMod val="50000"/>
                  <a:lumOff val="50000"/>
                </a:schemeClr>
              </a:solidFill>
              <a:prstDash val="solid"/>
            </a:ln>
          </c:spPr>
          <c:marker>
            <c:symbol val="none"/>
          </c:marker>
          <c:xVal>
            <c:numRef>
              <c:f>'Dose-response'!$L$2:$L$11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'Dose-response'!$R$2:$R$11</c:f>
              <c:numCache>
                <c:formatCode>General</c:formatCode>
                <c:ptCount val="10"/>
                <c:pt idx="1">
                  <c:v>2.7262559999999998</c:v>
                </c:pt>
                <c:pt idx="2">
                  <c:v>2.3851420000000001</c:v>
                </c:pt>
                <c:pt idx="3">
                  <c:v>1.70096</c:v>
                </c:pt>
                <c:pt idx="4">
                  <c:v>1.440822</c:v>
                </c:pt>
                <c:pt idx="5">
                  <c:v>1.242421</c:v>
                </c:pt>
                <c:pt idx="6">
                  <c:v>1.078071</c:v>
                </c:pt>
                <c:pt idx="7">
                  <c:v>1</c:v>
                </c:pt>
                <c:pt idx="8">
                  <c:v>1.586087</c:v>
                </c:pt>
                <c:pt idx="9">
                  <c:v>1.7307490000000001</c:v>
                </c:pt>
              </c:numCache>
            </c:numRef>
          </c:yVal>
          <c:smooth val="1"/>
        </c:ser>
        <c:dLbls>
          <c:showLegendKey val="0"/>
          <c:showVal val="0"/>
          <c:showCatName val="0"/>
          <c:showSerName val="0"/>
          <c:showPercent val="0"/>
          <c:showBubbleSize val="0"/>
        </c:dLbls>
        <c:axId val="74087424"/>
        <c:axId val="83629184"/>
      </c:scatterChart>
      <c:valAx>
        <c:axId val="74087424"/>
        <c:scaling>
          <c:orientation val="minMax"/>
          <c:max val="125"/>
          <c:min val="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Circulating concentrations 25-hydroxyvitamin D (nmol/L)</a:t>
                </a:r>
              </a:p>
            </c:rich>
          </c:tx>
          <c:layout>
            <c:manualLayout>
              <c:xMode val="edge"/>
              <c:yMode val="edge"/>
              <c:x val="0.15149044441905046"/>
              <c:y val="0.87996039981203866"/>
            </c:manualLayout>
          </c:layout>
          <c:overlay val="0"/>
        </c:title>
        <c:numFmt formatCode="General" sourceLinked="1"/>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crossAx val="83629184"/>
        <c:crosses val="autoZero"/>
        <c:crossBetween val="midCat"/>
        <c:majorUnit val="25"/>
      </c:valAx>
      <c:valAx>
        <c:axId val="83629184"/>
        <c:scaling>
          <c:orientation val="minMax"/>
          <c:max val="3"/>
          <c:min val="0.5"/>
        </c:scaling>
        <c:delete val="0"/>
        <c:axPos val="l"/>
        <c:majorGridlines>
          <c:spPr>
            <a:ln>
              <a:noFill/>
            </a:ln>
          </c:spPr>
        </c:majorGridlines>
        <c:numFmt formatCode="#,##0.0" sourceLinked="0"/>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crossAx val="74087424"/>
        <c:crosses val="autoZero"/>
        <c:crossBetween val="midCat"/>
        <c:majorUnit val="0.5"/>
      </c:valAx>
      <c:spPr>
        <a:ln>
          <a:solidFill>
            <a:schemeClr val="tx1"/>
          </a:solidFill>
        </a:ln>
      </c:spPr>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HR</c:v>
          </c:tx>
          <c:spPr>
            <a:ln w="19050">
              <a:solidFill>
                <a:schemeClr val="tx1"/>
              </a:solidFill>
            </a:ln>
          </c:spPr>
          <c:marker>
            <c:symbol val="none"/>
          </c:marker>
          <c:xVal>
            <c:numRef>
              <c:f>'Dose-response'!$B$2:$B$11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'Dose-response'!$C$2:$C$11</c:f>
              <c:numCache>
                <c:formatCode>General</c:formatCode>
                <c:ptCount val="10"/>
                <c:pt idx="1">
                  <c:v>1.541928</c:v>
                </c:pt>
                <c:pt idx="2">
                  <c:v>1.3022039999999999</c:v>
                </c:pt>
                <c:pt idx="3">
                  <c:v>1.234979</c:v>
                </c:pt>
                <c:pt idx="4">
                  <c:v>1.1998960000000001</c:v>
                </c:pt>
                <c:pt idx="5">
                  <c:v>1.094047</c:v>
                </c:pt>
                <c:pt idx="6">
                  <c:v>1.0216099999999999</c:v>
                </c:pt>
                <c:pt idx="7">
                  <c:v>1</c:v>
                </c:pt>
                <c:pt idx="8">
                  <c:v>1.0861320000000001</c:v>
                </c:pt>
                <c:pt idx="9">
                  <c:v>0.94449539999999998</c:v>
                </c:pt>
              </c:numCache>
            </c:numRef>
          </c:yVal>
          <c:smooth val="1"/>
        </c:ser>
        <c:ser>
          <c:idx val="1"/>
          <c:order val="1"/>
          <c:tx>
            <c:v>LCIHR</c:v>
          </c:tx>
          <c:spPr>
            <a:ln w="15875">
              <a:solidFill>
                <a:schemeClr val="tx1">
                  <a:lumMod val="50000"/>
                  <a:lumOff val="50000"/>
                </a:schemeClr>
              </a:solidFill>
              <a:prstDash val="solid"/>
            </a:ln>
          </c:spPr>
          <c:marker>
            <c:symbol val="none"/>
          </c:marker>
          <c:xVal>
            <c:numRef>
              <c:f>'Dose-response'!$B$2:$B$11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'Dose-response'!$G$2:$G$11</c:f>
              <c:numCache>
                <c:formatCode>General</c:formatCode>
                <c:ptCount val="10"/>
                <c:pt idx="1">
                  <c:v>1.2144969999999999</c:v>
                </c:pt>
                <c:pt idx="2">
                  <c:v>1.104393</c:v>
                </c:pt>
                <c:pt idx="3">
                  <c:v>1.087939</c:v>
                </c:pt>
                <c:pt idx="4">
                  <c:v>1.0608219999999999</c:v>
                </c:pt>
                <c:pt idx="5">
                  <c:v>0.96565109999999998</c:v>
                </c:pt>
                <c:pt idx="6">
                  <c:v>0.90684350000000002</c:v>
                </c:pt>
                <c:pt idx="7">
                  <c:v>1</c:v>
                </c:pt>
                <c:pt idx="8">
                  <c:v>0.89449350000000005</c:v>
                </c:pt>
                <c:pt idx="9">
                  <c:v>0.69658909999999996</c:v>
                </c:pt>
              </c:numCache>
            </c:numRef>
          </c:yVal>
          <c:smooth val="1"/>
        </c:ser>
        <c:ser>
          <c:idx val="2"/>
          <c:order val="2"/>
          <c:tx>
            <c:v>UCIHR</c:v>
          </c:tx>
          <c:spPr>
            <a:ln w="15875">
              <a:solidFill>
                <a:schemeClr val="tx1">
                  <a:lumMod val="50000"/>
                  <a:lumOff val="50000"/>
                </a:schemeClr>
              </a:solidFill>
              <a:prstDash val="solid"/>
            </a:ln>
          </c:spPr>
          <c:marker>
            <c:symbol val="none"/>
          </c:marker>
          <c:xVal>
            <c:numRef>
              <c:f>'Dose-response'!$B$2:$B$11</c:f>
              <c:numCache>
                <c:formatCode>General</c:formatCode>
                <c:ptCount val="10"/>
                <c:pt idx="1">
                  <c:v>5.0050020000000002</c:v>
                </c:pt>
                <c:pt idx="2">
                  <c:v>12.12665</c:v>
                </c:pt>
                <c:pt idx="3">
                  <c:v>20.36055</c:v>
                </c:pt>
                <c:pt idx="4">
                  <c:v>29.995000000000001</c:v>
                </c:pt>
                <c:pt idx="5">
                  <c:v>41.873350000000002</c:v>
                </c:pt>
                <c:pt idx="6">
                  <c:v>60.512810000000002</c:v>
                </c:pt>
                <c:pt idx="7">
                  <c:v>84.360550000000003</c:v>
                </c:pt>
                <c:pt idx="8">
                  <c:v>108.995</c:v>
                </c:pt>
                <c:pt idx="9">
                  <c:v>139.8734</c:v>
                </c:pt>
              </c:numCache>
            </c:numRef>
          </c:xVal>
          <c:yVal>
            <c:numRef>
              <c:f>'Dose-response'!$H$2:$H$11</c:f>
              <c:numCache>
                <c:formatCode>General</c:formatCode>
                <c:ptCount val="10"/>
                <c:pt idx="1">
                  <c:v>1.957635</c:v>
                </c:pt>
                <c:pt idx="2">
                  <c:v>1.5354460000000001</c:v>
                </c:pt>
                <c:pt idx="3">
                  <c:v>1.4018919999999999</c:v>
                </c:pt>
                <c:pt idx="4">
                  <c:v>1.3572029999999999</c:v>
                </c:pt>
                <c:pt idx="5">
                  <c:v>1.2395160000000001</c:v>
                </c:pt>
                <c:pt idx="6">
                  <c:v>1.150901</c:v>
                </c:pt>
                <c:pt idx="7">
                  <c:v>1</c:v>
                </c:pt>
                <c:pt idx="8">
                  <c:v>1.3188279999999999</c:v>
                </c:pt>
                <c:pt idx="9">
                  <c:v>1.2806280000000001</c:v>
                </c:pt>
              </c:numCache>
            </c:numRef>
          </c:yVal>
          <c:smooth val="1"/>
        </c:ser>
        <c:dLbls>
          <c:showLegendKey val="0"/>
          <c:showVal val="0"/>
          <c:showCatName val="0"/>
          <c:showSerName val="0"/>
          <c:showPercent val="0"/>
          <c:showBubbleSize val="0"/>
        </c:dLbls>
        <c:axId val="83667584"/>
        <c:axId val="74074368"/>
      </c:scatterChart>
      <c:valAx>
        <c:axId val="83667584"/>
        <c:scaling>
          <c:orientation val="minMax"/>
          <c:max val="125"/>
          <c:min val="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Circulating concentrations 25-hydroxyvitamin D (nmol/L)</a:t>
                </a:r>
                <a:endParaRPr lang="en-GB">
                  <a:latin typeface="Times New Roman" panose="02020603050405020304" pitchFamily="18" charset="0"/>
                  <a:cs typeface="Times New Roman" panose="02020603050405020304" pitchFamily="18" charset="0"/>
                </a:endParaRPr>
              </a:p>
            </c:rich>
          </c:tx>
          <c:layout>
            <c:manualLayout>
              <c:xMode val="edge"/>
              <c:yMode val="edge"/>
              <c:x val="0.13295421877623578"/>
              <c:y val="0.87996039981203866"/>
            </c:manualLayout>
          </c:layout>
          <c:overlay val="0"/>
        </c:title>
        <c:numFmt formatCode="General" sourceLinked="1"/>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crossAx val="74074368"/>
        <c:crosses val="autoZero"/>
        <c:crossBetween val="midCat"/>
        <c:majorUnit val="25"/>
      </c:valAx>
      <c:valAx>
        <c:axId val="74074368"/>
        <c:scaling>
          <c:orientation val="minMax"/>
          <c:max val="3"/>
          <c:min val="0.5"/>
        </c:scaling>
        <c:delete val="0"/>
        <c:axPos val="l"/>
        <c:majorGridlines>
          <c:spPr>
            <a:ln>
              <a:noFill/>
            </a:ln>
          </c:spPr>
        </c:majorGridlines>
        <c:numFmt formatCode="#,##0.0" sourceLinked="0"/>
        <c:majorTickMark val="out"/>
        <c:minorTickMark val="none"/>
        <c:tickLblPos val="nextTo"/>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crossAx val="83667584"/>
        <c:crosses val="autoZero"/>
        <c:crossBetween val="midCat"/>
        <c:majorUnit val="0.5"/>
      </c:valAx>
      <c:spPr>
        <a:noFill/>
        <a:ln>
          <a:solidFill>
            <a:schemeClr val="tx1"/>
          </a:solidFill>
        </a:ln>
      </c:spPr>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F0B0-0C92-4872-BF15-B5757D37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_</vt:lpstr>
    </vt:vector>
  </TitlesOfParts>
  <Company>University of Birmingham</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Francesca Crowe</dc:creator>
  <cp:lastModifiedBy>Francesca Crowe</cp:lastModifiedBy>
  <cp:revision>2</cp:revision>
  <cp:lastPrinted>2019-01-11T15:41:00Z</cp:lastPrinted>
  <dcterms:created xsi:type="dcterms:W3CDTF">2019-08-14T09:18:00Z</dcterms:created>
  <dcterms:modified xsi:type="dcterms:W3CDTF">2019-08-14T09:18:00Z</dcterms:modified>
</cp:coreProperties>
</file>