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3D5" w:rsidRDefault="009503D5" w:rsidP="00E670EE">
      <w:pPr>
        <w:spacing w:line="360" w:lineRule="auto"/>
        <w:rPr>
          <w:b/>
          <w:sz w:val="24"/>
          <w:szCs w:val="24"/>
        </w:rPr>
      </w:pPr>
      <w:bookmarkStart w:id="0" w:name="_GoBack"/>
      <w:bookmarkEnd w:id="0"/>
      <w:r>
        <w:rPr>
          <w:b/>
          <w:sz w:val="24"/>
          <w:szCs w:val="24"/>
        </w:rPr>
        <w:t>Correlation of g</w:t>
      </w:r>
      <w:r w:rsidR="006A3B61">
        <w:rPr>
          <w:b/>
          <w:sz w:val="24"/>
          <w:szCs w:val="24"/>
        </w:rPr>
        <w:t>ravestone decay and air quality</w:t>
      </w:r>
      <w:r>
        <w:rPr>
          <w:b/>
          <w:sz w:val="24"/>
          <w:szCs w:val="24"/>
        </w:rPr>
        <w:t xml:space="preserve"> 1960-2010</w:t>
      </w:r>
    </w:p>
    <w:p w:rsidR="00E323B2" w:rsidRDefault="00E323B2" w:rsidP="00E670EE">
      <w:pPr>
        <w:spacing w:line="360" w:lineRule="auto"/>
        <w:rPr>
          <w:sz w:val="24"/>
          <w:szCs w:val="24"/>
        </w:rPr>
      </w:pPr>
      <w:r w:rsidRPr="00D97989">
        <w:rPr>
          <w:sz w:val="24"/>
          <w:szCs w:val="24"/>
        </w:rPr>
        <w:t>Mooers HD</w:t>
      </w:r>
      <w:r w:rsidR="00D97989" w:rsidRPr="00D97989">
        <w:rPr>
          <w:sz w:val="24"/>
          <w:szCs w:val="24"/>
          <w:vertAlign w:val="superscript"/>
        </w:rPr>
        <w:t>1</w:t>
      </w:r>
      <w:r w:rsidR="00FD0D2A" w:rsidRPr="00D97989">
        <w:rPr>
          <w:sz w:val="24"/>
          <w:szCs w:val="24"/>
        </w:rPr>
        <w:t>, Carlson, MJ</w:t>
      </w:r>
      <w:r w:rsidR="00D97989" w:rsidRPr="00D97989">
        <w:rPr>
          <w:sz w:val="24"/>
          <w:szCs w:val="24"/>
          <w:vertAlign w:val="superscript"/>
        </w:rPr>
        <w:t>1</w:t>
      </w:r>
      <w:r w:rsidR="00FD0D2A" w:rsidRPr="00D97989">
        <w:rPr>
          <w:sz w:val="24"/>
          <w:szCs w:val="24"/>
        </w:rPr>
        <w:t>, Harrison, RM</w:t>
      </w:r>
      <w:r w:rsidR="00D97989" w:rsidRPr="00D97989">
        <w:rPr>
          <w:sz w:val="24"/>
          <w:szCs w:val="24"/>
          <w:vertAlign w:val="superscript"/>
        </w:rPr>
        <w:t>2</w:t>
      </w:r>
      <w:r w:rsidR="00FD0D2A" w:rsidRPr="00D97989">
        <w:rPr>
          <w:sz w:val="24"/>
          <w:szCs w:val="24"/>
        </w:rPr>
        <w:t>, Inkpen, RJ</w:t>
      </w:r>
      <w:r w:rsidR="00D97989" w:rsidRPr="00D97989">
        <w:rPr>
          <w:sz w:val="24"/>
          <w:szCs w:val="24"/>
          <w:vertAlign w:val="superscript"/>
        </w:rPr>
        <w:t>3</w:t>
      </w:r>
      <w:r w:rsidR="00FD0D2A" w:rsidRPr="00D97989">
        <w:rPr>
          <w:sz w:val="24"/>
          <w:szCs w:val="24"/>
        </w:rPr>
        <w:t xml:space="preserve">, </w:t>
      </w:r>
      <w:r w:rsidR="001517B8" w:rsidRPr="00D97989">
        <w:rPr>
          <w:sz w:val="24"/>
          <w:szCs w:val="24"/>
        </w:rPr>
        <w:t xml:space="preserve">and </w:t>
      </w:r>
      <w:r w:rsidR="00FD0D2A" w:rsidRPr="00D97989">
        <w:rPr>
          <w:sz w:val="24"/>
          <w:szCs w:val="24"/>
        </w:rPr>
        <w:t>Loeffler, S</w:t>
      </w:r>
      <w:r w:rsidR="00D97989" w:rsidRPr="00D97989">
        <w:rPr>
          <w:sz w:val="24"/>
          <w:szCs w:val="24"/>
          <w:vertAlign w:val="superscript"/>
        </w:rPr>
        <w:t>4</w:t>
      </w:r>
    </w:p>
    <w:p w:rsidR="00D97989" w:rsidRPr="000D1826" w:rsidRDefault="00D97989" w:rsidP="00885D4F">
      <w:pPr>
        <w:numPr>
          <w:ilvl w:val="0"/>
          <w:numId w:val="1"/>
        </w:numPr>
        <w:spacing w:after="0" w:line="240" w:lineRule="auto"/>
        <w:rPr>
          <w:sz w:val="18"/>
        </w:rPr>
      </w:pPr>
      <w:r w:rsidRPr="000D1826">
        <w:rPr>
          <w:sz w:val="18"/>
        </w:rPr>
        <w:t xml:space="preserve">Department of Earth and Environmental Sciences, University of Minnesota Duluth, </w:t>
      </w:r>
      <w:r w:rsidR="000D1826" w:rsidRPr="000D1826">
        <w:rPr>
          <w:sz w:val="18"/>
        </w:rPr>
        <w:t xml:space="preserve">203 Heller Hall, 1114 Kirby Dr., </w:t>
      </w:r>
      <w:r w:rsidR="00885D4F" w:rsidRPr="000D1826">
        <w:rPr>
          <w:sz w:val="18"/>
        </w:rPr>
        <w:t>Duluth</w:t>
      </w:r>
      <w:r w:rsidR="00B815DF">
        <w:rPr>
          <w:sz w:val="18"/>
        </w:rPr>
        <w:t>,</w:t>
      </w:r>
      <w:r w:rsidRPr="000D1826">
        <w:rPr>
          <w:sz w:val="18"/>
        </w:rPr>
        <w:t xml:space="preserve"> MN 55812, USA</w:t>
      </w:r>
      <w:r w:rsidR="00B815DF">
        <w:rPr>
          <w:sz w:val="18"/>
        </w:rPr>
        <w:t>,</w:t>
      </w:r>
      <w:r w:rsidRPr="000D1826">
        <w:rPr>
          <w:sz w:val="18"/>
        </w:rPr>
        <w:t xml:space="preserve"> </w:t>
      </w:r>
      <w:r w:rsidR="000D1826">
        <w:rPr>
          <w:sz w:val="18"/>
        </w:rPr>
        <w:t xml:space="preserve">email: </w:t>
      </w:r>
      <w:hyperlink r:id="rId8" w:history="1">
        <w:r w:rsidRPr="000D1826">
          <w:rPr>
            <w:sz w:val="18"/>
          </w:rPr>
          <w:t>hmooers@d.umn.edu</w:t>
        </w:r>
      </w:hyperlink>
    </w:p>
    <w:p w:rsidR="00D97989" w:rsidRPr="000D1826" w:rsidRDefault="00D97989" w:rsidP="00885D4F">
      <w:pPr>
        <w:numPr>
          <w:ilvl w:val="0"/>
          <w:numId w:val="1"/>
        </w:numPr>
        <w:spacing w:after="0" w:line="240" w:lineRule="auto"/>
        <w:rPr>
          <w:sz w:val="18"/>
        </w:rPr>
      </w:pPr>
      <w:r w:rsidRPr="000D1826">
        <w:rPr>
          <w:sz w:val="18"/>
        </w:rPr>
        <w:t>School of Geography, Earth and Environmental Sciences, University of Birmingham, Birmingham</w:t>
      </w:r>
      <w:r w:rsidR="00B815DF">
        <w:rPr>
          <w:sz w:val="18"/>
        </w:rPr>
        <w:t>,</w:t>
      </w:r>
      <w:r w:rsidRPr="000D1826">
        <w:rPr>
          <w:sz w:val="18"/>
        </w:rPr>
        <w:t xml:space="preserve"> B15 2TT, United Kingdom</w:t>
      </w:r>
      <w:r w:rsidR="0035632C" w:rsidRPr="000D1826">
        <w:rPr>
          <w:sz w:val="18"/>
        </w:rPr>
        <w:t>; Also at:  Department of Environmental Sciences / Center of Excellence in Environmental Studies, King Abdulaziz University, Jeddah, 21589, Saudi Arabia</w:t>
      </w:r>
    </w:p>
    <w:p w:rsidR="00885D4F" w:rsidRPr="000D1826" w:rsidRDefault="00885D4F" w:rsidP="00885D4F">
      <w:pPr>
        <w:numPr>
          <w:ilvl w:val="0"/>
          <w:numId w:val="1"/>
        </w:numPr>
        <w:spacing w:after="0" w:line="240" w:lineRule="auto"/>
        <w:rPr>
          <w:sz w:val="18"/>
        </w:rPr>
      </w:pPr>
      <w:r w:rsidRPr="000D1826">
        <w:rPr>
          <w:sz w:val="18"/>
        </w:rPr>
        <w:t>Department of Geography, University of Portsmouth, Buckingham Building, Lion Terrace, Portsmouth</w:t>
      </w:r>
      <w:r w:rsidR="00B815DF">
        <w:rPr>
          <w:sz w:val="18"/>
        </w:rPr>
        <w:t>,</w:t>
      </w:r>
      <w:r w:rsidRPr="000D1826">
        <w:rPr>
          <w:sz w:val="18"/>
        </w:rPr>
        <w:t xml:space="preserve"> PO1 3HE</w:t>
      </w:r>
      <w:r w:rsidR="00B815DF">
        <w:rPr>
          <w:sz w:val="18"/>
        </w:rPr>
        <w:t>,</w:t>
      </w:r>
      <w:r w:rsidRPr="000D1826">
        <w:rPr>
          <w:sz w:val="18"/>
        </w:rPr>
        <w:t xml:space="preserve"> United Kingdom </w:t>
      </w:r>
    </w:p>
    <w:p w:rsidR="00D97989" w:rsidRPr="000D1826" w:rsidRDefault="00D97989" w:rsidP="00885D4F">
      <w:pPr>
        <w:numPr>
          <w:ilvl w:val="0"/>
          <w:numId w:val="1"/>
        </w:numPr>
        <w:spacing w:after="0" w:line="240" w:lineRule="auto"/>
        <w:rPr>
          <w:sz w:val="18"/>
        </w:rPr>
      </w:pPr>
      <w:r w:rsidRPr="000D1826">
        <w:rPr>
          <w:sz w:val="18"/>
        </w:rPr>
        <w:t xml:space="preserve">Department of Earth Sciences, University of Minnesota Twin Cities, </w:t>
      </w:r>
      <w:r w:rsidR="000D1826" w:rsidRPr="000D1826">
        <w:rPr>
          <w:sz w:val="18"/>
        </w:rPr>
        <w:t xml:space="preserve">108 Pillsbury Hall, 310 Pillsbury Dr. SE, </w:t>
      </w:r>
      <w:r w:rsidRPr="000D1826">
        <w:rPr>
          <w:sz w:val="18"/>
        </w:rPr>
        <w:t>Minneapolis, MN</w:t>
      </w:r>
      <w:r w:rsidR="00B815DF">
        <w:rPr>
          <w:sz w:val="18"/>
        </w:rPr>
        <w:t>,</w:t>
      </w:r>
      <w:r w:rsidRPr="000D1826">
        <w:rPr>
          <w:sz w:val="18"/>
        </w:rPr>
        <w:t xml:space="preserve"> 55455, USA</w:t>
      </w:r>
    </w:p>
    <w:p w:rsidR="009440D6" w:rsidRDefault="009440D6">
      <w:pPr>
        <w:rPr>
          <w:sz w:val="24"/>
          <w:szCs w:val="24"/>
        </w:rPr>
      </w:pPr>
      <w:r>
        <w:rPr>
          <w:b/>
          <w:sz w:val="24"/>
          <w:szCs w:val="24"/>
        </w:rPr>
        <w:t>Highlights</w:t>
      </w:r>
    </w:p>
    <w:p w:rsidR="00E050CB" w:rsidRDefault="00E050CB" w:rsidP="00E050CB">
      <w:pPr>
        <w:pStyle w:val="ListParagraph"/>
        <w:numPr>
          <w:ilvl w:val="0"/>
          <w:numId w:val="3"/>
        </w:numPr>
        <w:spacing w:after="0"/>
        <w:ind w:left="360"/>
        <w:rPr>
          <w:sz w:val="24"/>
          <w:szCs w:val="24"/>
        </w:rPr>
      </w:pPr>
      <w:r w:rsidRPr="00E050CB">
        <w:rPr>
          <w:sz w:val="24"/>
          <w:szCs w:val="24"/>
        </w:rPr>
        <w:t xml:space="preserve">Gravestone decay provides a quantitative </w:t>
      </w:r>
      <w:r>
        <w:rPr>
          <w:sz w:val="24"/>
          <w:szCs w:val="24"/>
        </w:rPr>
        <w:t>measure of acid flux</w:t>
      </w:r>
    </w:p>
    <w:p w:rsidR="00E050CB" w:rsidRDefault="00E050CB" w:rsidP="00E050CB">
      <w:pPr>
        <w:pStyle w:val="ListParagraph"/>
        <w:numPr>
          <w:ilvl w:val="0"/>
          <w:numId w:val="3"/>
        </w:numPr>
        <w:spacing w:after="0"/>
        <w:ind w:left="360"/>
        <w:rPr>
          <w:sz w:val="24"/>
          <w:szCs w:val="24"/>
        </w:rPr>
      </w:pPr>
      <w:r>
        <w:rPr>
          <w:sz w:val="24"/>
          <w:szCs w:val="24"/>
        </w:rPr>
        <w:t>Land use strongly correlated with spatial variability in gravestone decay</w:t>
      </w:r>
    </w:p>
    <w:p w:rsidR="00E050CB" w:rsidRDefault="00E050CB" w:rsidP="00E050CB">
      <w:pPr>
        <w:pStyle w:val="ListParagraph"/>
        <w:numPr>
          <w:ilvl w:val="0"/>
          <w:numId w:val="3"/>
        </w:numPr>
        <w:spacing w:after="0"/>
        <w:ind w:left="360"/>
        <w:rPr>
          <w:sz w:val="24"/>
          <w:szCs w:val="24"/>
        </w:rPr>
      </w:pPr>
      <w:r>
        <w:rPr>
          <w:sz w:val="24"/>
          <w:szCs w:val="24"/>
        </w:rPr>
        <w:t xml:space="preserve">Pronounced increase in deposition efficiency of </w:t>
      </w:r>
      <w:r w:rsidR="001B70BB">
        <w:rPr>
          <w:sz w:val="24"/>
          <w:szCs w:val="24"/>
        </w:rPr>
        <w:t>sulfur dioxide (</w:t>
      </w:r>
      <w:r w:rsidR="001B70BB" w:rsidRPr="001B70BB">
        <w:rPr>
          <w:sz w:val="24"/>
          <w:szCs w:val="24"/>
        </w:rPr>
        <w:t>SO</w:t>
      </w:r>
      <w:r w:rsidR="001B70BB" w:rsidRPr="001B70BB">
        <w:rPr>
          <w:sz w:val="24"/>
          <w:szCs w:val="24"/>
          <w:vertAlign w:val="subscript"/>
        </w:rPr>
        <w:t>2</w:t>
      </w:r>
      <w:r w:rsidR="001B70BB">
        <w:rPr>
          <w:sz w:val="24"/>
          <w:szCs w:val="24"/>
        </w:rPr>
        <w:t xml:space="preserve">) </w:t>
      </w:r>
      <w:r>
        <w:rPr>
          <w:sz w:val="24"/>
          <w:szCs w:val="24"/>
        </w:rPr>
        <w:t>after about 1980</w:t>
      </w:r>
    </w:p>
    <w:p w:rsidR="009440D6" w:rsidRDefault="009440D6">
      <w:pPr>
        <w:rPr>
          <w:b/>
          <w:sz w:val="24"/>
          <w:szCs w:val="24"/>
        </w:rPr>
      </w:pPr>
      <w:r>
        <w:rPr>
          <w:b/>
          <w:sz w:val="24"/>
          <w:szCs w:val="24"/>
        </w:rPr>
        <w:t>Abstract</w:t>
      </w:r>
    </w:p>
    <w:p w:rsidR="00AB51CD" w:rsidRDefault="00196ACE">
      <w:pPr>
        <w:rPr>
          <w:sz w:val="24"/>
          <w:szCs w:val="24"/>
        </w:rPr>
      </w:pPr>
      <w:r>
        <w:rPr>
          <w:sz w:val="24"/>
          <w:szCs w:val="24"/>
        </w:rPr>
        <w:t xml:space="preserve">Evaluation of </w:t>
      </w:r>
      <w:r w:rsidR="00AB51CD">
        <w:rPr>
          <w:sz w:val="24"/>
          <w:szCs w:val="24"/>
        </w:rPr>
        <w:t xml:space="preserve">spatial and temporal variability in surface recession of lead-lettered Carrara marble gravestones provides a quantitative measure of acid flux to the </w:t>
      </w:r>
      <w:r w:rsidR="008F604C">
        <w:rPr>
          <w:sz w:val="24"/>
          <w:szCs w:val="24"/>
        </w:rPr>
        <w:t xml:space="preserve">stone </w:t>
      </w:r>
      <w:r w:rsidR="00AB51CD">
        <w:rPr>
          <w:sz w:val="24"/>
          <w:szCs w:val="24"/>
        </w:rPr>
        <w:t>surface</w:t>
      </w:r>
      <w:r w:rsidR="008F604C">
        <w:rPr>
          <w:sz w:val="24"/>
          <w:szCs w:val="24"/>
        </w:rPr>
        <w:t>s</w:t>
      </w:r>
      <w:r w:rsidR="00AB51CD">
        <w:rPr>
          <w:sz w:val="24"/>
          <w:szCs w:val="24"/>
        </w:rPr>
        <w:t xml:space="preserve"> and is </w:t>
      </w:r>
      <w:r w:rsidR="00765476">
        <w:rPr>
          <w:sz w:val="24"/>
          <w:szCs w:val="24"/>
        </w:rPr>
        <w:t xml:space="preserve">closely </w:t>
      </w:r>
      <w:r w:rsidR="00AB51CD">
        <w:rPr>
          <w:sz w:val="24"/>
          <w:szCs w:val="24"/>
        </w:rPr>
        <w:t xml:space="preserve">related to </w:t>
      </w:r>
      <w:r w:rsidR="00765476">
        <w:rPr>
          <w:sz w:val="24"/>
          <w:szCs w:val="24"/>
        </w:rPr>
        <w:t xml:space="preserve">local land use and </w:t>
      </w:r>
      <w:r w:rsidR="00AB51CD">
        <w:rPr>
          <w:sz w:val="24"/>
          <w:szCs w:val="24"/>
        </w:rPr>
        <w:t xml:space="preserve">air quality. </w:t>
      </w:r>
      <w:r w:rsidR="00765476">
        <w:rPr>
          <w:sz w:val="24"/>
          <w:szCs w:val="24"/>
        </w:rPr>
        <w:t>C</w:t>
      </w:r>
      <w:r w:rsidR="00CE28C6">
        <w:rPr>
          <w:sz w:val="24"/>
          <w:szCs w:val="24"/>
        </w:rPr>
        <w:t xml:space="preserve">orrelation </w:t>
      </w:r>
      <w:r w:rsidR="00765476">
        <w:rPr>
          <w:sz w:val="24"/>
          <w:szCs w:val="24"/>
        </w:rPr>
        <w:t xml:space="preserve">of </w:t>
      </w:r>
      <w:r w:rsidR="00CE28C6">
        <w:rPr>
          <w:sz w:val="24"/>
          <w:szCs w:val="24"/>
        </w:rPr>
        <w:t>stone decay</w:t>
      </w:r>
      <w:r w:rsidR="00765476">
        <w:rPr>
          <w:sz w:val="24"/>
          <w:szCs w:val="24"/>
        </w:rPr>
        <w:t>, land use,</w:t>
      </w:r>
      <w:r w:rsidR="00CE28C6">
        <w:rPr>
          <w:sz w:val="24"/>
          <w:szCs w:val="24"/>
        </w:rPr>
        <w:t xml:space="preserve"> and air quality </w:t>
      </w:r>
      <w:r w:rsidR="008F604C">
        <w:rPr>
          <w:sz w:val="24"/>
          <w:szCs w:val="24"/>
        </w:rPr>
        <w:t>for the period after 1960 when reliable estimates of atmospheric pollution are available</w:t>
      </w:r>
      <w:r w:rsidR="00765476">
        <w:rPr>
          <w:sz w:val="24"/>
          <w:szCs w:val="24"/>
        </w:rPr>
        <w:t xml:space="preserve"> is evaluated</w:t>
      </w:r>
      <w:r w:rsidR="008F604C">
        <w:rPr>
          <w:sz w:val="24"/>
          <w:szCs w:val="24"/>
        </w:rPr>
        <w:t xml:space="preserve">. </w:t>
      </w:r>
      <w:r w:rsidR="00AB51CD">
        <w:rPr>
          <w:sz w:val="24"/>
          <w:szCs w:val="24"/>
        </w:rPr>
        <w:t xml:space="preserve">Gravestone decay and </w:t>
      </w:r>
      <w:r w:rsidR="00AB51CD" w:rsidRPr="00AB51CD">
        <w:rPr>
          <w:sz w:val="24"/>
          <w:szCs w:val="24"/>
        </w:rPr>
        <w:t>SO</w:t>
      </w:r>
      <w:r w:rsidR="00AB51CD" w:rsidRPr="00AB51CD">
        <w:rPr>
          <w:sz w:val="24"/>
          <w:szCs w:val="24"/>
          <w:vertAlign w:val="subscript"/>
        </w:rPr>
        <w:t>2</w:t>
      </w:r>
      <w:r w:rsidR="00AB51CD" w:rsidRPr="00AB51CD">
        <w:rPr>
          <w:sz w:val="24"/>
          <w:szCs w:val="24"/>
        </w:rPr>
        <w:t xml:space="preserve"> </w:t>
      </w:r>
      <w:r w:rsidR="00AB51CD">
        <w:rPr>
          <w:sz w:val="24"/>
          <w:szCs w:val="24"/>
        </w:rPr>
        <w:t xml:space="preserve">measurements are </w:t>
      </w:r>
      <w:r w:rsidR="00AB51CD" w:rsidRPr="00CA77DA">
        <w:rPr>
          <w:sz w:val="24"/>
          <w:szCs w:val="24"/>
        </w:rPr>
        <w:t>interpolated spatially using deterministic and geostatistical techniques</w:t>
      </w:r>
      <w:r w:rsidR="00AB51CD">
        <w:rPr>
          <w:sz w:val="24"/>
          <w:szCs w:val="24"/>
        </w:rPr>
        <w:t xml:space="preserve">.  </w:t>
      </w:r>
      <w:r w:rsidR="008F604C" w:rsidRPr="00CA77DA">
        <w:rPr>
          <w:sz w:val="24"/>
          <w:szCs w:val="24"/>
        </w:rPr>
        <w:t>A general lack of spatial correlation was identified</w:t>
      </w:r>
      <w:r w:rsidR="008F604C">
        <w:rPr>
          <w:sz w:val="24"/>
          <w:szCs w:val="24"/>
        </w:rPr>
        <w:t xml:space="preserve"> and therefore a land-use-</w:t>
      </w:r>
      <w:r w:rsidR="008F604C" w:rsidRPr="00CA77DA">
        <w:rPr>
          <w:sz w:val="24"/>
          <w:szCs w:val="24"/>
        </w:rPr>
        <w:t>based technique</w:t>
      </w:r>
      <w:r w:rsidR="00B3228D">
        <w:rPr>
          <w:sz w:val="24"/>
          <w:szCs w:val="24"/>
        </w:rPr>
        <w:t xml:space="preserve"> for correlation of stone decay and air quality</w:t>
      </w:r>
      <w:r w:rsidR="008F604C" w:rsidRPr="00CA77DA">
        <w:rPr>
          <w:sz w:val="24"/>
          <w:szCs w:val="24"/>
        </w:rPr>
        <w:t xml:space="preserve"> is employed.  Decadally averaged stone decay is highly correlated with land use averaged spatially over an optimum radius of </w:t>
      </w:r>
      <w:r w:rsidR="008F604C" w:rsidRPr="00CA77DA">
        <w:rPr>
          <w:sz w:val="24"/>
          <w:szCs w:val="24"/>
        </w:rPr>
        <w:sym w:font="Symbol" w:char="F0BB"/>
      </w:r>
      <w:r w:rsidR="008F604C" w:rsidRPr="00CA77DA">
        <w:rPr>
          <w:sz w:val="24"/>
          <w:szCs w:val="24"/>
        </w:rPr>
        <w:t>7 km</w:t>
      </w:r>
      <w:r w:rsidR="00B3228D">
        <w:rPr>
          <w:sz w:val="24"/>
          <w:szCs w:val="24"/>
        </w:rPr>
        <w:t xml:space="preserve"> even though </w:t>
      </w:r>
      <w:r w:rsidR="008F604C">
        <w:rPr>
          <w:sz w:val="24"/>
          <w:szCs w:val="24"/>
        </w:rPr>
        <w:t>a</w:t>
      </w:r>
      <w:r w:rsidR="008F604C" w:rsidRPr="00CA77DA">
        <w:rPr>
          <w:sz w:val="24"/>
          <w:szCs w:val="24"/>
        </w:rPr>
        <w:t>ir quality</w:t>
      </w:r>
      <w:r w:rsidR="008F604C">
        <w:rPr>
          <w:sz w:val="24"/>
          <w:szCs w:val="24"/>
        </w:rPr>
        <w:t>,</w:t>
      </w:r>
      <w:r w:rsidR="008F604C" w:rsidRPr="00CA77DA">
        <w:rPr>
          <w:sz w:val="24"/>
          <w:szCs w:val="24"/>
        </w:rPr>
        <w:t xml:space="preserve"> determined by records from the UK monitoring network</w:t>
      </w:r>
      <w:r w:rsidR="008F604C">
        <w:rPr>
          <w:sz w:val="24"/>
          <w:szCs w:val="24"/>
        </w:rPr>
        <w:t>,</w:t>
      </w:r>
      <w:r w:rsidR="008F604C" w:rsidRPr="00CA77DA">
        <w:rPr>
          <w:sz w:val="24"/>
          <w:szCs w:val="24"/>
        </w:rPr>
        <w:t xml:space="preserve"> </w:t>
      </w:r>
      <w:r w:rsidR="00B3228D">
        <w:rPr>
          <w:sz w:val="24"/>
          <w:szCs w:val="24"/>
        </w:rPr>
        <w:t>is not highly correlated</w:t>
      </w:r>
      <w:r w:rsidR="008F604C" w:rsidRPr="00CA77DA">
        <w:rPr>
          <w:sz w:val="24"/>
          <w:szCs w:val="24"/>
        </w:rPr>
        <w:t xml:space="preserve"> with gravestone decay</w:t>
      </w:r>
      <w:r w:rsidR="008F604C">
        <w:rPr>
          <w:sz w:val="24"/>
          <w:szCs w:val="24"/>
        </w:rPr>
        <w:t xml:space="preserve">. </w:t>
      </w:r>
      <w:r w:rsidR="00B3228D">
        <w:rPr>
          <w:sz w:val="24"/>
          <w:szCs w:val="24"/>
        </w:rPr>
        <w:t>The relationships among stone decay,</w:t>
      </w:r>
      <w:r w:rsidR="008F604C">
        <w:rPr>
          <w:sz w:val="24"/>
          <w:szCs w:val="24"/>
        </w:rPr>
        <w:t xml:space="preserve"> air-quality</w:t>
      </w:r>
      <w:r w:rsidR="00B3228D">
        <w:rPr>
          <w:sz w:val="24"/>
          <w:szCs w:val="24"/>
        </w:rPr>
        <w:t>, and land use is complicated</w:t>
      </w:r>
      <w:r w:rsidR="008F604C">
        <w:rPr>
          <w:sz w:val="24"/>
          <w:szCs w:val="24"/>
        </w:rPr>
        <w:t xml:space="preserve"> </w:t>
      </w:r>
      <w:r w:rsidR="008F604C" w:rsidRPr="00CA77DA">
        <w:rPr>
          <w:sz w:val="24"/>
          <w:szCs w:val="24"/>
        </w:rPr>
        <w:t>by the relative</w:t>
      </w:r>
      <w:r w:rsidR="00B3228D">
        <w:rPr>
          <w:sz w:val="24"/>
          <w:szCs w:val="24"/>
        </w:rPr>
        <w:t>ly low spatial density</w:t>
      </w:r>
      <w:r w:rsidR="008F604C" w:rsidRPr="00CA77DA">
        <w:rPr>
          <w:sz w:val="24"/>
          <w:szCs w:val="24"/>
        </w:rPr>
        <w:t xml:space="preserve"> of both gravestone decay and air quality data</w:t>
      </w:r>
      <w:r w:rsidR="008F604C">
        <w:rPr>
          <w:sz w:val="24"/>
          <w:szCs w:val="24"/>
        </w:rPr>
        <w:t xml:space="preserve"> and the fact that air quality data is available only as annual averages</w:t>
      </w:r>
      <w:r w:rsidR="00B3228D">
        <w:rPr>
          <w:sz w:val="24"/>
          <w:szCs w:val="24"/>
        </w:rPr>
        <w:t xml:space="preserve"> and </w:t>
      </w:r>
      <w:r w:rsidR="00765476">
        <w:rPr>
          <w:sz w:val="24"/>
          <w:szCs w:val="24"/>
        </w:rPr>
        <w:t>therefore</w:t>
      </w:r>
      <w:r w:rsidR="008F604C">
        <w:rPr>
          <w:sz w:val="24"/>
          <w:szCs w:val="24"/>
        </w:rPr>
        <w:t xml:space="preserve"> seasonal dependence cannot be evaluated</w:t>
      </w:r>
      <w:r w:rsidR="008F604C" w:rsidRPr="00CA77DA">
        <w:rPr>
          <w:sz w:val="24"/>
          <w:szCs w:val="24"/>
        </w:rPr>
        <w:t xml:space="preserve">. However, </w:t>
      </w:r>
      <w:r w:rsidR="00B3228D">
        <w:rPr>
          <w:sz w:val="24"/>
          <w:szCs w:val="24"/>
        </w:rPr>
        <w:t>acid deposition calculated from</w:t>
      </w:r>
      <w:r w:rsidR="008F604C" w:rsidRPr="00CA77DA">
        <w:rPr>
          <w:sz w:val="24"/>
          <w:szCs w:val="24"/>
        </w:rPr>
        <w:t xml:space="preserve"> gravestone decay suggests that the deposition efficiency of SO</w:t>
      </w:r>
      <w:r w:rsidR="008F604C" w:rsidRPr="00CA77DA">
        <w:rPr>
          <w:sz w:val="24"/>
          <w:szCs w:val="24"/>
          <w:vertAlign w:val="subscript"/>
        </w:rPr>
        <w:t>2</w:t>
      </w:r>
      <w:r w:rsidR="008F604C" w:rsidRPr="00CA77DA">
        <w:rPr>
          <w:sz w:val="24"/>
          <w:szCs w:val="24"/>
        </w:rPr>
        <w:t xml:space="preserve"> has increased appreciably since 1980 indicating an increase in the SO</w:t>
      </w:r>
      <w:r w:rsidR="008F604C" w:rsidRPr="00CA77DA">
        <w:rPr>
          <w:sz w:val="24"/>
          <w:szCs w:val="24"/>
          <w:vertAlign w:val="subscript"/>
        </w:rPr>
        <w:t>2</w:t>
      </w:r>
      <w:r w:rsidR="008F604C" w:rsidRPr="00CA77DA">
        <w:rPr>
          <w:sz w:val="24"/>
          <w:szCs w:val="24"/>
        </w:rPr>
        <w:t xml:space="preserve"> oxidation process possibly related to reactions with ammonia.</w:t>
      </w:r>
    </w:p>
    <w:p w:rsidR="00B3228D" w:rsidRPr="00B3228D" w:rsidRDefault="009440D6" w:rsidP="00B3228D">
      <w:pPr>
        <w:autoSpaceDE w:val="0"/>
        <w:autoSpaceDN w:val="0"/>
        <w:adjustRightInd w:val="0"/>
        <w:spacing w:after="0" w:line="240" w:lineRule="auto"/>
        <w:rPr>
          <w:sz w:val="24"/>
          <w:szCs w:val="24"/>
        </w:rPr>
      </w:pPr>
      <w:r w:rsidRPr="00B3228D">
        <w:rPr>
          <w:b/>
          <w:sz w:val="24"/>
          <w:szCs w:val="24"/>
        </w:rPr>
        <w:t>Key Words</w:t>
      </w:r>
      <w:r w:rsidRPr="00E050CB">
        <w:rPr>
          <w:sz w:val="24"/>
          <w:szCs w:val="24"/>
        </w:rPr>
        <w:t xml:space="preserve">: </w:t>
      </w:r>
      <w:r w:rsidR="00B3228D" w:rsidRPr="00B3228D">
        <w:rPr>
          <w:sz w:val="24"/>
          <w:szCs w:val="24"/>
        </w:rPr>
        <w:t xml:space="preserve">Gravestone decay; acid deposition; air quality; </w:t>
      </w:r>
      <w:r w:rsidR="00B3228D">
        <w:rPr>
          <w:sz w:val="24"/>
          <w:szCs w:val="24"/>
        </w:rPr>
        <w:t xml:space="preserve">land use, </w:t>
      </w:r>
      <w:r w:rsidR="00B3228D" w:rsidRPr="00B3228D">
        <w:rPr>
          <w:sz w:val="24"/>
          <w:szCs w:val="24"/>
        </w:rPr>
        <w:t>West Midlands;</w:t>
      </w:r>
    </w:p>
    <w:p w:rsidR="00FE1713" w:rsidRPr="00B3228D" w:rsidRDefault="00B3228D" w:rsidP="00B3228D">
      <w:pPr>
        <w:rPr>
          <w:sz w:val="24"/>
          <w:szCs w:val="24"/>
        </w:rPr>
      </w:pPr>
      <w:r w:rsidRPr="00B3228D">
        <w:rPr>
          <w:sz w:val="24"/>
          <w:szCs w:val="24"/>
        </w:rPr>
        <w:t>United Kingdom</w:t>
      </w:r>
      <w:r w:rsidR="008F604C">
        <w:rPr>
          <w:sz w:val="24"/>
          <w:szCs w:val="24"/>
        </w:rPr>
        <w:t xml:space="preserve">, </w:t>
      </w:r>
      <w:r w:rsidR="000D1826" w:rsidRPr="000D1826">
        <w:rPr>
          <w:sz w:val="24"/>
          <w:szCs w:val="24"/>
        </w:rPr>
        <w:t>SO</w:t>
      </w:r>
      <w:r w:rsidR="000D1826" w:rsidRPr="000D1826">
        <w:rPr>
          <w:sz w:val="24"/>
          <w:szCs w:val="24"/>
          <w:vertAlign w:val="subscript"/>
        </w:rPr>
        <w:t>2</w:t>
      </w:r>
      <w:r w:rsidR="000D1826" w:rsidRPr="000D1826">
        <w:rPr>
          <w:sz w:val="24"/>
          <w:szCs w:val="24"/>
        </w:rPr>
        <w:t xml:space="preserve"> </w:t>
      </w:r>
      <w:r w:rsidR="000D1826">
        <w:rPr>
          <w:sz w:val="24"/>
          <w:szCs w:val="24"/>
        </w:rPr>
        <w:t>deposition velocity.</w:t>
      </w:r>
      <w:r w:rsidR="00FE1713" w:rsidRPr="00B3228D">
        <w:rPr>
          <w:sz w:val="24"/>
          <w:szCs w:val="24"/>
        </w:rPr>
        <w:br w:type="page"/>
      </w:r>
    </w:p>
    <w:p w:rsidR="00E670EE" w:rsidRPr="00FE79D1" w:rsidRDefault="00E670EE" w:rsidP="00E670EE">
      <w:pPr>
        <w:spacing w:line="360" w:lineRule="auto"/>
        <w:rPr>
          <w:b/>
          <w:sz w:val="24"/>
          <w:szCs w:val="24"/>
        </w:rPr>
      </w:pPr>
      <w:r w:rsidRPr="00FE79D1">
        <w:rPr>
          <w:b/>
          <w:sz w:val="24"/>
          <w:szCs w:val="24"/>
        </w:rPr>
        <w:lastRenderedPageBreak/>
        <w:t>1. Introduction</w:t>
      </w:r>
    </w:p>
    <w:p w:rsidR="00E670EE" w:rsidRDefault="00E670EE" w:rsidP="00961DE7">
      <w:pPr>
        <w:spacing w:line="360" w:lineRule="auto"/>
        <w:ind w:firstLine="360"/>
        <w:rPr>
          <w:sz w:val="24"/>
          <w:szCs w:val="24"/>
        </w:rPr>
      </w:pPr>
      <w:r>
        <w:rPr>
          <w:sz w:val="24"/>
          <w:szCs w:val="24"/>
        </w:rPr>
        <w:t xml:space="preserve">From the onset of the </w:t>
      </w:r>
      <w:r w:rsidRPr="00FE79D1">
        <w:rPr>
          <w:sz w:val="24"/>
          <w:szCs w:val="24"/>
        </w:rPr>
        <w:t xml:space="preserve">Industrial Revolution </w:t>
      </w:r>
      <w:r>
        <w:rPr>
          <w:sz w:val="24"/>
          <w:szCs w:val="24"/>
        </w:rPr>
        <w:t xml:space="preserve">until the environmental revolution of the 1970s </w:t>
      </w:r>
      <w:r w:rsidRPr="00FE79D1">
        <w:rPr>
          <w:sz w:val="24"/>
          <w:szCs w:val="24"/>
        </w:rPr>
        <w:t>Britain was plagued by air pollution from industrial, urban, and residential sources</w:t>
      </w:r>
      <w:r w:rsidR="0023006E">
        <w:rPr>
          <w:sz w:val="24"/>
          <w:szCs w:val="24"/>
        </w:rPr>
        <w:t xml:space="preserve"> (</w:t>
      </w:r>
      <w:r w:rsidR="0023006E" w:rsidRPr="00430BBA">
        <w:rPr>
          <w:sz w:val="24"/>
          <w:szCs w:val="24"/>
        </w:rPr>
        <w:t>Sale</w:t>
      </w:r>
      <w:r w:rsidR="006A0899">
        <w:rPr>
          <w:sz w:val="24"/>
          <w:szCs w:val="24"/>
        </w:rPr>
        <w:t xml:space="preserve"> and Foner</w:t>
      </w:r>
      <w:r w:rsidR="0023006E" w:rsidRPr="00430BBA">
        <w:rPr>
          <w:sz w:val="24"/>
          <w:szCs w:val="24"/>
        </w:rPr>
        <w:t>, 1993; McCormick, 2013</w:t>
      </w:r>
      <w:r w:rsidR="0023006E">
        <w:rPr>
          <w:sz w:val="24"/>
          <w:szCs w:val="24"/>
        </w:rPr>
        <w:t>)</w:t>
      </w:r>
      <w:r w:rsidRPr="00FE79D1">
        <w:rPr>
          <w:sz w:val="24"/>
          <w:szCs w:val="24"/>
        </w:rPr>
        <w:t xml:space="preserve">.  The largest contributors to air pollution were particulate matter (smoke) and </w:t>
      </w:r>
      <w:r>
        <w:rPr>
          <w:sz w:val="24"/>
          <w:szCs w:val="24"/>
        </w:rPr>
        <w:t>acid in the</w:t>
      </w:r>
      <w:r w:rsidRPr="00FE79D1">
        <w:rPr>
          <w:sz w:val="24"/>
          <w:szCs w:val="24"/>
        </w:rPr>
        <w:t xml:space="preserve"> f</w:t>
      </w:r>
      <w:r>
        <w:rPr>
          <w:sz w:val="24"/>
          <w:szCs w:val="24"/>
        </w:rPr>
        <w:t>or</w:t>
      </w:r>
      <w:r w:rsidRPr="00FE79D1">
        <w:rPr>
          <w:sz w:val="24"/>
          <w:szCs w:val="24"/>
        </w:rPr>
        <w:t xml:space="preserve">m </w:t>
      </w:r>
      <w:r>
        <w:rPr>
          <w:sz w:val="24"/>
          <w:szCs w:val="24"/>
        </w:rPr>
        <w:t xml:space="preserve">of </w:t>
      </w:r>
      <w:r w:rsidR="008F604C">
        <w:rPr>
          <w:sz w:val="24"/>
          <w:szCs w:val="24"/>
        </w:rPr>
        <w:t>oxides of nitrogen (</w:t>
      </w:r>
      <w:r w:rsidRPr="00FE79D1">
        <w:rPr>
          <w:sz w:val="24"/>
          <w:szCs w:val="24"/>
        </w:rPr>
        <w:t>NO</w:t>
      </w:r>
      <w:r w:rsidRPr="00986B1E">
        <w:rPr>
          <w:sz w:val="24"/>
          <w:szCs w:val="24"/>
          <w:vertAlign w:val="subscript"/>
        </w:rPr>
        <w:t>x</w:t>
      </w:r>
      <w:r w:rsidR="008F604C">
        <w:rPr>
          <w:sz w:val="24"/>
          <w:szCs w:val="24"/>
        </w:rPr>
        <w:t>)</w:t>
      </w:r>
      <w:r w:rsidRPr="00FE79D1">
        <w:rPr>
          <w:sz w:val="24"/>
          <w:szCs w:val="24"/>
        </w:rPr>
        <w:t xml:space="preserve"> and </w:t>
      </w:r>
      <w:r w:rsidR="008F604C">
        <w:rPr>
          <w:sz w:val="24"/>
          <w:szCs w:val="24"/>
        </w:rPr>
        <w:t>sulfur (</w:t>
      </w:r>
      <w:r w:rsidRPr="00FE79D1">
        <w:rPr>
          <w:sz w:val="24"/>
          <w:szCs w:val="24"/>
        </w:rPr>
        <w:t>SO</w:t>
      </w:r>
      <w:r w:rsidRPr="00986B1E">
        <w:rPr>
          <w:sz w:val="24"/>
          <w:szCs w:val="24"/>
          <w:vertAlign w:val="subscript"/>
        </w:rPr>
        <w:t>x</w:t>
      </w:r>
      <w:r w:rsidR="008F604C">
        <w:rPr>
          <w:sz w:val="24"/>
          <w:szCs w:val="24"/>
        </w:rPr>
        <w:t xml:space="preserve">) </w:t>
      </w:r>
      <w:r w:rsidR="00B3228D" w:rsidRPr="00FE79D1">
        <w:rPr>
          <w:sz w:val="24"/>
          <w:szCs w:val="24"/>
        </w:rPr>
        <w:t>compounds</w:t>
      </w:r>
      <w:r w:rsidR="00B3228D">
        <w:rPr>
          <w:sz w:val="24"/>
          <w:szCs w:val="24"/>
        </w:rPr>
        <w:t>,</w:t>
      </w:r>
      <w:r w:rsidR="00B3228D" w:rsidRPr="00FE79D1">
        <w:rPr>
          <w:sz w:val="24"/>
          <w:szCs w:val="24"/>
        </w:rPr>
        <w:t xml:space="preserve"> </w:t>
      </w:r>
      <w:r w:rsidR="008F604C">
        <w:rPr>
          <w:sz w:val="24"/>
          <w:szCs w:val="24"/>
        </w:rPr>
        <w:t>particularly sulfur dioxide (</w:t>
      </w:r>
      <w:r w:rsidR="008F604C" w:rsidRPr="008F604C">
        <w:rPr>
          <w:sz w:val="24"/>
          <w:szCs w:val="24"/>
        </w:rPr>
        <w:t>SO</w:t>
      </w:r>
      <w:r w:rsidR="008F604C" w:rsidRPr="008F604C">
        <w:rPr>
          <w:sz w:val="24"/>
          <w:szCs w:val="24"/>
          <w:vertAlign w:val="subscript"/>
        </w:rPr>
        <w:t>2</w:t>
      </w:r>
      <w:r w:rsidR="008F604C">
        <w:rPr>
          <w:sz w:val="24"/>
          <w:szCs w:val="24"/>
        </w:rPr>
        <w:t>).</w:t>
      </w:r>
      <w:r w:rsidRPr="00FE79D1">
        <w:rPr>
          <w:sz w:val="24"/>
          <w:szCs w:val="24"/>
        </w:rPr>
        <w:t xml:space="preserve"> </w:t>
      </w:r>
      <w:r>
        <w:rPr>
          <w:color w:val="000000"/>
          <w:sz w:val="24"/>
          <w:szCs w:val="24"/>
        </w:rPr>
        <w:t>(Marsh, 1978</w:t>
      </w:r>
      <w:r w:rsidRPr="00FE79D1">
        <w:rPr>
          <w:color w:val="000000"/>
          <w:sz w:val="24"/>
          <w:szCs w:val="24"/>
        </w:rPr>
        <w:t>; Bricker and Rice, 1993)</w:t>
      </w:r>
      <w:r w:rsidRPr="00FE79D1">
        <w:rPr>
          <w:sz w:val="24"/>
          <w:szCs w:val="24"/>
        </w:rPr>
        <w:t xml:space="preserve">. </w:t>
      </w:r>
      <w:r w:rsidR="005D4615">
        <w:rPr>
          <w:sz w:val="24"/>
          <w:szCs w:val="24"/>
        </w:rPr>
        <w:t xml:space="preserve">As early as the 1840s there were efforts to measure air pollution in British cities (Moseley, 2009) and Smith (1876) determined that the burning of coal was the principle </w:t>
      </w:r>
      <w:r w:rsidR="0011303E">
        <w:rPr>
          <w:sz w:val="24"/>
          <w:szCs w:val="24"/>
        </w:rPr>
        <w:t xml:space="preserve">source of “acid rain.” </w:t>
      </w:r>
      <w:r w:rsidR="0011303E" w:rsidRPr="005D4615">
        <w:rPr>
          <w:sz w:val="24"/>
          <w:szCs w:val="24"/>
        </w:rPr>
        <w:t xml:space="preserve">It was not until about 1960 that </w:t>
      </w:r>
      <w:r w:rsidR="00E756AD">
        <w:rPr>
          <w:sz w:val="24"/>
          <w:szCs w:val="24"/>
        </w:rPr>
        <w:t xml:space="preserve">the </w:t>
      </w:r>
      <w:r w:rsidR="0011303E" w:rsidRPr="005D4615">
        <w:rPr>
          <w:sz w:val="24"/>
          <w:szCs w:val="24"/>
        </w:rPr>
        <w:t xml:space="preserve">network was greatly expanded with the establishment of the National Survey, which measured daily smoke and sulfur concentrations at over 500 locations (Moseley, 2009).  </w:t>
      </w:r>
      <w:r w:rsidR="0011303E" w:rsidRPr="00FE79D1">
        <w:rPr>
          <w:sz w:val="24"/>
          <w:szCs w:val="24"/>
        </w:rPr>
        <w:t xml:space="preserve">Prior to 1960, air quality measurements </w:t>
      </w:r>
      <w:r w:rsidR="005E144E">
        <w:rPr>
          <w:sz w:val="24"/>
          <w:szCs w:val="24"/>
        </w:rPr>
        <w:t>were limited in spatial and temporal coverage and often described</w:t>
      </w:r>
      <w:r w:rsidR="0011303E" w:rsidRPr="00FE79D1">
        <w:rPr>
          <w:sz w:val="24"/>
          <w:szCs w:val="24"/>
        </w:rPr>
        <w:t xml:space="preserve"> anecdotal</w:t>
      </w:r>
      <w:r w:rsidR="005E144E">
        <w:rPr>
          <w:sz w:val="24"/>
          <w:szCs w:val="24"/>
        </w:rPr>
        <w:t>ly</w:t>
      </w:r>
      <w:r w:rsidR="0011303E" w:rsidRPr="00FE79D1">
        <w:rPr>
          <w:sz w:val="24"/>
          <w:szCs w:val="24"/>
        </w:rPr>
        <w:t>, particularly during severe air quality events</w:t>
      </w:r>
      <w:r w:rsidR="0011303E">
        <w:rPr>
          <w:sz w:val="24"/>
          <w:szCs w:val="24"/>
        </w:rPr>
        <w:t xml:space="preserve">.  </w:t>
      </w:r>
      <w:r w:rsidR="005E144E">
        <w:rPr>
          <w:sz w:val="24"/>
          <w:szCs w:val="24"/>
        </w:rPr>
        <w:t>P</w:t>
      </w:r>
      <w:r w:rsidR="0011303E" w:rsidRPr="00FE79D1">
        <w:rPr>
          <w:sz w:val="24"/>
          <w:szCs w:val="24"/>
        </w:rPr>
        <w:t xml:space="preserve">roxy records </w:t>
      </w:r>
      <w:r w:rsidR="00555324">
        <w:rPr>
          <w:sz w:val="24"/>
          <w:szCs w:val="24"/>
        </w:rPr>
        <w:t>have been</w:t>
      </w:r>
      <w:r w:rsidR="005E144E">
        <w:rPr>
          <w:sz w:val="24"/>
          <w:szCs w:val="24"/>
        </w:rPr>
        <w:t xml:space="preserve"> </w:t>
      </w:r>
      <w:r w:rsidR="0011303E">
        <w:rPr>
          <w:sz w:val="24"/>
          <w:szCs w:val="24"/>
        </w:rPr>
        <w:t>used to reconstruct air quality</w:t>
      </w:r>
      <w:r w:rsidR="00555324">
        <w:rPr>
          <w:sz w:val="24"/>
          <w:szCs w:val="24"/>
        </w:rPr>
        <w:t>; these records include</w:t>
      </w:r>
      <w:r w:rsidR="0011303E" w:rsidRPr="00FE79D1">
        <w:rPr>
          <w:sz w:val="24"/>
          <w:szCs w:val="24"/>
        </w:rPr>
        <w:t xml:space="preserve"> physical descriptions (</w:t>
      </w:r>
      <w:r w:rsidR="0011303E">
        <w:rPr>
          <w:sz w:val="24"/>
          <w:szCs w:val="24"/>
        </w:rPr>
        <w:t>Allen 1966; Allen 1994; Auliciems and Burton, 1973; Fenger, 2009</w:t>
      </w:r>
      <w:r w:rsidR="0011303E" w:rsidRPr="00FE79D1">
        <w:rPr>
          <w:sz w:val="24"/>
          <w:szCs w:val="24"/>
        </w:rPr>
        <w:t xml:space="preserve">), </w:t>
      </w:r>
      <w:r w:rsidR="005E144E">
        <w:rPr>
          <w:sz w:val="24"/>
          <w:szCs w:val="24"/>
        </w:rPr>
        <w:t xml:space="preserve">particulates in </w:t>
      </w:r>
      <w:r w:rsidR="0011303E" w:rsidRPr="00FE79D1">
        <w:rPr>
          <w:sz w:val="24"/>
          <w:szCs w:val="24"/>
        </w:rPr>
        <w:t>lung tissue samples (</w:t>
      </w:r>
      <w:r w:rsidR="005E144E">
        <w:rPr>
          <w:sz w:val="24"/>
          <w:szCs w:val="24"/>
        </w:rPr>
        <w:t xml:space="preserve">Hunt at al. 2003) and </w:t>
      </w:r>
      <w:r w:rsidR="0011303E" w:rsidRPr="00FE79D1">
        <w:rPr>
          <w:sz w:val="24"/>
          <w:szCs w:val="24"/>
        </w:rPr>
        <w:t>sediment cores (</w:t>
      </w:r>
      <w:r w:rsidR="0011303E">
        <w:rPr>
          <w:sz w:val="24"/>
          <w:szCs w:val="24"/>
        </w:rPr>
        <w:t>Kelly and Thornton, 1996</w:t>
      </w:r>
      <w:r w:rsidR="0011303E" w:rsidRPr="00FE79D1">
        <w:rPr>
          <w:sz w:val="24"/>
          <w:szCs w:val="24"/>
        </w:rPr>
        <w:t xml:space="preserve">), and lake acidification </w:t>
      </w:r>
      <w:r w:rsidR="0011303E">
        <w:rPr>
          <w:sz w:val="24"/>
          <w:szCs w:val="24"/>
        </w:rPr>
        <w:t>studies</w:t>
      </w:r>
      <w:r w:rsidR="0011303E" w:rsidRPr="00FE79D1">
        <w:rPr>
          <w:sz w:val="24"/>
          <w:szCs w:val="24"/>
        </w:rPr>
        <w:t xml:space="preserve"> (Battarbee and Renberg, 1990; </w:t>
      </w:r>
      <w:r w:rsidR="0011303E" w:rsidRPr="00160451">
        <w:rPr>
          <w:sz w:val="24"/>
          <w:szCs w:val="24"/>
        </w:rPr>
        <w:t>Battarbee et al., 1990</w:t>
      </w:r>
      <w:r w:rsidR="0011303E" w:rsidRPr="00FE79D1">
        <w:rPr>
          <w:sz w:val="24"/>
          <w:szCs w:val="24"/>
        </w:rPr>
        <w:t xml:space="preserve">).   </w:t>
      </w:r>
      <w:r w:rsidR="00D95BCD" w:rsidRPr="005D4615">
        <w:rPr>
          <w:sz w:val="24"/>
          <w:szCs w:val="24"/>
        </w:rPr>
        <w:t>A</w:t>
      </w:r>
      <w:r w:rsidR="00D95BCD" w:rsidRPr="00FE79D1">
        <w:rPr>
          <w:sz w:val="24"/>
          <w:szCs w:val="24"/>
        </w:rPr>
        <w:t xml:space="preserve">ir quality measurements are of great interest in studies of </w:t>
      </w:r>
      <w:r w:rsidR="00D95BCD">
        <w:rPr>
          <w:sz w:val="24"/>
          <w:szCs w:val="24"/>
        </w:rPr>
        <w:t xml:space="preserve">ambient </w:t>
      </w:r>
      <w:r w:rsidR="00D95BCD" w:rsidRPr="00FE79D1">
        <w:rPr>
          <w:sz w:val="24"/>
          <w:szCs w:val="24"/>
        </w:rPr>
        <w:t xml:space="preserve">environmental </w:t>
      </w:r>
      <w:r w:rsidR="00D95BCD">
        <w:rPr>
          <w:sz w:val="24"/>
          <w:szCs w:val="24"/>
        </w:rPr>
        <w:t>conditions</w:t>
      </w:r>
      <w:r w:rsidR="00D95BCD" w:rsidRPr="00FE79D1">
        <w:rPr>
          <w:sz w:val="24"/>
          <w:szCs w:val="24"/>
        </w:rPr>
        <w:t xml:space="preserve"> (</w:t>
      </w:r>
      <w:r w:rsidR="00D95BCD">
        <w:rPr>
          <w:sz w:val="24"/>
          <w:szCs w:val="24"/>
        </w:rPr>
        <w:t>Urone and Schroeder, 1969; Eggleston et al., 1992; Leck and Rodhe, 198</w:t>
      </w:r>
      <w:r w:rsidR="00FC1211">
        <w:rPr>
          <w:sz w:val="24"/>
          <w:szCs w:val="24"/>
        </w:rPr>
        <w:t>9</w:t>
      </w:r>
      <w:r w:rsidR="00D95BCD">
        <w:rPr>
          <w:sz w:val="24"/>
          <w:szCs w:val="24"/>
        </w:rPr>
        <w:t>; Fenger, 2009</w:t>
      </w:r>
      <w:r w:rsidR="00D95BCD" w:rsidRPr="00FE79D1">
        <w:rPr>
          <w:sz w:val="24"/>
          <w:szCs w:val="24"/>
        </w:rPr>
        <w:t>)</w:t>
      </w:r>
      <w:r w:rsidR="00D95BCD">
        <w:rPr>
          <w:sz w:val="24"/>
          <w:szCs w:val="24"/>
        </w:rPr>
        <w:t>, efficacy of environmental regulation,</w:t>
      </w:r>
      <w:r w:rsidR="00D95BCD" w:rsidRPr="00FE79D1">
        <w:rPr>
          <w:sz w:val="24"/>
          <w:szCs w:val="24"/>
        </w:rPr>
        <w:t xml:space="preserve"> and </w:t>
      </w:r>
      <w:r w:rsidR="00D95BCD">
        <w:rPr>
          <w:sz w:val="24"/>
          <w:szCs w:val="24"/>
        </w:rPr>
        <w:t xml:space="preserve">health related studies of </w:t>
      </w:r>
      <w:r w:rsidR="00D95BCD" w:rsidRPr="00FE79D1">
        <w:rPr>
          <w:sz w:val="24"/>
          <w:szCs w:val="24"/>
        </w:rPr>
        <w:t>mortality and morbidity related to acute and chronic respiratory ailments (</w:t>
      </w:r>
      <w:r w:rsidR="00D95BCD">
        <w:rPr>
          <w:sz w:val="24"/>
          <w:szCs w:val="24"/>
        </w:rPr>
        <w:t>Macfarlane, 1977; Spix et al. 1993; Ito et al. 1993; Greenstone, 2004</w:t>
      </w:r>
      <w:r w:rsidR="00D95BCD" w:rsidRPr="00FE79D1">
        <w:rPr>
          <w:sz w:val="24"/>
          <w:szCs w:val="24"/>
        </w:rPr>
        <w:t xml:space="preserve">).  </w:t>
      </w:r>
    </w:p>
    <w:p w:rsidR="009E2079" w:rsidRDefault="00FE10C5" w:rsidP="005C185C">
      <w:pPr>
        <w:spacing w:line="360" w:lineRule="auto"/>
        <w:ind w:firstLine="360"/>
      </w:pPr>
      <w:r>
        <w:rPr>
          <w:sz w:val="24"/>
          <w:szCs w:val="24"/>
        </w:rPr>
        <w:t>A</w:t>
      </w:r>
      <w:r w:rsidRPr="00FE79D1">
        <w:rPr>
          <w:sz w:val="24"/>
          <w:szCs w:val="24"/>
        </w:rPr>
        <w:t xml:space="preserve"> proxy that has been used </w:t>
      </w:r>
      <w:r w:rsidRPr="00D65B36">
        <w:rPr>
          <w:sz w:val="24"/>
          <w:szCs w:val="24"/>
        </w:rPr>
        <w:t xml:space="preserve">successfully to evaluate historical trends in </w:t>
      </w:r>
      <w:r w:rsidR="00847DBA">
        <w:rPr>
          <w:sz w:val="24"/>
          <w:szCs w:val="24"/>
        </w:rPr>
        <w:t xml:space="preserve">acid deposition </w:t>
      </w:r>
      <w:r w:rsidRPr="00D65B36">
        <w:rPr>
          <w:sz w:val="24"/>
          <w:szCs w:val="24"/>
        </w:rPr>
        <w:t xml:space="preserve">is </w:t>
      </w:r>
      <w:r>
        <w:rPr>
          <w:sz w:val="24"/>
          <w:szCs w:val="24"/>
        </w:rPr>
        <w:t>surface recession of Carrara marble gravestones</w:t>
      </w:r>
      <w:r w:rsidRPr="00D65B36">
        <w:rPr>
          <w:sz w:val="24"/>
          <w:szCs w:val="24"/>
        </w:rPr>
        <w:t xml:space="preserve"> (Cooke 1989; Cooke et al., 1995; </w:t>
      </w:r>
      <w:r w:rsidRPr="00FE79D1">
        <w:rPr>
          <w:sz w:val="24"/>
          <w:szCs w:val="24"/>
        </w:rPr>
        <w:t>Dragovich, 1991; Inkpen, 1998</w:t>
      </w:r>
      <w:r>
        <w:rPr>
          <w:sz w:val="24"/>
          <w:szCs w:val="24"/>
        </w:rPr>
        <w:t>, 2013</w:t>
      </w:r>
      <w:r w:rsidRPr="00FE79D1">
        <w:rPr>
          <w:sz w:val="24"/>
          <w:szCs w:val="24"/>
        </w:rPr>
        <w:t xml:space="preserve">; Inpken and Jackson, 2000; </w:t>
      </w:r>
      <w:r>
        <w:rPr>
          <w:sz w:val="24"/>
          <w:szCs w:val="24"/>
        </w:rPr>
        <w:t xml:space="preserve">Inkpen et al., 2000, 2001, 2008, in press; </w:t>
      </w:r>
      <w:r w:rsidRPr="00FE79D1">
        <w:rPr>
          <w:sz w:val="24"/>
          <w:szCs w:val="24"/>
        </w:rPr>
        <w:t xml:space="preserve">Meierding, 1981; Mooers et al., </w:t>
      </w:r>
      <w:r>
        <w:rPr>
          <w:sz w:val="24"/>
          <w:szCs w:val="24"/>
        </w:rPr>
        <w:t>2016; Mooers and Massman, in press</w:t>
      </w:r>
      <w:r w:rsidR="009E2079">
        <w:rPr>
          <w:sz w:val="24"/>
          <w:szCs w:val="24"/>
        </w:rPr>
        <w:t>;</w:t>
      </w:r>
      <w:r>
        <w:rPr>
          <w:sz w:val="24"/>
          <w:szCs w:val="24"/>
        </w:rPr>
        <w:t xml:space="preserve"> Thornbush and Thornbush, 2013; Viles, 1996</w:t>
      </w:r>
      <w:r w:rsidRPr="00FE79D1">
        <w:rPr>
          <w:sz w:val="24"/>
          <w:szCs w:val="24"/>
        </w:rPr>
        <w:t>)</w:t>
      </w:r>
      <w:r>
        <w:rPr>
          <w:sz w:val="24"/>
          <w:szCs w:val="24"/>
        </w:rPr>
        <w:t>, hereafter referred to as gravestone decay to be consistent with the body of recent literature</w:t>
      </w:r>
      <w:r w:rsidRPr="00FE79D1">
        <w:rPr>
          <w:sz w:val="24"/>
          <w:szCs w:val="24"/>
        </w:rPr>
        <w:t>.  Mooers et al. (</w:t>
      </w:r>
      <w:r>
        <w:rPr>
          <w:sz w:val="24"/>
          <w:szCs w:val="24"/>
        </w:rPr>
        <w:t>2016</w:t>
      </w:r>
      <w:r w:rsidRPr="00FE79D1">
        <w:rPr>
          <w:sz w:val="24"/>
          <w:szCs w:val="24"/>
        </w:rPr>
        <w:t xml:space="preserve">) report on a 120-year record of </w:t>
      </w:r>
      <w:r w:rsidRPr="00961DE7">
        <w:rPr>
          <w:sz w:val="24"/>
          <w:szCs w:val="24"/>
        </w:rPr>
        <w:t xml:space="preserve">acid deposition in the West Midlands, UK, reconstructed from lead-lettered marble gravestone </w:t>
      </w:r>
      <w:r>
        <w:rPr>
          <w:sz w:val="24"/>
          <w:szCs w:val="24"/>
        </w:rPr>
        <w:t>decay</w:t>
      </w:r>
      <w:r w:rsidRPr="00961DE7">
        <w:rPr>
          <w:sz w:val="24"/>
          <w:szCs w:val="24"/>
        </w:rPr>
        <w:t xml:space="preserve">.  Their record is compiled from measurements on </w:t>
      </w:r>
      <w:r>
        <w:rPr>
          <w:sz w:val="24"/>
          <w:szCs w:val="24"/>
        </w:rPr>
        <w:t>nearly 600</w:t>
      </w:r>
      <w:r w:rsidRPr="00961DE7">
        <w:rPr>
          <w:sz w:val="24"/>
          <w:szCs w:val="24"/>
        </w:rPr>
        <w:t xml:space="preserve"> lead-lettered marble </w:t>
      </w:r>
      <w:r>
        <w:rPr>
          <w:sz w:val="24"/>
          <w:szCs w:val="24"/>
        </w:rPr>
        <w:lastRenderedPageBreak/>
        <w:t>grave</w:t>
      </w:r>
      <w:r w:rsidRPr="00961DE7">
        <w:rPr>
          <w:sz w:val="24"/>
          <w:szCs w:val="24"/>
        </w:rPr>
        <w:t>stones</w:t>
      </w:r>
      <w:r>
        <w:rPr>
          <w:sz w:val="24"/>
          <w:szCs w:val="24"/>
        </w:rPr>
        <w:t xml:space="preserve"> and they </w:t>
      </w:r>
      <w:r w:rsidR="007C23F8">
        <w:rPr>
          <w:sz w:val="24"/>
          <w:szCs w:val="24"/>
        </w:rPr>
        <w:t xml:space="preserve">demonstrate </w:t>
      </w:r>
      <w:r>
        <w:rPr>
          <w:sz w:val="24"/>
          <w:szCs w:val="24"/>
        </w:rPr>
        <w:t>that gravestone decay is a robust measure of acid deposition</w:t>
      </w:r>
      <w:r w:rsidR="009E2079">
        <w:rPr>
          <w:sz w:val="24"/>
          <w:szCs w:val="24"/>
        </w:rPr>
        <w:t>.  However,</w:t>
      </w:r>
      <w:r>
        <w:rPr>
          <w:sz w:val="24"/>
          <w:szCs w:val="24"/>
        </w:rPr>
        <w:t xml:space="preserve"> </w:t>
      </w:r>
      <w:r w:rsidRPr="00FE79D1">
        <w:rPr>
          <w:sz w:val="24"/>
          <w:szCs w:val="24"/>
        </w:rPr>
        <w:t xml:space="preserve">the correlation between acid deposition and </w:t>
      </w:r>
      <w:r w:rsidR="00FB6E0F">
        <w:rPr>
          <w:sz w:val="24"/>
          <w:szCs w:val="24"/>
        </w:rPr>
        <w:t xml:space="preserve">available </w:t>
      </w:r>
      <w:r w:rsidRPr="00FE79D1">
        <w:rPr>
          <w:sz w:val="24"/>
          <w:szCs w:val="24"/>
        </w:rPr>
        <w:t>air quality</w:t>
      </w:r>
      <w:r>
        <w:rPr>
          <w:sz w:val="24"/>
          <w:szCs w:val="24"/>
        </w:rPr>
        <w:t xml:space="preserve"> data is more tenuous</w:t>
      </w:r>
      <w:r w:rsidR="009E2079">
        <w:rPr>
          <w:sz w:val="24"/>
          <w:szCs w:val="24"/>
        </w:rPr>
        <w:t xml:space="preserve"> </w:t>
      </w:r>
      <w:r w:rsidR="00304667">
        <w:rPr>
          <w:sz w:val="24"/>
          <w:szCs w:val="24"/>
        </w:rPr>
        <w:t>(Inkpen, 2013; Inkpen et al., in press)</w:t>
      </w:r>
      <w:r w:rsidR="007C23F8">
        <w:rPr>
          <w:sz w:val="24"/>
          <w:szCs w:val="24"/>
        </w:rPr>
        <w:t xml:space="preserve"> and can be influenced by numerous factors (Wesley and Hicks, 1977; Schaefer et al., 1992)</w:t>
      </w:r>
      <w:r w:rsidR="009570A9">
        <w:rPr>
          <w:sz w:val="24"/>
          <w:szCs w:val="24"/>
        </w:rPr>
        <w:t>.</w:t>
      </w:r>
      <w:r w:rsidR="00304667">
        <w:rPr>
          <w:sz w:val="24"/>
          <w:szCs w:val="24"/>
        </w:rPr>
        <w:t xml:space="preserve"> </w:t>
      </w:r>
      <w:r w:rsidR="009570A9">
        <w:rPr>
          <w:sz w:val="24"/>
          <w:szCs w:val="24"/>
        </w:rPr>
        <w:t>T</w:t>
      </w:r>
      <w:r w:rsidR="009E2079">
        <w:rPr>
          <w:sz w:val="24"/>
          <w:szCs w:val="24"/>
        </w:rPr>
        <w:t>herefore t</w:t>
      </w:r>
      <w:r w:rsidR="009E2079">
        <w:t xml:space="preserve">he </w:t>
      </w:r>
      <w:r w:rsidR="00304667">
        <w:t>goal</w:t>
      </w:r>
      <w:r w:rsidR="009E2079">
        <w:t xml:space="preserve"> of this study is to explore the relationship between gravestone decay and air quality. </w:t>
      </w:r>
      <w:r w:rsidR="009E2079">
        <w:rPr>
          <w:sz w:val="24"/>
          <w:szCs w:val="24"/>
        </w:rPr>
        <w:t>Correlation between air quality (</w:t>
      </w:r>
      <w:r w:rsidR="009E2079" w:rsidRPr="00E3570F">
        <w:rPr>
          <w:sz w:val="24"/>
          <w:szCs w:val="24"/>
        </w:rPr>
        <w:t>SO</w:t>
      </w:r>
      <w:r w:rsidR="009E2079" w:rsidRPr="00E3570F">
        <w:rPr>
          <w:sz w:val="24"/>
          <w:szCs w:val="24"/>
          <w:vertAlign w:val="subscript"/>
        </w:rPr>
        <w:t>2</w:t>
      </w:r>
      <w:r w:rsidR="009E2079" w:rsidRPr="00E3570F">
        <w:rPr>
          <w:sz w:val="24"/>
          <w:szCs w:val="24"/>
        </w:rPr>
        <w:t xml:space="preserve"> </w:t>
      </w:r>
      <w:r w:rsidR="009E2079">
        <w:rPr>
          <w:sz w:val="24"/>
          <w:szCs w:val="24"/>
        </w:rPr>
        <w:t>and smoke) and gravestone decay would then allow quantitative estimation of air quality for earlier periods of time where lead-lettered marble gravestones are available but atmospheric concentrations of pollutants were not measured.</w:t>
      </w:r>
    </w:p>
    <w:p w:rsidR="00B815DF" w:rsidRDefault="009E2079" w:rsidP="005C185C">
      <w:pPr>
        <w:spacing w:line="360" w:lineRule="auto"/>
        <w:ind w:firstLine="360"/>
        <w:rPr>
          <w:sz w:val="24"/>
          <w:szCs w:val="24"/>
        </w:rPr>
      </w:pPr>
      <w:r>
        <w:rPr>
          <w:sz w:val="24"/>
          <w:szCs w:val="24"/>
        </w:rPr>
        <w:t>T</w:t>
      </w:r>
      <w:r w:rsidR="005C185C">
        <w:rPr>
          <w:sz w:val="24"/>
          <w:szCs w:val="24"/>
        </w:rPr>
        <w:t>he correlation between surface recession of</w:t>
      </w:r>
      <w:r w:rsidR="005C185C" w:rsidRPr="00CA77DA">
        <w:rPr>
          <w:sz w:val="24"/>
          <w:szCs w:val="24"/>
        </w:rPr>
        <w:t xml:space="preserve"> </w:t>
      </w:r>
      <w:r w:rsidR="00EB77AA">
        <w:rPr>
          <w:sz w:val="24"/>
          <w:szCs w:val="24"/>
        </w:rPr>
        <w:t xml:space="preserve">lead-lettered, </w:t>
      </w:r>
      <w:r w:rsidR="00B3228D">
        <w:rPr>
          <w:sz w:val="24"/>
          <w:szCs w:val="24"/>
        </w:rPr>
        <w:t xml:space="preserve">Carrara </w:t>
      </w:r>
      <w:r w:rsidR="005C185C" w:rsidRPr="00CA77DA">
        <w:rPr>
          <w:sz w:val="24"/>
          <w:szCs w:val="24"/>
        </w:rPr>
        <w:t xml:space="preserve">marble </w:t>
      </w:r>
      <w:r w:rsidR="009570A9" w:rsidRPr="00CA77DA">
        <w:rPr>
          <w:sz w:val="24"/>
          <w:szCs w:val="24"/>
        </w:rPr>
        <w:t>gravestones</w:t>
      </w:r>
      <w:r w:rsidR="00EB77AA">
        <w:rPr>
          <w:sz w:val="24"/>
          <w:szCs w:val="24"/>
        </w:rPr>
        <w:t xml:space="preserve"> </w:t>
      </w:r>
      <w:r w:rsidR="00EB77AA" w:rsidRPr="00CA77DA">
        <w:rPr>
          <w:sz w:val="24"/>
          <w:szCs w:val="24"/>
        </w:rPr>
        <w:t>and</w:t>
      </w:r>
      <w:r w:rsidR="005C185C">
        <w:rPr>
          <w:sz w:val="24"/>
          <w:szCs w:val="24"/>
        </w:rPr>
        <w:t xml:space="preserve"> annually averaged atmospheric </w:t>
      </w:r>
      <w:r w:rsidR="005C185C" w:rsidRPr="0035632C">
        <w:rPr>
          <w:sz w:val="24"/>
          <w:szCs w:val="24"/>
        </w:rPr>
        <w:t>SO</w:t>
      </w:r>
      <w:r w:rsidR="005C185C" w:rsidRPr="0035632C">
        <w:rPr>
          <w:sz w:val="24"/>
          <w:szCs w:val="24"/>
          <w:vertAlign w:val="subscript"/>
        </w:rPr>
        <w:t>2</w:t>
      </w:r>
      <w:r w:rsidR="005C185C" w:rsidRPr="0035632C">
        <w:rPr>
          <w:sz w:val="24"/>
          <w:szCs w:val="24"/>
        </w:rPr>
        <w:t xml:space="preserve"> </w:t>
      </w:r>
      <w:r w:rsidR="005C185C">
        <w:rPr>
          <w:sz w:val="24"/>
          <w:szCs w:val="24"/>
        </w:rPr>
        <w:t>and smoke measurements in the West Midlands, UK, for the period 1960-2010</w:t>
      </w:r>
      <w:r>
        <w:rPr>
          <w:sz w:val="24"/>
          <w:szCs w:val="24"/>
        </w:rPr>
        <w:t xml:space="preserve"> is evaluated</w:t>
      </w:r>
      <w:r w:rsidR="005C185C">
        <w:rPr>
          <w:sz w:val="24"/>
          <w:szCs w:val="24"/>
        </w:rPr>
        <w:t xml:space="preserve">. The study area includes </w:t>
      </w:r>
      <w:r w:rsidR="005C185C" w:rsidRPr="00FE79D1">
        <w:rPr>
          <w:sz w:val="24"/>
          <w:szCs w:val="24"/>
        </w:rPr>
        <w:t>West Midlands County</w:t>
      </w:r>
      <w:r w:rsidR="005C185C">
        <w:rPr>
          <w:sz w:val="24"/>
          <w:szCs w:val="24"/>
        </w:rPr>
        <w:t xml:space="preserve"> and</w:t>
      </w:r>
      <w:r w:rsidR="005C185C" w:rsidRPr="00FE79D1">
        <w:rPr>
          <w:sz w:val="24"/>
          <w:szCs w:val="24"/>
        </w:rPr>
        <w:t xml:space="preserve"> surrounding </w:t>
      </w:r>
      <w:r w:rsidR="005C185C">
        <w:rPr>
          <w:sz w:val="24"/>
          <w:szCs w:val="24"/>
        </w:rPr>
        <w:t>portions of Staffordshire, Worcestershire, and Warwickshire (Figure 1</w:t>
      </w:r>
      <w:r w:rsidR="005C185C" w:rsidRPr="00FE79D1">
        <w:rPr>
          <w:sz w:val="24"/>
          <w:szCs w:val="24"/>
        </w:rPr>
        <w:t xml:space="preserve">).  The industrial </w:t>
      </w:r>
      <w:r w:rsidR="005C185C">
        <w:rPr>
          <w:sz w:val="24"/>
          <w:szCs w:val="24"/>
        </w:rPr>
        <w:t>and residential development of</w:t>
      </w:r>
      <w:r w:rsidR="005C185C" w:rsidRPr="00FE79D1">
        <w:rPr>
          <w:sz w:val="24"/>
          <w:szCs w:val="24"/>
        </w:rPr>
        <w:t xml:space="preserve"> the area is well documented</w:t>
      </w:r>
      <w:r w:rsidR="005C185C">
        <w:rPr>
          <w:sz w:val="24"/>
          <w:szCs w:val="24"/>
        </w:rPr>
        <w:t>, t</w:t>
      </w:r>
      <w:r w:rsidR="005C185C" w:rsidRPr="00FE79D1">
        <w:rPr>
          <w:sz w:val="24"/>
          <w:szCs w:val="24"/>
        </w:rPr>
        <w:t xml:space="preserve">here </w:t>
      </w:r>
      <w:r w:rsidR="005C185C">
        <w:rPr>
          <w:sz w:val="24"/>
          <w:szCs w:val="24"/>
        </w:rPr>
        <w:t>is</w:t>
      </w:r>
      <w:r w:rsidR="005C185C" w:rsidRPr="00FE79D1">
        <w:rPr>
          <w:sz w:val="24"/>
          <w:szCs w:val="24"/>
        </w:rPr>
        <w:t xml:space="preserve"> a large number of cemeteries </w:t>
      </w:r>
      <w:r w:rsidR="005C185C">
        <w:rPr>
          <w:sz w:val="24"/>
          <w:szCs w:val="24"/>
        </w:rPr>
        <w:t xml:space="preserve">(Figure 1A) </w:t>
      </w:r>
      <w:r w:rsidR="005C185C" w:rsidRPr="00FE79D1">
        <w:rPr>
          <w:sz w:val="24"/>
          <w:szCs w:val="24"/>
        </w:rPr>
        <w:t xml:space="preserve">with lead-lettered </w:t>
      </w:r>
      <w:r w:rsidR="005C185C">
        <w:rPr>
          <w:sz w:val="24"/>
          <w:szCs w:val="24"/>
        </w:rPr>
        <w:t xml:space="preserve">marble </w:t>
      </w:r>
      <w:r w:rsidR="005C185C" w:rsidRPr="00FE79D1">
        <w:rPr>
          <w:sz w:val="24"/>
          <w:szCs w:val="24"/>
        </w:rPr>
        <w:t>gravestones</w:t>
      </w:r>
      <w:r w:rsidR="005C185C">
        <w:rPr>
          <w:sz w:val="24"/>
          <w:szCs w:val="24"/>
        </w:rPr>
        <w:t xml:space="preserve">, and a network of </w:t>
      </w:r>
      <w:r w:rsidR="005C185C" w:rsidRPr="00FE79D1">
        <w:rPr>
          <w:sz w:val="24"/>
          <w:szCs w:val="24"/>
        </w:rPr>
        <w:t xml:space="preserve">air quality monitoring stations </w:t>
      </w:r>
      <w:r w:rsidR="005C185C">
        <w:rPr>
          <w:sz w:val="24"/>
          <w:szCs w:val="24"/>
        </w:rPr>
        <w:t>was</w:t>
      </w:r>
      <w:r w:rsidR="005C185C" w:rsidRPr="00FE79D1">
        <w:rPr>
          <w:sz w:val="24"/>
          <w:szCs w:val="24"/>
        </w:rPr>
        <w:t xml:space="preserve"> </w:t>
      </w:r>
      <w:r w:rsidR="005C185C">
        <w:rPr>
          <w:sz w:val="24"/>
          <w:szCs w:val="24"/>
        </w:rPr>
        <w:t>in place</w:t>
      </w:r>
      <w:r w:rsidR="005C185C" w:rsidRPr="00FE79D1">
        <w:rPr>
          <w:sz w:val="24"/>
          <w:szCs w:val="24"/>
        </w:rPr>
        <w:t xml:space="preserve"> </w:t>
      </w:r>
      <w:r w:rsidR="005C185C">
        <w:rPr>
          <w:sz w:val="24"/>
          <w:szCs w:val="24"/>
        </w:rPr>
        <w:t>by 1960</w:t>
      </w:r>
      <w:r w:rsidR="005C185C" w:rsidRPr="007E1C27">
        <w:rPr>
          <w:sz w:val="24"/>
          <w:szCs w:val="24"/>
        </w:rPr>
        <w:t xml:space="preserve"> (Figure 1</w:t>
      </w:r>
      <w:r w:rsidR="005C185C">
        <w:rPr>
          <w:sz w:val="24"/>
          <w:szCs w:val="24"/>
        </w:rPr>
        <w:t xml:space="preserve">B) (Mosley, </w:t>
      </w:r>
      <w:r w:rsidR="005C185C" w:rsidRPr="007E1C27">
        <w:rPr>
          <w:sz w:val="24"/>
          <w:szCs w:val="24"/>
        </w:rPr>
        <w:t>2009</w:t>
      </w:r>
      <w:r w:rsidR="005C185C">
        <w:rPr>
          <w:sz w:val="24"/>
          <w:szCs w:val="24"/>
        </w:rPr>
        <w:t xml:space="preserve">, </w:t>
      </w:r>
      <w:r w:rsidR="005C185C" w:rsidRPr="007E1C27">
        <w:rPr>
          <w:sz w:val="24"/>
          <w:szCs w:val="24"/>
        </w:rPr>
        <w:t>2011).</w:t>
      </w:r>
      <w:r w:rsidR="005C185C">
        <w:rPr>
          <w:sz w:val="24"/>
          <w:szCs w:val="24"/>
        </w:rPr>
        <w:t xml:space="preserve"> </w:t>
      </w:r>
      <w:r w:rsidR="0008303A">
        <w:rPr>
          <w:sz w:val="24"/>
          <w:szCs w:val="24"/>
        </w:rPr>
        <w:t>Decadally averaged rates of g</w:t>
      </w:r>
      <w:r w:rsidR="005C185C">
        <w:rPr>
          <w:sz w:val="24"/>
          <w:szCs w:val="24"/>
        </w:rPr>
        <w:t>ravestone</w:t>
      </w:r>
      <w:r w:rsidR="005C185C" w:rsidRPr="00FE79D1">
        <w:rPr>
          <w:sz w:val="24"/>
          <w:szCs w:val="24"/>
        </w:rPr>
        <w:t xml:space="preserve"> </w:t>
      </w:r>
      <w:r w:rsidR="005C185C">
        <w:rPr>
          <w:sz w:val="24"/>
          <w:szCs w:val="24"/>
        </w:rPr>
        <w:t xml:space="preserve">decay </w:t>
      </w:r>
      <w:r w:rsidR="0008303A">
        <w:rPr>
          <w:sz w:val="24"/>
          <w:szCs w:val="24"/>
        </w:rPr>
        <w:t xml:space="preserve">and measured </w:t>
      </w:r>
      <w:r w:rsidR="0008303A" w:rsidRPr="0008303A">
        <w:rPr>
          <w:sz w:val="24"/>
          <w:szCs w:val="24"/>
        </w:rPr>
        <w:t>SO</w:t>
      </w:r>
      <w:r w:rsidR="0008303A" w:rsidRPr="0008303A">
        <w:rPr>
          <w:sz w:val="24"/>
          <w:szCs w:val="24"/>
          <w:vertAlign w:val="subscript"/>
        </w:rPr>
        <w:t>2</w:t>
      </w:r>
      <w:r w:rsidR="0008303A" w:rsidRPr="0008303A">
        <w:rPr>
          <w:sz w:val="24"/>
          <w:szCs w:val="24"/>
        </w:rPr>
        <w:t xml:space="preserve"> </w:t>
      </w:r>
      <w:r w:rsidR="0008303A">
        <w:rPr>
          <w:sz w:val="24"/>
          <w:szCs w:val="24"/>
        </w:rPr>
        <w:t>and smoke are interpolated spatially for the period after 1960 and correlation between them is evaluated. Interpolation techniques include deterministic and geostatistical methods</w:t>
      </w:r>
      <w:r w:rsidR="00FE10C5">
        <w:rPr>
          <w:sz w:val="24"/>
          <w:szCs w:val="24"/>
        </w:rPr>
        <w:t>;</w:t>
      </w:r>
      <w:r w:rsidR="00FE10C5" w:rsidRPr="00FE10C5">
        <w:rPr>
          <w:sz w:val="24"/>
          <w:szCs w:val="24"/>
        </w:rPr>
        <w:t xml:space="preserve"> </w:t>
      </w:r>
      <w:r w:rsidR="00FE10C5">
        <w:rPr>
          <w:sz w:val="24"/>
          <w:szCs w:val="24"/>
        </w:rPr>
        <w:t>however, because of a high degree of spatial non-stationarity and anisotropy in gravestone decay</w:t>
      </w:r>
      <w:r w:rsidR="00847DBA">
        <w:rPr>
          <w:sz w:val="24"/>
          <w:szCs w:val="24"/>
        </w:rPr>
        <w:t xml:space="preserve"> and limited spatial and temporal coverage of air quality measurements</w:t>
      </w:r>
      <w:r w:rsidR="00FE10C5">
        <w:rPr>
          <w:sz w:val="24"/>
          <w:szCs w:val="24"/>
        </w:rPr>
        <w:t xml:space="preserve">, there is great uncertainly in the interpolated values and correlation </w:t>
      </w:r>
      <w:r w:rsidR="00847DBA">
        <w:rPr>
          <w:sz w:val="24"/>
          <w:szCs w:val="24"/>
        </w:rPr>
        <w:t xml:space="preserve">between stone decay and </w:t>
      </w:r>
      <w:r w:rsidR="00FE10C5">
        <w:rPr>
          <w:sz w:val="24"/>
          <w:szCs w:val="24"/>
        </w:rPr>
        <w:t xml:space="preserve">air quality </w:t>
      </w:r>
      <w:r w:rsidR="00847DBA">
        <w:rPr>
          <w:sz w:val="24"/>
          <w:szCs w:val="24"/>
        </w:rPr>
        <w:t>is poor</w:t>
      </w:r>
      <w:r w:rsidR="00FE10C5">
        <w:rPr>
          <w:sz w:val="24"/>
          <w:szCs w:val="24"/>
        </w:rPr>
        <w:t>.</w:t>
      </w:r>
      <w:r w:rsidR="00304667">
        <w:rPr>
          <w:sz w:val="24"/>
          <w:szCs w:val="24"/>
        </w:rPr>
        <w:t xml:space="preserve"> </w:t>
      </w:r>
    </w:p>
    <w:p w:rsidR="005C185C" w:rsidRDefault="005C185C" w:rsidP="005C185C">
      <w:pPr>
        <w:spacing w:line="360" w:lineRule="auto"/>
        <w:ind w:firstLine="360"/>
        <w:rPr>
          <w:sz w:val="24"/>
          <w:szCs w:val="24"/>
        </w:rPr>
      </w:pPr>
      <w:r>
        <w:rPr>
          <w:sz w:val="24"/>
          <w:szCs w:val="24"/>
        </w:rPr>
        <w:t>Because a</w:t>
      </w:r>
      <w:r w:rsidRPr="00FE79D1">
        <w:rPr>
          <w:sz w:val="24"/>
          <w:szCs w:val="24"/>
        </w:rPr>
        <w:t>cid deposition is directly re</w:t>
      </w:r>
      <w:r>
        <w:rPr>
          <w:sz w:val="24"/>
          <w:szCs w:val="24"/>
        </w:rPr>
        <w:t>lated to proximity of sources of SO</w:t>
      </w:r>
      <w:r w:rsidRPr="00557AC8">
        <w:rPr>
          <w:sz w:val="24"/>
          <w:szCs w:val="24"/>
          <w:vertAlign w:val="subscript"/>
        </w:rPr>
        <w:t>2</w:t>
      </w:r>
      <w:r>
        <w:rPr>
          <w:sz w:val="24"/>
          <w:szCs w:val="24"/>
        </w:rPr>
        <w:t xml:space="preserve"> and NO</w:t>
      </w:r>
      <w:r w:rsidRPr="00557AC8">
        <w:rPr>
          <w:sz w:val="24"/>
          <w:szCs w:val="24"/>
          <w:vertAlign w:val="subscript"/>
        </w:rPr>
        <w:t>x</w:t>
      </w:r>
      <w:r>
        <w:rPr>
          <w:sz w:val="24"/>
          <w:szCs w:val="24"/>
        </w:rPr>
        <w:t xml:space="preserve">, a land-use based </w:t>
      </w:r>
      <w:r w:rsidRPr="00FE79D1">
        <w:rPr>
          <w:sz w:val="24"/>
          <w:szCs w:val="24"/>
        </w:rPr>
        <w:t xml:space="preserve">approach </w:t>
      </w:r>
      <w:r>
        <w:rPr>
          <w:sz w:val="24"/>
          <w:szCs w:val="24"/>
        </w:rPr>
        <w:t>for</w:t>
      </w:r>
      <w:r w:rsidRPr="00FE79D1">
        <w:rPr>
          <w:sz w:val="24"/>
          <w:szCs w:val="24"/>
        </w:rPr>
        <w:t xml:space="preserve"> correlation o</w:t>
      </w:r>
      <w:r>
        <w:rPr>
          <w:sz w:val="24"/>
          <w:szCs w:val="24"/>
        </w:rPr>
        <w:t xml:space="preserve">f gravestone decay rates with air quality is developed. Sensitivity and optimization analysis were used to determine the optimum radius of influence of land use on gravestone decay and </w:t>
      </w:r>
      <w:r w:rsidRPr="00FE79D1">
        <w:rPr>
          <w:sz w:val="24"/>
          <w:szCs w:val="24"/>
        </w:rPr>
        <w:t>weighting factors for interpolating intermediat</w:t>
      </w:r>
      <w:r>
        <w:rPr>
          <w:sz w:val="24"/>
          <w:szCs w:val="24"/>
        </w:rPr>
        <w:t>e values of decay.</w:t>
      </w:r>
      <w:r w:rsidR="00847DBA">
        <w:rPr>
          <w:sz w:val="24"/>
          <w:szCs w:val="24"/>
        </w:rPr>
        <w:t xml:space="preserve"> </w:t>
      </w:r>
      <w:r w:rsidR="00304667">
        <w:rPr>
          <w:sz w:val="24"/>
          <w:szCs w:val="24"/>
        </w:rPr>
        <w:t>In addition, i</w:t>
      </w:r>
      <w:r w:rsidR="00304667" w:rsidRPr="004A5CED">
        <w:rPr>
          <w:sz w:val="24"/>
          <w:szCs w:val="24"/>
        </w:rPr>
        <w:t>f</w:t>
      </w:r>
      <w:r w:rsidR="00304667">
        <w:rPr>
          <w:sz w:val="24"/>
          <w:szCs w:val="24"/>
        </w:rPr>
        <w:t xml:space="preserve"> stone decay is assumed to result </w:t>
      </w:r>
      <w:r w:rsidR="005A7E33">
        <w:rPr>
          <w:sz w:val="24"/>
          <w:szCs w:val="24"/>
        </w:rPr>
        <w:t xml:space="preserve">primarily </w:t>
      </w:r>
      <w:r w:rsidR="00304667">
        <w:rPr>
          <w:sz w:val="24"/>
          <w:szCs w:val="24"/>
        </w:rPr>
        <w:t>from deposition of sulfuric acid</w:t>
      </w:r>
      <w:r w:rsidR="005A7E33">
        <w:rPr>
          <w:sz w:val="24"/>
          <w:szCs w:val="24"/>
        </w:rPr>
        <w:t xml:space="preserve"> then</w:t>
      </w:r>
      <w:r w:rsidR="00304667">
        <w:rPr>
          <w:sz w:val="24"/>
          <w:szCs w:val="24"/>
        </w:rPr>
        <w:t xml:space="preserve"> stone decay rates </w:t>
      </w:r>
      <w:r w:rsidR="005A7E33">
        <w:rPr>
          <w:sz w:val="24"/>
          <w:szCs w:val="24"/>
        </w:rPr>
        <w:t>are functions</w:t>
      </w:r>
      <w:r w:rsidR="00304667">
        <w:rPr>
          <w:sz w:val="24"/>
          <w:szCs w:val="24"/>
        </w:rPr>
        <w:t xml:space="preserve"> of the production rate of sulfuric acid from </w:t>
      </w:r>
      <w:r w:rsidR="00304667" w:rsidRPr="001B70BB">
        <w:rPr>
          <w:sz w:val="24"/>
          <w:szCs w:val="24"/>
        </w:rPr>
        <w:t>SO</w:t>
      </w:r>
      <w:r w:rsidR="00304667" w:rsidRPr="001B70BB">
        <w:rPr>
          <w:sz w:val="24"/>
          <w:szCs w:val="24"/>
          <w:vertAlign w:val="subscript"/>
        </w:rPr>
        <w:t>2</w:t>
      </w:r>
      <w:r w:rsidR="00304667">
        <w:rPr>
          <w:sz w:val="24"/>
          <w:szCs w:val="24"/>
        </w:rPr>
        <w:t xml:space="preserve"> oxidation.  </w:t>
      </w:r>
      <w:r w:rsidR="005A7E33">
        <w:rPr>
          <w:sz w:val="24"/>
          <w:szCs w:val="24"/>
        </w:rPr>
        <w:t xml:space="preserve">The relationship between stone decay and atmospheric concentration is nonlinear, suggesting </w:t>
      </w:r>
      <w:r w:rsidR="00304667">
        <w:rPr>
          <w:sz w:val="24"/>
          <w:szCs w:val="24"/>
        </w:rPr>
        <w:t xml:space="preserve">a </w:t>
      </w:r>
      <w:r w:rsidR="00304667">
        <w:rPr>
          <w:sz w:val="24"/>
          <w:szCs w:val="24"/>
        </w:rPr>
        <w:lastRenderedPageBreak/>
        <w:t>marked increase in the effi</w:t>
      </w:r>
      <w:r w:rsidR="005A7E33">
        <w:rPr>
          <w:sz w:val="24"/>
          <w:szCs w:val="24"/>
        </w:rPr>
        <w:t xml:space="preserve">ciency of the oxidation process of </w:t>
      </w:r>
      <w:r w:rsidR="005A7E33" w:rsidRPr="005A7E33">
        <w:rPr>
          <w:sz w:val="24"/>
          <w:szCs w:val="24"/>
        </w:rPr>
        <w:t>SO</w:t>
      </w:r>
      <w:r w:rsidR="005A7E33" w:rsidRPr="005A7E33">
        <w:rPr>
          <w:sz w:val="24"/>
          <w:szCs w:val="24"/>
          <w:vertAlign w:val="subscript"/>
        </w:rPr>
        <w:t>2</w:t>
      </w:r>
      <w:r w:rsidR="005A7E33">
        <w:rPr>
          <w:sz w:val="24"/>
          <w:szCs w:val="24"/>
        </w:rPr>
        <w:t xml:space="preserve"> after about 1980</w:t>
      </w:r>
      <w:r w:rsidR="00304667">
        <w:rPr>
          <w:sz w:val="24"/>
          <w:szCs w:val="24"/>
        </w:rPr>
        <w:t xml:space="preserve">.  </w:t>
      </w:r>
      <w:r w:rsidR="005A7E33">
        <w:rPr>
          <w:sz w:val="24"/>
          <w:szCs w:val="24"/>
        </w:rPr>
        <w:t xml:space="preserve">The aim of this investigation is therefore to determine the efficacy of gravestone decay in spatially and temporally integrating and recording air quality and explore the nonlinearity of the </w:t>
      </w:r>
      <w:r w:rsidR="005A7E33" w:rsidRPr="005A7E33">
        <w:rPr>
          <w:sz w:val="24"/>
          <w:szCs w:val="24"/>
        </w:rPr>
        <w:t>SO</w:t>
      </w:r>
      <w:r w:rsidR="005A7E33" w:rsidRPr="005A7E33">
        <w:rPr>
          <w:sz w:val="24"/>
          <w:szCs w:val="24"/>
          <w:vertAlign w:val="subscript"/>
        </w:rPr>
        <w:t>2</w:t>
      </w:r>
      <w:r w:rsidR="005A7E33" w:rsidRPr="005A7E33">
        <w:rPr>
          <w:sz w:val="24"/>
          <w:szCs w:val="24"/>
        </w:rPr>
        <w:t xml:space="preserve"> </w:t>
      </w:r>
      <w:r w:rsidR="005A7E33">
        <w:rPr>
          <w:sz w:val="24"/>
          <w:szCs w:val="24"/>
        </w:rPr>
        <w:t>oxidation process.</w:t>
      </w:r>
    </w:p>
    <w:p w:rsidR="00BE6C44" w:rsidRPr="00FE79D1" w:rsidRDefault="000C4BA0" w:rsidP="00BE6C44">
      <w:pPr>
        <w:spacing w:line="360" w:lineRule="auto"/>
        <w:rPr>
          <w:b/>
          <w:sz w:val="24"/>
          <w:szCs w:val="24"/>
        </w:rPr>
      </w:pPr>
      <w:r>
        <w:rPr>
          <w:b/>
          <w:sz w:val="24"/>
          <w:szCs w:val="24"/>
        </w:rPr>
        <w:t>2. Methods</w:t>
      </w:r>
    </w:p>
    <w:p w:rsidR="007676FF" w:rsidRDefault="00B520CF" w:rsidP="007676FF">
      <w:pPr>
        <w:spacing w:line="360" w:lineRule="auto"/>
        <w:ind w:firstLine="360"/>
        <w:rPr>
          <w:sz w:val="24"/>
          <w:szCs w:val="24"/>
        </w:rPr>
      </w:pPr>
      <w:r>
        <w:rPr>
          <w:sz w:val="24"/>
          <w:szCs w:val="24"/>
        </w:rPr>
        <w:t>M</w:t>
      </w:r>
      <w:r w:rsidR="007676FF">
        <w:rPr>
          <w:sz w:val="24"/>
          <w:szCs w:val="24"/>
        </w:rPr>
        <w:t>ooers et al. (2016) examined the spatial and temporal pattern of acid deposition over the period 1890-2010 from decay of lead-lettered Carr</w:t>
      </w:r>
      <w:r w:rsidR="008A238E">
        <w:rPr>
          <w:sz w:val="24"/>
          <w:szCs w:val="24"/>
        </w:rPr>
        <w:t>a</w:t>
      </w:r>
      <w:r w:rsidR="007676FF">
        <w:rPr>
          <w:sz w:val="24"/>
          <w:szCs w:val="24"/>
        </w:rPr>
        <w:t>r</w:t>
      </w:r>
      <w:r w:rsidR="008A238E">
        <w:rPr>
          <w:sz w:val="24"/>
          <w:szCs w:val="24"/>
        </w:rPr>
        <w:t>a</w:t>
      </w:r>
      <w:r w:rsidR="007676FF">
        <w:rPr>
          <w:sz w:val="24"/>
          <w:szCs w:val="24"/>
        </w:rPr>
        <w:t xml:space="preserve"> marble gravestones.  Their dataset include</w:t>
      </w:r>
      <w:r w:rsidR="0017254B">
        <w:rPr>
          <w:sz w:val="24"/>
          <w:szCs w:val="24"/>
        </w:rPr>
        <w:t>s</w:t>
      </w:r>
      <w:r w:rsidR="007676FF">
        <w:rPr>
          <w:sz w:val="24"/>
          <w:szCs w:val="24"/>
        </w:rPr>
        <w:t xml:space="preserve"> </w:t>
      </w:r>
      <w:r w:rsidR="007676FF" w:rsidRPr="00FE79D1">
        <w:rPr>
          <w:sz w:val="24"/>
          <w:szCs w:val="24"/>
        </w:rPr>
        <w:t xml:space="preserve">1417 individual measurements on 591 tombstones in 33 cemeteries collected between 2005 and 2010.  </w:t>
      </w:r>
      <w:r w:rsidR="007676FF">
        <w:rPr>
          <w:sz w:val="24"/>
          <w:szCs w:val="24"/>
        </w:rPr>
        <w:t>The current investigation assesses the correlation of acid deposition and air quality and is more restricted in both space and time.  Therefore only</w:t>
      </w:r>
      <w:r w:rsidR="007676FF" w:rsidRPr="00FE79D1">
        <w:rPr>
          <w:sz w:val="24"/>
          <w:szCs w:val="24"/>
        </w:rPr>
        <w:t xml:space="preserve"> the cemeteries within the vicinity of the air quality monitor</w:t>
      </w:r>
      <w:r w:rsidR="007676FF">
        <w:rPr>
          <w:sz w:val="24"/>
          <w:szCs w:val="24"/>
        </w:rPr>
        <w:t xml:space="preserve">ing </w:t>
      </w:r>
      <w:r w:rsidR="00BE2362">
        <w:rPr>
          <w:sz w:val="24"/>
          <w:szCs w:val="24"/>
        </w:rPr>
        <w:t>network</w:t>
      </w:r>
      <w:r w:rsidR="007676FF">
        <w:rPr>
          <w:sz w:val="24"/>
          <w:szCs w:val="24"/>
        </w:rPr>
        <w:t xml:space="preserve"> were chosen for analysis (Figure 1</w:t>
      </w:r>
      <w:r w:rsidR="00B3041A">
        <w:rPr>
          <w:sz w:val="24"/>
          <w:szCs w:val="24"/>
        </w:rPr>
        <w:t>A</w:t>
      </w:r>
      <w:r w:rsidR="007676FF">
        <w:rPr>
          <w:sz w:val="24"/>
          <w:szCs w:val="24"/>
        </w:rPr>
        <w:t>)</w:t>
      </w:r>
      <w:r w:rsidR="007676FF" w:rsidRPr="00FE79D1">
        <w:rPr>
          <w:sz w:val="24"/>
          <w:szCs w:val="24"/>
        </w:rPr>
        <w:t xml:space="preserve">.  </w:t>
      </w:r>
      <w:r w:rsidR="007676FF">
        <w:rPr>
          <w:sz w:val="24"/>
          <w:szCs w:val="24"/>
        </w:rPr>
        <w:t>21 of the cemeteries reported by Mooers et al. (2016</w:t>
      </w:r>
      <w:r w:rsidR="000C4BA0">
        <w:rPr>
          <w:sz w:val="24"/>
          <w:szCs w:val="24"/>
        </w:rPr>
        <w:t>) are used</w:t>
      </w:r>
      <w:r w:rsidR="007676FF">
        <w:rPr>
          <w:sz w:val="24"/>
          <w:szCs w:val="24"/>
        </w:rPr>
        <w:t xml:space="preserve">. </w:t>
      </w:r>
      <w:r w:rsidR="0017254B" w:rsidRPr="00FE79D1">
        <w:rPr>
          <w:sz w:val="24"/>
          <w:szCs w:val="24"/>
        </w:rPr>
        <w:t>Additional</w:t>
      </w:r>
      <w:r w:rsidR="007676FF" w:rsidRPr="00FE79D1">
        <w:rPr>
          <w:sz w:val="24"/>
          <w:szCs w:val="24"/>
        </w:rPr>
        <w:t xml:space="preserve"> </w:t>
      </w:r>
      <w:r w:rsidR="0017254B">
        <w:rPr>
          <w:sz w:val="24"/>
          <w:szCs w:val="24"/>
        </w:rPr>
        <w:t>measurements were taken</w:t>
      </w:r>
      <w:r w:rsidR="007676FF" w:rsidRPr="00FE79D1">
        <w:rPr>
          <w:sz w:val="24"/>
          <w:szCs w:val="24"/>
        </w:rPr>
        <w:t xml:space="preserve"> </w:t>
      </w:r>
      <w:r w:rsidR="0017254B">
        <w:rPr>
          <w:sz w:val="24"/>
          <w:szCs w:val="24"/>
        </w:rPr>
        <w:t>in July of 2014</w:t>
      </w:r>
      <w:r w:rsidR="0017254B" w:rsidRPr="00FE79D1">
        <w:rPr>
          <w:sz w:val="24"/>
          <w:szCs w:val="24"/>
        </w:rPr>
        <w:t xml:space="preserve"> </w:t>
      </w:r>
      <w:r w:rsidR="007676FF" w:rsidRPr="00FE79D1">
        <w:rPr>
          <w:sz w:val="24"/>
          <w:szCs w:val="24"/>
        </w:rPr>
        <w:t xml:space="preserve">to enhance the </w:t>
      </w:r>
      <w:r w:rsidR="007676FF">
        <w:rPr>
          <w:sz w:val="24"/>
          <w:szCs w:val="24"/>
        </w:rPr>
        <w:t xml:space="preserve">spatial </w:t>
      </w:r>
      <w:r w:rsidR="007676FF" w:rsidRPr="00FE79D1">
        <w:rPr>
          <w:sz w:val="24"/>
          <w:szCs w:val="24"/>
        </w:rPr>
        <w:t xml:space="preserve">resolution of </w:t>
      </w:r>
      <w:r w:rsidR="007676FF">
        <w:rPr>
          <w:sz w:val="24"/>
          <w:szCs w:val="24"/>
        </w:rPr>
        <w:t>gravestone</w:t>
      </w:r>
      <w:r w:rsidR="007676FF" w:rsidRPr="00FE79D1">
        <w:rPr>
          <w:sz w:val="24"/>
          <w:szCs w:val="24"/>
        </w:rPr>
        <w:t xml:space="preserve"> </w:t>
      </w:r>
      <w:r w:rsidR="007676FF">
        <w:rPr>
          <w:sz w:val="24"/>
          <w:szCs w:val="24"/>
        </w:rPr>
        <w:t>decay</w:t>
      </w:r>
      <w:r w:rsidR="007676FF" w:rsidRPr="00FE79D1">
        <w:rPr>
          <w:sz w:val="24"/>
          <w:szCs w:val="24"/>
        </w:rPr>
        <w:t xml:space="preserve"> over the past </w:t>
      </w:r>
      <w:r w:rsidR="0017254B">
        <w:rPr>
          <w:sz w:val="24"/>
          <w:szCs w:val="24"/>
        </w:rPr>
        <w:t>55</w:t>
      </w:r>
      <w:r w:rsidR="007676FF" w:rsidRPr="00FE79D1">
        <w:rPr>
          <w:sz w:val="24"/>
          <w:szCs w:val="24"/>
        </w:rPr>
        <w:t xml:space="preserve"> years</w:t>
      </w:r>
      <w:r w:rsidR="007676FF">
        <w:rPr>
          <w:sz w:val="24"/>
          <w:szCs w:val="24"/>
        </w:rPr>
        <w:t xml:space="preserve"> that</w:t>
      </w:r>
      <w:r w:rsidR="007676FF" w:rsidRPr="00FE79D1">
        <w:rPr>
          <w:sz w:val="24"/>
          <w:szCs w:val="24"/>
        </w:rPr>
        <w:t xml:space="preserve"> </w:t>
      </w:r>
      <w:r w:rsidR="007676FF">
        <w:rPr>
          <w:sz w:val="24"/>
          <w:szCs w:val="24"/>
        </w:rPr>
        <w:t>coincide</w:t>
      </w:r>
      <w:r w:rsidR="007676FF" w:rsidRPr="00FE79D1">
        <w:rPr>
          <w:sz w:val="24"/>
          <w:szCs w:val="24"/>
        </w:rPr>
        <w:t xml:space="preserve"> with air quality monitoring data</w:t>
      </w:r>
      <w:r w:rsidR="007676FF">
        <w:rPr>
          <w:sz w:val="24"/>
          <w:szCs w:val="24"/>
        </w:rPr>
        <w:t>. 485 inscriptions</w:t>
      </w:r>
      <w:r w:rsidR="007676FF" w:rsidRPr="00FE79D1">
        <w:rPr>
          <w:sz w:val="24"/>
          <w:szCs w:val="24"/>
        </w:rPr>
        <w:t xml:space="preserve"> </w:t>
      </w:r>
      <w:r w:rsidR="007676FF">
        <w:rPr>
          <w:sz w:val="24"/>
          <w:szCs w:val="24"/>
        </w:rPr>
        <w:t xml:space="preserve">were </w:t>
      </w:r>
      <w:r w:rsidR="007676FF" w:rsidRPr="00FE79D1">
        <w:rPr>
          <w:sz w:val="24"/>
          <w:szCs w:val="24"/>
        </w:rPr>
        <w:t>measured from 227 tombstones</w:t>
      </w:r>
      <w:r w:rsidR="007676FF">
        <w:rPr>
          <w:sz w:val="24"/>
          <w:szCs w:val="24"/>
        </w:rPr>
        <w:t xml:space="preserve"> in</w:t>
      </w:r>
      <w:r w:rsidR="007676FF" w:rsidRPr="009F4D5A">
        <w:rPr>
          <w:sz w:val="24"/>
          <w:szCs w:val="24"/>
        </w:rPr>
        <w:t xml:space="preserve"> </w:t>
      </w:r>
      <w:r w:rsidR="007676FF">
        <w:rPr>
          <w:sz w:val="24"/>
          <w:szCs w:val="24"/>
        </w:rPr>
        <w:t xml:space="preserve">10 additional cemeteries with emphasis on post 1950 inscriptions. In addition, Bilston (BIL) Cemetery was revisited and additional data were acquired to constrain post 1950 decay rates.  </w:t>
      </w:r>
      <w:r w:rsidR="00BE2362">
        <w:rPr>
          <w:sz w:val="24"/>
          <w:szCs w:val="24"/>
        </w:rPr>
        <w:t xml:space="preserve">Cemeteries, their locations, and associated data are </w:t>
      </w:r>
      <w:r w:rsidR="000C4BA0">
        <w:rPr>
          <w:sz w:val="24"/>
          <w:szCs w:val="24"/>
        </w:rPr>
        <w:t>listed in Table 1.</w:t>
      </w:r>
    </w:p>
    <w:p w:rsidR="007676FF" w:rsidRDefault="007676FF" w:rsidP="007676FF">
      <w:pPr>
        <w:spacing w:line="360" w:lineRule="auto"/>
        <w:ind w:firstLine="360"/>
        <w:rPr>
          <w:sz w:val="24"/>
          <w:szCs w:val="24"/>
        </w:rPr>
      </w:pPr>
      <w:r>
        <w:rPr>
          <w:sz w:val="24"/>
          <w:szCs w:val="24"/>
        </w:rPr>
        <w:t>26 air quality monitoring stations lie in the study area</w:t>
      </w:r>
      <w:r w:rsidR="009012BB">
        <w:rPr>
          <w:sz w:val="24"/>
          <w:szCs w:val="24"/>
        </w:rPr>
        <w:t xml:space="preserve">; </w:t>
      </w:r>
      <w:r>
        <w:rPr>
          <w:sz w:val="24"/>
          <w:szCs w:val="24"/>
        </w:rPr>
        <w:t xml:space="preserve">their locations are shown in Figure </w:t>
      </w:r>
      <w:r w:rsidR="00B3041A">
        <w:rPr>
          <w:sz w:val="24"/>
          <w:szCs w:val="24"/>
        </w:rPr>
        <w:t>1B</w:t>
      </w:r>
      <w:r w:rsidR="0031216F">
        <w:rPr>
          <w:sz w:val="24"/>
          <w:szCs w:val="24"/>
        </w:rPr>
        <w:t xml:space="preserve"> and the annually averaged SO</w:t>
      </w:r>
      <w:r w:rsidR="0031216F" w:rsidRPr="008764C4">
        <w:rPr>
          <w:sz w:val="24"/>
          <w:szCs w:val="24"/>
          <w:vertAlign w:val="subscript"/>
        </w:rPr>
        <w:t>2</w:t>
      </w:r>
      <w:r w:rsidR="0031216F">
        <w:rPr>
          <w:sz w:val="24"/>
          <w:szCs w:val="24"/>
        </w:rPr>
        <w:t xml:space="preserve"> and smoke concentrations for </w:t>
      </w:r>
      <w:r w:rsidR="009012BB">
        <w:rPr>
          <w:sz w:val="24"/>
          <w:szCs w:val="24"/>
        </w:rPr>
        <w:t>all</w:t>
      </w:r>
      <w:r w:rsidR="0031216F">
        <w:rPr>
          <w:sz w:val="24"/>
          <w:szCs w:val="24"/>
        </w:rPr>
        <w:t xml:space="preserve"> station</w:t>
      </w:r>
      <w:r w:rsidR="009012BB">
        <w:rPr>
          <w:sz w:val="24"/>
          <w:szCs w:val="24"/>
        </w:rPr>
        <w:t>s</w:t>
      </w:r>
      <w:r w:rsidR="0031216F">
        <w:rPr>
          <w:sz w:val="24"/>
          <w:szCs w:val="24"/>
        </w:rPr>
        <w:t xml:space="preserve"> are shown in </w:t>
      </w:r>
      <w:r w:rsidR="008764C4">
        <w:rPr>
          <w:sz w:val="24"/>
          <w:szCs w:val="24"/>
        </w:rPr>
        <w:t>Figure</w:t>
      </w:r>
      <w:r w:rsidR="0031216F">
        <w:rPr>
          <w:sz w:val="24"/>
          <w:szCs w:val="24"/>
        </w:rPr>
        <w:t xml:space="preserve"> 2</w:t>
      </w:r>
      <w:r>
        <w:rPr>
          <w:sz w:val="24"/>
          <w:szCs w:val="24"/>
        </w:rPr>
        <w:t xml:space="preserve">. </w:t>
      </w:r>
      <w:r w:rsidR="00555324">
        <w:rPr>
          <w:sz w:val="24"/>
          <w:szCs w:val="24"/>
        </w:rPr>
        <w:t xml:space="preserve">Despite the expansion of the air-quality monitoring network after 1960, there is still a general lack of temporal and spatial continuity of records.  </w:t>
      </w:r>
      <w:r>
        <w:rPr>
          <w:sz w:val="24"/>
          <w:szCs w:val="24"/>
        </w:rPr>
        <w:t>T</w:t>
      </w:r>
      <w:r w:rsidRPr="00FE79D1">
        <w:rPr>
          <w:sz w:val="24"/>
          <w:szCs w:val="24"/>
        </w:rPr>
        <w:t xml:space="preserve">he period of record </w:t>
      </w:r>
      <w:r>
        <w:rPr>
          <w:sz w:val="24"/>
          <w:szCs w:val="24"/>
        </w:rPr>
        <w:t xml:space="preserve">of each </w:t>
      </w:r>
      <w:r w:rsidRPr="00FE79D1">
        <w:rPr>
          <w:sz w:val="24"/>
          <w:szCs w:val="24"/>
        </w:rPr>
        <w:t>monitor</w:t>
      </w:r>
      <w:r>
        <w:rPr>
          <w:sz w:val="24"/>
          <w:szCs w:val="24"/>
        </w:rPr>
        <w:t xml:space="preserve">ing station is highly variable; </w:t>
      </w:r>
      <w:r w:rsidRPr="00FE79D1">
        <w:rPr>
          <w:sz w:val="24"/>
          <w:szCs w:val="24"/>
        </w:rPr>
        <w:t>many stations were only in operation for short periods of time</w:t>
      </w:r>
      <w:r w:rsidR="009012BB">
        <w:rPr>
          <w:sz w:val="24"/>
          <w:szCs w:val="24"/>
        </w:rPr>
        <w:t xml:space="preserve"> (Table 2)</w:t>
      </w:r>
      <w:r>
        <w:rPr>
          <w:sz w:val="24"/>
          <w:szCs w:val="24"/>
        </w:rPr>
        <w:t xml:space="preserve">.    </w:t>
      </w:r>
    </w:p>
    <w:p w:rsidR="00BE6C44" w:rsidRPr="00FE79D1" w:rsidRDefault="004B5D5C" w:rsidP="00BE6C44">
      <w:pPr>
        <w:spacing w:line="360" w:lineRule="auto"/>
        <w:rPr>
          <w:b/>
          <w:sz w:val="24"/>
          <w:szCs w:val="24"/>
        </w:rPr>
      </w:pPr>
      <w:r>
        <w:rPr>
          <w:b/>
          <w:sz w:val="24"/>
          <w:szCs w:val="24"/>
        </w:rPr>
        <w:t>2</w:t>
      </w:r>
      <w:r w:rsidR="00BE6C44">
        <w:rPr>
          <w:b/>
          <w:sz w:val="24"/>
          <w:szCs w:val="24"/>
        </w:rPr>
        <w:t>.1</w:t>
      </w:r>
      <w:r w:rsidR="00BE6C44" w:rsidRPr="00FE79D1">
        <w:rPr>
          <w:b/>
          <w:sz w:val="24"/>
          <w:szCs w:val="24"/>
        </w:rPr>
        <w:t xml:space="preserve"> </w:t>
      </w:r>
      <w:r w:rsidR="007676FF">
        <w:rPr>
          <w:b/>
          <w:sz w:val="24"/>
          <w:szCs w:val="24"/>
        </w:rPr>
        <w:t>Gravestone decay measurements</w:t>
      </w:r>
    </w:p>
    <w:p w:rsidR="00B90A58" w:rsidRDefault="00BE6C44" w:rsidP="00961DE7">
      <w:pPr>
        <w:spacing w:line="360" w:lineRule="auto"/>
        <w:ind w:firstLine="360"/>
        <w:rPr>
          <w:sz w:val="24"/>
          <w:szCs w:val="24"/>
        </w:rPr>
      </w:pPr>
      <w:r>
        <w:rPr>
          <w:sz w:val="24"/>
          <w:szCs w:val="24"/>
        </w:rPr>
        <w:t xml:space="preserve">Gravestones were selected for measurement following the criteria of Mooers et al. (2016), which closely follow the criteria of Cooke et al. (1995).  </w:t>
      </w:r>
      <w:r w:rsidR="0017254B">
        <w:rPr>
          <w:sz w:val="24"/>
          <w:szCs w:val="24"/>
        </w:rPr>
        <w:t>Measured g</w:t>
      </w:r>
      <w:r w:rsidRPr="00961DE7">
        <w:rPr>
          <w:sz w:val="24"/>
          <w:szCs w:val="24"/>
        </w:rPr>
        <w:t xml:space="preserve">ravestones were standing vertically, had planar surfaces, used lead lettering, had limited ornamentation, and contained </w:t>
      </w:r>
      <w:r w:rsidRPr="00961DE7">
        <w:rPr>
          <w:sz w:val="24"/>
          <w:szCs w:val="24"/>
        </w:rPr>
        <w:lastRenderedPageBreak/>
        <w:t xml:space="preserve">two or more inscriptions per stone. In addition, inscriptions had to be in chronological order and there had to be visible evidence that the stone had been resurfaced at the location of each new inscription.  </w:t>
      </w:r>
    </w:p>
    <w:p w:rsidR="00B90A58" w:rsidRDefault="004B5D5C" w:rsidP="00B90A58">
      <w:pPr>
        <w:spacing w:line="360" w:lineRule="auto"/>
        <w:ind w:firstLine="360"/>
        <w:rPr>
          <w:sz w:val="24"/>
          <w:szCs w:val="24"/>
        </w:rPr>
      </w:pPr>
      <w:r>
        <w:rPr>
          <w:sz w:val="24"/>
          <w:szCs w:val="24"/>
        </w:rPr>
        <w:t xml:space="preserve">Surface recession of the marble was measured </w:t>
      </w:r>
      <w:r w:rsidR="00B90A58" w:rsidRPr="00B90A58">
        <w:rPr>
          <w:sz w:val="24"/>
          <w:szCs w:val="24"/>
        </w:rPr>
        <w:t>with the depth probe of a digital caliper</w:t>
      </w:r>
      <w:r w:rsidR="00334356">
        <w:rPr>
          <w:sz w:val="24"/>
          <w:szCs w:val="24"/>
        </w:rPr>
        <w:t xml:space="preserve"> (</w:t>
      </w:r>
      <w:r w:rsidR="00334356" w:rsidRPr="00B90A58">
        <w:rPr>
          <w:sz w:val="24"/>
          <w:szCs w:val="24"/>
        </w:rPr>
        <w:t>accuracy of 0.01mm and precision of</w:t>
      </w:r>
      <w:r w:rsidR="00334356" w:rsidRPr="001A50AC">
        <w:rPr>
          <w:sz w:val="24"/>
          <w:szCs w:val="24"/>
        </w:rPr>
        <w:t xml:space="preserve"> ± 0.02mm (instrument error)</w:t>
      </w:r>
      <w:r w:rsidR="00334356">
        <w:rPr>
          <w:sz w:val="24"/>
          <w:szCs w:val="24"/>
        </w:rPr>
        <w:t>)</w:t>
      </w:r>
      <w:r w:rsidR="00B90A58" w:rsidRPr="00B90A58">
        <w:rPr>
          <w:sz w:val="24"/>
          <w:szCs w:val="24"/>
        </w:rPr>
        <w:t xml:space="preserve"> </w:t>
      </w:r>
      <w:r w:rsidR="00334356">
        <w:rPr>
          <w:sz w:val="24"/>
          <w:szCs w:val="24"/>
        </w:rPr>
        <w:t xml:space="preserve">from the surface of the lead letters to the stone surface.  </w:t>
      </w:r>
      <w:r w:rsidR="00B90A58" w:rsidRPr="001A50AC">
        <w:rPr>
          <w:sz w:val="24"/>
          <w:szCs w:val="24"/>
        </w:rPr>
        <w:t xml:space="preserve">Resting the digital caliper on two neighboring lead letters provided stability in measurement while reducing error </w:t>
      </w:r>
      <w:r w:rsidR="00B90A58" w:rsidRPr="00334356">
        <w:rPr>
          <w:sz w:val="24"/>
          <w:szCs w:val="24"/>
        </w:rPr>
        <w:t>associated with tilting of the depth probe. Ten measurements were made along the date line of each inscription without regard to letter or numeral. Decay for that measurement was then calculated as the trimmed mean (Tukey, 1962) with the high and low values omitted. The trimmed mean was used to avoid bias from unusually large or small values that might result from a variety of causes such as poorly set lettering, odd shaped letters that may hold moisture, etc.</w:t>
      </w:r>
    </w:p>
    <w:p w:rsidR="00BE6C44" w:rsidRDefault="004B5D5C" w:rsidP="00BE6C44">
      <w:pPr>
        <w:tabs>
          <w:tab w:val="left" w:pos="6837"/>
        </w:tabs>
        <w:spacing w:line="360" w:lineRule="auto"/>
        <w:rPr>
          <w:b/>
          <w:sz w:val="24"/>
          <w:szCs w:val="24"/>
        </w:rPr>
      </w:pPr>
      <w:r>
        <w:rPr>
          <w:b/>
          <w:sz w:val="24"/>
          <w:szCs w:val="24"/>
        </w:rPr>
        <w:t>2</w:t>
      </w:r>
      <w:r w:rsidR="00BE6C44" w:rsidRPr="00FE79D1">
        <w:rPr>
          <w:b/>
          <w:sz w:val="24"/>
          <w:szCs w:val="24"/>
        </w:rPr>
        <w:t xml:space="preserve">.2 </w:t>
      </w:r>
      <w:r w:rsidR="0017254B">
        <w:rPr>
          <w:b/>
          <w:sz w:val="24"/>
          <w:szCs w:val="24"/>
        </w:rPr>
        <w:t>Determination of</w:t>
      </w:r>
      <w:r w:rsidR="00BE6C44" w:rsidRPr="00FE79D1">
        <w:rPr>
          <w:b/>
          <w:sz w:val="24"/>
          <w:szCs w:val="24"/>
        </w:rPr>
        <w:t xml:space="preserve"> </w:t>
      </w:r>
      <w:r w:rsidR="00BE6C44">
        <w:rPr>
          <w:b/>
          <w:sz w:val="24"/>
          <w:szCs w:val="24"/>
        </w:rPr>
        <w:t>Decay</w:t>
      </w:r>
      <w:r w:rsidR="00BE6C44" w:rsidRPr="00FE79D1">
        <w:rPr>
          <w:b/>
          <w:sz w:val="24"/>
          <w:szCs w:val="24"/>
        </w:rPr>
        <w:t xml:space="preserve"> Rates</w:t>
      </w:r>
    </w:p>
    <w:p w:rsidR="00AA7DE1" w:rsidRPr="00FE79D1" w:rsidRDefault="00AA7DE1" w:rsidP="00AA7DE1">
      <w:pPr>
        <w:spacing w:line="360" w:lineRule="auto"/>
        <w:ind w:firstLine="360"/>
        <w:rPr>
          <w:sz w:val="24"/>
          <w:szCs w:val="24"/>
        </w:rPr>
      </w:pPr>
      <w:r>
        <w:rPr>
          <w:sz w:val="24"/>
          <w:szCs w:val="24"/>
        </w:rPr>
        <w:t>Post 1940 gravestone decay data were plotted vs. inscription date</w:t>
      </w:r>
      <w:r w:rsidR="007115B3">
        <w:rPr>
          <w:sz w:val="24"/>
          <w:szCs w:val="24"/>
        </w:rPr>
        <w:t xml:space="preserve">. In general, gravestone decay </w:t>
      </w:r>
      <w:r w:rsidR="004401C1">
        <w:rPr>
          <w:sz w:val="24"/>
          <w:szCs w:val="24"/>
        </w:rPr>
        <w:t xml:space="preserve">as a function of time is nonlinear (Mooers and Massman, in press; Mooers et al., 2016) and follows a trend similar to </w:t>
      </w:r>
      <w:r w:rsidR="004401C1" w:rsidRPr="004401C1">
        <w:rPr>
          <w:sz w:val="24"/>
          <w:szCs w:val="24"/>
        </w:rPr>
        <w:t>SO</w:t>
      </w:r>
      <w:r w:rsidR="004401C1" w:rsidRPr="004401C1">
        <w:rPr>
          <w:sz w:val="24"/>
          <w:szCs w:val="24"/>
          <w:vertAlign w:val="subscript"/>
        </w:rPr>
        <w:t>2</w:t>
      </w:r>
      <w:r w:rsidR="004401C1" w:rsidRPr="004401C1">
        <w:rPr>
          <w:sz w:val="24"/>
          <w:szCs w:val="24"/>
        </w:rPr>
        <w:t xml:space="preserve"> </w:t>
      </w:r>
      <w:r w:rsidR="004401C1">
        <w:rPr>
          <w:sz w:val="24"/>
          <w:szCs w:val="24"/>
        </w:rPr>
        <w:t xml:space="preserve">and smoke (Figure 2). </w:t>
      </w:r>
      <w:r w:rsidR="00672EE4">
        <w:rPr>
          <w:sz w:val="24"/>
          <w:szCs w:val="24"/>
        </w:rPr>
        <w:t xml:space="preserve"> </w:t>
      </w:r>
      <w:r w:rsidR="004401C1">
        <w:rPr>
          <w:sz w:val="24"/>
          <w:szCs w:val="24"/>
        </w:rPr>
        <w:t xml:space="preserve">Gravestone decay rates were therefore determined by best-fit least squares regression function, which in most cases was a </w:t>
      </w:r>
      <w:r>
        <w:rPr>
          <w:sz w:val="24"/>
          <w:szCs w:val="24"/>
        </w:rPr>
        <w:t>2</w:t>
      </w:r>
      <w:r w:rsidRPr="00C243FB">
        <w:rPr>
          <w:sz w:val="24"/>
          <w:szCs w:val="24"/>
          <w:vertAlign w:val="superscript"/>
        </w:rPr>
        <w:t>nd</w:t>
      </w:r>
      <w:r>
        <w:rPr>
          <w:sz w:val="24"/>
          <w:szCs w:val="24"/>
        </w:rPr>
        <w:t xml:space="preserve"> </w:t>
      </w:r>
      <w:r w:rsidR="00FA71DB">
        <w:rPr>
          <w:sz w:val="24"/>
          <w:szCs w:val="24"/>
        </w:rPr>
        <w:t>order polynomial. In the case of Rycroft Cemetery in Dudley (DUD) a 3</w:t>
      </w:r>
      <w:r w:rsidR="00FA71DB" w:rsidRPr="00F20551">
        <w:rPr>
          <w:sz w:val="24"/>
          <w:szCs w:val="24"/>
          <w:vertAlign w:val="superscript"/>
        </w:rPr>
        <w:t>rd</w:t>
      </w:r>
      <w:r w:rsidR="00FA71DB">
        <w:rPr>
          <w:sz w:val="24"/>
          <w:szCs w:val="24"/>
        </w:rPr>
        <w:t xml:space="preserve"> order polynomial provided a higher </w:t>
      </w:r>
      <w:r w:rsidR="00E447B3">
        <w:rPr>
          <w:sz w:val="24"/>
          <w:szCs w:val="24"/>
        </w:rPr>
        <w:t xml:space="preserve">correlation </w:t>
      </w:r>
      <w:r w:rsidR="00FA71DB">
        <w:rPr>
          <w:sz w:val="24"/>
          <w:szCs w:val="24"/>
        </w:rPr>
        <w:t>coefficient and prevented the function from becoming slightly negative in the most recent decade</w:t>
      </w:r>
      <w:r w:rsidRPr="00FE79D1">
        <w:rPr>
          <w:sz w:val="24"/>
          <w:szCs w:val="24"/>
        </w:rPr>
        <w:t xml:space="preserve">  </w:t>
      </w:r>
      <w:r>
        <w:rPr>
          <w:sz w:val="24"/>
          <w:szCs w:val="24"/>
        </w:rPr>
        <w:t>Decay r</w:t>
      </w:r>
      <w:r w:rsidRPr="00FE79D1">
        <w:rPr>
          <w:sz w:val="24"/>
          <w:szCs w:val="24"/>
        </w:rPr>
        <w:t xml:space="preserve">ates were </w:t>
      </w:r>
      <w:r>
        <w:rPr>
          <w:sz w:val="24"/>
          <w:szCs w:val="24"/>
        </w:rPr>
        <w:t>then determined as</w:t>
      </w:r>
      <w:r w:rsidRPr="00FE79D1">
        <w:rPr>
          <w:sz w:val="24"/>
          <w:szCs w:val="24"/>
        </w:rPr>
        <w:t xml:space="preserve"> the derivative of the best-fit polynomial at the midpoint of each respective</w:t>
      </w:r>
      <w:r>
        <w:rPr>
          <w:sz w:val="24"/>
          <w:szCs w:val="24"/>
        </w:rPr>
        <w:t xml:space="preserve"> decade</w:t>
      </w:r>
      <w:r w:rsidRPr="00FE79D1">
        <w:rPr>
          <w:sz w:val="24"/>
          <w:szCs w:val="24"/>
        </w:rPr>
        <w:t xml:space="preserve">.  </w:t>
      </w:r>
    </w:p>
    <w:p w:rsidR="00BE6C44" w:rsidRDefault="004B5D5C" w:rsidP="00BE6C44">
      <w:pPr>
        <w:spacing w:line="360" w:lineRule="auto"/>
        <w:rPr>
          <w:b/>
          <w:sz w:val="24"/>
          <w:szCs w:val="24"/>
        </w:rPr>
      </w:pPr>
      <w:r>
        <w:rPr>
          <w:b/>
          <w:sz w:val="24"/>
          <w:szCs w:val="24"/>
        </w:rPr>
        <w:t>2</w:t>
      </w:r>
      <w:r w:rsidR="00BE6C44" w:rsidRPr="0001538B">
        <w:rPr>
          <w:b/>
          <w:sz w:val="24"/>
          <w:szCs w:val="24"/>
        </w:rPr>
        <w:t xml:space="preserve">.3 </w:t>
      </w:r>
      <w:r w:rsidR="00BE6C44">
        <w:rPr>
          <w:b/>
          <w:sz w:val="24"/>
          <w:szCs w:val="24"/>
        </w:rPr>
        <w:t xml:space="preserve">Spatial Interpolation of Gravestone Decay </w:t>
      </w:r>
    </w:p>
    <w:p w:rsidR="00BE6C44" w:rsidRPr="0001538B" w:rsidRDefault="004B5D5C" w:rsidP="00BE6C44">
      <w:pPr>
        <w:spacing w:line="360" w:lineRule="auto"/>
        <w:rPr>
          <w:b/>
          <w:sz w:val="24"/>
          <w:szCs w:val="24"/>
        </w:rPr>
      </w:pPr>
      <w:r>
        <w:rPr>
          <w:b/>
          <w:sz w:val="24"/>
          <w:szCs w:val="24"/>
        </w:rPr>
        <w:t>2</w:t>
      </w:r>
      <w:r w:rsidR="00BE6C44">
        <w:rPr>
          <w:b/>
          <w:sz w:val="24"/>
          <w:szCs w:val="24"/>
        </w:rPr>
        <w:t>.3.1 Variogram analysis and Kriging</w:t>
      </w:r>
    </w:p>
    <w:p w:rsidR="00A034C9" w:rsidRDefault="00A034C9" w:rsidP="00961DE7">
      <w:pPr>
        <w:spacing w:line="360" w:lineRule="auto"/>
        <w:ind w:firstLine="360"/>
        <w:rPr>
          <w:sz w:val="24"/>
          <w:szCs w:val="24"/>
        </w:rPr>
      </w:pPr>
      <w:r>
        <w:rPr>
          <w:sz w:val="24"/>
          <w:szCs w:val="24"/>
        </w:rPr>
        <w:t>Since air quality measurements do not coincide geographically with cemeteries, proper spatial interpolation of gravestone decay is critical</w:t>
      </w:r>
      <w:r w:rsidR="00B520CF">
        <w:rPr>
          <w:sz w:val="24"/>
          <w:szCs w:val="24"/>
        </w:rPr>
        <w:t xml:space="preserve"> for </w:t>
      </w:r>
      <w:r w:rsidR="007F5B35">
        <w:rPr>
          <w:sz w:val="24"/>
          <w:szCs w:val="24"/>
        </w:rPr>
        <w:t>comparison</w:t>
      </w:r>
      <w:r>
        <w:rPr>
          <w:sz w:val="24"/>
          <w:szCs w:val="24"/>
        </w:rPr>
        <w:t xml:space="preserve">.  </w:t>
      </w:r>
      <w:r w:rsidR="00BE6C44">
        <w:rPr>
          <w:sz w:val="24"/>
          <w:szCs w:val="24"/>
        </w:rPr>
        <w:t>Variograms of the decadally averaged gravestone</w:t>
      </w:r>
      <w:r w:rsidR="00BE6C44" w:rsidRPr="00C413DA">
        <w:rPr>
          <w:sz w:val="24"/>
          <w:szCs w:val="24"/>
        </w:rPr>
        <w:t xml:space="preserve"> </w:t>
      </w:r>
      <w:r w:rsidR="00BE6C44">
        <w:rPr>
          <w:sz w:val="24"/>
          <w:szCs w:val="24"/>
        </w:rPr>
        <w:t>decay</w:t>
      </w:r>
      <w:r w:rsidR="00BE6C44" w:rsidRPr="00C413DA">
        <w:rPr>
          <w:sz w:val="24"/>
          <w:szCs w:val="24"/>
        </w:rPr>
        <w:t xml:space="preserve"> </w:t>
      </w:r>
      <w:r w:rsidR="00BE6C44">
        <w:rPr>
          <w:sz w:val="24"/>
          <w:szCs w:val="24"/>
        </w:rPr>
        <w:t>rates from the 33 measured cemeteries</w:t>
      </w:r>
      <w:r w:rsidR="00BE6C44" w:rsidRPr="00C413DA">
        <w:rPr>
          <w:sz w:val="24"/>
          <w:szCs w:val="24"/>
        </w:rPr>
        <w:t xml:space="preserve"> </w:t>
      </w:r>
      <w:r w:rsidR="00BE6C44">
        <w:rPr>
          <w:sz w:val="24"/>
          <w:szCs w:val="24"/>
        </w:rPr>
        <w:t xml:space="preserve">were evaluated for best model fit.  </w:t>
      </w:r>
      <w:r w:rsidR="007B1AB1">
        <w:rPr>
          <w:sz w:val="24"/>
          <w:szCs w:val="24"/>
        </w:rPr>
        <w:t>S</w:t>
      </w:r>
      <w:r>
        <w:rPr>
          <w:sz w:val="24"/>
          <w:szCs w:val="24"/>
        </w:rPr>
        <w:t xml:space="preserve">tone decay </w:t>
      </w:r>
      <w:r w:rsidR="00FC5B11">
        <w:rPr>
          <w:sz w:val="24"/>
          <w:szCs w:val="24"/>
        </w:rPr>
        <w:t xml:space="preserve">rate for each decade </w:t>
      </w:r>
      <w:r w:rsidR="00FC5B11" w:rsidRPr="007B1AB1">
        <w:rPr>
          <w:sz w:val="24"/>
          <w:szCs w:val="24"/>
        </w:rPr>
        <w:t xml:space="preserve">from </w:t>
      </w:r>
      <w:r w:rsidR="00FC5B11">
        <w:rPr>
          <w:sz w:val="24"/>
          <w:szCs w:val="24"/>
        </w:rPr>
        <w:t xml:space="preserve">1965-2005 </w:t>
      </w:r>
      <w:r>
        <w:rPr>
          <w:sz w:val="24"/>
          <w:szCs w:val="24"/>
        </w:rPr>
        <w:t xml:space="preserve">was then </w:t>
      </w:r>
      <w:r w:rsidR="007B1AB1" w:rsidRPr="007B1AB1">
        <w:rPr>
          <w:sz w:val="24"/>
          <w:szCs w:val="24"/>
        </w:rPr>
        <w:t>gridded in ArcGIS® using</w:t>
      </w:r>
      <w:r w:rsidR="007B1AB1">
        <w:rPr>
          <w:sz w:val="24"/>
          <w:szCs w:val="24"/>
        </w:rPr>
        <w:t xml:space="preserve"> </w:t>
      </w:r>
      <w:r w:rsidR="007B1AB1" w:rsidRPr="007B1AB1">
        <w:rPr>
          <w:sz w:val="24"/>
          <w:szCs w:val="24"/>
        </w:rPr>
        <w:lastRenderedPageBreak/>
        <w:t>Empirical Bayesian Kriging (EBK) at a</w:t>
      </w:r>
      <w:r w:rsidR="007B1AB1">
        <w:rPr>
          <w:sz w:val="24"/>
          <w:szCs w:val="24"/>
        </w:rPr>
        <w:t xml:space="preserve"> </w:t>
      </w:r>
      <w:r w:rsidR="007B1AB1" w:rsidRPr="007B1AB1">
        <w:rPr>
          <w:sz w:val="24"/>
          <w:szCs w:val="24"/>
        </w:rPr>
        <w:t xml:space="preserve">grid spacing of </w:t>
      </w:r>
      <w:r w:rsidR="007B1AB1">
        <w:rPr>
          <w:sz w:val="24"/>
          <w:szCs w:val="24"/>
        </w:rPr>
        <w:t>200</w:t>
      </w:r>
      <w:r w:rsidR="007B1AB1" w:rsidRPr="007B1AB1">
        <w:rPr>
          <w:sz w:val="24"/>
          <w:szCs w:val="24"/>
        </w:rPr>
        <w:t xml:space="preserve"> m</w:t>
      </w:r>
      <w:r>
        <w:rPr>
          <w:sz w:val="24"/>
          <w:szCs w:val="24"/>
        </w:rPr>
        <w:t xml:space="preserve">. </w:t>
      </w:r>
      <w:r w:rsidR="00C86CCB" w:rsidRPr="00C86CCB">
        <w:rPr>
          <w:sz w:val="24"/>
          <w:szCs w:val="24"/>
        </w:rPr>
        <w:t>Whereas classical Kriging assumes the estimated semivariogram is</w:t>
      </w:r>
      <w:r w:rsidR="00C86CCB">
        <w:rPr>
          <w:sz w:val="24"/>
          <w:szCs w:val="24"/>
        </w:rPr>
        <w:t xml:space="preserve"> </w:t>
      </w:r>
      <w:r w:rsidR="00C86CCB" w:rsidRPr="00C86CCB">
        <w:rPr>
          <w:sz w:val="24"/>
          <w:szCs w:val="24"/>
        </w:rPr>
        <w:t>the true semivariogram generated from a Gaussian distribution,</w:t>
      </w:r>
      <w:r w:rsidR="00C86CCB">
        <w:rPr>
          <w:sz w:val="24"/>
          <w:szCs w:val="24"/>
        </w:rPr>
        <w:t xml:space="preserve"> </w:t>
      </w:r>
      <w:r w:rsidR="00C86CCB" w:rsidRPr="00C86CCB">
        <w:rPr>
          <w:sz w:val="24"/>
          <w:szCs w:val="24"/>
        </w:rPr>
        <w:t>EBK generates many semivariogram models and removes local</w:t>
      </w:r>
      <w:r w:rsidR="00C86CCB">
        <w:rPr>
          <w:sz w:val="24"/>
          <w:szCs w:val="24"/>
        </w:rPr>
        <w:t xml:space="preserve"> </w:t>
      </w:r>
      <w:r w:rsidR="00C86CCB" w:rsidRPr="00C86CCB">
        <w:rPr>
          <w:sz w:val="24"/>
          <w:szCs w:val="24"/>
        </w:rPr>
        <w:t>trends</w:t>
      </w:r>
      <w:r w:rsidR="007B1AB1">
        <w:rPr>
          <w:sz w:val="24"/>
          <w:szCs w:val="24"/>
        </w:rPr>
        <w:t xml:space="preserve"> (Krivourchko, 2012)</w:t>
      </w:r>
      <w:r w:rsidR="00C86CCB">
        <w:rPr>
          <w:sz w:val="24"/>
          <w:szCs w:val="24"/>
        </w:rPr>
        <w:t>.</w:t>
      </w:r>
      <w:r w:rsidR="004F47A3">
        <w:rPr>
          <w:sz w:val="24"/>
          <w:szCs w:val="24"/>
        </w:rPr>
        <w:t xml:space="preserve"> </w:t>
      </w:r>
      <w:r w:rsidR="004F47A3" w:rsidRPr="004F47A3">
        <w:rPr>
          <w:sz w:val="24"/>
          <w:szCs w:val="24"/>
        </w:rPr>
        <w:t>EBK</w:t>
      </w:r>
      <w:r w:rsidR="004F47A3">
        <w:rPr>
          <w:sz w:val="24"/>
          <w:szCs w:val="24"/>
        </w:rPr>
        <w:t xml:space="preserve"> </w:t>
      </w:r>
      <w:r w:rsidR="004F47A3" w:rsidRPr="004F47A3">
        <w:rPr>
          <w:sz w:val="24"/>
          <w:szCs w:val="24"/>
        </w:rPr>
        <w:t>is particularly well suited for small, moderately non-stationary</w:t>
      </w:r>
      <w:r w:rsidR="004F47A3">
        <w:rPr>
          <w:sz w:val="24"/>
          <w:szCs w:val="24"/>
        </w:rPr>
        <w:t xml:space="preserve"> </w:t>
      </w:r>
      <w:r w:rsidR="004F47A3" w:rsidRPr="004F47A3">
        <w:rPr>
          <w:sz w:val="24"/>
          <w:szCs w:val="24"/>
        </w:rPr>
        <w:t>datasets (Chiles and Delfiner, 1999; Pilz and Sp</w:t>
      </w:r>
      <w:r w:rsidR="00F34B5B">
        <w:rPr>
          <w:sz w:val="24"/>
          <w:szCs w:val="24"/>
        </w:rPr>
        <w:t>ö</w:t>
      </w:r>
      <w:r w:rsidR="004F47A3" w:rsidRPr="004F47A3">
        <w:rPr>
          <w:sz w:val="24"/>
          <w:szCs w:val="24"/>
        </w:rPr>
        <w:t>ck, 2007).</w:t>
      </w:r>
      <w:r w:rsidR="00EC57F4">
        <w:rPr>
          <w:sz w:val="24"/>
          <w:szCs w:val="24"/>
        </w:rPr>
        <w:t xml:space="preserve"> </w:t>
      </w:r>
      <w:r>
        <w:rPr>
          <w:sz w:val="24"/>
          <w:szCs w:val="24"/>
        </w:rPr>
        <w:t xml:space="preserve">Interpolated decay rates were compared </w:t>
      </w:r>
      <w:r w:rsidR="00E7183A">
        <w:rPr>
          <w:sz w:val="24"/>
          <w:szCs w:val="24"/>
        </w:rPr>
        <w:t>with</w:t>
      </w:r>
      <w:r>
        <w:rPr>
          <w:sz w:val="24"/>
          <w:szCs w:val="24"/>
        </w:rPr>
        <w:t xml:space="preserve"> air quality data.</w:t>
      </w:r>
    </w:p>
    <w:p w:rsidR="00BE6C44" w:rsidRPr="00501841" w:rsidRDefault="004B5D5C" w:rsidP="00BE6C44">
      <w:pPr>
        <w:pStyle w:val="CommentText"/>
        <w:spacing w:line="360" w:lineRule="auto"/>
        <w:rPr>
          <w:b/>
          <w:sz w:val="24"/>
          <w:szCs w:val="24"/>
        </w:rPr>
      </w:pPr>
      <w:r>
        <w:rPr>
          <w:b/>
          <w:sz w:val="24"/>
          <w:szCs w:val="24"/>
        </w:rPr>
        <w:t>2</w:t>
      </w:r>
      <w:r w:rsidR="00FE5127">
        <w:rPr>
          <w:b/>
          <w:sz w:val="24"/>
          <w:szCs w:val="24"/>
        </w:rPr>
        <w:t>.3.2 Land-</w:t>
      </w:r>
      <w:r w:rsidR="00B348E6">
        <w:rPr>
          <w:b/>
          <w:sz w:val="24"/>
          <w:szCs w:val="24"/>
        </w:rPr>
        <w:t>use-</w:t>
      </w:r>
      <w:r w:rsidR="00BE6C44">
        <w:rPr>
          <w:b/>
          <w:sz w:val="24"/>
          <w:szCs w:val="24"/>
        </w:rPr>
        <w:t>based approach</w:t>
      </w:r>
    </w:p>
    <w:p w:rsidR="00BE6C44" w:rsidRDefault="00AE5FD1" w:rsidP="00961DE7">
      <w:pPr>
        <w:spacing w:line="360" w:lineRule="auto"/>
        <w:ind w:firstLine="360"/>
        <w:rPr>
          <w:sz w:val="24"/>
          <w:szCs w:val="24"/>
        </w:rPr>
      </w:pPr>
      <w:r>
        <w:rPr>
          <w:sz w:val="24"/>
          <w:szCs w:val="24"/>
        </w:rPr>
        <w:t xml:space="preserve">Initial variogram analysis suggested </w:t>
      </w:r>
      <w:r w:rsidR="00DD217A">
        <w:rPr>
          <w:sz w:val="24"/>
          <w:szCs w:val="24"/>
        </w:rPr>
        <w:t>that gravestone decay exhibits poor spatial correlation</w:t>
      </w:r>
      <w:r w:rsidR="007F5B35">
        <w:rPr>
          <w:sz w:val="24"/>
          <w:szCs w:val="24"/>
        </w:rPr>
        <w:t>, which is likely an artifact of significant variation in air quality over short spatial scales (Hoek et al., 2002, 2008)</w:t>
      </w:r>
      <w:r w:rsidR="008131AA">
        <w:rPr>
          <w:sz w:val="24"/>
          <w:szCs w:val="24"/>
        </w:rPr>
        <w:t xml:space="preserve">. </w:t>
      </w:r>
      <w:r>
        <w:rPr>
          <w:sz w:val="24"/>
          <w:szCs w:val="24"/>
        </w:rPr>
        <w:t>Therefore</w:t>
      </w:r>
      <w:r w:rsidR="00BE6C44">
        <w:rPr>
          <w:sz w:val="24"/>
          <w:szCs w:val="24"/>
        </w:rPr>
        <w:t xml:space="preserve"> </w:t>
      </w:r>
      <w:r w:rsidR="005E1C59">
        <w:rPr>
          <w:sz w:val="24"/>
          <w:szCs w:val="24"/>
        </w:rPr>
        <w:t>a land-use-based</w:t>
      </w:r>
      <w:r w:rsidR="00BE6C44">
        <w:rPr>
          <w:sz w:val="24"/>
          <w:szCs w:val="24"/>
        </w:rPr>
        <w:t xml:space="preserve"> approach was devised to spatial</w:t>
      </w:r>
      <w:r w:rsidR="00383463">
        <w:rPr>
          <w:sz w:val="24"/>
          <w:szCs w:val="24"/>
        </w:rPr>
        <w:t>ly</w:t>
      </w:r>
      <w:r w:rsidR="00BE6C44">
        <w:rPr>
          <w:sz w:val="24"/>
          <w:szCs w:val="24"/>
        </w:rPr>
        <w:t xml:space="preserve"> </w:t>
      </w:r>
      <w:r w:rsidR="005E1C59">
        <w:rPr>
          <w:sz w:val="24"/>
          <w:szCs w:val="24"/>
        </w:rPr>
        <w:t>interpolate gravestone decay</w:t>
      </w:r>
      <w:r w:rsidR="00BE6C44">
        <w:rPr>
          <w:sz w:val="24"/>
          <w:szCs w:val="24"/>
        </w:rPr>
        <w:t>.</w:t>
      </w:r>
      <w:r w:rsidR="00177373">
        <w:rPr>
          <w:rFonts w:eastAsiaTheme="minorEastAsia"/>
          <w:i/>
        </w:rPr>
        <w:t xml:space="preserve"> </w:t>
      </w:r>
      <w:r w:rsidR="00BE6C44" w:rsidRPr="00FE79D1">
        <w:rPr>
          <w:sz w:val="24"/>
          <w:szCs w:val="24"/>
        </w:rPr>
        <w:t>Land use was organized into three categories; 1.</w:t>
      </w:r>
      <w:r w:rsidR="00BE6C44">
        <w:rPr>
          <w:sz w:val="24"/>
          <w:szCs w:val="24"/>
        </w:rPr>
        <w:t>) u</w:t>
      </w:r>
      <w:r w:rsidR="00BE6C44" w:rsidRPr="00FE79D1">
        <w:rPr>
          <w:sz w:val="24"/>
          <w:szCs w:val="24"/>
        </w:rPr>
        <w:t>rban areas with high concentrations of factories, large buildings and heavy automobile traffic, 2.) residential</w:t>
      </w:r>
      <w:r w:rsidR="00BE6C44">
        <w:rPr>
          <w:sz w:val="24"/>
          <w:szCs w:val="24"/>
        </w:rPr>
        <w:t xml:space="preserve"> areas</w:t>
      </w:r>
      <w:r w:rsidR="00BE6C44" w:rsidRPr="00FE79D1">
        <w:rPr>
          <w:sz w:val="24"/>
          <w:szCs w:val="24"/>
        </w:rPr>
        <w:t xml:space="preserve"> with dense housing and moderate automobile traffic and 3.) rural/green space with few residences and light traffic.  Land use </w:t>
      </w:r>
      <w:r w:rsidR="00BE6C44">
        <w:rPr>
          <w:sz w:val="24"/>
          <w:szCs w:val="24"/>
        </w:rPr>
        <w:t>was</w:t>
      </w:r>
      <w:r w:rsidR="00BE6C44" w:rsidRPr="00FE79D1">
        <w:rPr>
          <w:sz w:val="24"/>
          <w:szCs w:val="24"/>
        </w:rPr>
        <w:t xml:space="preserve"> digitized from recent aerial photography </w:t>
      </w:r>
      <w:r w:rsidR="00BE6C44">
        <w:rPr>
          <w:sz w:val="24"/>
          <w:szCs w:val="24"/>
        </w:rPr>
        <w:t xml:space="preserve">and converted </w:t>
      </w:r>
      <w:r w:rsidR="00AE38AB">
        <w:rPr>
          <w:sz w:val="24"/>
          <w:szCs w:val="24"/>
        </w:rPr>
        <w:t>to</w:t>
      </w:r>
      <w:r w:rsidR="00BE6C44">
        <w:rPr>
          <w:sz w:val="24"/>
          <w:szCs w:val="24"/>
        </w:rPr>
        <w:t xml:space="preserve"> a 200</w:t>
      </w:r>
      <w:r w:rsidR="00E7183A">
        <w:rPr>
          <w:sz w:val="24"/>
          <w:szCs w:val="24"/>
        </w:rPr>
        <w:t xml:space="preserve"> </w:t>
      </w:r>
      <w:r w:rsidR="00BE6C44">
        <w:rPr>
          <w:sz w:val="24"/>
          <w:szCs w:val="24"/>
        </w:rPr>
        <w:t>m grid for analysis.  Evaluation of air photos back to 1960 indicates that there have</w:t>
      </w:r>
      <w:r w:rsidR="00FE5127">
        <w:rPr>
          <w:sz w:val="24"/>
          <w:szCs w:val="24"/>
        </w:rPr>
        <w:t xml:space="preserve"> been few major changes in land-</w:t>
      </w:r>
      <w:r w:rsidR="00BE6C44">
        <w:rPr>
          <w:sz w:val="24"/>
          <w:szCs w:val="24"/>
        </w:rPr>
        <w:t xml:space="preserve">use classification. </w:t>
      </w:r>
      <w:r w:rsidR="00BE6C44" w:rsidRPr="00961DE7">
        <w:rPr>
          <w:sz w:val="24"/>
          <w:szCs w:val="24"/>
        </w:rPr>
        <w:t xml:space="preserve">Grid cells were assigned a land-use indicator </w:t>
      </w:r>
      <w:r w:rsidR="00E67218">
        <w:rPr>
          <w:sz w:val="24"/>
          <w:szCs w:val="24"/>
        </w:rPr>
        <w:t>as follows:</w:t>
      </w:r>
      <w:r w:rsidR="00BE6C44" w:rsidRPr="00961DE7">
        <w:rPr>
          <w:sz w:val="24"/>
          <w:szCs w:val="24"/>
        </w:rPr>
        <w:t xml:space="preserve">  </w:t>
      </w:r>
      <w:r w:rsidR="00E67218">
        <w:rPr>
          <w:sz w:val="24"/>
          <w:szCs w:val="24"/>
        </w:rPr>
        <w:t>g</w:t>
      </w:r>
      <w:r w:rsidR="00E67218" w:rsidRPr="00961DE7">
        <w:rPr>
          <w:sz w:val="24"/>
          <w:szCs w:val="24"/>
        </w:rPr>
        <w:t xml:space="preserve">reen </w:t>
      </w:r>
      <w:r w:rsidR="00BE6C44" w:rsidRPr="00961DE7">
        <w:rPr>
          <w:sz w:val="24"/>
          <w:szCs w:val="24"/>
        </w:rPr>
        <w:t>space generates essentially no pollution and was assigned a land-use indicator of 0.0 and urban/industrial areas were assigned a land-use indicator of 1.0.  The relation between urban/industrial and residential is less clear but the land-use indicator will lie somewhere between 0 and 1</w:t>
      </w:r>
      <w:r w:rsidR="00E67218">
        <w:rPr>
          <w:sz w:val="24"/>
          <w:szCs w:val="24"/>
        </w:rPr>
        <w:t xml:space="preserve"> and this value must be determined through optimization</w:t>
      </w:r>
      <w:r w:rsidR="00BE6C44" w:rsidRPr="00961DE7">
        <w:rPr>
          <w:sz w:val="24"/>
          <w:szCs w:val="24"/>
        </w:rPr>
        <w:t xml:space="preserve">. </w:t>
      </w:r>
      <w:r w:rsidR="00BE6C44">
        <w:rPr>
          <w:sz w:val="24"/>
          <w:szCs w:val="24"/>
        </w:rPr>
        <w:t xml:space="preserve">Three parameters </w:t>
      </w:r>
      <w:r w:rsidR="00391221">
        <w:rPr>
          <w:sz w:val="24"/>
          <w:szCs w:val="24"/>
        </w:rPr>
        <w:t>were</w:t>
      </w:r>
      <w:r w:rsidR="00BE6C44">
        <w:rPr>
          <w:sz w:val="24"/>
          <w:szCs w:val="24"/>
        </w:rPr>
        <w:t xml:space="preserve"> then optimized: the indicator value of residential land use, the radius of influence contributing to acid deposition at any location, and a weighting parameter to determine the influence of proximal versus distal locations within the optimum radius.</w:t>
      </w:r>
    </w:p>
    <w:p w:rsidR="00BE6C44" w:rsidRPr="00986B1E" w:rsidRDefault="004B5D5C" w:rsidP="00BE6C44">
      <w:pPr>
        <w:spacing w:line="360" w:lineRule="auto"/>
        <w:rPr>
          <w:b/>
          <w:sz w:val="24"/>
          <w:szCs w:val="24"/>
        </w:rPr>
      </w:pPr>
      <w:r>
        <w:rPr>
          <w:b/>
          <w:sz w:val="24"/>
          <w:szCs w:val="24"/>
        </w:rPr>
        <w:t>2</w:t>
      </w:r>
      <w:r w:rsidR="00BE6C44" w:rsidRPr="00986B1E">
        <w:rPr>
          <w:b/>
          <w:sz w:val="24"/>
          <w:szCs w:val="24"/>
        </w:rPr>
        <w:t xml:space="preserve">.4.1 </w:t>
      </w:r>
      <w:r w:rsidR="00BE6C44">
        <w:rPr>
          <w:b/>
          <w:sz w:val="24"/>
          <w:szCs w:val="24"/>
        </w:rPr>
        <w:t>Optimization of Parameters</w:t>
      </w:r>
      <w:r w:rsidR="00BE6C44" w:rsidRPr="00986B1E">
        <w:rPr>
          <w:b/>
          <w:sz w:val="24"/>
          <w:szCs w:val="24"/>
        </w:rPr>
        <w:t xml:space="preserve"> </w:t>
      </w:r>
    </w:p>
    <w:p w:rsidR="00BE6C44" w:rsidRDefault="00BE6C44" w:rsidP="00961DE7">
      <w:pPr>
        <w:spacing w:line="360" w:lineRule="auto"/>
        <w:ind w:firstLine="360"/>
        <w:rPr>
          <w:sz w:val="24"/>
          <w:szCs w:val="24"/>
        </w:rPr>
      </w:pPr>
      <w:r>
        <w:rPr>
          <w:sz w:val="24"/>
          <w:szCs w:val="24"/>
        </w:rPr>
        <w:t xml:space="preserve">The initial optimization of weighting of </w:t>
      </w:r>
      <w:r w:rsidR="00C243FB">
        <w:rPr>
          <w:sz w:val="24"/>
          <w:szCs w:val="24"/>
        </w:rPr>
        <w:t xml:space="preserve">the </w:t>
      </w:r>
      <w:r>
        <w:rPr>
          <w:sz w:val="24"/>
          <w:szCs w:val="24"/>
        </w:rPr>
        <w:t xml:space="preserve">residential </w:t>
      </w:r>
      <w:r w:rsidR="007E2DDE">
        <w:rPr>
          <w:sz w:val="24"/>
          <w:szCs w:val="24"/>
        </w:rPr>
        <w:t xml:space="preserve">land-use </w:t>
      </w:r>
      <w:r>
        <w:rPr>
          <w:sz w:val="24"/>
          <w:szCs w:val="24"/>
        </w:rPr>
        <w:t>and radius</w:t>
      </w:r>
      <w:r w:rsidR="00C243FB">
        <w:rPr>
          <w:sz w:val="24"/>
          <w:szCs w:val="24"/>
        </w:rPr>
        <w:t xml:space="preserve"> of influence</w:t>
      </w:r>
      <w:r>
        <w:rPr>
          <w:sz w:val="24"/>
          <w:szCs w:val="24"/>
        </w:rPr>
        <w:t xml:space="preserve"> </w:t>
      </w:r>
      <w:r w:rsidR="007E2DDE">
        <w:rPr>
          <w:sz w:val="24"/>
          <w:szCs w:val="24"/>
        </w:rPr>
        <w:t>were</w:t>
      </w:r>
      <w:r>
        <w:rPr>
          <w:sz w:val="24"/>
          <w:szCs w:val="24"/>
        </w:rPr>
        <w:t xml:space="preserve"> done using </w:t>
      </w:r>
      <w:r w:rsidR="007E2DDE">
        <w:rPr>
          <w:sz w:val="24"/>
          <w:szCs w:val="24"/>
        </w:rPr>
        <w:t>inverse distance weighting</w:t>
      </w:r>
      <w:r>
        <w:rPr>
          <w:sz w:val="24"/>
          <w:szCs w:val="24"/>
        </w:rPr>
        <w:t xml:space="preserve"> as it provides easy variation of parameters.  </w:t>
      </w:r>
      <w:r w:rsidRPr="00FE79D1">
        <w:rPr>
          <w:sz w:val="24"/>
          <w:szCs w:val="24"/>
        </w:rPr>
        <w:t xml:space="preserve"> </w:t>
      </w:r>
      <w:r>
        <w:rPr>
          <w:sz w:val="24"/>
          <w:szCs w:val="24"/>
        </w:rPr>
        <w:t xml:space="preserve">In its simplest form, the </w:t>
      </w:r>
      <w:r w:rsidR="007E2DDE">
        <w:rPr>
          <w:sz w:val="24"/>
          <w:szCs w:val="24"/>
        </w:rPr>
        <w:t xml:space="preserve">inverse distance weighting </w:t>
      </w:r>
      <w:r>
        <w:rPr>
          <w:sz w:val="24"/>
          <w:szCs w:val="24"/>
        </w:rPr>
        <w:t>parameter (</w:t>
      </w:r>
      <w:r w:rsidRPr="008A238E">
        <w:rPr>
          <w:i/>
          <w:sz w:val="24"/>
          <w:szCs w:val="24"/>
        </w:rPr>
        <w:t>w</w:t>
      </w:r>
      <w:r>
        <w:rPr>
          <w:sz w:val="24"/>
          <w:szCs w:val="24"/>
        </w:rPr>
        <w:t xml:space="preserve">) </w:t>
      </w:r>
      <w:r w:rsidR="00EA0E26">
        <w:rPr>
          <w:sz w:val="24"/>
          <w:szCs w:val="24"/>
        </w:rPr>
        <w:t>is</w:t>
      </w:r>
    </w:p>
    <w:p w:rsidR="00BE6C44" w:rsidRPr="0045031D" w:rsidRDefault="00C243FB" w:rsidP="00C243FB">
      <w:pPr>
        <w:pStyle w:val="CommentText"/>
        <w:tabs>
          <w:tab w:val="center" w:pos="4320"/>
          <w:tab w:val="right" w:pos="9180"/>
        </w:tabs>
        <w:spacing w:line="360" w:lineRule="auto"/>
        <w:jc w:val="center"/>
        <w:rPr>
          <w:rFonts w:ascii="Cambria Math" w:hAnsi="Cambria Math"/>
          <w:sz w:val="28"/>
          <w:szCs w:val="24"/>
          <w:oMath/>
        </w:rPr>
      </w:pPr>
      <w:r>
        <w:rPr>
          <w:rFonts w:eastAsiaTheme="minorEastAsia"/>
          <w:sz w:val="28"/>
          <w:szCs w:val="24"/>
        </w:rPr>
        <w:tab/>
      </w:r>
      <m:oMath>
        <m:sSub>
          <m:sSubPr>
            <m:ctrlPr>
              <w:rPr>
                <w:rFonts w:ascii="Cambria Math" w:hAnsi="Cambria Math"/>
                <w:i/>
                <w:sz w:val="28"/>
                <w:szCs w:val="24"/>
              </w:rPr>
            </m:ctrlPr>
          </m:sSubPr>
          <m:e>
            <m:r>
              <w:rPr>
                <w:rFonts w:ascii="Cambria Math" w:hAnsi="Cambria Math"/>
                <w:sz w:val="28"/>
                <w:szCs w:val="24"/>
              </w:rPr>
              <m:t>w</m:t>
            </m:r>
          </m:e>
          <m:sub>
            <m:r>
              <w:rPr>
                <w:rFonts w:ascii="Cambria Math" w:hAnsi="Cambria Math"/>
                <w:sz w:val="28"/>
                <w:szCs w:val="24"/>
              </w:rPr>
              <m:t>i</m:t>
            </m:r>
          </m:sub>
        </m:sSub>
        <m:d>
          <m:dPr>
            <m:ctrlPr>
              <w:rPr>
                <w:rFonts w:ascii="Cambria Math" w:hAnsi="Cambria Math"/>
                <w:i/>
                <w:sz w:val="28"/>
                <w:szCs w:val="24"/>
              </w:rPr>
            </m:ctrlPr>
          </m:dPr>
          <m:e>
            <m:r>
              <w:rPr>
                <w:rFonts w:ascii="Cambria Math" w:hAnsi="Cambria Math"/>
                <w:sz w:val="28"/>
                <w:szCs w:val="24"/>
              </w:rPr>
              <m:t>x</m:t>
            </m:r>
          </m:e>
        </m:d>
        <m:r>
          <w:rPr>
            <w:rFonts w:ascii="Cambria Math" w:hAnsi="Cambria Math"/>
            <w:sz w:val="28"/>
            <w:szCs w:val="24"/>
          </w:rPr>
          <m:t>=</m:t>
        </m:r>
        <m:f>
          <m:fPr>
            <m:ctrlPr>
              <w:rPr>
                <w:rFonts w:ascii="Cambria Math" w:hAnsi="Cambria Math"/>
                <w:i/>
                <w:sz w:val="28"/>
                <w:szCs w:val="24"/>
              </w:rPr>
            </m:ctrlPr>
          </m:fPr>
          <m:num>
            <m:r>
              <w:rPr>
                <w:rFonts w:ascii="Cambria Math" w:hAnsi="Cambria Math"/>
                <w:sz w:val="28"/>
                <w:szCs w:val="24"/>
              </w:rPr>
              <m:t>1</m:t>
            </m:r>
          </m:num>
          <m:den>
            <m:sSup>
              <m:sSupPr>
                <m:ctrlPr>
                  <w:rPr>
                    <w:rFonts w:ascii="Cambria Math" w:hAnsi="Cambria Math"/>
                    <w:i/>
                    <w:sz w:val="28"/>
                    <w:szCs w:val="24"/>
                  </w:rPr>
                </m:ctrlPr>
              </m:sSupPr>
              <m:e>
                <m:r>
                  <w:rPr>
                    <w:rFonts w:ascii="Cambria Math" w:hAnsi="Cambria Math"/>
                    <w:sz w:val="28"/>
                    <w:szCs w:val="24"/>
                  </w:rPr>
                  <m:t>d(x,</m:t>
                </m:r>
                <m:sSub>
                  <m:sSubPr>
                    <m:ctrlPr>
                      <w:rPr>
                        <w:rFonts w:ascii="Cambria Math" w:hAnsi="Cambria Math"/>
                        <w:i/>
                        <w:sz w:val="28"/>
                        <w:szCs w:val="24"/>
                      </w:rPr>
                    </m:ctrlPr>
                  </m:sSubPr>
                  <m:e>
                    <m:r>
                      <w:rPr>
                        <w:rFonts w:ascii="Cambria Math" w:hAnsi="Cambria Math"/>
                        <w:sz w:val="28"/>
                        <w:szCs w:val="24"/>
                      </w:rPr>
                      <m:t>x</m:t>
                    </m:r>
                  </m:e>
                  <m:sub>
                    <m:r>
                      <w:rPr>
                        <w:rFonts w:ascii="Cambria Math" w:hAnsi="Cambria Math"/>
                        <w:sz w:val="28"/>
                        <w:szCs w:val="24"/>
                      </w:rPr>
                      <m:t>i</m:t>
                    </m:r>
                  </m:sub>
                </m:sSub>
                <m:r>
                  <w:rPr>
                    <w:rFonts w:ascii="Cambria Math" w:hAnsi="Cambria Math"/>
                    <w:sz w:val="28"/>
                    <w:szCs w:val="24"/>
                  </w:rPr>
                  <m:t>)</m:t>
                </m:r>
              </m:e>
              <m:sup>
                <m:r>
                  <w:rPr>
                    <w:rFonts w:ascii="Cambria Math" w:hAnsi="Cambria Math"/>
                    <w:sz w:val="28"/>
                    <w:szCs w:val="24"/>
                  </w:rPr>
                  <m:t>p</m:t>
                </m:r>
              </m:sup>
            </m:sSup>
          </m:den>
        </m:f>
      </m:oMath>
      <w:r w:rsidR="00BE6C44">
        <w:rPr>
          <w:rFonts w:eastAsiaTheme="minorEastAsia"/>
          <w:sz w:val="28"/>
          <w:szCs w:val="24"/>
        </w:rPr>
        <w:t xml:space="preserve">  </w:t>
      </w:r>
      <w:r>
        <w:rPr>
          <w:rFonts w:eastAsiaTheme="minorEastAsia"/>
          <w:sz w:val="28"/>
          <w:szCs w:val="24"/>
        </w:rPr>
        <w:tab/>
        <w:t>[1]</w:t>
      </w:r>
    </w:p>
    <w:p w:rsidR="00BE6C44" w:rsidRPr="00FE79D1" w:rsidRDefault="00BE6C44" w:rsidP="00961DE7">
      <w:pPr>
        <w:spacing w:line="360" w:lineRule="auto"/>
        <w:rPr>
          <w:sz w:val="24"/>
          <w:szCs w:val="24"/>
        </w:rPr>
      </w:pPr>
      <w:r>
        <w:rPr>
          <w:sz w:val="24"/>
          <w:szCs w:val="24"/>
        </w:rPr>
        <w:lastRenderedPageBreak/>
        <w:t xml:space="preserve">where </w:t>
      </w:r>
      <w:r w:rsidRPr="008A238E">
        <w:rPr>
          <w:i/>
          <w:sz w:val="24"/>
          <w:szCs w:val="24"/>
        </w:rPr>
        <w:t>x</w:t>
      </w:r>
      <w:r>
        <w:rPr>
          <w:sz w:val="24"/>
          <w:szCs w:val="24"/>
        </w:rPr>
        <w:t xml:space="preserve"> is the point where the interpolation is being made, </w:t>
      </w:r>
      <w:r w:rsidRPr="008A238E">
        <w:rPr>
          <w:i/>
          <w:sz w:val="24"/>
          <w:szCs w:val="24"/>
        </w:rPr>
        <w:t>d</w:t>
      </w:r>
      <w:r>
        <w:rPr>
          <w:sz w:val="24"/>
          <w:szCs w:val="24"/>
        </w:rPr>
        <w:t xml:space="preserve"> is the distance between known point </w:t>
      </w:r>
      <w:r w:rsidRPr="008A238E">
        <w:rPr>
          <w:i/>
          <w:sz w:val="24"/>
          <w:szCs w:val="24"/>
        </w:rPr>
        <w:t>x</w:t>
      </w:r>
      <w:r w:rsidRPr="008A238E">
        <w:rPr>
          <w:i/>
          <w:sz w:val="24"/>
          <w:szCs w:val="24"/>
          <w:vertAlign w:val="subscript"/>
        </w:rPr>
        <w:t>i</w:t>
      </w:r>
      <w:r>
        <w:rPr>
          <w:sz w:val="24"/>
          <w:szCs w:val="24"/>
        </w:rPr>
        <w:t xml:space="preserve"> and the interpolated point, and </w:t>
      </w:r>
      <w:r w:rsidRPr="00961DE7">
        <w:rPr>
          <w:sz w:val="24"/>
          <w:szCs w:val="24"/>
        </w:rPr>
        <w:t>p</w:t>
      </w:r>
      <w:r>
        <w:rPr>
          <w:sz w:val="24"/>
          <w:szCs w:val="24"/>
        </w:rPr>
        <w:t xml:space="preserve"> is the power parameter. Typical default value for the power parameter for many applications is 2 (inverse distance squared). Reducing the exponent weighs distant points more heavily.  For </w:t>
      </w:r>
      <w:r w:rsidRPr="008A238E">
        <w:rPr>
          <w:i/>
          <w:sz w:val="24"/>
          <w:szCs w:val="24"/>
        </w:rPr>
        <w:t>p=0</w:t>
      </w:r>
      <w:r w:rsidRPr="00961DE7">
        <w:rPr>
          <w:sz w:val="24"/>
          <w:szCs w:val="24"/>
        </w:rPr>
        <w:t xml:space="preserve"> </w:t>
      </w:r>
      <w:r w:rsidRPr="009834EE">
        <w:rPr>
          <w:sz w:val="24"/>
          <w:szCs w:val="24"/>
        </w:rPr>
        <w:t>(zero)</w:t>
      </w:r>
      <w:r>
        <w:rPr>
          <w:sz w:val="24"/>
          <w:szCs w:val="24"/>
        </w:rPr>
        <w:t xml:space="preserve"> there is no decrease in weight with distance and the prediction will be simply an average of the values within the search radius.   To conduct the initial sensitivity analysis, values of residential land use were varied from </w:t>
      </w:r>
      <w:r w:rsidR="00280FCA">
        <w:rPr>
          <w:sz w:val="24"/>
          <w:szCs w:val="24"/>
        </w:rPr>
        <w:t>1.0</w:t>
      </w:r>
      <w:r>
        <w:rPr>
          <w:sz w:val="24"/>
          <w:szCs w:val="24"/>
        </w:rPr>
        <w:t xml:space="preserve"> to 0.0 </w:t>
      </w:r>
      <w:r w:rsidR="00280FCA">
        <w:rPr>
          <w:sz w:val="24"/>
          <w:szCs w:val="24"/>
        </w:rPr>
        <w:t xml:space="preserve">in </w:t>
      </w:r>
      <w:r w:rsidR="004E6936">
        <w:rPr>
          <w:sz w:val="24"/>
          <w:szCs w:val="24"/>
        </w:rPr>
        <w:t xml:space="preserve">steps of </w:t>
      </w:r>
      <w:r w:rsidR="00280FCA">
        <w:rPr>
          <w:sz w:val="24"/>
          <w:szCs w:val="24"/>
        </w:rPr>
        <w:t>0.2</w:t>
      </w:r>
      <w:r w:rsidR="004E6936">
        <w:rPr>
          <w:sz w:val="24"/>
          <w:szCs w:val="24"/>
        </w:rPr>
        <w:t xml:space="preserve">, radius varied from 1 to </w:t>
      </w:r>
      <w:r>
        <w:rPr>
          <w:sz w:val="24"/>
          <w:szCs w:val="24"/>
        </w:rPr>
        <w:t xml:space="preserve">10 </w:t>
      </w:r>
      <w:r w:rsidR="00E7183A">
        <w:rPr>
          <w:sz w:val="24"/>
          <w:szCs w:val="24"/>
        </w:rPr>
        <w:t>km</w:t>
      </w:r>
      <w:r w:rsidR="004E6936">
        <w:rPr>
          <w:sz w:val="24"/>
          <w:szCs w:val="24"/>
        </w:rPr>
        <w:t xml:space="preserve">, and the </w:t>
      </w:r>
      <w:r w:rsidR="00280FCA">
        <w:rPr>
          <w:sz w:val="24"/>
          <w:szCs w:val="24"/>
        </w:rPr>
        <w:t xml:space="preserve">inverse distance weighting </w:t>
      </w:r>
      <w:r w:rsidR="004E6936">
        <w:rPr>
          <w:sz w:val="24"/>
          <w:szCs w:val="24"/>
        </w:rPr>
        <w:t xml:space="preserve">parameter was varied from </w:t>
      </w:r>
      <w:r>
        <w:rPr>
          <w:sz w:val="24"/>
          <w:szCs w:val="24"/>
        </w:rPr>
        <w:t>2 to 0</w:t>
      </w:r>
      <w:r w:rsidR="004E6936">
        <w:rPr>
          <w:sz w:val="24"/>
          <w:szCs w:val="24"/>
        </w:rPr>
        <w:t xml:space="preserve">. </w:t>
      </w:r>
      <w:r>
        <w:rPr>
          <w:sz w:val="24"/>
          <w:szCs w:val="24"/>
        </w:rPr>
        <w:t xml:space="preserve"> </w:t>
      </w:r>
      <w:r w:rsidR="004E6936">
        <w:rPr>
          <w:sz w:val="24"/>
          <w:szCs w:val="24"/>
        </w:rPr>
        <w:t>Land use, i</w:t>
      </w:r>
      <w:r w:rsidR="00280FCA">
        <w:rPr>
          <w:sz w:val="24"/>
          <w:szCs w:val="24"/>
        </w:rPr>
        <w:t>ntegrated for each combination of parameters</w:t>
      </w:r>
      <w:r w:rsidR="004E6936">
        <w:rPr>
          <w:sz w:val="24"/>
          <w:szCs w:val="24"/>
        </w:rPr>
        <w:t>,</w:t>
      </w:r>
      <w:r w:rsidR="00414245">
        <w:rPr>
          <w:sz w:val="24"/>
          <w:szCs w:val="24"/>
        </w:rPr>
        <w:t xml:space="preserve"> was calculated </w:t>
      </w:r>
      <w:r w:rsidR="00E67218">
        <w:rPr>
          <w:sz w:val="24"/>
          <w:szCs w:val="24"/>
        </w:rPr>
        <w:t>for each cell in</w:t>
      </w:r>
      <w:r w:rsidR="00ED58F0">
        <w:rPr>
          <w:sz w:val="24"/>
          <w:szCs w:val="24"/>
        </w:rPr>
        <w:t xml:space="preserve"> the</w:t>
      </w:r>
      <w:r w:rsidR="00414245">
        <w:rPr>
          <w:sz w:val="24"/>
          <w:szCs w:val="24"/>
        </w:rPr>
        <w:t xml:space="preserve"> </w:t>
      </w:r>
      <w:r w:rsidR="004E6936">
        <w:rPr>
          <w:sz w:val="24"/>
          <w:szCs w:val="24"/>
        </w:rPr>
        <w:t xml:space="preserve">200 </w:t>
      </w:r>
      <w:r w:rsidR="00E7183A">
        <w:rPr>
          <w:sz w:val="24"/>
          <w:szCs w:val="24"/>
        </w:rPr>
        <w:t>m</w:t>
      </w:r>
      <w:r w:rsidR="00414245">
        <w:rPr>
          <w:sz w:val="24"/>
          <w:szCs w:val="24"/>
        </w:rPr>
        <w:t xml:space="preserve"> grid</w:t>
      </w:r>
      <w:r w:rsidR="00280FCA">
        <w:rPr>
          <w:sz w:val="24"/>
          <w:szCs w:val="24"/>
        </w:rPr>
        <w:t xml:space="preserve">. </w:t>
      </w:r>
      <w:r w:rsidR="004E6936">
        <w:rPr>
          <w:sz w:val="24"/>
          <w:szCs w:val="24"/>
        </w:rPr>
        <w:t xml:space="preserve">Integrated land use was then correlated with gravestone decay at each </w:t>
      </w:r>
      <w:r w:rsidR="004E6936" w:rsidRPr="00FE79D1">
        <w:rPr>
          <w:sz w:val="24"/>
          <w:szCs w:val="24"/>
        </w:rPr>
        <w:t xml:space="preserve">cemetery </w:t>
      </w:r>
      <w:r w:rsidR="004E6936">
        <w:rPr>
          <w:sz w:val="24"/>
          <w:szCs w:val="24"/>
        </w:rPr>
        <w:t>and c</w:t>
      </w:r>
      <w:r w:rsidR="00280FCA" w:rsidRPr="00FE79D1">
        <w:rPr>
          <w:sz w:val="24"/>
          <w:szCs w:val="24"/>
        </w:rPr>
        <w:t>orrelation coefficient</w:t>
      </w:r>
      <w:r w:rsidR="00280FCA">
        <w:rPr>
          <w:sz w:val="24"/>
          <w:szCs w:val="24"/>
        </w:rPr>
        <w:t>s</w:t>
      </w:r>
      <w:r w:rsidR="00280FCA" w:rsidRPr="00FE79D1">
        <w:rPr>
          <w:sz w:val="24"/>
          <w:szCs w:val="24"/>
        </w:rPr>
        <w:t xml:space="preserve"> (</w:t>
      </w:r>
      <w:r w:rsidR="00280FCA" w:rsidRPr="004E6936">
        <w:rPr>
          <w:i/>
          <w:sz w:val="24"/>
          <w:szCs w:val="24"/>
        </w:rPr>
        <w:t>R</w:t>
      </w:r>
      <w:r w:rsidR="00280FCA" w:rsidRPr="004E6936">
        <w:rPr>
          <w:i/>
          <w:sz w:val="24"/>
          <w:szCs w:val="24"/>
          <w:vertAlign w:val="superscript"/>
        </w:rPr>
        <w:t>2</w:t>
      </w:r>
      <w:r w:rsidR="00280FCA" w:rsidRPr="00FE79D1">
        <w:rPr>
          <w:sz w:val="24"/>
          <w:szCs w:val="24"/>
        </w:rPr>
        <w:t xml:space="preserve">) </w:t>
      </w:r>
      <w:r w:rsidR="00280FCA">
        <w:rPr>
          <w:sz w:val="24"/>
          <w:szCs w:val="24"/>
        </w:rPr>
        <w:t>determined</w:t>
      </w:r>
      <w:r w:rsidRPr="00FE79D1">
        <w:rPr>
          <w:sz w:val="24"/>
          <w:szCs w:val="24"/>
        </w:rPr>
        <w:t>.</w:t>
      </w:r>
      <w:r>
        <w:rPr>
          <w:sz w:val="24"/>
          <w:szCs w:val="24"/>
        </w:rPr>
        <w:t xml:space="preserve">  </w:t>
      </w:r>
      <w:r w:rsidRPr="00FE79D1">
        <w:rPr>
          <w:sz w:val="24"/>
          <w:szCs w:val="24"/>
        </w:rPr>
        <w:t xml:space="preserve">  </w:t>
      </w:r>
    </w:p>
    <w:p w:rsidR="00BE6C44" w:rsidRDefault="00FF66AB" w:rsidP="00961DE7">
      <w:pPr>
        <w:spacing w:line="360" w:lineRule="auto"/>
        <w:ind w:firstLine="360"/>
        <w:rPr>
          <w:sz w:val="24"/>
          <w:szCs w:val="24"/>
        </w:rPr>
      </w:pPr>
      <w:r>
        <w:rPr>
          <w:sz w:val="24"/>
          <w:szCs w:val="24"/>
        </w:rPr>
        <w:t>S</w:t>
      </w:r>
      <w:r w:rsidR="00BE6C44">
        <w:rPr>
          <w:sz w:val="24"/>
          <w:szCs w:val="24"/>
        </w:rPr>
        <w:t>ince deterministic methods such as IDW differ in their application from geostatistical and interpolation methods (Zimmerman et al., 1999), several additional techniques of land-use interpolation were employed. These include</w:t>
      </w:r>
      <w:r w:rsidR="00391221">
        <w:rPr>
          <w:sz w:val="24"/>
          <w:szCs w:val="24"/>
        </w:rPr>
        <w:t>d</w:t>
      </w:r>
      <w:r w:rsidR="00BE6C44">
        <w:rPr>
          <w:sz w:val="24"/>
          <w:szCs w:val="24"/>
        </w:rPr>
        <w:t>: ordinary kriging, kernel density, and point density calculations all done within ArcGIS</w:t>
      </w:r>
      <w:r w:rsidR="00B815DF">
        <w:rPr>
          <w:sz w:val="24"/>
          <w:szCs w:val="24"/>
        </w:rPr>
        <w:t>®</w:t>
      </w:r>
      <w:r w:rsidR="00BE6C44">
        <w:rPr>
          <w:sz w:val="24"/>
          <w:szCs w:val="24"/>
        </w:rPr>
        <w:t xml:space="preserve"> Geostatistical Analyst</w:t>
      </w:r>
      <w:r w:rsidR="00B815DF">
        <w:rPr>
          <w:sz w:val="24"/>
          <w:szCs w:val="24"/>
        </w:rPr>
        <w:t>®</w:t>
      </w:r>
      <w:r w:rsidR="00BE6C44">
        <w:rPr>
          <w:sz w:val="24"/>
          <w:szCs w:val="24"/>
        </w:rPr>
        <w:t xml:space="preserve"> and Spatial Analyst</w:t>
      </w:r>
      <w:r w:rsidR="00B815DF">
        <w:rPr>
          <w:sz w:val="24"/>
          <w:szCs w:val="24"/>
        </w:rPr>
        <w:t>®</w:t>
      </w:r>
      <w:r w:rsidR="00BE6C44">
        <w:rPr>
          <w:sz w:val="24"/>
          <w:szCs w:val="24"/>
        </w:rPr>
        <w:t xml:space="preserve">. For each land-use interpolation method the resulting land-use values at </w:t>
      </w:r>
      <w:r w:rsidR="00391221">
        <w:rPr>
          <w:sz w:val="24"/>
          <w:szCs w:val="24"/>
        </w:rPr>
        <w:t>cemeteries</w:t>
      </w:r>
      <w:r w:rsidR="00BE6C44">
        <w:rPr>
          <w:sz w:val="24"/>
          <w:szCs w:val="24"/>
        </w:rPr>
        <w:t xml:space="preserve"> </w:t>
      </w:r>
      <w:r w:rsidR="00C63D50">
        <w:rPr>
          <w:sz w:val="24"/>
          <w:szCs w:val="24"/>
        </w:rPr>
        <w:t>were</w:t>
      </w:r>
      <w:r w:rsidR="00BE6C44">
        <w:rPr>
          <w:sz w:val="24"/>
          <w:szCs w:val="24"/>
        </w:rPr>
        <w:t xml:space="preserve"> correlated with gravestone decay</w:t>
      </w:r>
      <w:r w:rsidR="00E67218">
        <w:rPr>
          <w:sz w:val="24"/>
          <w:szCs w:val="24"/>
        </w:rPr>
        <w:t xml:space="preserve"> rate for each decade</w:t>
      </w:r>
      <w:r w:rsidR="00BE6C44">
        <w:rPr>
          <w:sz w:val="24"/>
          <w:szCs w:val="24"/>
        </w:rPr>
        <w:t>.</w:t>
      </w:r>
    </w:p>
    <w:p w:rsidR="00BE6C44" w:rsidRDefault="004B5D5C" w:rsidP="00BE6C44">
      <w:pPr>
        <w:spacing w:line="360" w:lineRule="auto"/>
        <w:rPr>
          <w:b/>
          <w:sz w:val="24"/>
          <w:szCs w:val="24"/>
        </w:rPr>
      </w:pPr>
      <w:r>
        <w:rPr>
          <w:b/>
          <w:sz w:val="24"/>
          <w:szCs w:val="24"/>
        </w:rPr>
        <w:t>2</w:t>
      </w:r>
      <w:r w:rsidR="00BE6C44">
        <w:rPr>
          <w:b/>
          <w:sz w:val="24"/>
          <w:szCs w:val="24"/>
        </w:rPr>
        <w:t>.4.2 Directional dependence of land-use and gravestone</w:t>
      </w:r>
      <w:r w:rsidR="00950299">
        <w:rPr>
          <w:b/>
          <w:sz w:val="24"/>
          <w:szCs w:val="24"/>
        </w:rPr>
        <w:t xml:space="preserve"> decay rate</w:t>
      </w:r>
    </w:p>
    <w:p w:rsidR="00BE6C44" w:rsidRPr="00BF7DF7" w:rsidRDefault="00BE6C44" w:rsidP="00961DE7">
      <w:pPr>
        <w:spacing w:line="360" w:lineRule="auto"/>
        <w:ind w:firstLine="360"/>
        <w:rPr>
          <w:sz w:val="24"/>
          <w:szCs w:val="24"/>
        </w:rPr>
      </w:pPr>
      <w:r w:rsidRPr="00BF7DF7">
        <w:rPr>
          <w:sz w:val="24"/>
          <w:szCs w:val="24"/>
        </w:rPr>
        <w:t xml:space="preserve">The directional dependence </w:t>
      </w:r>
      <w:r>
        <w:rPr>
          <w:sz w:val="24"/>
          <w:szCs w:val="24"/>
        </w:rPr>
        <w:t xml:space="preserve">of land use on stone decay </w:t>
      </w:r>
      <w:r w:rsidR="00950299">
        <w:rPr>
          <w:sz w:val="24"/>
          <w:szCs w:val="24"/>
        </w:rPr>
        <w:t xml:space="preserve">rate </w:t>
      </w:r>
      <w:r>
        <w:rPr>
          <w:sz w:val="24"/>
          <w:szCs w:val="24"/>
        </w:rPr>
        <w:t xml:space="preserve">was evaluated by </w:t>
      </w:r>
      <w:r w:rsidR="00622176">
        <w:rPr>
          <w:sz w:val="24"/>
          <w:szCs w:val="24"/>
        </w:rPr>
        <w:t xml:space="preserve">integrating land use within </w:t>
      </w:r>
      <w:r>
        <w:rPr>
          <w:sz w:val="24"/>
          <w:szCs w:val="24"/>
        </w:rPr>
        <w:t>search windows of 90</w:t>
      </w:r>
      <w:r w:rsidRPr="00BF7DF7">
        <w:rPr>
          <w:sz w:val="24"/>
          <w:szCs w:val="24"/>
        </w:rPr>
        <w:sym w:font="Symbol" w:char="F0B0"/>
      </w:r>
      <w:r>
        <w:rPr>
          <w:sz w:val="24"/>
          <w:szCs w:val="24"/>
        </w:rPr>
        <w:t>, 120</w:t>
      </w:r>
      <w:r w:rsidRPr="00BF7DF7">
        <w:rPr>
          <w:sz w:val="24"/>
          <w:szCs w:val="24"/>
        </w:rPr>
        <w:sym w:font="Symbol" w:char="F0B0"/>
      </w:r>
      <w:r>
        <w:rPr>
          <w:sz w:val="24"/>
          <w:szCs w:val="24"/>
        </w:rPr>
        <w:t>, and 180</w:t>
      </w:r>
      <w:r w:rsidRPr="00BF7DF7">
        <w:rPr>
          <w:sz w:val="24"/>
          <w:szCs w:val="24"/>
        </w:rPr>
        <w:sym w:font="Symbol" w:char="F0B0"/>
      </w:r>
      <w:r>
        <w:rPr>
          <w:sz w:val="24"/>
          <w:szCs w:val="24"/>
        </w:rPr>
        <w:t xml:space="preserve"> </w:t>
      </w:r>
      <w:r w:rsidR="00A03788">
        <w:rPr>
          <w:sz w:val="24"/>
          <w:szCs w:val="24"/>
        </w:rPr>
        <w:t>rotated in 45</w:t>
      </w:r>
      <w:r w:rsidR="00A03788" w:rsidRPr="00A03788">
        <w:rPr>
          <w:sz w:val="24"/>
          <w:szCs w:val="24"/>
        </w:rPr>
        <w:sym w:font="Symbol" w:char="F0B0"/>
      </w:r>
      <w:r w:rsidR="00A03788">
        <w:rPr>
          <w:sz w:val="24"/>
          <w:szCs w:val="24"/>
        </w:rPr>
        <w:t>, 60</w:t>
      </w:r>
      <w:r w:rsidR="00A03788" w:rsidRPr="00A03788">
        <w:rPr>
          <w:sz w:val="24"/>
          <w:szCs w:val="24"/>
        </w:rPr>
        <w:sym w:font="Symbol" w:char="F0B0"/>
      </w:r>
      <w:r w:rsidR="00A03788">
        <w:rPr>
          <w:sz w:val="24"/>
          <w:szCs w:val="24"/>
        </w:rPr>
        <w:t>, and 60</w:t>
      </w:r>
      <w:r w:rsidR="00A03788" w:rsidRPr="00A03788">
        <w:rPr>
          <w:sz w:val="24"/>
          <w:szCs w:val="24"/>
        </w:rPr>
        <w:sym w:font="Symbol" w:char="F0B0"/>
      </w:r>
      <w:r w:rsidR="00A03788">
        <w:rPr>
          <w:sz w:val="24"/>
          <w:szCs w:val="24"/>
        </w:rPr>
        <w:t xml:space="preserve"> degree increments, respectively. For each search window, l</w:t>
      </w:r>
      <w:r>
        <w:rPr>
          <w:sz w:val="24"/>
          <w:szCs w:val="24"/>
        </w:rPr>
        <w:t xml:space="preserve">and-use </w:t>
      </w:r>
      <w:r w:rsidR="00B97A2D">
        <w:rPr>
          <w:sz w:val="24"/>
          <w:szCs w:val="24"/>
        </w:rPr>
        <w:t>indicators</w:t>
      </w:r>
      <w:r>
        <w:rPr>
          <w:sz w:val="24"/>
          <w:szCs w:val="24"/>
        </w:rPr>
        <w:t xml:space="preserve"> were calculated </w:t>
      </w:r>
      <w:r w:rsidR="00B12DE0">
        <w:rPr>
          <w:sz w:val="24"/>
          <w:szCs w:val="24"/>
        </w:rPr>
        <w:t>at</w:t>
      </w:r>
      <w:r w:rsidR="00A03788">
        <w:rPr>
          <w:sz w:val="24"/>
          <w:szCs w:val="24"/>
        </w:rPr>
        <w:t xml:space="preserve"> 200 </w:t>
      </w:r>
      <w:r w:rsidR="00E7183A">
        <w:rPr>
          <w:sz w:val="24"/>
          <w:szCs w:val="24"/>
        </w:rPr>
        <w:t>m</w:t>
      </w:r>
      <w:r w:rsidR="00A03788">
        <w:rPr>
          <w:sz w:val="24"/>
          <w:szCs w:val="24"/>
        </w:rPr>
        <w:t xml:space="preserve"> grid cells </w:t>
      </w:r>
      <w:r>
        <w:rPr>
          <w:sz w:val="24"/>
          <w:szCs w:val="24"/>
        </w:rPr>
        <w:t>using the point density function in ArcGIS</w:t>
      </w:r>
      <w:r w:rsidR="00B815DF">
        <w:rPr>
          <w:sz w:val="24"/>
          <w:szCs w:val="24"/>
        </w:rPr>
        <w:t>®</w:t>
      </w:r>
      <w:r w:rsidR="00A03788">
        <w:rPr>
          <w:sz w:val="24"/>
          <w:szCs w:val="24"/>
        </w:rPr>
        <w:t xml:space="preserve"> Spatial Analyst</w:t>
      </w:r>
      <w:r w:rsidR="00B815DF">
        <w:rPr>
          <w:sz w:val="24"/>
          <w:szCs w:val="24"/>
        </w:rPr>
        <w:t>®</w:t>
      </w:r>
      <w:r w:rsidR="00A03788">
        <w:rPr>
          <w:sz w:val="24"/>
          <w:szCs w:val="24"/>
        </w:rPr>
        <w:t>. Calculations were</w:t>
      </w:r>
      <w:r w:rsidR="00264EE7">
        <w:rPr>
          <w:sz w:val="24"/>
          <w:szCs w:val="24"/>
        </w:rPr>
        <w:t xml:space="preserve"> made using </w:t>
      </w:r>
      <w:r>
        <w:rPr>
          <w:sz w:val="24"/>
          <w:szCs w:val="24"/>
        </w:rPr>
        <w:t xml:space="preserve">optimized parameters for radius and residential land use for each search window. The interpolated land use at each measured cemetery was </w:t>
      </w:r>
      <w:r w:rsidR="00C63D50">
        <w:rPr>
          <w:sz w:val="24"/>
          <w:szCs w:val="24"/>
        </w:rPr>
        <w:t>again</w:t>
      </w:r>
      <w:r>
        <w:rPr>
          <w:sz w:val="24"/>
          <w:szCs w:val="24"/>
        </w:rPr>
        <w:t xml:space="preserve"> correlated with gravestone decay</w:t>
      </w:r>
      <w:r w:rsidR="00264EE7">
        <w:rPr>
          <w:sz w:val="24"/>
          <w:szCs w:val="24"/>
        </w:rPr>
        <w:t xml:space="preserve"> at that point</w:t>
      </w:r>
      <w:r>
        <w:rPr>
          <w:sz w:val="24"/>
          <w:szCs w:val="24"/>
        </w:rPr>
        <w:t>.</w:t>
      </w:r>
      <w:r w:rsidR="00264EE7">
        <w:rPr>
          <w:sz w:val="24"/>
          <w:szCs w:val="24"/>
        </w:rPr>
        <w:t xml:space="preserve"> To evaluate directional trends, rose diagrams were constructed using the mean azimuth of each search window and the </w:t>
      </w:r>
      <w:r w:rsidR="0048675D">
        <w:rPr>
          <w:sz w:val="24"/>
          <w:szCs w:val="24"/>
        </w:rPr>
        <w:t>correlation coefficient between measured graveston</w:t>
      </w:r>
      <w:r w:rsidR="00FE5127">
        <w:rPr>
          <w:sz w:val="24"/>
          <w:szCs w:val="24"/>
        </w:rPr>
        <w:t xml:space="preserve">e decay </w:t>
      </w:r>
      <w:r w:rsidR="00950299">
        <w:rPr>
          <w:sz w:val="24"/>
          <w:szCs w:val="24"/>
        </w:rPr>
        <w:t xml:space="preserve">rate </w:t>
      </w:r>
      <w:r w:rsidR="00FE5127">
        <w:rPr>
          <w:sz w:val="24"/>
          <w:szCs w:val="24"/>
        </w:rPr>
        <w:t>and the calculated land-</w:t>
      </w:r>
      <w:r w:rsidR="0048675D">
        <w:rPr>
          <w:sz w:val="24"/>
          <w:szCs w:val="24"/>
        </w:rPr>
        <w:t xml:space="preserve">use </w:t>
      </w:r>
      <w:r w:rsidR="00B97A2D">
        <w:rPr>
          <w:sz w:val="24"/>
          <w:szCs w:val="24"/>
        </w:rPr>
        <w:t>indicator</w:t>
      </w:r>
      <w:r w:rsidR="0048675D">
        <w:rPr>
          <w:sz w:val="24"/>
          <w:szCs w:val="24"/>
        </w:rPr>
        <w:t xml:space="preserve"> for each directional search.</w:t>
      </w:r>
    </w:p>
    <w:p w:rsidR="00BE6C44" w:rsidRPr="00810992" w:rsidRDefault="004B5D5C" w:rsidP="00BE6C44">
      <w:pPr>
        <w:spacing w:line="360" w:lineRule="auto"/>
        <w:rPr>
          <w:b/>
          <w:sz w:val="24"/>
          <w:szCs w:val="24"/>
        </w:rPr>
      </w:pPr>
      <w:r>
        <w:rPr>
          <w:b/>
          <w:sz w:val="24"/>
          <w:szCs w:val="24"/>
        </w:rPr>
        <w:t>2</w:t>
      </w:r>
      <w:r w:rsidR="00BE6C44">
        <w:rPr>
          <w:b/>
          <w:sz w:val="24"/>
          <w:szCs w:val="24"/>
        </w:rPr>
        <w:t xml:space="preserve">.5 Correlation of gravestone decay rates and measured </w:t>
      </w:r>
      <w:r w:rsidR="00950299">
        <w:rPr>
          <w:b/>
          <w:sz w:val="24"/>
          <w:szCs w:val="24"/>
        </w:rPr>
        <w:t xml:space="preserve">atmospheric </w:t>
      </w:r>
      <w:r w:rsidR="00BE6C44">
        <w:rPr>
          <w:b/>
          <w:sz w:val="24"/>
          <w:szCs w:val="24"/>
        </w:rPr>
        <w:t>SO</w:t>
      </w:r>
      <w:r w:rsidR="00BE6C44">
        <w:rPr>
          <w:b/>
          <w:sz w:val="24"/>
          <w:szCs w:val="24"/>
          <w:vertAlign w:val="subscript"/>
        </w:rPr>
        <w:t>2</w:t>
      </w:r>
      <w:r w:rsidR="00810992">
        <w:rPr>
          <w:b/>
          <w:sz w:val="24"/>
          <w:szCs w:val="24"/>
        </w:rPr>
        <w:t xml:space="preserve"> and smoke</w:t>
      </w:r>
    </w:p>
    <w:p w:rsidR="00512705" w:rsidRDefault="00BE6C44" w:rsidP="00961DE7">
      <w:pPr>
        <w:spacing w:line="360" w:lineRule="auto"/>
        <w:ind w:firstLine="360"/>
        <w:rPr>
          <w:sz w:val="24"/>
          <w:szCs w:val="24"/>
        </w:rPr>
      </w:pPr>
      <w:r>
        <w:rPr>
          <w:sz w:val="24"/>
          <w:szCs w:val="24"/>
        </w:rPr>
        <w:lastRenderedPageBreak/>
        <w:t xml:space="preserve">Two separate sets of interpolated grids of gravestone decay rates were generated.  </w:t>
      </w:r>
      <w:r w:rsidR="008A089B">
        <w:rPr>
          <w:sz w:val="24"/>
          <w:szCs w:val="24"/>
        </w:rPr>
        <w:t>F</w:t>
      </w:r>
      <w:r w:rsidR="00512705">
        <w:rPr>
          <w:sz w:val="24"/>
          <w:szCs w:val="24"/>
        </w:rPr>
        <w:t xml:space="preserve">irst, decadally averaged decay rates </w:t>
      </w:r>
      <w:r w:rsidR="00810992">
        <w:rPr>
          <w:sz w:val="24"/>
          <w:szCs w:val="24"/>
        </w:rPr>
        <w:t xml:space="preserve">for </w:t>
      </w:r>
      <w:r w:rsidR="00512705">
        <w:rPr>
          <w:sz w:val="24"/>
          <w:szCs w:val="24"/>
        </w:rPr>
        <w:t xml:space="preserve">each cemetery were interpolated </w:t>
      </w:r>
      <w:r w:rsidR="00810992">
        <w:rPr>
          <w:sz w:val="24"/>
          <w:szCs w:val="24"/>
        </w:rPr>
        <w:t xml:space="preserve">spatially </w:t>
      </w:r>
      <w:r w:rsidR="00512705">
        <w:rPr>
          <w:sz w:val="24"/>
          <w:szCs w:val="24"/>
        </w:rPr>
        <w:t>using</w:t>
      </w:r>
      <w:r w:rsidR="00B520CF">
        <w:rPr>
          <w:sz w:val="24"/>
          <w:szCs w:val="24"/>
        </w:rPr>
        <w:t xml:space="preserve"> Empirical Bayesian Kriging</w:t>
      </w:r>
      <w:r>
        <w:rPr>
          <w:sz w:val="24"/>
          <w:szCs w:val="24"/>
        </w:rPr>
        <w:t xml:space="preserve">.  </w:t>
      </w:r>
      <w:r w:rsidR="00512705">
        <w:rPr>
          <w:sz w:val="24"/>
          <w:szCs w:val="24"/>
        </w:rPr>
        <w:t>S</w:t>
      </w:r>
      <w:r>
        <w:rPr>
          <w:sz w:val="24"/>
          <w:szCs w:val="24"/>
        </w:rPr>
        <w:t>econd</w:t>
      </w:r>
      <w:r w:rsidR="00512705">
        <w:rPr>
          <w:sz w:val="24"/>
          <w:szCs w:val="24"/>
        </w:rPr>
        <w:t>,</w:t>
      </w:r>
      <w:r>
        <w:rPr>
          <w:sz w:val="24"/>
          <w:szCs w:val="24"/>
        </w:rPr>
        <w:t xml:space="preserve"> </w:t>
      </w:r>
      <w:r w:rsidR="00512705">
        <w:rPr>
          <w:sz w:val="24"/>
          <w:szCs w:val="24"/>
        </w:rPr>
        <w:t>the linear least-squares regression</w:t>
      </w:r>
      <w:r w:rsidR="00810992">
        <w:rPr>
          <w:sz w:val="24"/>
          <w:szCs w:val="24"/>
        </w:rPr>
        <w:t xml:space="preserve"> equation describing the relation between</w:t>
      </w:r>
      <w:r w:rsidR="00512705">
        <w:rPr>
          <w:sz w:val="24"/>
          <w:szCs w:val="24"/>
        </w:rPr>
        <w:t xml:space="preserve"> land use and </w:t>
      </w:r>
      <w:r w:rsidR="00ED58F0">
        <w:rPr>
          <w:sz w:val="24"/>
          <w:szCs w:val="24"/>
        </w:rPr>
        <w:t xml:space="preserve">gravestone </w:t>
      </w:r>
      <w:r w:rsidR="00512705">
        <w:rPr>
          <w:sz w:val="24"/>
          <w:szCs w:val="24"/>
        </w:rPr>
        <w:t xml:space="preserve">decay </w:t>
      </w:r>
      <w:r w:rsidR="00676B96">
        <w:rPr>
          <w:sz w:val="24"/>
          <w:szCs w:val="24"/>
        </w:rPr>
        <w:t xml:space="preserve">rate </w:t>
      </w:r>
      <w:r w:rsidR="00512705">
        <w:rPr>
          <w:sz w:val="24"/>
          <w:szCs w:val="24"/>
        </w:rPr>
        <w:t xml:space="preserve">was used to </w:t>
      </w:r>
      <w:r w:rsidR="00810992">
        <w:rPr>
          <w:sz w:val="24"/>
          <w:szCs w:val="24"/>
        </w:rPr>
        <w:t xml:space="preserve">assign </w:t>
      </w:r>
      <w:r w:rsidR="00FE5127">
        <w:rPr>
          <w:sz w:val="24"/>
          <w:szCs w:val="24"/>
        </w:rPr>
        <w:t xml:space="preserve">decay rates </w:t>
      </w:r>
      <w:r w:rsidR="00810992">
        <w:rPr>
          <w:sz w:val="24"/>
          <w:szCs w:val="24"/>
        </w:rPr>
        <w:t>spatially</w:t>
      </w:r>
      <w:r w:rsidR="00512705">
        <w:rPr>
          <w:sz w:val="24"/>
          <w:szCs w:val="24"/>
        </w:rPr>
        <w:t>.</w:t>
      </w:r>
      <w:r w:rsidR="00512705" w:rsidRPr="00512705">
        <w:rPr>
          <w:sz w:val="24"/>
          <w:szCs w:val="24"/>
        </w:rPr>
        <w:t xml:space="preserve"> </w:t>
      </w:r>
      <w:r w:rsidR="00512705">
        <w:rPr>
          <w:sz w:val="24"/>
          <w:szCs w:val="24"/>
        </w:rPr>
        <w:t>The</w:t>
      </w:r>
      <w:r w:rsidR="00512705" w:rsidRPr="00FE79D1">
        <w:rPr>
          <w:sz w:val="24"/>
          <w:szCs w:val="24"/>
        </w:rPr>
        <w:t xml:space="preserve"> </w:t>
      </w:r>
      <w:r w:rsidR="00512705">
        <w:rPr>
          <w:sz w:val="24"/>
          <w:szCs w:val="24"/>
        </w:rPr>
        <w:t xml:space="preserve">interpolated </w:t>
      </w:r>
      <w:r w:rsidR="00810992">
        <w:rPr>
          <w:sz w:val="24"/>
          <w:szCs w:val="24"/>
        </w:rPr>
        <w:t xml:space="preserve">and assigned </w:t>
      </w:r>
      <w:r w:rsidR="00512705">
        <w:rPr>
          <w:sz w:val="24"/>
          <w:szCs w:val="24"/>
        </w:rPr>
        <w:t>gravestone decay rates</w:t>
      </w:r>
      <w:r w:rsidR="00512705" w:rsidRPr="00FE79D1">
        <w:rPr>
          <w:sz w:val="24"/>
          <w:szCs w:val="24"/>
        </w:rPr>
        <w:t xml:space="preserve"> </w:t>
      </w:r>
      <w:r w:rsidR="00810992">
        <w:rPr>
          <w:sz w:val="24"/>
          <w:szCs w:val="24"/>
        </w:rPr>
        <w:t xml:space="preserve">at the location of air quality monitoring stations </w:t>
      </w:r>
      <w:r w:rsidR="00512705">
        <w:rPr>
          <w:sz w:val="24"/>
          <w:szCs w:val="24"/>
        </w:rPr>
        <w:t>were</w:t>
      </w:r>
      <w:r w:rsidR="00512705" w:rsidRPr="00FE79D1">
        <w:rPr>
          <w:sz w:val="24"/>
          <w:szCs w:val="24"/>
        </w:rPr>
        <w:t xml:space="preserve"> </w:t>
      </w:r>
      <w:r w:rsidR="00810992">
        <w:rPr>
          <w:sz w:val="24"/>
          <w:szCs w:val="24"/>
        </w:rPr>
        <w:t xml:space="preserve">then </w:t>
      </w:r>
      <w:r w:rsidR="00512705" w:rsidRPr="00FE79D1">
        <w:rPr>
          <w:sz w:val="24"/>
          <w:szCs w:val="24"/>
        </w:rPr>
        <w:t xml:space="preserve">plotted against </w:t>
      </w:r>
      <w:r w:rsidR="00512705">
        <w:rPr>
          <w:sz w:val="24"/>
          <w:szCs w:val="24"/>
        </w:rPr>
        <w:t>measured SO</w:t>
      </w:r>
      <w:r w:rsidR="00512705" w:rsidRPr="00A3548E">
        <w:rPr>
          <w:sz w:val="24"/>
          <w:szCs w:val="24"/>
          <w:vertAlign w:val="subscript"/>
        </w:rPr>
        <w:t>2</w:t>
      </w:r>
      <w:r w:rsidR="00512705">
        <w:rPr>
          <w:sz w:val="24"/>
          <w:szCs w:val="24"/>
        </w:rPr>
        <w:t xml:space="preserve"> and smoke and </w:t>
      </w:r>
      <w:r w:rsidR="00512705" w:rsidRPr="00FE79D1">
        <w:rPr>
          <w:sz w:val="24"/>
          <w:szCs w:val="24"/>
        </w:rPr>
        <w:t>correlation coefficient</w:t>
      </w:r>
      <w:r w:rsidR="00512705">
        <w:rPr>
          <w:sz w:val="24"/>
          <w:szCs w:val="24"/>
        </w:rPr>
        <w:t>s</w:t>
      </w:r>
      <w:r w:rsidR="00512705" w:rsidRPr="00FE79D1">
        <w:rPr>
          <w:sz w:val="24"/>
          <w:szCs w:val="24"/>
        </w:rPr>
        <w:t xml:space="preserve"> (</w:t>
      </w:r>
      <w:r w:rsidR="00512705" w:rsidRPr="008A238E">
        <w:rPr>
          <w:i/>
          <w:sz w:val="24"/>
          <w:szCs w:val="24"/>
        </w:rPr>
        <w:t>R</w:t>
      </w:r>
      <w:r w:rsidR="00512705" w:rsidRPr="008A238E">
        <w:rPr>
          <w:i/>
          <w:sz w:val="24"/>
          <w:szCs w:val="24"/>
          <w:vertAlign w:val="superscript"/>
        </w:rPr>
        <w:t>2</w:t>
      </w:r>
      <w:r w:rsidR="00512705" w:rsidRPr="00FE79D1">
        <w:rPr>
          <w:sz w:val="24"/>
          <w:szCs w:val="24"/>
        </w:rPr>
        <w:t xml:space="preserve">) </w:t>
      </w:r>
      <w:r w:rsidR="00512705">
        <w:rPr>
          <w:sz w:val="24"/>
          <w:szCs w:val="24"/>
        </w:rPr>
        <w:t xml:space="preserve">determined to evaluate the relationship between gravestone decay rates </w:t>
      </w:r>
      <w:r w:rsidR="00676B96">
        <w:rPr>
          <w:sz w:val="24"/>
          <w:szCs w:val="24"/>
        </w:rPr>
        <w:t xml:space="preserve">(either spatially interpolated or assigned based on land use) </w:t>
      </w:r>
      <w:r w:rsidR="00512705">
        <w:rPr>
          <w:sz w:val="24"/>
          <w:szCs w:val="24"/>
        </w:rPr>
        <w:t>and air quality</w:t>
      </w:r>
      <w:r w:rsidR="00512705" w:rsidRPr="00FE79D1">
        <w:rPr>
          <w:sz w:val="24"/>
          <w:szCs w:val="24"/>
        </w:rPr>
        <w:t>.</w:t>
      </w:r>
      <w:r w:rsidR="00512705">
        <w:rPr>
          <w:sz w:val="24"/>
          <w:szCs w:val="24"/>
        </w:rPr>
        <w:t xml:space="preserve">  </w:t>
      </w:r>
    </w:p>
    <w:p w:rsidR="00132BFD" w:rsidRPr="00132BFD" w:rsidRDefault="00132BFD" w:rsidP="00132BFD">
      <w:pPr>
        <w:spacing w:line="360" w:lineRule="auto"/>
        <w:rPr>
          <w:b/>
          <w:sz w:val="24"/>
          <w:szCs w:val="24"/>
        </w:rPr>
      </w:pPr>
      <w:r w:rsidRPr="00132BFD">
        <w:rPr>
          <w:b/>
          <w:sz w:val="24"/>
          <w:szCs w:val="24"/>
        </w:rPr>
        <w:t>2.6 Evaluation of SO</w:t>
      </w:r>
      <w:r w:rsidRPr="00177373">
        <w:rPr>
          <w:b/>
          <w:sz w:val="24"/>
          <w:szCs w:val="24"/>
          <w:vertAlign w:val="subscript"/>
        </w:rPr>
        <w:t>2</w:t>
      </w:r>
      <w:r w:rsidRPr="00132BFD">
        <w:rPr>
          <w:b/>
          <w:sz w:val="24"/>
          <w:szCs w:val="24"/>
        </w:rPr>
        <w:t xml:space="preserve"> deposition efficiency</w:t>
      </w:r>
    </w:p>
    <w:p w:rsidR="00132BFD" w:rsidRDefault="00132BFD" w:rsidP="00132BFD">
      <w:pPr>
        <w:spacing w:line="360" w:lineRule="auto"/>
        <w:ind w:firstLine="360"/>
        <w:rPr>
          <w:sz w:val="24"/>
          <w:szCs w:val="24"/>
        </w:rPr>
      </w:pPr>
      <w:r>
        <w:rPr>
          <w:sz w:val="24"/>
          <w:szCs w:val="24"/>
        </w:rPr>
        <w:t xml:space="preserve"> Marble gravestone decay</w:t>
      </w:r>
      <w:r w:rsidRPr="00FE79D1">
        <w:rPr>
          <w:sz w:val="24"/>
          <w:szCs w:val="24"/>
        </w:rPr>
        <w:t xml:space="preserve"> is </w:t>
      </w:r>
      <w:r>
        <w:rPr>
          <w:sz w:val="24"/>
          <w:szCs w:val="24"/>
        </w:rPr>
        <w:t xml:space="preserve">a direct measure of </w:t>
      </w:r>
      <w:r w:rsidR="00EE6523">
        <w:rPr>
          <w:sz w:val="24"/>
          <w:szCs w:val="24"/>
        </w:rPr>
        <w:t>flux density of acid</w:t>
      </w:r>
      <w:r>
        <w:rPr>
          <w:sz w:val="24"/>
          <w:szCs w:val="24"/>
        </w:rPr>
        <w:t xml:space="preserve"> (</w:t>
      </w:r>
      <w:r w:rsidRPr="00391221">
        <w:rPr>
          <w:i/>
          <w:sz w:val="24"/>
          <w:szCs w:val="24"/>
        </w:rPr>
        <w:t>F</w:t>
      </w:r>
      <w:r>
        <w:rPr>
          <w:sz w:val="24"/>
          <w:szCs w:val="24"/>
        </w:rPr>
        <w:t>)</w:t>
      </w:r>
      <w:r w:rsidR="00F02C15">
        <w:rPr>
          <w:sz w:val="24"/>
          <w:szCs w:val="24"/>
        </w:rPr>
        <w:t xml:space="preserve"> (Mooers and Massman, in press)</w:t>
      </w:r>
      <w:r>
        <w:rPr>
          <w:sz w:val="24"/>
          <w:szCs w:val="24"/>
        </w:rPr>
        <w:t>, which, in turn, is determined by the atmospheric concentration of pollutants (</w:t>
      </w:r>
      <w:r w:rsidRPr="00391221">
        <w:rPr>
          <w:i/>
          <w:sz w:val="24"/>
          <w:szCs w:val="24"/>
        </w:rPr>
        <w:t>C</w:t>
      </w:r>
      <w:r>
        <w:rPr>
          <w:sz w:val="24"/>
          <w:szCs w:val="24"/>
        </w:rPr>
        <w:t xml:space="preserve">) at height </w:t>
      </w:r>
      <w:r w:rsidRPr="00391221">
        <w:rPr>
          <w:i/>
          <w:sz w:val="24"/>
          <w:szCs w:val="24"/>
        </w:rPr>
        <w:t>z</w:t>
      </w:r>
      <w:r>
        <w:rPr>
          <w:sz w:val="24"/>
          <w:szCs w:val="24"/>
        </w:rPr>
        <w:t>, and the deposition velocity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d</m:t>
            </m:r>
          </m:sub>
        </m:sSub>
      </m:oMath>
      <w:r>
        <w:rPr>
          <w:sz w:val="24"/>
          <w:szCs w:val="24"/>
        </w:rPr>
        <w:t>) given as</w:t>
      </w:r>
    </w:p>
    <w:p w:rsidR="00132BFD" w:rsidRPr="00B815DF" w:rsidRDefault="00132BFD" w:rsidP="00B815DF">
      <w:pPr>
        <w:tabs>
          <w:tab w:val="center" w:pos="4680"/>
          <w:tab w:val="right" w:pos="9180"/>
        </w:tabs>
        <w:jc w:val="center"/>
        <w:rPr>
          <w:sz w:val="24"/>
          <w:szCs w:val="24"/>
        </w:rPr>
      </w:pPr>
      <w:r w:rsidRPr="00B815DF">
        <w:rPr>
          <w:sz w:val="24"/>
          <w:szCs w:val="24"/>
        </w:rPr>
        <w:tab/>
      </w:r>
      <m:oMath>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d</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-F</m:t>
            </m:r>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z</m:t>
                </m:r>
              </m:sub>
            </m:sSub>
          </m:den>
        </m:f>
      </m:oMath>
      <w:r w:rsidRPr="00B815DF">
        <w:rPr>
          <w:sz w:val="24"/>
          <w:szCs w:val="24"/>
        </w:rPr>
        <w:t>.</w:t>
      </w:r>
      <w:r w:rsidR="008B2FB2" w:rsidRPr="00B815DF">
        <w:rPr>
          <w:sz w:val="24"/>
          <w:szCs w:val="24"/>
        </w:rPr>
        <w:tab/>
        <w:t>[2]</w:t>
      </w:r>
    </w:p>
    <w:p w:rsidR="00E324E5" w:rsidRDefault="00132BFD" w:rsidP="00132BFD">
      <w:pPr>
        <w:spacing w:line="360" w:lineRule="auto"/>
        <w:ind w:firstLine="360"/>
        <w:rPr>
          <w:sz w:val="24"/>
          <w:szCs w:val="24"/>
        </w:rPr>
      </w:pPr>
      <w:r>
        <w:rPr>
          <w:sz w:val="24"/>
          <w:szCs w:val="24"/>
        </w:rPr>
        <w:t>SO</w:t>
      </w:r>
      <w:r w:rsidRPr="00A173A6">
        <w:rPr>
          <w:sz w:val="24"/>
          <w:szCs w:val="24"/>
          <w:vertAlign w:val="subscript"/>
        </w:rPr>
        <w:t>2</w:t>
      </w:r>
      <w:r>
        <w:rPr>
          <w:sz w:val="24"/>
          <w:szCs w:val="24"/>
        </w:rPr>
        <w:t xml:space="preserve"> measurements give us a quantitative measure of the atmospheric concentration. </w:t>
      </w:r>
      <w:r w:rsidRPr="004A5CED">
        <w:rPr>
          <w:sz w:val="24"/>
          <w:szCs w:val="24"/>
        </w:rPr>
        <w:t>If</w:t>
      </w:r>
      <w:r>
        <w:rPr>
          <w:sz w:val="24"/>
          <w:szCs w:val="24"/>
        </w:rPr>
        <w:t xml:space="preserve"> the stone decay is assumed to result from deposition of sulfuric acid, stone decay rates are a measure of the flux of acid to the stone surface, which is a function of the production rate of sulfuric acid from </w:t>
      </w:r>
      <w:r w:rsidRPr="001B70BB">
        <w:rPr>
          <w:sz w:val="24"/>
          <w:szCs w:val="24"/>
        </w:rPr>
        <w:t>SO</w:t>
      </w:r>
      <w:r w:rsidRPr="001B70BB">
        <w:rPr>
          <w:sz w:val="24"/>
          <w:szCs w:val="24"/>
          <w:vertAlign w:val="subscript"/>
        </w:rPr>
        <w:t>2</w:t>
      </w:r>
      <w:r>
        <w:rPr>
          <w:sz w:val="24"/>
          <w:szCs w:val="24"/>
        </w:rPr>
        <w:t xml:space="preserve"> oxidation.  It is therefore instructive to plot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d</m:t>
            </m:r>
          </m:sub>
        </m:sSub>
      </m:oMath>
      <w:r>
        <w:rPr>
          <w:rFonts w:eastAsiaTheme="minorEastAsia"/>
        </w:rPr>
        <w:t xml:space="preserve"> </w:t>
      </w:r>
      <w:r>
        <w:rPr>
          <w:sz w:val="24"/>
          <w:szCs w:val="24"/>
        </w:rPr>
        <w:t xml:space="preserve">as a function of time to evaluate temporal changes in deposition </w:t>
      </w:r>
      <w:r w:rsidRPr="00132BFD">
        <w:rPr>
          <w:sz w:val="24"/>
          <w:szCs w:val="24"/>
        </w:rPr>
        <w:t>velocity (deposition efficiency) of</w:t>
      </w:r>
      <w:r>
        <w:rPr>
          <w:sz w:val="24"/>
          <w:szCs w:val="24"/>
        </w:rPr>
        <w:t xml:space="preserve"> </w:t>
      </w:r>
      <w:r w:rsidRPr="00097AF3">
        <w:rPr>
          <w:sz w:val="24"/>
          <w:szCs w:val="24"/>
        </w:rPr>
        <w:t>SO</w:t>
      </w:r>
      <w:r w:rsidRPr="00132BFD">
        <w:rPr>
          <w:sz w:val="24"/>
          <w:szCs w:val="24"/>
          <w:vertAlign w:val="subscript"/>
        </w:rPr>
        <w:t xml:space="preserve">2 </w:t>
      </w:r>
      <w:r>
        <w:rPr>
          <w:sz w:val="24"/>
          <w:szCs w:val="24"/>
        </w:rPr>
        <w:t>,</w:t>
      </w:r>
      <w:r w:rsidRPr="00132BFD">
        <w:rPr>
          <w:sz w:val="24"/>
          <w:szCs w:val="24"/>
        </w:rPr>
        <w:t xml:space="preserve"> </w:t>
      </w:r>
      <w:r>
        <w:rPr>
          <w:sz w:val="24"/>
          <w:szCs w:val="24"/>
        </w:rPr>
        <w:t>which</w:t>
      </w:r>
      <w:r w:rsidRPr="00132BFD">
        <w:rPr>
          <w:sz w:val="24"/>
          <w:szCs w:val="24"/>
        </w:rPr>
        <w:t xml:space="preserve"> can be affected by a number of factors</w:t>
      </w:r>
      <w:r>
        <w:rPr>
          <w:sz w:val="24"/>
          <w:szCs w:val="24"/>
        </w:rPr>
        <w:t xml:space="preserve"> that </w:t>
      </w:r>
      <w:r w:rsidR="00F02C15">
        <w:rPr>
          <w:sz w:val="24"/>
          <w:szCs w:val="24"/>
        </w:rPr>
        <w:t xml:space="preserve">influence </w:t>
      </w:r>
      <w:r>
        <w:rPr>
          <w:sz w:val="24"/>
          <w:szCs w:val="24"/>
        </w:rPr>
        <w:t xml:space="preserve">the </w:t>
      </w:r>
      <w:r w:rsidR="00097AF3">
        <w:rPr>
          <w:sz w:val="24"/>
          <w:szCs w:val="24"/>
        </w:rPr>
        <w:t xml:space="preserve">correlation of gravestone decay with air quality. </w:t>
      </w:r>
      <w:r>
        <w:rPr>
          <w:sz w:val="24"/>
          <w:szCs w:val="24"/>
        </w:rPr>
        <w:t xml:space="preserve"> </w:t>
      </w:r>
    </w:p>
    <w:p w:rsidR="00544FA5" w:rsidRDefault="00E324E5" w:rsidP="00F02C15">
      <w:pPr>
        <w:spacing w:line="360" w:lineRule="auto"/>
        <w:ind w:firstLine="360"/>
        <w:rPr>
          <w:sz w:val="24"/>
          <w:szCs w:val="24"/>
        </w:rPr>
      </w:pPr>
      <w:r>
        <w:rPr>
          <w:sz w:val="24"/>
          <w:szCs w:val="24"/>
        </w:rPr>
        <w:t xml:space="preserve">Deposition velocities were calculated </w:t>
      </w:r>
      <w:r w:rsidR="00544FA5">
        <w:rPr>
          <w:sz w:val="24"/>
          <w:szCs w:val="24"/>
        </w:rPr>
        <w:t xml:space="preserve">at the 26 air quality monitoring stations </w:t>
      </w:r>
      <w:r>
        <w:rPr>
          <w:sz w:val="24"/>
          <w:szCs w:val="24"/>
        </w:rPr>
        <w:t xml:space="preserve">using the mean annual </w:t>
      </w:r>
      <w:r w:rsidRPr="00E324E5">
        <w:rPr>
          <w:sz w:val="24"/>
          <w:szCs w:val="24"/>
        </w:rPr>
        <w:t>SO</w:t>
      </w:r>
      <w:r w:rsidRPr="00F02C15">
        <w:rPr>
          <w:sz w:val="24"/>
          <w:szCs w:val="24"/>
        </w:rPr>
        <w:t>2</w:t>
      </w:r>
      <w:r w:rsidRPr="00E324E5">
        <w:rPr>
          <w:sz w:val="24"/>
          <w:szCs w:val="24"/>
        </w:rPr>
        <w:t xml:space="preserve"> </w:t>
      </w:r>
      <w:r>
        <w:rPr>
          <w:sz w:val="24"/>
          <w:szCs w:val="24"/>
        </w:rPr>
        <w:t xml:space="preserve">concentration and the interpolated gravestone decay </w:t>
      </w:r>
      <w:r w:rsidR="00544FA5">
        <w:rPr>
          <w:sz w:val="24"/>
          <w:szCs w:val="24"/>
        </w:rPr>
        <w:t>rate</w:t>
      </w:r>
      <w:r>
        <w:rPr>
          <w:sz w:val="24"/>
          <w:szCs w:val="24"/>
        </w:rPr>
        <w:t xml:space="preserve"> determined using the optimized land use correlation with gravestone decay</w:t>
      </w:r>
      <w:r w:rsidR="00544FA5">
        <w:rPr>
          <w:sz w:val="24"/>
          <w:szCs w:val="24"/>
        </w:rPr>
        <w:t xml:space="preserve">.  Decay rates were </w:t>
      </w:r>
      <w:r w:rsidR="0009163C">
        <w:rPr>
          <w:sz w:val="24"/>
          <w:szCs w:val="24"/>
        </w:rPr>
        <w:t xml:space="preserve">then </w:t>
      </w:r>
      <w:r w:rsidR="00544FA5">
        <w:rPr>
          <w:sz w:val="24"/>
          <w:szCs w:val="24"/>
        </w:rPr>
        <w:t xml:space="preserve">converted to flux </w:t>
      </w:r>
      <w:r w:rsidRPr="00544FA5">
        <w:rPr>
          <w:sz w:val="24"/>
          <w:szCs w:val="24"/>
        </w:rPr>
        <w:t>of</w:t>
      </w:r>
      <w:r>
        <w:rPr>
          <w:sz w:val="24"/>
          <w:szCs w:val="24"/>
        </w:rPr>
        <w:t xml:space="preserve"> acid as equivalent </w:t>
      </w:r>
      <w:r w:rsidRPr="00E324E5">
        <w:rPr>
          <w:sz w:val="24"/>
          <w:szCs w:val="24"/>
        </w:rPr>
        <w:t>SO</w:t>
      </w:r>
      <w:r w:rsidRPr="00F02C15">
        <w:rPr>
          <w:sz w:val="24"/>
          <w:szCs w:val="24"/>
          <w:vertAlign w:val="subscript"/>
        </w:rPr>
        <w:t>2</w:t>
      </w:r>
      <w:r w:rsidR="00544FA5">
        <w:rPr>
          <w:sz w:val="24"/>
          <w:szCs w:val="24"/>
        </w:rPr>
        <w:t xml:space="preserve"> as</w:t>
      </w:r>
    </w:p>
    <w:p w:rsidR="00544FA5" w:rsidRPr="00B815DF" w:rsidRDefault="00B815DF" w:rsidP="00B815DF">
      <w:pPr>
        <w:tabs>
          <w:tab w:val="center" w:pos="4680"/>
          <w:tab w:val="right" w:pos="9180"/>
        </w:tabs>
        <w:jc w:val="center"/>
        <w:rPr>
          <w:rFonts w:ascii="Cambria Math" w:hAnsi="Cambria Math"/>
        </w:rPr>
      </w:pPr>
      <w:r>
        <w:rPr>
          <w:sz w:val="24"/>
          <w:szCs w:val="24"/>
        </w:rPr>
        <w:tab/>
      </w:r>
      <w:r w:rsidR="00544FA5">
        <w:rPr>
          <w:sz w:val="24"/>
          <w:szCs w:val="24"/>
        </w:rPr>
        <w:t xml:space="preserve"> </w:t>
      </w:r>
      <m:oMath>
        <m:r>
          <w:rPr>
            <w:rFonts w:ascii="Cambria Math" w:hAnsi="Cambria Math"/>
          </w:rPr>
          <m:t>F=</m:t>
        </m:r>
        <m:acc>
          <m:accPr>
            <m:chr m:val="̇"/>
            <m:ctrlPr>
              <w:rPr>
                <w:rFonts w:ascii="Cambria Math" w:hAnsi="Cambria Math"/>
                <w:i/>
              </w:rPr>
            </m:ctrlPr>
          </m:accPr>
          <m:e>
            <m:r>
              <w:rPr>
                <w:rFonts w:ascii="Cambria Math" w:hAnsi="Cambria Math"/>
              </w:rPr>
              <m:t>e</m:t>
            </m:r>
          </m:e>
        </m:acc>
        <m:r>
          <w:rPr>
            <w:rFonts w:ascii="Cambria Math" w:hAnsi="Cambria Math"/>
          </w:rPr>
          <m:t>ρ</m:t>
        </m:r>
        <m:sSub>
          <m:sSubPr>
            <m:ctrlPr>
              <w:rPr>
                <w:rFonts w:ascii="Cambria Math" w:hAnsi="Cambria Math"/>
                <w:i/>
              </w:rPr>
            </m:ctrlPr>
          </m:sSubPr>
          <m:e>
            <m:r>
              <w:rPr>
                <w:rFonts w:ascii="Cambria Math" w:hAnsi="Cambria Math"/>
              </w:rPr>
              <m:t>w</m:t>
            </m:r>
          </m:e>
          <m:sub>
            <m:r>
              <w:rPr>
                <w:rFonts w:ascii="Cambria Math" w:hAnsi="Cambria Math"/>
              </w:rPr>
              <m:t>i</m:t>
            </m:r>
          </m:sub>
        </m:sSub>
        <m:f>
          <m:fPr>
            <m:ctrlPr>
              <w:rPr>
                <w:rFonts w:ascii="Cambria Math" w:hAnsi="Cambria Math"/>
                <w:i/>
              </w:rPr>
            </m:ctrlPr>
          </m:fPr>
          <m:num>
            <m:r>
              <w:rPr>
                <w:rFonts w:ascii="Cambria Math" w:hAnsi="Cambria Math"/>
              </w:rPr>
              <m:t>M(CaC</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m:t>
            </m:r>
          </m:num>
          <m:den>
            <m:r>
              <w:rPr>
                <w:rFonts w:ascii="Cambria Math" w:hAnsi="Cambria Math"/>
              </w:rPr>
              <m:t>M(</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m:t>
            </m:r>
          </m:den>
        </m:f>
      </m:oMath>
      <w:r w:rsidR="00F02C15">
        <w:rPr>
          <w:rFonts w:eastAsiaTheme="minorEastAsia"/>
        </w:rPr>
        <w:t>,</w:t>
      </w:r>
      <w:r w:rsidR="00544FA5">
        <w:rPr>
          <w:rFonts w:eastAsiaTheme="minorEastAsia"/>
        </w:rPr>
        <w:tab/>
      </w:r>
      <w:r w:rsidR="00544FA5" w:rsidRPr="00B815DF">
        <w:rPr>
          <w:rFonts w:eastAsiaTheme="minorEastAsia"/>
        </w:rPr>
        <w:t>[3]</w:t>
      </w:r>
    </w:p>
    <w:p w:rsidR="00132BFD" w:rsidRPr="00961DE7" w:rsidRDefault="00544FA5" w:rsidP="00F20551">
      <w:pPr>
        <w:spacing w:line="360" w:lineRule="auto"/>
        <w:rPr>
          <w:sz w:val="24"/>
          <w:szCs w:val="24"/>
        </w:rPr>
      </w:pPr>
      <w:r w:rsidRPr="00837D2D">
        <w:lastRenderedPageBreak/>
        <w:t>where (</w:t>
      </w:r>
      <m:oMath>
        <m:acc>
          <m:accPr>
            <m:chr m:val="̇"/>
            <m:ctrlPr>
              <w:rPr>
                <w:rFonts w:ascii="Cambria Math" w:hAnsi="Cambria Math"/>
                <w:i/>
              </w:rPr>
            </m:ctrlPr>
          </m:accPr>
          <m:e>
            <m:r>
              <w:rPr>
                <w:rFonts w:ascii="Cambria Math" w:hAnsi="Cambria Math"/>
              </w:rPr>
              <m:t>e</m:t>
            </m:r>
          </m:e>
        </m:acc>
      </m:oMath>
      <w:r w:rsidRPr="00837D2D">
        <w:t xml:space="preserve">) is decay rate </w:t>
      </w:r>
      <w:r w:rsidRPr="00837D2D">
        <w:rPr>
          <w:i/>
        </w:rPr>
        <w:t>(l t</w:t>
      </w:r>
      <w:r w:rsidRPr="00837D2D">
        <w:rPr>
          <w:i/>
          <w:vertAlign w:val="superscript"/>
        </w:rPr>
        <w:t>-1</w:t>
      </w:r>
      <w:r w:rsidRPr="00837D2D">
        <w:rPr>
          <w:i/>
        </w:rPr>
        <w:t>)</w:t>
      </w:r>
      <w:r w:rsidRPr="00837D2D">
        <w:t xml:space="preserve">, </w:t>
      </w:r>
      <w:r w:rsidRPr="00837D2D">
        <w:rPr>
          <w:rFonts w:ascii="Symbol" w:hAnsi="Symbol"/>
          <w:i/>
        </w:rPr>
        <w:t></w:t>
      </w:r>
      <w:r w:rsidRPr="00837D2D">
        <w:t xml:space="preserve"> is the density of marble </w:t>
      </w:r>
      <w:r w:rsidRPr="00837D2D">
        <w:rPr>
          <w:i/>
        </w:rPr>
        <w:t>(M l</w:t>
      </w:r>
      <w:r w:rsidRPr="00837D2D">
        <w:rPr>
          <w:i/>
          <w:vertAlign w:val="superscript"/>
        </w:rPr>
        <w:t>-3</w:t>
      </w:r>
      <w:r w:rsidRPr="00837D2D">
        <w:rPr>
          <w:i/>
        </w:rPr>
        <w:t xml:space="preserve">) </w:t>
      </w:r>
      <w:r>
        <w:t xml:space="preserve">(we used 2600 kg </w:t>
      </w:r>
      <w:r w:rsidRPr="00837D2D">
        <w:t>m</w:t>
      </w:r>
      <w:r>
        <w:rPr>
          <w:vertAlign w:val="superscript"/>
        </w:rPr>
        <w:t>-3</w:t>
      </w:r>
      <w:r w:rsidRPr="00837D2D">
        <w:t xml:space="preserve">, Malaga-Starzec et al., (2006)),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Pr="00837D2D">
        <w:t xml:space="preserve"> is the mass fraction of SO</w:t>
      </w:r>
      <w:r w:rsidRPr="00837D2D">
        <w:rPr>
          <w:vertAlign w:val="subscript"/>
        </w:rPr>
        <w:t>2</w:t>
      </w:r>
      <w:r w:rsidRPr="00837D2D">
        <w:t xml:space="preserve"> in sulfuric acid (0.65), and M(CaCO</w:t>
      </w:r>
      <w:r w:rsidRPr="00837D2D">
        <w:rPr>
          <w:vertAlign w:val="subscript"/>
        </w:rPr>
        <w:t>3</w:t>
      </w:r>
      <w:r w:rsidRPr="00837D2D">
        <w:t>) and M(H</w:t>
      </w:r>
      <w:r w:rsidRPr="00837D2D">
        <w:rPr>
          <w:vertAlign w:val="subscript"/>
        </w:rPr>
        <w:t>2</w:t>
      </w:r>
      <w:r w:rsidRPr="00837D2D">
        <w:t>SO</w:t>
      </w:r>
      <w:r w:rsidRPr="00837D2D">
        <w:rPr>
          <w:vertAlign w:val="subscript"/>
        </w:rPr>
        <w:t>4</w:t>
      </w:r>
      <w:r w:rsidRPr="00837D2D">
        <w:t>) are the mole weight of calcite (100) and sulfuric acid (98), respectively.</w:t>
      </w:r>
    </w:p>
    <w:p w:rsidR="00BE6C44" w:rsidRPr="003E7271" w:rsidRDefault="004B5D5C" w:rsidP="00BE6C44">
      <w:pPr>
        <w:rPr>
          <w:b/>
          <w:sz w:val="24"/>
          <w:szCs w:val="24"/>
        </w:rPr>
      </w:pPr>
      <w:r>
        <w:rPr>
          <w:b/>
          <w:sz w:val="24"/>
          <w:szCs w:val="24"/>
        </w:rPr>
        <w:t>3</w:t>
      </w:r>
      <w:r w:rsidR="00BE6C44" w:rsidRPr="003E7271">
        <w:rPr>
          <w:b/>
          <w:sz w:val="24"/>
          <w:szCs w:val="24"/>
        </w:rPr>
        <w:t>. Results</w:t>
      </w:r>
    </w:p>
    <w:p w:rsidR="00BE6C44" w:rsidRPr="00C63D50" w:rsidRDefault="004B5D5C" w:rsidP="00C63D50">
      <w:pPr>
        <w:spacing w:line="360" w:lineRule="auto"/>
        <w:rPr>
          <w:b/>
          <w:sz w:val="24"/>
          <w:szCs w:val="24"/>
        </w:rPr>
      </w:pPr>
      <w:r>
        <w:rPr>
          <w:b/>
          <w:sz w:val="24"/>
          <w:szCs w:val="24"/>
        </w:rPr>
        <w:t>3</w:t>
      </w:r>
      <w:r w:rsidR="00BE6C44" w:rsidRPr="00C63D50">
        <w:rPr>
          <w:b/>
          <w:sz w:val="24"/>
          <w:szCs w:val="24"/>
        </w:rPr>
        <w:t xml:space="preserve">.1 </w:t>
      </w:r>
      <w:r w:rsidR="004343B9">
        <w:rPr>
          <w:b/>
          <w:sz w:val="24"/>
          <w:szCs w:val="24"/>
        </w:rPr>
        <w:t>D</w:t>
      </w:r>
      <w:r w:rsidR="00BE6C44" w:rsidRPr="00C63D50">
        <w:rPr>
          <w:b/>
          <w:sz w:val="24"/>
          <w:szCs w:val="24"/>
        </w:rPr>
        <w:t>ecay rates</w:t>
      </w:r>
    </w:p>
    <w:p w:rsidR="00BE6C44" w:rsidRPr="00C63D50" w:rsidRDefault="00BE6C44" w:rsidP="00961DE7">
      <w:pPr>
        <w:spacing w:line="360" w:lineRule="auto"/>
        <w:ind w:firstLine="360"/>
        <w:rPr>
          <w:sz w:val="24"/>
          <w:szCs w:val="24"/>
        </w:rPr>
      </w:pPr>
      <w:r w:rsidRPr="00C63D50">
        <w:rPr>
          <w:sz w:val="24"/>
          <w:szCs w:val="24"/>
        </w:rPr>
        <w:t xml:space="preserve">Gravestone decay for </w:t>
      </w:r>
      <w:r w:rsidR="00F02C15">
        <w:rPr>
          <w:sz w:val="24"/>
          <w:szCs w:val="24"/>
        </w:rPr>
        <w:t xml:space="preserve">the </w:t>
      </w:r>
      <w:r w:rsidRPr="00C63D50">
        <w:rPr>
          <w:sz w:val="24"/>
          <w:szCs w:val="24"/>
        </w:rPr>
        <w:t>33 cemeteries</w:t>
      </w:r>
      <w:r w:rsidR="000F3BC0">
        <w:rPr>
          <w:sz w:val="24"/>
          <w:szCs w:val="24"/>
        </w:rPr>
        <w:t xml:space="preserve"> </w:t>
      </w:r>
      <w:r w:rsidR="00F02C15" w:rsidRPr="00C63D50">
        <w:rPr>
          <w:sz w:val="24"/>
          <w:szCs w:val="24"/>
        </w:rPr>
        <w:t xml:space="preserve">included in this study </w:t>
      </w:r>
      <w:r w:rsidR="00D46644" w:rsidRPr="00C63D50">
        <w:rPr>
          <w:sz w:val="24"/>
          <w:szCs w:val="24"/>
        </w:rPr>
        <w:t>is</w:t>
      </w:r>
      <w:r w:rsidRPr="00C63D50">
        <w:rPr>
          <w:sz w:val="24"/>
          <w:szCs w:val="24"/>
        </w:rPr>
        <w:t xml:space="preserve"> shown in Figure </w:t>
      </w:r>
      <w:r w:rsidR="00D46644">
        <w:rPr>
          <w:sz w:val="24"/>
          <w:szCs w:val="24"/>
        </w:rPr>
        <w:t>3</w:t>
      </w:r>
      <w:r w:rsidR="00F02C15" w:rsidRPr="00F02C15">
        <w:rPr>
          <w:sz w:val="24"/>
          <w:szCs w:val="24"/>
        </w:rPr>
        <w:t xml:space="preserve"> </w:t>
      </w:r>
      <w:r w:rsidR="00F02C15">
        <w:rPr>
          <w:sz w:val="24"/>
          <w:szCs w:val="24"/>
        </w:rPr>
        <w:t>for the period 1950 to 2010</w:t>
      </w:r>
      <w:r w:rsidRPr="00C63D50">
        <w:rPr>
          <w:sz w:val="24"/>
          <w:szCs w:val="24"/>
        </w:rPr>
        <w:t>.  There is a great deal of variability in decay among stones within any single cemetery. Mooers et al. (2016) conducted an investigation of the sources of variability of stone decay and concluded that by far the largest variability is inherent to the stone. Differences in the physical setting</w:t>
      </w:r>
      <w:r w:rsidR="001E1E8B">
        <w:rPr>
          <w:sz w:val="24"/>
          <w:szCs w:val="24"/>
        </w:rPr>
        <w:t xml:space="preserve"> and local effects</w:t>
      </w:r>
      <w:r w:rsidRPr="00C63D50">
        <w:rPr>
          <w:sz w:val="24"/>
          <w:szCs w:val="24"/>
        </w:rPr>
        <w:t xml:space="preserve"> influence decay by at most a few percent</w:t>
      </w:r>
      <w:r w:rsidR="001E1E8B">
        <w:rPr>
          <w:sz w:val="24"/>
          <w:szCs w:val="24"/>
        </w:rPr>
        <w:t xml:space="preserve">, therefore the data plotted are </w:t>
      </w:r>
      <w:r w:rsidR="001E1E8B" w:rsidRPr="00C63D50">
        <w:rPr>
          <w:sz w:val="24"/>
          <w:szCs w:val="24"/>
        </w:rPr>
        <w:t>uncorrected for environmental variables</w:t>
      </w:r>
      <w:r w:rsidRPr="00C63D50">
        <w:rPr>
          <w:sz w:val="24"/>
          <w:szCs w:val="24"/>
        </w:rPr>
        <w:t xml:space="preserve">. </w:t>
      </w:r>
      <w:r w:rsidR="00C947D2" w:rsidRPr="00C63D50">
        <w:rPr>
          <w:sz w:val="24"/>
          <w:szCs w:val="24"/>
        </w:rPr>
        <w:t xml:space="preserve">Time-dependent </w:t>
      </w:r>
      <w:r w:rsidR="000F3BC0">
        <w:rPr>
          <w:sz w:val="24"/>
          <w:szCs w:val="24"/>
        </w:rPr>
        <w:t>decay</w:t>
      </w:r>
      <w:r w:rsidR="000F3BC0" w:rsidRPr="00C63D50">
        <w:rPr>
          <w:sz w:val="24"/>
          <w:szCs w:val="24"/>
        </w:rPr>
        <w:t xml:space="preserve"> </w:t>
      </w:r>
      <w:r w:rsidR="00C947D2" w:rsidRPr="00C63D50">
        <w:rPr>
          <w:sz w:val="24"/>
          <w:szCs w:val="24"/>
        </w:rPr>
        <w:t>rates were determined by least squares regression</w:t>
      </w:r>
      <w:r w:rsidR="000F3BC0">
        <w:rPr>
          <w:sz w:val="24"/>
          <w:szCs w:val="24"/>
        </w:rPr>
        <w:t xml:space="preserve"> (</w:t>
      </w:r>
      <w:r w:rsidR="00512705">
        <w:rPr>
          <w:sz w:val="24"/>
          <w:szCs w:val="24"/>
        </w:rPr>
        <w:t xml:space="preserve">Figure </w:t>
      </w:r>
      <w:r w:rsidR="00D46644">
        <w:rPr>
          <w:sz w:val="24"/>
          <w:szCs w:val="24"/>
        </w:rPr>
        <w:t>3</w:t>
      </w:r>
      <w:r w:rsidR="00165436">
        <w:rPr>
          <w:sz w:val="24"/>
          <w:szCs w:val="24"/>
        </w:rPr>
        <w:t>, Table 1</w:t>
      </w:r>
      <w:r w:rsidR="000F3BC0">
        <w:rPr>
          <w:sz w:val="24"/>
          <w:szCs w:val="24"/>
        </w:rPr>
        <w:t>)</w:t>
      </w:r>
      <w:r w:rsidR="00512705">
        <w:rPr>
          <w:sz w:val="24"/>
          <w:szCs w:val="24"/>
        </w:rPr>
        <w:t xml:space="preserve"> for each location.</w:t>
      </w:r>
    </w:p>
    <w:p w:rsidR="00BE6C44" w:rsidRPr="00C63D50" w:rsidRDefault="004B5D5C" w:rsidP="00C63D50">
      <w:pPr>
        <w:spacing w:line="360" w:lineRule="auto"/>
        <w:rPr>
          <w:b/>
          <w:sz w:val="24"/>
          <w:szCs w:val="24"/>
        </w:rPr>
      </w:pPr>
      <w:r>
        <w:rPr>
          <w:b/>
          <w:sz w:val="24"/>
          <w:szCs w:val="24"/>
        </w:rPr>
        <w:t>3</w:t>
      </w:r>
      <w:r w:rsidR="00BE6C44" w:rsidRPr="00C63D50">
        <w:rPr>
          <w:b/>
          <w:sz w:val="24"/>
          <w:szCs w:val="24"/>
        </w:rPr>
        <w:t xml:space="preserve">.2 Spatial Interpolation of Gravestone Decay </w:t>
      </w:r>
    </w:p>
    <w:p w:rsidR="002C1797" w:rsidRPr="002C1797" w:rsidRDefault="004B5D5C" w:rsidP="00961DE7">
      <w:pPr>
        <w:spacing w:line="360" w:lineRule="auto"/>
        <w:ind w:firstLine="360"/>
        <w:rPr>
          <w:b/>
          <w:sz w:val="24"/>
          <w:szCs w:val="24"/>
        </w:rPr>
      </w:pPr>
      <w:r>
        <w:rPr>
          <w:b/>
          <w:sz w:val="24"/>
          <w:szCs w:val="24"/>
        </w:rPr>
        <w:t>3</w:t>
      </w:r>
      <w:r w:rsidR="00BE6C44" w:rsidRPr="002C1797">
        <w:rPr>
          <w:b/>
          <w:sz w:val="24"/>
          <w:szCs w:val="24"/>
        </w:rPr>
        <w:t xml:space="preserve">.2.1 </w:t>
      </w:r>
      <w:r w:rsidR="002C1797" w:rsidRPr="002C1797">
        <w:rPr>
          <w:b/>
          <w:sz w:val="24"/>
          <w:szCs w:val="24"/>
        </w:rPr>
        <w:t>Variogram analysis</w:t>
      </w:r>
    </w:p>
    <w:p w:rsidR="00BE6C44" w:rsidRPr="00C63D50" w:rsidRDefault="00BE6C44" w:rsidP="00961DE7">
      <w:pPr>
        <w:spacing w:line="360" w:lineRule="auto"/>
        <w:ind w:firstLine="360"/>
        <w:rPr>
          <w:sz w:val="24"/>
          <w:szCs w:val="24"/>
        </w:rPr>
      </w:pPr>
      <w:r w:rsidRPr="00C63D50">
        <w:rPr>
          <w:sz w:val="24"/>
          <w:szCs w:val="24"/>
        </w:rPr>
        <w:t xml:space="preserve">Variograms of the decadally averaged gravestone decay rates from the 33 cemeteries for </w:t>
      </w:r>
      <w:r w:rsidR="002C1797">
        <w:rPr>
          <w:sz w:val="24"/>
          <w:szCs w:val="24"/>
        </w:rPr>
        <w:t xml:space="preserve">each decade </w:t>
      </w:r>
      <w:r w:rsidRPr="00C63D50">
        <w:rPr>
          <w:sz w:val="24"/>
          <w:szCs w:val="24"/>
        </w:rPr>
        <w:t xml:space="preserve">are shown in Figure </w:t>
      </w:r>
      <w:r w:rsidR="004343B9">
        <w:rPr>
          <w:sz w:val="24"/>
          <w:szCs w:val="24"/>
        </w:rPr>
        <w:t>4</w:t>
      </w:r>
      <w:r w:rsidR="007A00AD">
        <w:rPr>
          <w:sz w:val="24"/>
          <w:szCs w:val="24"/>
        </w:rPr>
        <w:t>A-E</w:t>
      </w:r>
      <w:r w:rsidRPr="00C63D50">
        <w:rPr>
          <w:sz w:val="24"/>
          <w:szCs w:val="24"/>
        </w:rPr>
        <w:t xml:space="preserve">. </w:t>
      </w:r>
      <w:r w:rsidR="00D966C8">
        <w:rPr>
          <w:sz w:val="24"/>
          <w:szCs w:val="24"/>
        </w:rPr>
        <w:t>In all cases t</w:t>
      </w:r>
      <w:r w:rsidRPr="00C63D50">
        <w:rPr>
          <w:sz w:val="24"/>
          <w:szCs w:val="24"/>
        </w:rPr>
        <w:t xml:space="preserve">he nugget is large compared </w:t>
      </w:r>
      <w:r w:rsidR="00E7183A">
        <w:rPr>
          <w:sz w:val="24"/>
          <w:szCs w:val="24"/>
        </w:rPr>
        <w:t>with</w:t>
      </w:r>
      <w:r w:rsidRPr="00C63D50">
        <w:rPr>
          <w:sz w:val="24"/>
          <w:szCs w:val="24"/>
        </w:rPr>
        <w:t xml:space="preserve"> the sill</w:t>
      </w:r>
      <w:r w:rsidR="00AC709F">
        <w:rPr>
          <w:sz w:val="24"/>
          <w:szCs w:val="24"/>
        </w:rPr>
        <w:t xml:space="preserve">, </w:t>
      </w:r>
      <w:r w:rsidR="00D966C8">
        <w:rPr>
          <w:sz w:val="24"/>
          <w:szCs w:val="24"/>
        </w:rPr>
        <w:t>particularly for the</w:t>
      </w:r>
      <w:r w:rsidR="00D966C8" w:rsidRPr="00C63D50">
        <w:rPr>
          <w:sz w:val="24"/>
          <w:szCs w:val="24"/>
        </w:rPr>
        <w:t xml:space="preserve"> 1960s – 1980s</w:t>
      </w:r>
      <w:r w:rsidR="00D966C8">
        <w:rPr>
          <w:sz w:val="24"/>
          <w:szCs w:val="24"/>
        </w:rPr>
        <w:t>,</w:t>
      </w:r>
      <w:r w:rsidR="00CB1922">
        <w:rPr>
          <w:sz w:val="24"/>
          <w:szCs w:val="24"/>
        </w:rPr>
        <w:t xml:space="preserve"> </w:t>
      </w:r>
      <w:r w:rsidR="0055293C">
        <w:rPr>
          <w:sz w:val="24"/>
          <w:szCs w:val="24"/>
        </w:rPr>
        <w:t xml:space="preserve">which </w:t>
      </w:r>
      <w:r w:rsidR="00F66645">
        <w:rPr>
          <w:sz w:val="24"/>
          <w:szCs w:val="24"/>
        </w:rPr>
        <w:t>leads</w:t>
      </w:r>
      <w:r w:rsidRPr="00C63D50">
        <w:rPr>
          <w:sz w:val="24"/>
          <w:szCs w:val="24"/>
        </w:rPr>
        <w:t xml:space="preserve"> to relative equality in kriging weights</w:t>
      </w:r>
      <w:r w:rsidR="00F66645">
        <w:rPr>
          <w:sz w:val="24"/>
          <w:szCs w:val="24"/>
        </w:rPr>
        <w:t xml:space="preserve"> and </w:t>
      </w:r>
      <w:r w:rsidRPr="00C63D50">
        <w:rPr>
          <w:sz w:val="24"/>
          <w:szCs w:val="24"/>
        </w:rPr>
        <w:t>interpolated values are simply averages of known points (Webster and Oliver 1992; University of Salzburg 2014). The ranges in all cases are between 5 and 10 km</w:t>
      </w:r>
      <w:r w:rsidR="0055293C">
        <w:rPr>
          <w:sz w:val="24"/>
          <w:szCs w:val="24"/>
        </w:rPr>
        <w:t>; t</w:t>
      </w:r>
      <w:r w:rsidRPr="00C63D50">
        <w:rPr>
          <w:sz w:val="24"/>
          <w:szCs w:val="24"/>
        </w:rPr>
        <w:t xml:space="preserve">his distance is </w:t>
      </w:r>
      <w:r w:rsidR="002C1797">
        <w:rPr>
          <w:sz w:val="24"/>
          <w:szCs w:val="24"/>
        </w:rPr>
        <w:t>similar to the</w:t>
      </w:r>
      <w:r w:rsidRPr="00C63D50">
        <w:rPr>
          <w:sz w:val="24"/>
          <w:szCs w:val="24"/>
        </w:rPr>
        <w:t xml:space="preserve"> average distance between measured cemeteries, again suggesting a lack of spatial correlation resulting in simply averaging of known points by kriging.</w:t>
      </w:r>
      <w:r w:rsidR="00CB1922">
        <w:rPr>
          <w:sz w:val="24"/>
          <w:szCs w:val="24"/>
        </w:rPr>
        <w:t xml:space="preserve">  Figure </w:t>
      </w:r>
      <w:r w:rsidR="00013339">
        <w:rPr>
          <w:sz w:val="24"/>
          <w:szCs w:val="24"/>
        </w:rPr>
        <w:t>4</w:t>
      </w:r>
      <w:r w:rsidR="00CB1922">
        <w:rPr>
          <w:sz w:val="24"/>
          <w:szCs w:val="24"/>
        </w:rPr>
        <w:t xml:space="preserve">F shows the spatially interpolated gravestone decay rates for the 1960s using Empirical Bayesian Kriging </w:t>
      </w:r>
      <w:r w:rsidR="008D1C35" w:rsidRPr="00C63D50">
        <w:rPr>
          <w:sz w:val="24"/>
          <w:szCs w:val="24"/>
        </w:rPr>
        <w:t xml:space="preserve">gridded at 200 </w:t>
      </w:r>
      <w:r w:rsidR="00E7183A">
        <w:rPr>
          <w:sz w:val="24"/>
          <w:szCs w:val="24"/>
        </w:rPr>
        <w:t>m</w:t>
      </w:r>
      <w:r w:rsidR="008D1C35">
        <w:rPr>
          <w:sz w:val="24"/>
          <w:szCs w:val="24"/>
        </w:rPr>
        <w:t xml:space="preserve">. </w:t>
      </w:r>
      <w:r w:rsidRPr="00C63D50">
        <w:rPr>
          <w:sz w:val="24"/>
          <w:szCs w:val="24"/>
        </w:rPr>
        <w:t xml:space="preserve">The interpolated decay rates were then compared </w:t>
      </w:r>
      <w:r w:rsidR="00E7183A">
        <w:rPr>
          <w:sz w:val="24"/>
          <w:szCs w:val="24"/>
        </w:rPr>
        <w:t>with</w:t>
      </w:r>
      <w:r w:rsidRPr="00C63D50">
        <w:rPr>
          <w:sz w:val="24"/>
          <w:szCs w:val="24"/>
        </w:rPr>
        <w:t xml:space="preserve"> air quality data from the </w:t>
      </w:r>
      <w:r w:rsidR="007B3020">
        <w:rPr>
          <w:sz w:val="24"/>
          <w:szCs w:val="24"/>
        </w:rPr>
        <w:t>11</w:t>
      </w:r>
      <w:r w:rsidRPr="00C63D50">
        <w:rPr>
          <w:sz w:val="24"/>
          <w:szCs w:val="24"/>
        </w:rPr>
        <w:t xml:space="preserve"> air quality monitoring stations </w:t>
      </w:r>
      <w:r w:rsidR="007B3020">
        <w:rPr>
          <w:sz w:val="24"/>
          <w:szCs w:val="24"/>
        </w:rPr>
        <w:t>available in the 1</w:t>
      </w:r>
      <w:r w:rsidR="00622176">
        <w:rPr>
          <w:sz w:val="24"/>
          <w:szCs w:val="24"/>
        </w:rPr>
        <w:t>9</w:t>
      </w:r>
      <w:r w:rsidR="007B3020">
        <w:rPr>
          <w:sz w:val="24"/>
          <w:szCs w:val="24"/>
        </w:rPr>
        <w:t>60s</w:t>
      </w:r>
      <w:r w:rsidR="00CB1922">
        <w:rPr>
          <w:sz w:val="24"/>
          <w:szCs w:val="24"/>
        </w:rPr>
        <w:t>; t</w:t>
      </w:r>
      <w:r w:rsidRPr="00C63D50">
        <w:rPr>
          <w:sz w:val="24"/>
          <w:szCs w:val="24"/>
        </w:rPr>
        <w:t xml:space="preserve">he correlation between interpolated gravestone decay (and therefore acid </w:t>
      </w:r>
      <w:r w:rsidR="008C1800">
        <w:rPr>
          <w:sz w:val="24"/>
          <w:szCs w:val="24"/>
        </w:rPr>
        <w:t>flux</w:t>
      </w:r>
      <w:r w:rsidRPr="00C63D50">
        <w:rPr>
          <w:sz w:val="24"/>
          <w:szCs w:val="24"/>
        </w:rPr>
        <w:t>) is</w:t>
      </w:r>
      <w:r w:rsidR="00C33E4B">
        <w:rPr>
          <w:sz w:val="24"/>
          <w:szCs w:val="24"/>
        </w:rPr>
        <w:t xml:space="preserve"> poor </w:t>
      </w:r>
      <w:r w:rsidR="004343B9">
        <w:rPr>
          <w:sz w:val="24"/>
          <w:szCs w:val="24"/>
        </w:rPr>
        <w:t xml:space="preserve"> (F</w:t>
      </w:r>
      <w:r w:rsidR="004343B9" w:rsidRPr="00C63D50">
        <w:rPr>
          <w:sz w:val="24"/>
          <w:szCs w:val="24"/>
        </w:rPr>
        <w:t xml:space="preserve">igure </w:t>
      </w:r>
      <w:r w:rsidR="00013339">
        <w:rPr>
          <w:sz w:val="24"/>
          <w:szCs w:val="24"/>
        </w:rPr>
        <w:t>4</w:t>
      </w:r>
      <w:r w:rsidR="004343B9">
        <w:rPr>
          <w:sz w:val="24"/>
          <w:szCs w:val="24"/>
        </w:rPr>
        <w:t xml:space="preserve">G) </w:t>
      </w:r>
      <w:r w:rsidR="00C33E4B">
        <w:rPr>
          <w:sz w:val="24"/>
          <w:szCs w:val="24"/>
        </w:rPr>
        <w:t>and r</w:t>
      </w:r>
      <w:r w:rsidR="007B3020">
        <w:rPr>
          <w:sz w:val="24"/>
          <w:szCs w:val="24"/>
        </w:rPr>
        <w:t xml:space="preserve">esults for </w:t>
      </w:r>
      <w:r w:rsidR="00CB1922">
        <w:rPr>
          <w:sz w:val="24"/>
          <w:szCs w:val="24"/>
        </w:rPr>
        <w:t>other decades</w:t>
      </w:r>
      <w:r w:rsidR="007B3020">
        <w:rPr>
          <w:sz w:val="24"/>
          <w:szCs w:val="24"/>
        </w:rPr>
        <w:t xml:space="preserve"> are similar.</w:t>
      </w:r>
      <w:r w:rsidRPr="00C63D50">
        <w:rPr>
          <w:sz w:val="24"/>
          <w:szCs w:val="24"/>
        </w:rPr>
        <w:t xml:space="preserve">  </w:t>
      </w:r>
    </w:p>
    <w:p w:rsidR="002C1797" w:rsidRPr="002C1797" w:rsidRDefault="004B5D5C" w:rsidP="00961DE7">
      <w:pPr>
        <w:spacing w:line="360" w:lineRule="auto"/>
        <w:ind w:firstLine="360"/>
        <w:rPr>
          <w:b/>
          <w:sz w:val="24"/>
          <w:szCs w:val="24"/>
        </w:rPr>
      </w:pPr>
      <w:r>
        <w:rPr>
          <w:b/>
          <w:sz w:val="24"/>
          <w:szCs w:val="24"/>
        </w:rPr>
        <w:t>3</w:t>
      </w:r>
      <w:r w:rsidR="00BE6C44" w:rsidRPr="002C1797">
        <w:rPr>
          <w:b/>
          <w:sz w:val="24"/>
          <w:szCs w:val="24"/>
        </w:rPr>
        <w:t xml:space="preserve">.2.2 </w:t>
      </w:r>
      <w:r w:rsidR="0080414D">
        <w:rPr>
          <w:b/>
          <w:sz w:val="24"/>
          <w:szCs w:val="24"/>
        </w:rPr>
        <w:t xml:space="preserve">Land Use and </w:t>
      </w:r>
      <w:r w:rsidR="002C1797" w:rsidRPr="002C1797">
        <w:rPr>
          <w:b/>
          <w:sz w:val="24"/>
          <w:szCs w:val="24"/>
        </w:rPr>
        <w:t>Optimization of Parameters</w:t>
      </w:r>
    </w:p>
    <w:p w:rsidR="0004388C" w:rsidRDefault="0080414D" w:rsidP="00961DE7">
      <w:pPr>
        <w:spacing w:line="360" w:lineRule="auto"/>
        <w:ind w:firstLine="360"/>
        <w:rPr>
          <w:sz w:val="24"/>
          <w:szCs w:val="24"/>
        </w:rPr>
      </w:pPr>
      <w:r>
        <w:rPr>
          <w:sz w:val="24"/>
          <w:szCs w:val="24"/>
        </w:rPr>
        <w:lastRenderedPageBreak/>
        <w:t xml:space="preserve">Digitized land use is shown in </w:t>
      </w:r>
      <w:r w:rsidR="002E1D24">
        <w:rPr>
          <w:sz w:val="24"/>
          <w:szCs w:val="24"/>
        </w:rPr>
        <w:t>Figure 5</w:t>
      </w:r>
      <w:r>
        <w:rPr>
          <w:sz w:val="24"/>
          <w:szCs w:val="24"/>
        </w:rPr>
        <w:t xml:space="preserve"> and the r</w:t>
      </w:r>
      <w:r w:rsidR="00BE6C44" w:rsidRPr="00C63D50">
        <w:rPr>
          <w:sz w:val="24"/>
          <w:szCs w:val="24"/>
        </w:rPr>
        <w:t xml:space="preserve">esults of the optimization of parameters for the land-use analysis using IDW are shown in </w:t>
      </w:r>
      <w:r w:rsidR="002E1D24">
        <w:rPr>
          <w:sz w:val="24"/>
          <w:szCs w:val="24"/>
        </w:rPr>
        <w:t>Figure 6</w:t>
      </w:r>
      <w:r w:rsidR="008B02D2">
        <w:rPr>
          <w:sz w:val="24"/>
          <w:szCs w:val="24"/>
        </w:rPr>
        <w:t xml:space="preserve"> and </w:t>
      </w:r>
      <w:r w:rsidR="00DA7B76">
        <w:rPr>
          <w:sz w:val="24"/>
          <w:szCs w:val="24"/>
        </w:rPr>
        <w:t xml:space="preserve">Table </w:t>
      </w:r>
      <w:r w:rsidR="004E45BE">
        <w:rPr>
          <w:sz w:val="24"/>
          <w:szCs w:val="24"/>
        </w:rPr>
        <w:t>3</w:t>
      </w:r>
      <w:r w:rsidR="00BE6C44" w:rsidRPr="00C63D50">
        <w:rPr>
          <w:sz w:val="24"/>
          <w:szCs w:val="24"/>
        </w:rPr>
        <w:t xml:space="preserve">.  </w:t>
      </w:r>
      <w:r w:rsidR="004E6936">
        <w:rPr>
          <w:sz w:val="24"/>
          <w:szCs w:val="24"/>
        </w:rPr>
        <w:t>The correlation between land use and gravestone decay was maximized for a</w:t>
      </w:r>
      <w:r w:rsidR="00CA1763">
        <w:rPr>
          <w:sz w:val="24"/>
          <w:szCs w:val="24"/>
        </w:rPr>
        <w:t>n effective</w:t>
      </w:r>
      <w:r w:rsidR="004E6936">
        <w:rPr>
          <w:sz w:val="24"/>
          <w:szCs w:val="24"/>
        </w:rPr>
        <w:t xml:space="preserve"> radius of approximately 7000m (</w:t>
      </w:r>
      <w:r w:rsidR="002E1D24">
        <w:rPr>
          <w:sz w:val="24"/>
          <w:szCs w:val="24"/>
        </w:rPr>
        <w:t>Figure 6</w:t>
      </w:r>
      <w:r w:rsidR="004E6936">
        <w:rPr>
          <w:sz w:val="24"/>
          <w:szCs w:val="24"/>
        </w:rPr>
        <w:t xml:space="preserve">A), a residential land-use </w:t>
      </w:r>
      <w:r w:rsidR="00B97A2D">
        <w:rPr>
          <w:sz w:val="24"/>
          <w:szCs w:val="24"/>
        </w:rPr>
        <w:t>indicator</w:t>
      </w:r>
      <w:r w:rsidR="004E6936">
        <w:rPr>
          <w:sz w:val="24"/>
          <w:szCs w:val="24"/>
        </w:rPr>
        <w:t xml:space="preserve"> of 0.0 (</w:t>
      </w:r>
      <w:r w:rsidR="002E1D24">
        <w:rPr>
          <w:sz w:val="24"/>
          <w:szCs w:val="24"/>
        </w:rPr>
        <w:t>Figure 6</w:t>
      </w:r>
      <w:r w:rsidR="004E6936">
        <w:rPr>
          <w:sz w:val="24"/>
          <w:szCs w:val="24"/>
        </w:rPr>
        <w:t xml:space="preserve">B), and an IDW power of </w:t>
      </w:r>
      <w:r w:rsidR="00CA1763">
        <w:rPr>
          <w:sz w:val="24"/>
          <w:szCs w:val="24"/>
        </w:rPr>
        <w:t>&lt; 0.25 with the best correlation at a value of 0</w:t>
      </w:r>
      <w:r w:rsidR="004E6936">
        <w:rPr>
          <w:sz w:val="24"/>
          <w:szCs w:val="24"/>
        </w:rPr>
        <w:t xml:space="preserve">.0 (Figure </w:t>
      </w:r>
      <w:r w:rsidR="001A6A5C">
        <w:rPr>
          <w:sz w:val="24"/>
          <w:szCs w:val="24"/>
        </w:rPr>
        <w:t>6</w:t>
      </w:r>
      <w:r w:rsidR="004E6936">
        <w:rPr>
          <w:sz w:val="24"/>
          <w:szCs w:val="24"/>
        </w:rPr>
        <w:t>C</w:t>
      </w:r>
      <w:r>
        <w:rPr>
          <w:sz w:val="24"/>
          <w:szCs w:val="24"/>
        </w:rPr>
        <w:t>)</w:t>
      </w:r>
      <w:r w:rsidR="004E6936">
        <w:rPr>
          <w:sz w:val="24"/>
          <w:szCs w:val="24"/>
        </w:rPr>
        <w:t xml:space="preserve">. </w:t>
      </w:r>
      <w:r w:rsidR="00B97A2D">
        <w:rPr>
          <w:sz w:val="24"/>
          <w:szCs w:val="24"/>
        </w:rPr>
        <w:t xml:space="preserve">Therefore the best correlation between land use and gravestone decay is achieved using the same indicator for residential area and green space. </w:t>
      </w:r>
      <w:r w:rsidR="00BE6C44" w:rsidRPr="00C63D50">
        <w:rPr>
          <w:sz w:val="24"/>
          <w:szCs w:val="24"/>
        </w:rPr>
        <w:t>Within the study area there are essentially no green spaces larger than 2-3 km in diameter (</w:t>
      </w:r>
      <w:r w:rsidR="002E1D24">
        <w:rPr>
          <w:sz w:val="24"/>
          <w:szCs w:val="24"/>
        </w:rPr>
        <w:t>Figure 5</w:t>
      </w:r>
      <w:r w:rsidR="00BE6C44" w:rsidRPr="00C63D50">
        <w:rPr>
          <w:sz w:val="24"/>
          <w:szCs w:val="24"/>
        </w:rPr>
        <w:t>)</w:t>
      </w:r>
      <w:r w:rsidR="0019630D">
        <w:rPr>
          <w:sz w:val="24"/>
          <w:szCs w:val="24"/>
        </w:rPr>
        <w:t>, which</w:t>
      </w:r>
      <w:r w:rsidR="00BE6C44" w:rsidRPr="00C63D50">
        <w:rPr>
          <w:sz w:val="24"/>
          <w:szCs w:val="24"/>
        </w:rPr>
        <w:t xml:space="preserve"> is less than half of the calculated </w:t>
      </w:r>
      <w:r w:rsidR="00CA1763">
        <w:rPr>
          <w:sz w:val="24"/>
          <w:szCs w:val="24"/>
        </w:rPr>
        <w:t>effective</w:t>
      </w:r>
      <w:r w:rsidR="00BE6C44" w:rsidRPr="00C63D50">
        <w:rPr>
          <w:sz w:val="24"/>
          <w:szCs w:val="24"/>
        </w:rPr>
        <w:t xml:space="preserve"> radius of influence </w:t>
      </w:r>
      <w:r>
        <w:rPr>
          <w:sz w:val="24"/>
          <w:szCs w:val="24"/>
        </w:rPr>
        <w:t xml:space="preserve">(7000 m) </w:t>
      </w:r>
      <w:r w:rsidR="00BE6C44" w:rsidRPr="00C63D50">
        <w:rPr>
          <w:sz w:val="24"/>
          <w:szCs w:val="24"/>
        </w:rPr>
        <w:t>suggesting that air quality in green spaces is likely no different from</w:t>
      </w:r>
      <w:r w:rsidR="002C1797">
        <w:rPr>
          <w:sz w:val="24"/>
          <w:szCs w:val="24"/>
        </w:rPr>
        <w:t>,</w:t>
      </w:r>
      <w:r w:rsidR="00BE6C44" w:rsidRPr="00C63D50">
        <w:rPr>
          <w:sz w:val="24"/>
          <w:szCs w:val="24"/>
        </w:rPr>
        <w:t xml:space="preserve"> and is controlled by</w:t>
      </w:r>
      <w:r w:rsidR="002C1797">
        <w:rPr>
          <w:sz w:val="24"/>
          <w:szCs w:val="24"/>
        </w:rPr>
        <w:t>,</w:t>
      </w:r>
      <w:r w:rsidR="00BE6C44" w:rsidRPr="00C63D50">
        <w:rPr>
          <w:sz w:val="24"/>
          <w:szCs w:val="24"/>
        </w:rPr>
        <w:t xml:space="preserve"> surrounding urban/industrial or residential areas.  An </w:t>
      </w:r>
      <w:r w:rsidR="003F5728">
        <w:rPr>
          <w:sz w:val="24"/>
          <w:szCs w:val="24"/>
        </w:rPr>
        <w:t xml:space="preserve">optimum </w:t>
      </w:r>
      <w:r w:rsidR="002C1797">
        <w:rPr>
          <w:sz w:val="24"/>
          <w:szCs w:val="24"/>
        </w:rPr>
        <w:t>inverse distance weighting</w:t>
      </w:r>
      <w:r w:rsidR="00BE6C44" w:rsidRPr="00C63D50">
        <w:rPr>
          <w:sz w:val="24"/>
          <w:szCs w:val="24"/>
        </w:rPr>
        <w:t xml:space="preserve"> power of 0.0 </w:t>
      </w:r>
      <w:r w:rsidR="002C1797">
        <w:rPr>
          <w:sz w:val="24"/>
          <w:szCs w:val="24"/>
        </w:rPr>
        <w:t>indicates</w:t>
      </w:r>
      <w:r w:rsidR="00BE6C44" w:rsidRPr="00C63D50">
        <w:rPr>
          <w:sz w:val="24"/>
          <w:szCs w:val="24"/>
        </w:rPr>
        <w:t xml:space="preserve"> that gravestone decay depends basically on an </w:t>
      </w:r>
      <w:r w:rsidR="00BE6C44" w:rsidRPr="0004388C">
        <w:rPr>
          <w:b/>
          <w:i/>
          <w:sz w:val="24"/>
          <w:szCs w:val="24"/>
        </w:rPr>
        <w:t>average</w:t>
      </w:r>
      <w:r w:rsidR="00BE6C44" w:rsidRPr="00C63D50">
        <w:rPr>
          <w:sz w:val="24"/>
          <w:szCs w:val="24"/>
        </w:rPr>
        <w:t xml:space="preserve"> of the air quality over a 7</w:t>
      </w:r>
      <w:r>
        <w:rPr>
          <w:sz w:val="24"/>
          <w:szCs w:val="24"/>
        </w:rPr>
        <w:t xml:space="preserve">000 </w:t>
      </w:r>
      <w:r w:rsidR="00BE6C44" w:rsidRPr="00C63D50">
        <w:rPr>
          <w:sz w:val="24"/>
          <w:szCs w:val="24"/>
        </w:rPr>
        <w:t xml:space="preserve">m radius of the surrounding area. </w:t>
      </w:r>
      <w:r w:rsidR="0004388C">
        <w:rPr>
          <w:sz w:val="24"/>
          <w:szCs w:val="24"/>
        </w:rPr>
        <w:t xml:space="preserve">This averaging is consistent with the variogram analysis, which suggested little spatial correlation in the gravestone decay measurements among cemeteries. </w:t>
      </w:r>
    </w:p>
    <w:p w:rsidR="00E47407" w:rsidRPr="006142AB" w:rsidRDefault="00AB4514" w:rsidP="006142AB">
      <w:pPr>
        <w:spacing w:line="360" w:lineRule="auto"/>
        <w:ind w:firstLine="360"/>
        <w:rPr>
          <w:sz w:val="24"/>
          <w:szCs w:val="24"/>
        </w:rPr>
      </w:pPr>
      <w:r>
        <w:rPr>
          <w:sz w:val="24"/>
          <w:szCs w:val="24"/>
        </w:rPr>
        <w:t>L</w:t>
      </w:r>
      <w:r w:rsidR="00B97A2D">
        <w:rPr>
          <w:sz w:val="24"/>
          <w:szCs w:val="24"/>
        </w:rPr>
        <w:t>and use was</w:t>
      </w:r>
      <w:r w:rsidR="00160D03">
        <w:rPr>
          <w:sz w:val="24"/>
          <w:szCs w:val="24"/>
        </w:rPr>
        <w:t xml:space="preserve"> </w:t>
      </w:r>
      <w:r>
        <w:rPr>
          <w:sz w:val="24"/>
          <w:szCs w:val="24"/>
        </w:rPr>
        <w:t xml:space="preserve">then </w:t>
      </w:r>
      <w:r w:rsidR="00160D03">
        <w:rPr>
          <w:sz w:val="24"/>
          <w:szCs w:val="24"/>
        </w:rPr>
        <w:t xml:space="preserve">interpolated </w:t>
      </w:r>
      <w:r w:rsidR="0019630D">
        <w:rPr>
          <w:sz w:val="24"/>
          <w:szCs w:val="24"/>
        </w:rPr>
        <w:t xml:space="preserve">to a 200 m grid </w:t>
      </w:r>
      <w:r w:rsidR="00160D03">
        <w:rPr>
          <w:sz w:val="24"/>
          <w:szCs w:val="24"/>
        </w:rPr>
        <w:t>using</w:t>
      </w:r>
      <w:r w:rsidR="00B97A2D">
        <w:rPr>
          <w:sz w:val="24"/>
          <w:szCs w:val="24"/>
        </w:rPr>
        <w:t xml:space="preserve"> </w:t>
      </w:r>
      <w:r w:rsidR="003F5728">
        <w:rPr>
          <w:sz w:val="24"/>
          <w:szCs w:val="24"/>
        </w:rPr>
        <w:t xml:space="preserve">ordinary </w:t>
      </w:r>
      <w:r w:rsidR="002E1D24">
        <w:rPr>
          <w:sz w:val="24"/>
          <w:szCs w:val="24"/>
        </w:rPr>
        <w:t xml:space="preserve">Kriging, </w:t>
      </w:r>
      <w:r w:rsidR="0086080A" w:rsidRPr="00C63D50">
        <w:rPr>
          <w:sz w:val="24"/>
          <w:szCs w:val="24"/>
        </w:rPr>
        <w:t>kernel</w:t>
      </w:r>
      <w:r w:rsidR="00622176">
        <w:rPr>
          <w:sz w:val="24"/>
          <w:szCs w:val="24"/>
        </w:rPr>
        <w:t xml:space="preserve"> </w:t>
      </w:r>
      <w:r w:rsidR="0086080A" w:rsidRPr="00C63D50">
        <w:rPr>
          <w:sz w:val="24"/>
          <w:szCs w:val="24"/>
        </w:rPr>
        <w:t xml:space="preserve">density, point density </w:t>
      </w:r>
      <w:r w:rsidR="002E1D24">
        <w:rPr>
          <w:sz w:val="24"/>
          <w:szCs w:val="24"/>
        </w:rPr>
        <w:t>and inverse distance weighting</w:t>
      </w:r>
      <w:r w:rsidR="0055293C">
        <w:rPr>
          <w:sz w:val="24"/>
          <w:szCs w:val="24"/>
        </w:rPr>
        <w:t xml:space="preserve">. </w:t>
      </w:r>
      <w:r w:rsidR="0086080A" w:rsidRPr="00622176">
        <w:rPr>
          <w:sz w:val="24"/>
          <w:szCs w:val="24"/>
        </w:rPr>
        <w:t xml:space="preserve"> </w:t>
      </w:r>
      <w:r w:rsidR="0019630D" w:rsidRPr="00622176">
        <w:rPr>
          <w:sz w:val="24"/>
          <w:szCs w:val="24"/>
        </w:rPr>
        <w:t xml:space="preserve">Figure </w:t>
      </w:r>
      <w:r w:rsidR="001A6A5C">
        <w:rPr>
          <w:sz w:val="24"/>
          <w:szCs w:val="24"/>
        </w:rPr>
        <w:t>7</w:t>
      </w:r>
      <w:r w:rsidR="00D60268" w:rsidRPr="00622176">
        <w:rPr>
          <w:sz w:val="24"/>
          <w:szCs w:val="24"/>
        </w:rPr>
        <w:t xml:space="preserve"> </w:t>
      </w:r>
      <w:r w:rsidR="0086080A" w:rsidRPr="00622176">
        <w:rPr>
          <w:sz w:val="24"/>
          <w:szCs w:val="24"/>
        </w:rPr>
        <w:t>show</w:t>
      </w:r>
      <w:r w:rsidR="003F5728">
        <w:rPr>
          <w:sz w:val="24"/>
          <w:szCs w:val="24"/>
        </w:rPr>
        <w:t>s</w:t>
      </w:r>
      <w:r w:rsidR="0086080A" w:rsidRPr="00622176">
        <w:rPr>
          <w:sz w:val="24"/>
          <w:szCs w:val="24"/>
        </w:rPr>
        <w:t xml:space="preserve"> the correlat</w:t>
      </w:r>
      <w:r w:rsidR="00FE5127">
        <w:rPr>
          <w:sz w:val="24"/>
          <w:szCs w:val="24"/>
        </w:rPr>
        <w:t>ion between the calculated land-</w:t>
      </w:r>
      <w:r w:rsidR="0086080A" w:rsidRPr="00622176">
        <w:rPr>
          <w:sz w:val="24"/>
          <w:szCs w:val="24"/>
        </w:rPr>
        <w:t>use indicator and gravestone decay</w:t>
      </w:r>
      <w:r w:rsidR="0055293C" w:rsidRPr="00622176">
        <w:rPr>
          <w:sz w:val="24"/>
          <w:szCs w:val="24"/>
        </w:rPr>
        <w:t xml:space="preserve"> </w:t>
      </w:r>
      <w:r w:rsidR="003F5728">
        <w:rPr>
          <w:sz w:val="24"/>
          <w:szCs w:val="24"/>
        </w:rPr>
        <w:t xml:space="preserve">rate </w:t>
      </w:r>
      <w:r w:rsidR="00622176">
        <w:rPr>
          <w:sz w:val="24"/>
          <w:szCs w:val="24"/>
        </w:rPr>
        <w:t xml:space="preserve">for the various interpolation techniques </w:t>
      </w:r>
      <w:r w:rsidR="0055293C" w:rsidRPr="00622176">
        <w:rPr>
          <w:sz w:val="24"/>
          <w:szCs w:val="24"/>
        </w:rPr>
        <w:t xml:space="preserve">for a radius of 7000m and a residential land-use indicator of 0.0. </w:t>
      </w:r>
      <w:r w:rsidR="0086080A">
        <w:rPr>
          <w:sz w:val="24"/>
          <w:szCs w:val="24"/>
        </w:rPr>
        <w:t xml:space="preserve">Although there is reasonable correlation between land use and stone decay, 4 cemeteries </w:t>
      </w:r>
      <w:r>
        <w:rPr>
          <w:sz w:val="24"/>
          <w:szCs w:val="24"/>
        </w:rPr>
        <w:t xml:space="preserve">are considered </w:t>
      </w:r>
      <w:r w:rsidR="0086080A">
        <w:rPr>
          <w:sz w:val="24"/>
          <w:szCs w:val="24"/>
        </w:rPr>
        <w:t>outliers</w:t>
      </w:r>
      <w:r w:rsidR="00622176">
        <w:rPr>
          <w:sz w:val="24"/>
          <w:szCs w:val="24"/>
        </w:rPr>
        <w:t xml:space="preserve"> (BEN, COD, JQK, and WAL)</w:t>
      </w:r>
      <w:r w:rsidR="0086080A">
        <w:rPr>
          <w:sz w:val="24"/>
          <w:szCs w:val="24"/>
        </w:rPr>
        <w:t xml:space="preserve">. </w:t>
      </w:r>
      <w:r w:rsidR="00BE6C44" w:rsidRPr="00C63D50">
        <w:rPr>
          <w:sz w:val="24"/>
          <w:szCs w:val="24"/>
        </w:rPr>
        <w:t xml:space="preserve">Bentley Cemetery (BEN) </w:t>
      </w:r>
      <w:r w:rsidR="001D19E8">
        <w:rPr>
          <w:sz w:val="24"/>
          <w:szCs w:val="24"/>
        </w:rPr>
        <w:t>has an anonymously low decay rate</w:t>
      </w:r>
      <w:r>
        <w:rPr>
          <w:sz w:val="24"/>
          <w:szCs w:val="24"/>
        </w:rPr>
        <w:t>; i</w:t>
      </w:r>
      <w:r w:rsidR="001D19E8">
        <w:rPr>
          <w:sz w:val="24"/>
          <w:szCs w:val="24"/>
        </w:rPr>
        <w:t xml:space="preserve">t </w:t>
      </w:r>
      <w:r w:rsidR="00BE6C44" w:rsidRPr="00C63D50">
        <w:rPr>
          <w:sz w:val="24"/>
          <w:szCs w:val="24"/>
        </w:rPr>
        <w:t xml:space="preserve">is surrounded by four other cemeteries (WIL, WAL, DAR, and BIL) all of which have </w:t>
      </w:r>
      <w:r w:rsidR="001A6A5C" w:rsidRPr="00C63D50">
        <w:rPr>
          <w:sz w:val="24"/>
          <w:szCs w:val="24"/>
        </w:rPr>
        <w:t>significantly higher decay rates</w:t>
      </w:r>
      <w:r w:rsidR="001A6A5C">
        <w:rPr>
          <w:sz w:val="24"/>
          <w:szCs w:val="24"/>
        </w:rPr>
        <w:t xml:space="preserve"> and</w:t>
      </w:r>
      <w:r w:rsidR="00BE6C44" w:rsidRPr="00C63D50">
        <w:rPr>
          <w:sz w:val="24"/>
          <w:szCs w:val="24"/>
        </w:rPr>
        <w:t xml:space="preserve"> far larger number of measurements</w:t>
      </w:r>
      <w:r w:rsidR="001A6A5C">
        <w:rPr>
          <w:sz w:val="24"/>
          <w:szCs w:val="24"/>
        </w:rPr>
        <w:t xml:space="preserve"> (Figure 3)</w:t>
      </w:r>
      <w:r w:rsidR="00BE6C44" w:rsidRPr="00C63D50">
        <w:rPr>
          <w:sz w:val="24"/>
          <w:szCs w:val="24"/>
        </w:rPr>
        <w:t xml:space="preserve">.  Codsall (COD) is anomalously high for the calculated land use, which is mostly rural farmland. Only the </w:t>
      </w:r>
      <w:r w:rsidR="001D19E8">
        <w:rPr>
          <w:sz w:val="24"/>
          <w:szCs w:val="24"/>
        </w:rPr>
        <w:t xml:space="preserve">relatively small </w:t>
      </w:r>
      <w:r w:rsidR="00BE6C44" w:rsidRPr="00C63D50">
        <w:rPr>
          <w:sz w:val="24"/>
          <w:szCs w:val="24"/>
        </w:rPr>
        <w:t xml:space="preserve">village of Codsall has significant residential neighborhoods. The reason for the anomalously high </w:t>
      </w:r>
      <w:r w:rsidR="003F5728">
        <w:rPr>
          <w:sz w:val="24"/>
          <w:szCs w:val="24"/>
        </w:rPr>
        <w:t xml:space="preserve">calculated </w:t>
      </w:r>
      <w:r w:rsidR="00BE6C44" w:rsidRPr="00C63D50">
        <w:rPr>
          <w:sz w:val="24"/>
          <w:szCs w:val="24"/>
        </w:rPr>
        <w:t>decay</w:t>
      </w:r>
      <w:r w:rsidR="003F5728">
        <w:rPr>
          <w:sz w:val="24"/>
          <w:szCs w:val="24"/>
        </w:rPr>
        <w:t xml:space="preserve"> rate</w:t>
      </w:r>
      <w:r w:rsidR="00BE6C44" w:rsidRPr="00C63D50">
        <w:rPr>
          <w:sz w:val="24"/>
          <w:szCs w:val="24"/>
        </w:rPr>
        <w:t xml:space="preserve"> is unclear. </w:t>
      </w:r>
      <w:r w:rsidR="00E47407">
        <w:rPr>
          <w:sz w:val="24"/>
          <w:szCs w:val="24"/>
        </w:rPr>
        <w:t xml:space="preserve">Key Hill Cemetery (JQK), </w:t>
      </w:r>
      <w:r w:rsidR="00E47407" w:rsidRPr="00C63D50">
        <w:rPr>
          <w:sz w:val="24"/>
          <w:szCs w:val="24"/>
        </w:rPr>
        <w:t>located in the Birmingham Jewellery Quarter</w:t>
      </w:r>
      <w:r w:rsidR="00E47407">
        <w:rPr>
          <w:sz w:val="24"/>
          <w:szCs w:val="24"/>
        </w:rPr>
        <w:t xml:space="preserve">, has anomalously low stone decay compared to Warstone Lane Cemetery, which is located only 100 m away. The dramatic difference in decay rate is attributed to the </w:t>
      </w:r>
      <w:r w:rsidR="00E47407" w:rsidRPr="00C63D50">
        <w:rPr>
          <w:sz w:val="24"/>
          <w:szCs w:val="24"/>
        </w:rPr>
        <w:t xml:space="preserve">continuous </w:t>
      </w:r>
      <w:r w:rsidR="00E47407">
        <w:rPr>
          <w:sz w:val="24"/>
          <w:szCs w:val="24"/>
        </w:rPr>
        <w:t xml:space="preserve">tree </w:t>
      </w:r>
      <w:r w:rsidR="00E47407" w:rsidRPr="00C63D50">
        <w:rPr>
          <w:sz w:val="24"/>
          <w:szCs w:val="24"/>
        </w:rPr>
        <w:t>canopy of 100</w:t>
      </w:r>
      <w:r w:rsidR="00E47407">
        <w:rPr>
          <w:sz w:val="24"/>
          <w:szCs w:val="24"/>
        </w:rPr>
        <w:t xml:space="preserve"> to150-year-old London plane at Key Hill Cemetery, whereas Warstone Lane Cemetery is largely open </w:t>
      </w:r>
      <w:r w:rsidR="00E47407" w:rsidRPr="00C63D50">
        <w:rPr>
          <w:sz w:val="24"/>
          <w:szCs w:val="24"/>
        </w:rPr>
        <w:t>(</w:t>
      </w:r>
      <w:r w:rsidR="00E47407">
        <w:rPr>
          <w:sz w:val="24"/>
          <w:szCs w:val="24"/>
        </w:rPr>
        <w:t xml:space="preserve">Mooers and Massman, </w:t>
      </w:r>
      <w:r w:rsidR="00E47407" w:rsidRPr="006142AB">
        <w:rPr>
          <w:sz w:val="24"/>
          <w:szCs w:val="24"/>
        </w:rPr>
        <w:t>in press</w:t>
      </w:r>
      <w:r w:rsidR="00E47407">
        <w:rPr>
          <w:sz w:val="24"/>
          <w:szCs w:val="24"/>
        </w:rPr>
        <w:t xml:space="preserve">; </w:t>
      </w:r>
      <w:r w:rsidR="00E47407" w:rsidRPr="00C63D50">
        <w:rPr>
          <w:sz w:val="24"/>
          <w:szCs w:val="24"/>
        </w:rPr>
        <w:t>Mooers et al. 2016).</w:t>
      </w:r>
    </w:p>
    <w:p w:rsidR="00BE6C44" w:rsidRPr="00C63D50" w:rsidRDefault="00BE6C44" w:rsidP="00961DE7">
      <w:pPr>
        <w:spacing w:line="360" w:lineRule="auto"/>
        <w:ind w:firstLine="360"/>
        <w:rPr>
          <w:sz w:val="24"/>
          <w:szCs w:val="24"/>
        </w:rPr>
      </w:pPr>
      <w:r w:rsidRPr="00C63D50">
        <w:rPr>
          <w:sz w:val="24"/>
          <w:szCs w:val="24"/>
        </w:rPr>
        <w:lastRenderedPageBreak/>
        <w:t>Rrycroft Cemetery (WAL) in Walsall has a relatively high decay rate relative to the calculated land</w:t>
      </w:r>
      <w:r w:rsidR="001D19E8">
        <w:rPr>
          <w:sz w:val="24"/>
          <w:szCs w:val="24"/>
        </w:rPr>
        <w:t xml:space="preserve"> use</w:t>
      </w:r>
      <w:r w:rsidRPr="00C63D50">
        <w:rPr>
          <w:sz w:val="24"/>
          <w:szCs w:val="24"/>
        </w:rPr>
        <w:t>.  Therefore to evaluate the overall effect of these anomalous decay values on the correlation between land use and gravestone decay, BEN, COD, JQK, and WAL were removed from the analysis</w:t>
      </w:r>
      <w:r w:rsidR="0086080A">
        <w:rPr>
          <w:sz w:val="24"/>
          <w:szCs w:val="24"/>
        </w:rPr>
        <w:t xml:space="preserve"> and the results are shown in Figures </w:t>
      </w:r>
      <w:r w:rsidR="001F551A">
        <w:rPr>
          <w:sz w:val="24"/>
          <w:szCs w:val="24"/>
        </w:rPr>
        <w:t>7B</w:t>
      </w:r>
      <w:r w:rsidR="0086080A">
        <w:rPr>
          <w:sz w:val="24"/>
          <w:szCs w:val="24"/>
        </w:rPr>
        <w:t xml:space="preserve">, </w:t>
      </w:r>
      <w:r w:rsidR="001F551A">
        <w:rPr>
          <w:sz w:val="24"/>
          <w:szCs w:val="24"/>
        </w:rPr>
        <w:t>D</w:t>
      </w:r>
      <w:r w:rsidR="0086080A">
        <w:rPr>
          <w:sz w:val="24"/>
          <w:szCs w:val="24"/>
        </w:rPr>
        <w:t xml:space="preserve">, </w:t>
      </w:r>
      <w:r w:rsidR="001F551A">
        <w:rPr>
          <w:sz w:val="24"/>
          <w:szCs w:val="24"/>
        </w:rPr>
        <w:t>F</w:t>
      </w:r>
      <w:r w:rsidR="00AB4514">
        <w:rPr>
          <w:sz w:val="24"/>
          <w:szCs w:val="24"/>
        </w:rPr>
        <w:t>, and</w:t>
      </w:r>
      <w:r w:rsidR="0086080A">
        <w:rPr>
          <w:sz w:val="24"/>
          <w:szCs w:val="24"/>
        </w:rPr>
        <w:t xml:space="preserve"> H. </w:t>
      </w:r>
      <w:r w:rsidR="001F551A">
        <w:rPr>
          <w:sz w:val="24"/>
          <w:szCs w:val="24"/>
        </w:rPr>
        <w:t>Note that c</w:t>
      </w:r>
      <w:r w:rsidR="0086080A">
        <w:rPr>
          <w:sz w:val="24"/>
          <w:szCs w:val="24"/>
        </w:rPr>
        <w:t>orrelation coefficients are significantly higher</w:t>
      </w:r>
      <w:r w:rsidR="0016075B">
        <w:rPr>
          <w:sz w:val="24"/>
          <w:szCs w:val="24"/>
        </w:rPr>
        <w:t xml:space="preserve"> with these four outliers omitted</w:t>
      </w:r>
      <w:r w:rsidR="0086080A">
        <w:rPr>
          <w:sz w:val="24"/>
          <w:szCs w:val="24"/>
        </w:rPr>
        <w:t>.</w:t>
      </w:r>
    </w:p>
    <w:p w:rsidR="0086080A" w:rsidRDefault="00BE6C44" w:rsidP="00961DE7">
      <w:pPr>
        <w:spacing w:line="360" w:lineRule="auto"/>
        <w:ind w:firstLine="360"/>
        <w:rPr>
          <w:sz w:val="24"/>
          <w:szCs w:val="24"/>
        </w:rPr>
      </w:pPr>
      <w:r w:rsidRPr="00C63D50">
        <w:rPr>
          <w:sz w:val="24"/>
          <w:szCs w:val="24"/>
        </w:rPr>
        <w:t xml:space="preserve">The highest correlation between the spatially averaged land-use parameter and gravestone decay at measured cemeteries was achieved using </w:t>
      </w:r>
      <w:r w:rsidR="003D040F" w:rsidRPr="00C63D50">
        <w:rPr>
          <w:sz w:val="24"/>
          <w:szCs w:val="24"/>
        </w:rPr>
        <w:t xml:space="preserve">point-density analysis </w:t>
      </w:r>
      <w:r w:rsidR="003D040F">
        <w:rPr>
          <w:sz w:val="24"/>
          <w:szCs w:val="24"/>
        </w:rPr>
        <w:t xml:space="preserve">and </w:t>
      </w:r>
      <w:r w:rsidR="0086080A">
        <w:rPr>
          <w:sz w:val="24"/>
          <w:szCs w:val="24"/>
        </w:rPr>
        <w:t xml:space="preserve">kriging </w:t>
      </w:r>
      <w:r w:rsidRPr="00C63D50">
        <w:rPr>
          <w:sz w:val="24"/>
          <w:szCs w:val="24"/>
        </w:rPr>
        <w:t>with the omission of the aforementi</w:t>
      </w:r>
      <w:r w:rsidR="00D0779B">
        <w:rPr>
          <w:sz w:val="24"/>
          <w:szCs w:val="24"/>
        </w:rPr>
        <w:t>oned four anomalous cemeteries</w:t>
      </w:r>
      <w:r w:rsidRPr="00C63D50">
        <w:rPr>
          <w:sz w:val="24"/>
          <w:szCs w:val="24"/>
        </w:rPr>
        <w:t xml:space="preserve">. </w:t>
      </w:r>
      <w:r w:rsidR="0086080A">
        <w:rPr>
          <w:sz w:val="24"/>
          <w:szCs w:val="24"/>
        </w:rPr>
        <w:t>The point density function simply averages the values within a given radius and kriging, give</w:t>
      </w:r>
      <w:r w:rsidR="003D040F">
        <w:rPr>
          <w:sz w:val="24"/>
          <w:szCs w:val="24"/>
        </w:rPr>
        <w:t>n</w:t>
      </w:r>
      <w:r w:rsidR="0086080A">
        <w:rPr>
          <w:sz w:val="24"/>
          <w:szCs w:val="24"/>
        </w:rPr>
        <w:t xml:space="preserve"> the </w:t>
      </w:r>
      <w:r w:rsidR="003D040F">
        <w:rPr>
          <w:sz w:val="24"/>
          <w:szCs w:val="24"/>
        </w:rPr>
        <w:t>poor</w:t>
      </w:r>
      <w:r w:rsidR="0086080A">
        <w:rPr>
          <w:sz w:val="24"/>
          <w:szCs w:val="24"/>
        </w:rPr>
        <w:t xml:space="preserve"> spatial correlation suggested by variogram analysis, does little more </w:t>
      </w:r>
      <w:r w:rsidR="003D040F">
        <w:rPr>
          <w:sz w:val="24"/>
          <w:szCs w:val="24"/>
        </w:rPr>
        <w:t>than</w:t>
      </w:r>
      <w:r w:rsidR="0086080A">
        <w:rPr>
          <w:sz w:val="24"/>
          <w:szCs w:val="24"/>
        </w:rPr>
        <w:t xml:space="preserve"> average the land use over the same radius.   </w:t>
      </w:r>
    </w:p>
    <w:p w:rsidR="00BE6C44" w:rsidRPr="00C63D50" w:rsidRDefault="00BE6C44" w:rsidP="00961DE7">
      <w:pPr>
        <w:spacing w:line="360" w:lineRule="auto"/>
        <w:ind w:firstLine="360"/>
        <w:rPr>
          <w:sz w:val="24"/>
          <w:szCs w:val="24"/>
        </w:rPr>
      </w:pPr>
      <w:r w:rsidRPr="00C63D50">
        <w:rPr>
          <w:sz w:val="24"/>
          <w:szCs w:val="24"/>
        </w:rPr>
        <w:t xml:space="preserve">Table </w:t>
      </w:r>
      <w:r w:rsidR="004E45BE">
        <w:rPr>
          <w:sz w:val="24"/>
          <w:szCs w:val="24"/>
        </w:rPr>
        <w:t>4</w:t>
      </w:r>
      <w:r w:rsidRPr="00C63D50">
        <w:rPr>
          <w:sz w:val="24"/>
          <w:szCs w:val="24"/>
        </w:rPr>
        <w:t xml:space="preserve"> shows the correlation coefficient</w:t>
      </w:r>
      <w:r w:rsidR="003D040F">
        <w:rPr>
          <w:sz w:val="24"/>
          <w:szCs w:val="24"/>
        </w:rPr>
        <w:t>s</w:t>
      </w:r>
      <w:r w:rsidRPr="00C63D50">
        <w:rPr>
          <w:sz w:val="24"/>
          <w:szCs w:val="24"/>
        </w:rPr>
        <w:t xml:space="preserve"> of land-use vs. stone decay</w:t>
      </w:r>
      <w:r w:rsidR="003D040F">
        <w:rPr>
          <w:sz w:val="24"/>
          <w:szCs w:val="24"/>
        </w:rPr>
        <w:t xml:space="preserve"> rates</w:t>
      </w:r>
      <w:r w:rsidRPr="00C63D50">
        <w:rPr>
          <w:sz w:val="24"/>
          <w:szCs w:val="24"/>
        </w:rPr>
        <w:t xml:space="preserve"> using the point-density calculation for each decade and for radii of 4000 – 12</w:t>
      </w:r>
      <w:r w:rsidR="004345FD">
        <w:rPr>
          <w:sz w:val="24"/>
          <w:szCs w:val="24"/>
        </w:rPr>
        <w:t>,</w:t>
      </w:r>
      <w:r w:rsidRPr="00C63D50">
        <w:rPr>
          <w:sz w:val="24"/>
          <w:szCs w:val="24"/>
        </w:rPr>
        <w:t xml:space="preserve">000 </w:t>
      </w:r>
      <w:r w:rsidR="00E7183A">
        <w:rPr>
          <w:sz w:val="24"/>
          <w:szCs w:val="24"/>
        </w:rPr>
        <w:t>m</w:t>
      </w:r>
      <w:r w:rsidRPr="00C63D50">
        <w:rPr>
          <w:sz w:val="24"/>
          <w:szCs w:val="24"/>
        </w:rPr>
        <w:t xml:space="preserve">. Correlation coefficients are high for 1960s – 1980s at a radius of approximately </w:t>
      </w:r>
      <w:r w:rsidR="003D040F">
        <w:rPr>
          <w:sz w:val="24"/>
          <w:szCs w:val="24"/>
        </w:rPr>
        <w:t>6-</w:t>
      </w:r>
      <w:r w:rsidRPr="00C63D50">
        <w:rPr>
          <w:sz w:val="24"/>
          <w:szCs w:val="24"/>
        </w:rPr>
        <w:t xml:space="preserve">7 km.  The correlation between land use and stone decay drops off after 1990 </w:t>
      </w:r>
      <w:r w:rsidR="003D040F">
        <w:rPr>
          <w:sz w:val="24"/>
          <w:szCs w:val="24"/>
        </w:rPr>
        <w:t>and the radius of highest correlation increases.</w:t>
      </w:r>
      <w:r w:rsidRPr="00C63D50">
        <w:rPr>
          <w:sz w:val="24"/>
          <w:szCs w:val="24"/>
        </w:rPr>
        <w:t xml:space="preserve">  </w:t>
      </w:r>
    </w:p>
    <w:p w:rsidR="001D19E8" w:rsidRPr="001D19E8" w:rsidRDefault="004B5D5C" w:rsidP="00961DE7">
      <w:pPr>
        <w:spacing w:line="360" w:lineRule="auto"/>
        <w:ind w:firstLine="360"/>
        <w:rPr>
          <w:b/>
          <w:sz w:val="24"/>
          <w:szCs w:val="24"/>
        </w:rPr>
      </w:pPr>
      <w:r>
        <w:rPr>
          <w:b/>
          <w:sz w:val="24"/>
          <w:szCs w:val="24"/>
        </w:rPr>
        <w:t>3</w:t>
      </w:r>
      <w:r w:rsidR="00BE6C44" w:rsidRPr="001D19E8">
        <w:rPr>
          <w:b/>
          <w:sz w:val="24"/>
          <w:szCs w:val="24"/>
        </w:rPr>
        <w:t xml:space="preserve">.2.3 </w:t>
      </w:r>
      <w:r w:rsidR="00B348E6">
        <w:rPr>
          <w:b/>
          <w:sz w:val="24"/>
          <w:szCs w:val="24"/>
        </w:rPr>
        <w:t xml:space="preserve">Directional dependence of land </w:t>
      </w:r>
      <w:r w:rsidR="001D19E8" w:rsidRPr="001D19E8">
        <w:rPr>
          <w:b/>
          <w:sz w:val="24"/>
          <w:szCs w:val="24"/>
        </w:rPr>
        <w:t>use on gravestone decay</w:t>
      </w:r>
    </w:p>
    <w:p w:rsidR="00BE6C44" w:rsidRPr="00C63D50" w:rsidRDefault="00BE6C44" w:rsidP="001D19E8">
      <w:pPr>
        <w:spacing w:line="360" w:lineRule="auto"/>
        <w:ind w:firstLine="360"/>
        <w:rPr>
          <w:sz w:val="24"/>
          <w:szCs w:val="24"/>
        </w:rPr>
      </w:pPr>
      <w:r w:rsidRPr="00C63D50">
        <w:rPr>
          <w:sz w:val="24"/>
          <w:szCs w:val="24"/>
        </w:rPr>
        <w:t xml:space="preserve">The correlation between </w:t>
      </w:r>
      <w:r w:rsidR="00D0779B">
        <w:rPr>
          <w:sz w:val="24"/>
          <w:szCs w:val="24"/>
        </w:rPr>
        <w:t>interpolated</w:t>
      </w:r>
      <w:r w:rsidR="00B348E6">
        <w:rPr>
          <w:sz w:val="24"/>
          <w:szCs w:val="24"/>
        </w:rPr>
        <w:t xml:space="preserve"> land </w:t>
      </w:r>
      <w:r w:rsidRPr="00C63D50">
        <w:rPr>
          <w:sz w:val="24"/>
          <w:szCs w:val="24"/>
        </w:rPr>
        <w:t xml:space="preserve">use </w:t>
      </w:r>
      <w:r w:rsidR="001D19E8">
        <w:rPr>
          <w:sz w:val="24"/>
          <w:szCs w:val="24"/>
        </w:rPr>
        <w:t>and</w:t>
      </w:r>
      <w:r w:rsidRPr="00C63D50">
        <w:rPr>
          <w:sz w:val="24"/>
          <w:szCs w:val="24"/>
        </w:rPr>
        <w:t xml:space="preserve"> gravestone decay </w:t>
      </w:r>
      <w:r w:rsidR="006F31AB">
        <w:rPr>
          <w:sz w:val="24"/>
          <w:szCs w:val="24"/>
        </w:rPr>
        <w:t>rate</w:t>
      </w:r>
      <w:r w:rsidRPr="00C63D50">
        <w:rPr>
          <w:sz w:val="24"/>
          <w:szCs w:val="24"/>
        </w:rPr>
        <w:t xml:space="preserve"> for the directionally dependent search patter</w:t>
      </w:r>
      <w:r w:rsidR="006F31AB">
        <w:rPr>
          <w:sz w:val="24"/>
          <w:szCs w:val="24"/>
        </w:rPr>
        <w:t>n</w:t>
      </w:r>
      <w:r w:rsidRPr="00C63D50">
        <w:rPr>
          <w:sz w:val="24"/>
          <w:szCs w:val="24"/>
        </w:rPr>
        <w:t xml:space="preserve">s are shown in </w:t>
      </w:r>
      <w:r w:rsidR="006F0A06" w:rsidRPr="00C63D50">
        <w:rPr>
          <w:sz w:val="24"/>
          <w:szCs w:val="24"/>
        </w:rPr>
        <w:t xml:space="preserve">Table </w:t>
      </w:r>
      <w:r w:rsidR="006F0A06">
        <w:rPr>
          <w:sz w:val="24"/>
          <w:szCs w:val="24"/>
        </w:rPr>
        <w:t>5</w:t>
      </w:r>
      <w:r w:rsidR="006F0A06" w:rsidRPr="006F0A06">
        <w:rPr>
          <w:sz w:val="24"/>
          <w:szCs w:val="24"/>
        </w:rPr>
        <w:t xml:space="preserve"> </w:t>
      </w:r>
      <w:r w:rsidRPr="00C63D50">
        <w:rPr>
          <w:sz w:val="24"/>
          <w:szCs w:val="24"/>
        </w:rPr>
        <w:t xml:space="preserve">and </w:t>
      </w:r>
      <w:r w:rsidR="006F0A06">
        <w:rPr>
          <w:sz w:val="24"/>
          <w:szCs w:val="24"/>
        </w:rPr>
        <w:t>Figure 8</w:t>
      </w:r>
      <w:r w:rsidRPr="00C63D50">
        <w:rPr>
          <w:sz w:val="24"/>
          <w:szCs w:val="24"/>
        </w:rPr>
        <w:t xml:space="preserve">.  Once again omitting BEN, COD, </w:t>
      </w:r>
      <w:r w:rsidR="00833295">
        <w:rPr>
          <w:sz w:val="24"/>
          <w:szCs w:val="24"/>
        </w:rPr>
        <w:t xml:space="preserve">WAL, </w:t>
      </w:r>
      <w:r w:rsidRPr="00C63D50">
        <w:rPr>
          <w:sz w:val="24"/>
          <w:szCs w:val="24"/>
        </w:rPr>
        <w:t>and JQK from the analysis improves the correlation for the reason stated above.  Note that the wider the search pattern the better the correlation between land use and stone decay</w:t>
      </w:r>
      <w:r w:rsidR="006F0A06">
        <w:rPr>
          <w:sz w:val="24"/>
          <w:szCs w:val="24"/>
        </w:rPr>
        <w:t xml:space="preserve"> (Table 5)</w:t>
      </w:r>
      <w:r w:rsidRPr="00C63D50">
        <w:rPr>
          <w:sz w:val="24"/>
          <w:szCs w:val="24"/>
        </w:rPr>
        <w:t xml:space="preserve">. The correlation coefficients for gravestone decay and land use for each of directional searches are shown in Table </w:t>
      </w:r>
      <w:r w:rsidR="004E45BE">
        <w:rPr>
          <w:sz w:val="24"/>
          <w:szCs w:val="24"/>
        </w:rPr>
        <w:t>5</w:t>
      </w:r>
      <w:r w:rsidRPr="00C63D50">
        <w:rPr>
          <w:sz w:val="24"/>
          <w:szCs w:val="24"/>
        </w:rPr>
        <w:t xml:space="preserve">.  Although the correlation coefficients are not as high as the omnidirectional calculation there is a clear directional trend.  </w:t>
      </w:r>
      <w:r w:rsidR="00A173A6" w:rsidRPr="00C63D50">
        <w:rPr>
          <w:sz w:val="24"/>
          <w:szCs w:val="24"/>
        </w:rPr>
        <w:t>The</w:t>
      </w:r>
      <w:r w:rsidRPr="00C63D50">
        <w:rPr>
          <w:sz w:val="24"/>
          <w:szCs w:val="24"/>
        </w:rPr>
        <w:t xml:space="preserve"> highest correlation of land use and </w:t>
      </w:r>
      <w:r w:rsidR="006F31AB">
        <w:rPr>
          <w:sz w:val="24"/>
          <w:szCs w:val="24"/>
        </w:rPr>
        <w:t>gravestone</w:t>
      </w:r>
      <w:r w:rsidRPr="00C63D50">
        <w:rPr>
          <w:sz w:val="24"/>
          <w:szCs w:val="24"/>
        </w:rPr>
        <w:t xml:space="preserve"> decay</w:t>
      </w:r>
      <w:r w:rsidR="006F31AB">
        <w:rPr>
          <w:sz w:val="24"/>
          <w:szCs w:val="24"/>
        </w:rPr>
        <w:t xml:space="preserve"> </w:t>
      </w:r>
      <w:r w:rsidR="00A173A6">
        <w:rPr>
          <w:sz w:val="24"/>
          <w:szCs w:val="24"/>
        </w:rPr>
        <w:t>for</w:t>
      </w:r>
      <w:r w:rsidR="00A173A6" w:rsidRPr="00C63D50">
        <w:rPr>
          <w:sz w:val="24"/>
          <w:szCs w:val="24"/>
        </w:rPr>
        <w:t xml:space="preserve"> the 1960s and 1970s </w:t>
      </w:r>
      <w:r w:rsidRPr="00C63D50">
        <w:rPr>
          <w:sz w:val="24"/>
          <w:szCs w:val="24"/>
        </w:rPr>
        <w:t xml:space="preserve">is south and southwest.  </w:t>
      </w:r>
      <w:r w:rsidR="003E1055">
        <w:rPr>
          <w:sz w:val="24"/>
          <w:szCs w:val="24"/>
        </w:rPr>
        <w:t>From the 1980s to the 2000s t</w:t>
      </w:r>
      <w:r w:rsidRPr="00C63D50">
        <w:rPr>
          <w:sz w:val="24"/>
          <w:szCs w:val="24"/>
        </w:rPr>
        <w:t xml:space="preserve">he </w:t>
      </w:r>
      <w:r w:rsidR="006F31AB">
        <w:rPr>
          <w:sz w:val="24"/>
          <w:szCs w:val="24"/>
        </w:rPr>
        <w:t>correlation coeffi</w:t>
      </w:r>
      <w:r w:rsidR="003E1055">
        <w:rPr>
          <w:sz w:val="24"/>
          <w:szCs w:val="24"/>
        </w:rPr>
        <w:t>ci</w:t>
      </w:r>
      <w:r w:rsidR="006F31AB">
        <w:rPr>
          <w:sz w:val="24"/>
          <w:szCs w:val="24"/>
        </w:rPr>
        <w:t xml:space="preserve">ents decrease as the </w:t>
      </w:r>
      <w:r w:rsidRPr="00C63D50">
        <w:rPr>
          <w:sz w:val="24"/>
          <w:szCs w:val="24"/>
        </w:rPr>
        <w:t>directional dependence of stone decay</w:t>
      </w:r>
      <w:r w:rsidR="006F31AB">
        <w:rPr>
          <w:sz w:val="24"/>
          <w:szCs w:val="24"/>
        </w:rPr>
        <w:t xml:space="preserve"> rate </w:t>
      </w:r>
      <w:r w:rsidR="003E1055">
        <w:rPr>
          <w:sz w:val="24"/>
          <w:szCs w:val="24"/>
        </w:rPr>
        <w:t xml:space="preserve">shifts to </w:t>
      </w:r>
      <w:r w:rsidR="006F31AB">
        <w:rPr>
          <w:sz w:val="24"/>
          <w:szCs w:val="24"/>
        </w:rPr>
        <w:t xml:space="preserve">westerly </w:t>
      </w:r>
      <w:r w:rsidR="00A173A6">
        <w:rPr>
          <w:sz w:val="24"/>
          <w:szCs w:val="24"/>
        </w:rPr>
        <w:t xml:space="preserve">and then </w:t>
      </w:r>
      <w:r w:rsidR="006F31AB">
        <w:rPr>
          <w:sz w:val="24"/>
          <w:szCs w:val="24"/>
        </w:rPr>
        <w:t>nearly to the north</w:t>
      </w:r>
      <w:r w:rsidR="003E1055">
        <w:rPr>
          <w:sz w:val="24"/>
          <w:szCs w:val="24"/>
        </w:rPr>
        <w:t>.</w:t>
      </w:r>
      <w:r w:rsidR="006F0A06">
        <w:rPr>
          <w:sz w:val="24"/>
          <w:szCs w:val="24"/>
        </w:rPr>
        <w:t xml:space="preserve"> This change in directional trend coincides with improving air quality and the increase in effective radius </w:t>
      </w:r>
      <w:r w:rsidR="00B47C58">
        <w:rPr>
          <w:sz w:val="24"/>
          <w:szCs w:val="24"/>
        </w:rPr>
        <w:t>of influence</w:t>
      </w:r>
      <w:r w:rsidR="00D82790">
        <w:rPr>
          <w:sz w:val="24"/>
          <w:szCs w:val="24"/>
        </w:rPr>
        <w:t xml:space="preserve"> contributing acid and changing deposition efficiency of </w:t>
      </w:r>
      <w:r w:rsidR="00D82790" w:rsidRPr="00D82790">
        <w:rPr>
          <w:sz w:val="24"/>
          <w:szCs w:val="24"/>
        </w:rPr>
        <w:t>SO</w:t>
      </w:r>
      <w:r w:rsidR="00D82790" w:rsidRPr="00D82790">
        <w:rPr>
          <w:sz w:val="24"/>
          <w:szCs w:val="24"/>
          <w:vertAlign w:val="subscript"/>
        </w:rPr>
        <w:t>2</w:t>
      </w:r>
      <w:r w:rsidR="00D82790">
        <w:rPr>
          <w:sz w:val="24"/>
          <w:szCs w:val="24"/>
        </w:rPr>
        <w:t>.</w:t>
      </w:r>
    </w:p>
    <w:p w:rsidR="00307DDB" w:rsidRPr="001D19E8" w:rsidRDefault="004B5D5C" w:rsidP="00F20551">
      <w:pPr>
        <w:spacing w:line="360" w:lineRule="auto"/>
        <w:rPr>
          <w:b/>
          <w:sz w:val="24"/>
          <w:szCs w:val="24"/>
        </w:rPr>
      </w:pPr>
      <w:r>
        <w:rPr>
          <w:b/>
          <w:sz w:val="24"/>
          <w:szCs w:val="24"/>
        </w:rPr>
        <w:lastRenderedPageBreak/>
        <w:t>3</w:t>
      </w:r>
      <w:r w:rsidR="00307DDB" w:rsidRPr="001D19E8">
        <w:rPr>
          <w:b/>
          <w:sz w:val="24"/>
          <w:szCs w:val="24"/>
        </w:rPr>
        <w:t>.</w:t>
      </w:r>
      <w:r w:rsidR="00A510AA" w:rsidRPr="001D19E8" w:rsidDel="00A510AA">
        <w:rPr>
          <w:b/>
          <w:sz w:val="24"/>
          <w:szCs w:val="24"/>
        </w:rPr>
        <w:t xml:space="preserve"> </w:t>
      </w:r>
      <w:r w:rsidR="00307DDB" w:rsidRPr="001D19E8">
        <w:rPr>
          <w:b/>
          <w:sz w:val="24"/>
          <w:szCs w:val="24"/>
        </w:rPr>
        <w:t xml:space="preserve">3 </w:t>
      </w:r>
      <w:r w:rsidR="00307DDB">
        <w:rPr>
          <w:b/>
          <w:sz w:val="24"/>
          <w:szCs w:val="24"/>
        </w:rPr>
        <w:t>Correlation of land use and air quality</w:t>
      </w:r>
    </w:p>
    <w:p w:rsidR="00BE6C44" w:rsidRDefault="00855B75" w:rsidP="00C63D50">
      <w:pPr>
        <w:spacing w:line="360" w:lineRule="auto"/>
        <w:rPr>
          <w:sz w:val="24"/>
          <w:szCs w:val="24"/>
        </w:rPr>
      </w:pPr>
      <w:r>
        <w:rPr>
          <w:sz w:val="24"/>
          <w:szCs w:val="24"/>
        </w:rPr>
        <w:t xml:space="preserve">The correlation of gravestone </w:t>
      </w:r>
      <w:r w:rsidR="00307DDB">
        <w:rPr>
          <w:sz w:val="24"/>
          <w:szCs w:val="24"/>
        </w:rPr>
        <w:t>decay rate</w:t>
      </w:r>
      <w:r>
        <w:rPr>
          <w:sz w:val="24"/>
          <w:szCs w:val="24"/>
        </w:rPr>
        <w:t xml:space="preserve"> and optimized land </w:t>
      </w:r>
      <w:r w:rsidR="008B02D2">
        <w:rPr>
          <w:sz w:val="24"/>
          <w:szCs w:val="24"/>
        </w:rPr>
        <w:t xml:space="preserve">use </w:t>
      </w:r>
      <w:r w:rsidR="00307DDB">
        <w:rPr>
          <w:sz w:val="24"/>
          <w:szCs w:val="24"/>
        </w:rPr>
        <w:t>suggests that interpolated land use may be used as a proxy for acid deposition</w:t>
      </w:r>
      <w:r w:rsidR="001E1E8B">
        <w:rPr>
          <w:sz w:val="24"/>
          <w:szCs w:val="24"/>
        </w:rPr>
        <w:t xml:space="preserve"> and the relationship between land use and air quality can be evaluated</w:t>
      </w:r>
      <w:r w:rsidR="00307DDB">
        <w:rPr>
          <w:sz w:val="24"/>
          <w:szCs w:val="24"/>
        </w:rPr>
        <w:t>.  The decadally averaged SO</w:t>
      </w:r>
      <w:r w:rsidR="00307DDB" w:rsidRPr="00307DDB">
        <w:rPr>
          <w:sz w:val="24"/>
          <w:szCs w:val="24"/>
          <w:vertAlign w:val="subscript"/>
        </w:rPr>
        <w:t>2</w:t>
      </w:r>
      <w:r w:rsidR="00307DDB">
        <w:rPr>
          <w:sz w:val="24"/>
          <w:szCs w:val="24"/>
        </w:rPr>
        <w:t xml:space="preserve"> and smoke concentrations for 23 monitoring stations </w:t>
      </w:r>
      <w:r w:rsidR="00FF4AB0">
        <w:rPr>
          <w:sz w:val="24"/>
          <w:szCs w:val="24"/>
        </w:rPr>
        <w:t xml:space="preserve">are </w:t>
      </w:r>
      <w:r w:rsidR="00307DDB">
        <w:rPr>
          <w:sz w:val="24"/>
          <w:szCs w:val="24"/>
        </w:rPr>
        <w:t xml:space="preserve">shown in Table </w:t>
      </w:r>
      <w:r w:rsidR="004E45BE">
        <w:rPr>
          <w:sz w:val="24"/>
          <w:szCs w:val="24"/>
        </w:rPr>
        <w:t>6</w:t>
      </w:r>
      <w:r w:rsidR="00307DDB">
        <w:rPr>
          <w:sz w:val="24"/>
          <w:szCs w:val="24"/>
        </w:rPr>
        <w:t>.  T</w:t>
      </w:r>
      <w:r w:rsidR="00B3034B">
        <w:rPr>
          <w:sz w:val="24"/>
          <w:szCs w:val="24"/>
        </w:rPr>
        <w:t>he c</w:t>
      </w:r>
      <w:r w:rsidR="003E1055">
        <w:rPr>
          <w:sz w:val="24"/>
          <w:szCs w:val="24"/>
        </w:rPr>
        <w:t xml:space="preserve">orrelation of </w:t>
      </w:r>
      <w:r w:rsidR="00B3034B">
        <w:rPr>
          <w:sz w:val="24"/>
          <w:szCs w:val="24"/>
        </w:rPr>
        <w:t>land use</w:t>
      </w:r>
      <w:r w:rsidR="00485262">
        <w:rPr>
          <w:sz w:val="24"/>
          <w:szCs w:val="24"/>
        </w:rPr>
        <w:t xml:space="preserve"> (</w:t>
      </w:r>
      <w:r w:rsidR="00B3034B">
        <w:rPr>
          <w:sz w:val="24"/>
          <w:szCs w:val="24"/>
        </w:rPr>
        <w:t>calculated using the point density function</w:t>
      </w:r>
      <w:r w:rsidR="00485262">
        <w:rPr>
          <w:sz w:val="24"/>
          <w:szCs w:val="24"/>
        </w:rPr>
        <w:t>, a</w:t>
      </w:r>
      <w:r w:rsidR="00B3034B">
        <w:rPr>
          <w:sz w:val="24"/>
          <w:szCs w:val="24"/>
        </w:rPr>
        <w:t xml:space="preserve"> radi</w:t>
      </w:r>
      <w:r w:rsidR="00FE5127">
        <w:rPr>
          <w:sz w:val="24"/>
          <w:szCs w:val="24"/>
        </w:rPr>
        <w:t>us of 7 km</w:t>
      </w:r>
      <w:r w:rsidR="00485262">
        <w:rPr>
          <w:sz w:val="24"/>
          <w:szCs w:val="24"/>
        </w:rPr>
        <w:t>,</w:t>
      </w:r>
      <w:r w:rsidR="00FE5127">
        <w:rPr>
          <w:sz w:val="24"/>
          <w:szCs w:val="24"/>
        </w:rPr>
        <w:t xml:space="preserve"> </w:t>
      </w:r>
      <w:r w:rsidR="00485262">
        <w:rPr>
          <w:sz w:val="24"/>
          <w:szCs w:val="24"/>
        </w:rPr>
        <w:t xml:space="preserve">a </w:t>
      </w:r>
      <w:r w:rsidR="00FE5127">
        <w:rPr>
          <w:sz w:val="24"/>
          <w:szCs w:val="24"/>
        </w:rPr>
        <w:t>residential land-</w:t>
      </w:r>
      <w:r w:rsidR="00B3034B">
        <w:rPr>
          <w:sz w:val="24"/>
          <w:szCs w:val="24"/>
        </w:rPr>
        <w:t>use indicator of 0.0</w:t>
      </w:r>
      <w:r w:rsidR="00485262">
        <w:rPr>
          <w:sz w:val="24"/>
          <w:szCs w:val="24"/>
        </w:rPr>
        <w:t xml:space="preserve">) </w:t>
      </w:r>
      <w:r w:rsidR="00307DDB">
        <w:rPr>
          <w:sz w:val="24"/>
          <w:szCs w:val="24"/>
        </w:rPr>
        <w:t>and</w:t>
      </w:r>
      <w:r>
        <w:rPr>
          <w:sz w:val="24"/>
          <w:szCs w:val="24"/>
        </w:rPr>
        <w:t xml:space="preserve"> SO</w:t>
      </w:r>
      <w:r w:rsidRPr="00307DDB">
        <w:rPr>
          <w:sz w:val="24"/>
          <w:szCs w:val="24"/>
          <w:vertAlign w:val="subscript"/>
        </w:rPr>
        <w:t>2</w:t>
      </w:r>
      <w:r>
        <w:rPr>
          <w:sz w:val="24"/>
          <w:szCs w:val="24"/>
        </w:rPr>
        <w:t xml:space="preserve"> and smoke </w:t>
      </w:r>
      <w:r w:rsidR="00B3034B">
        <w:rPr>
          <w:sz w:val="24"/>
          <w:szCs w:val="24"/>
        </w:rPr>
        <w:t>for the 1960s-1980s</w:t>
      </w:r>
      <w:r w:rsidR="00307DDB">
        <w:rPr>
          <w:sz w:val="24"/>
          <w:szCs w:val="24"/>
        </w:rPr>
        <w:t xml:space="preserve"> is shown in </w:t>
      </w:r>
      <w:r w:rsidR="002E1D24">
        <w:rPr>
          <w:sz w:val="24"/>
          <w:szCs w:val="24"/>
        </w:rPr>
        <w:t>Figure 9</w:t>
      </w:r>
      <w:r w:rsidR="00B3034B">
        <w:rPr>
          <w:sz w:val="24"/>
          <w:szCs w:val="24"/>
        </w:rPr>
        <w:t xml:space="preserve">. </w:t>
      </w:r>
      <w:r w:rsidR="00307DDB">
        <w:rPr>
          <w:sz w:val="24"/>
          <w:szCs w:val="24"/>
        </w:rPr>
        <w:t>Trends are clearly evident</w:t>
      </w:r>
      <w:r w:rsidR="00FF4AB0">
        <w:rPr>
          <w:sz w:val="24"/>
          <w:szCs w:val="24"/>
        </w:rPr>
        <w:t xml:space="preserve"> for the 1960s and 1970s even though </w:t>
      </w:r>
      <w:r w:rsidR="00FF4AB0" w:rsidRPr="00FF4AB0">
        <w:rPr>
          <w:i/>
          <w:sz w:val="24"/>
          <w:szCs w:val="24"/>
        </w:rPr>
        <w:t>R</w:t>
      </w:r>
      <w:r w:rsidR="00FF4AB0" w:rsidRPr="00FF4AB0">
        <w:rPr>
          <w:i/>
          <w:sz w:val="24"/>
          <w:szCs w:val="24"/>
          <w:vertAlign w:val="superscript"/>
        </w:rPr>
        <w:t>2</w:t>
      </w:r>
      <w:r w:rsidR="00FF4AB0">
        <w:rPr>
          <w:i/>
          <w:sz w:val="24"/>
          <w:szCs w:val="24"/>
        </w:rPr>
        <w:t xml:space="preserve"> </w:t>
      </w:r>
      <w:r w:rsidR="00FF4AB0" w:rsidRPr="00A510AA">
        <w:rPr>
          <w:sz w:val="24"/>
          <w:szCs w:val="24"/>
        </w:rPr>
        <w:t xml:space="preserve">values are relatively low.  By the 1980s, there is little correlation between </w:t>
      </w:r>
      <w:r w:rsidR="000F1230" w:rsidRPr="00A510AA">
        <w:rPr>
          <w:sz w:val="24"/>
          <w:szCs w:val="24"/>
        </w:rPr>
        <w:t xml:space="preserve">land use and </w:t>
      </w:r>
      <w:r w:rsidR="00FF4AB0" w:rsidRPr="00A510AA">
        <w:rPr>
          <w:sz w:val="24"/>
          <w:szCs w:val="24"/>
        </w:rPr>
        <w:t>SO</w:t>
      </w:r>
      <w:r w:rsidR="00FF4AB0" w:rsidRPr="00A510AA">
        <w:rPr>
          <w:sz w:val="24"/>
          <w:szCs w:val="24"/>
          <w:vertAlign w:val="subscript"/>
        </w:rPr>
        <w:t>2</w:t>
      </w:r>
      <w:r w:rsidR="00FF4AB0" w:rsidRPr="00A510AA">
        <w:rPr>
          <w:sz w:val="24"/>
          <w:szCs w:val="24"/>
        </w:rPr>
        <w:t xml:space="preserve"> </w:t>
      </w:r>
      <w:r w:rsidR="000F1230" w:rsidRPr="00A510AA">
        <w:rPr>
          <w:sz w:val="24"/>
          <w:szCs w:val="24"/>
        </w:rPr>
        <w:t>and smoke</w:t>
      </w:r>
      <w:r w:rsidR="000F1230">
        <w:rPr>
          <w:i/>
          <w:sz w:val="24"/>
          <w:szCs w:val="24"/>
        </w:rPr>
        <w:t xml:space="preserve">. </w:t>
      </w:r>
      <w:r w:rsidR="00FF4AB0">
        <w:rPr>
          <w:i/>
          <w:sz w:val="24"/>
          <w:szCs w:val="24"/>
        </w:rPr>
        <w:t xml:space="preserve"> </w:t>
      </w:r>
    </w:p>
    <w:p w:rsidR="00177373" w:rsidRPr="00132BFD" w:rsidRDefault="00A510AA" w:rsidP="00177373">
      <w:pPr>
        <w:spacing w:line="360" w:lineRule="auto"/>
        <w:rPr>
          <w:b/>
          <w:sz w:val="24"/>
          <w:szCs w:val="24"/>
        </w:rPr>
      </w:pPr>
      <w:r>
        <w:rPr>
          <w:b/>
          <w:sz w:val="24"/>
          <w:szCs w:val="24"/>
        </w:rPr>
        <w:t>3.4</w:t>
      </w:r>
      <w:r w:rsidR="00177373" w:rsidRPr="00132BFD">
        <w:rPr>
          <w:b/>
          <w:sz w:val="24"/>
          <w:szCs w:val="24"/>
        </w:rPr>
        <w:t xml:space="preserve"> Evaluation of SO</w:t>
      </w:r>
      <w:r w:rsidR="00177373" w:rsidRPr="002410B4">
        <w:rPr>
          <w:b/>
          <w:sz w:val="24"/>
          <w:szCs w:val="24"/>
          <w:vertAlign w:val="subscript"/>
        </w:rPr>
        <w:t>2</w:t>
      </w:r>
      <w:r w:rsidR="00177373" w:rsidRPr="00132BFD">
        <w:rPr>
          <w:b/>
          <w:sz w:val="24"/>
          <w:szCs w:val="24"/>
        </w:rPr>
        <w:t xml:space="preserve"> deposition efficiency</w:t>
      </w:r>
    </w:p>
    <w:p w:rsidR="00253634" w:rsidRPr="004A5CED" w:rsidRDefault="0009163C" w:rsidP="00253634">
      <w:pPr>
        <w:spacing w:line="360" w:lineRule="auto"/>
        <w:rPr>
          <w:b/>
          <w:sz w:val="24"/>
          <w:szCs w:val="24"/>
        </w:rPr>
      </w:pPr>
      <w:r>
        <w:rPr>
          <w:sz w:val="24"/>
          <w:szCs w:val="24"/>
        </w:rPr>
        <w:t>Figure 10 shows the calculated d</w:t>
      </w:r>
      <w:r w:rsidR="00A510AA">
        <w:rPr>
          <w:sz w:val="24"/>
          <w:szCs w:val="24"/>
        </w:rPr>
        <w:t xml:space="preserve">eposition velocities </w:t>
      </w:r>
      <w:r w:rsidR="00EE6523">
        <w:rPr>
          <w:sz w:val="24"/>
          <w:szCs w:val="24"/>
        </w:rPr>
        <w:t>for all air quality monitoring locations for all years (</w:t>
      </w:r>
      <w:r w:rsidR="00A510AA">
        <w:rPr>
          <w:sz w:val="24"/>
          <w:szCs w:val="24"/>
        </w:rPr>
        <w:t>Figure 10</w:t>
      </w:r>
      <w:r w:rsidR="00EE6523">
        <w:rPr>
          <w:sz w:val="24"/>
          <w:szCs w:val="24"/>
        </w:rPr>
        <w:t>)</w:t>
      </w:r>
      <w:r w:rsidR="00A510AA">
        <w:rPr>
          <w:sz w:val="24"/>
          <w:szCs w:val="24"/>
        </w:rPr>
        <w:t xml:space="preserve">. </w:t>
      </w:r>
      <w:r>
        <w:rPr>
          <w:sz w:val="24"/>
          <w:szCs w:val="24"/>
        </w:rPr>
        <w:t xml:space="preserve">Five-year and ten-year moving averages are also plotted to remove high-frequency variation. </w:t>
      </w:r>
      <w:r w:rsidR="00EE6523">
        <w:rPr>
          <w:sz w:val="24"/>
          <w:szCs w:val="24"/>
        </w:rPr>
        <w:t>Note that after a</w:t>
      </w:r>
      <w:r w:rsidR="00106C86">
        <w:rPr>
          <w:sz w:val="24"/>
          <w:szCs w:val="24"/>
        </w:rPr>
        <w:t xml:space="preserve">bout 1980 there is an increasing trend in the </w:t>
      </w:r>
      <w:r>
        <w:rPr>
          <w:sz w:val="24"/>
          <w:szCs w:val="24"/>
        </w:rPr>
        <w:t>deposition velocity indicating</w:t>
      </w:r>
      <w:r w:rsidR="00106C86">
        <w:rPr>
          <w:sz w:val="24"/>
          <w:szCs w:val="24"/>
        </w:rPr>
        <w:t xml:space="preserve"> an </w:t>
      </w:r>
      <w:r w:rsidR="008B2FB2">
        <w:rPr>
          <w:sz w:val="24"/>
          <w:szCs w:val="24"/>
        </w:rPr>
        <w:t>increase in the effi</w:t>
      </w:r>
      <w:r w:rsidR="00DD720D">
        <w:rPr>
          <w:sz w:val="24"/>
          <w:szCs w:val="24"/>
        </w:rPr>
        <w:t xml:space="preserve">ciency of </w:t>
      </w:r>
      <w:r w:rsidR="00EE6523" w:rsidRPr="00EE6523">
        <w:rPr>
          <w:sz w:val="24"/>
          <w:szCs w:val="24"/>
        </w:rPr>
        <w:t>SO</w:t>
      </w:r>
      <w:r w:rsidR="00EE6523" w:rsidRPr="00EE6523">
        <w:rPr>
          <w:sz w:val="24"/>
          <w:szCs w:val="24"/>
          <w:vertAlign w:val="subscript"/>
        </w:rPr>
        <w:t>2</w:t>
      </w:r>
      <w:r w:rsidR="00EE6523" w:rsidRPr="00EE6523">
        <w:rPr>
          <w:sz w:val="24"/>
          <w:szCs w:val="24"/>
        </w:rPr>
        <w:t xml:space="preserve"> </w:t>
      </w:r>
      <w:r w:rsidR="00DD720D">
        <w:rPr>
          <w:sz w:val="24"/>
          <w:szCs w:val="24"/>
        </w:rPr>
        <w:t xml:space="preserve">oxidation </w:t>
      </w:r>
      <w:r w:rsidR="00EE6523">
        <w:rPr>
          <w:sz w:val="24"/>
          <w:szCs w:val="24"/>
        </w:rPr>
        <w:t xml:space="preserve">to sulfuric acid. </w:t>
      </w:r>
      <w:r w:rsidR="00253634" w:rsidRPr="001B70BB">
        <w:rPr>
          <w:sz w:val="24"/>
          <w:szCs w:val="24"/>
        </w:rPr>
        <w:t>SO</w:t>
      </w:r>
      <w:r w:rsidR="00253634" w:rsidRPr="001B70BB">
        <w:rPr>
          <w:sz w:val="24"/>
          <w:szCs w:val="24"/>
          <w:vertAlign w:val="subscript"/>
        </w:rPr>
        <w:t>2</w:t>
      </w:r>
      <w:r w:rsidR="00253634" w:rsidRPr="001B70BB">
        <w:rPr>
          <w:sz w:val="24"/>
          <w:szCs w:val="24"/>
        </w:rPr>
        <w:t xml:space="preserve"> </w:t>
      </w:r>
      <w:r w:rsidR="00253634">
        <w:rPr>
          <w:sz w:val="24"/>
          <w:szCs w:val="24"/>
        </w:rPr>
        <w:t>emissions in Europe have decreased substantially since 1980, which has been reflected in large reductions in airborne concentrations of SO</w:t>
      </w:r>
      <w:r w:rsidR="00253634">
        <w:rPr>
          <w:sz w:val="24"/>
          <w:szCs w:val="24"/>
          <w:vertAlign w:val="subscript"/>
        </w:rPr>
        <w:t>2</w:t>
      </w:r>
      <w:r w:rsidR="00253634">
        <w:rPr>
          <w:sz w:val="24"/>
          <w:szCs w:val="24"/>
        </w:rPr>
        <w:t xml:space="preserve"> (Vestreng et al., 2007).  Jones and Harrison (2011) used data from the European Monitoring and Evaluation Programme (EMEP) to examine relationships between SO</w:t>
      </w:r>
      <w:r w:rsidR="00253634">
        <w:rPr>
          <w:sz w:val="24"/>
          <w:szCs w:val="24"/>
          <w:vertAlign w:val="subscript"/>
        </w:rPr>
        <w:t>2</w:t>
      </w:r>
      <w:r w:rsidR="00253634">
        <w:rPr>
          <w:sz w:val="24"/>
          <w:szCs w:val="24"/>
        </w:rPr>
        <w:t xml:space="preserve"> and sulfate in rural air.  The data from all countries examined could be fit to a curvilinear relationship:  </w:t>
      </w:r>
    </w:p>
    <w:p w:rsidR="00253634" w:rsidRDefault="00B815DF" w:rsidP="00B815DF">
      <w:pPr>
        <w:tabs>
          <w:tab w:val="center" w:pos="4680"/>
          <w:tab w:val="right" w:pos="9180"/>
        </w:tabs>
        <w:jc w:val="center"/>
        <w:rPr>
          <w:sz w:val="24"/>
          <w:szCs w:val="24"/>
        </w:rPr>
      </w:pPr>
      <w:r>
        <w:rPr>
          <w:sz w:val="24"/>
          <w:szCs w:val="24"/>
        </w:rPr>
        <w:tab/>
      </w:r>
      <w:r w:rsidR="00253634">
        <w:rPr>
          <w:sz w:val="24"/>
          <w:szCs w:val="24"/>
        </w:rPr>
        <w:sym w:font="Symbol" w:char="F063"/>
      </w:r>
      <w:r w:rsidR="00253634">
        <w:rPr>
          <w:sz w:val="24"/>
          <w:szCs w:val="24"/>
        </w:rPr>
        <w:t>[SO</w:t>
      </w:r>
      <w:r w:rsidR="00253634" w:rsidRPr="00B815DF">
        <w:rPr>
          <w:sz w:val="24"/>
          <w:szCs w:val="24"/>
          <w:vertAlign w:val="subscript"/>
        </w:rPr>
        <w:t>4</w:t>
      </w:r>
      <w:r w:rsidR="00253634" w:rsidRPr="00B815DF">
        <w:rPr>
          <w:sz w:val="24"/>
          <w:szCs w:val="24"/>
          <w:vertAlign w:val="superscript"/>
        </w:rPr>
        <w:t>2-</w:t>
      </w:r>
      <w:r w:rsidR="00253634">
        <w:rPr>
          <w:sz w:val="24"/>
          <w:szCs w:val="24"/>
        </w:rPr>
        <w:t xml:space="preserve">] = a · </w:t>
      </w:r>
      <w:r w:rsidR="00253634">
        <w:rPr>
          <w:sz w:val="24"/>
          <w:szCs w:val="24"/>
        </w:rPr>
        <w:sym w:font="Symbol" w:char="F063"/>
      </w:r>
      <w:r w:rsidR="00253634">
        <w:rPr>
          <w:sz w:val="24"/>
          <w:szCs w:val="24"/>
        </w:rPr>
        <w:t>[SO</w:t>
      </w:r>
      <w:r w:rsidR="00253634" w:rsidRPr="00B815DF">
        <w:rPr>
          <w:sz w:val="24"/>
          <w:szCs w:val="24"/>
          <w:vertAlign w:val="subscript"/>
        </w:rPr>
        <w:t>2</w:t>
      </w:r>
      <w:r w:rsidR="00253634">
        <w:rPr>
          <w:sz w:val="24"/>
          <w:szCs w:val="24"/>
        </w:rPr>
        <w:t>]</w:t>
      </w:r>
      <w:r w:rsidR="00253634" w:rsidRPr="00B815DF">
        <w:rPr>
          <w:sz w:val="24"/>
          <w:szCs w:val="24"/>
        </w:rPr>
        <w:t>b</w:t>
      </w:r>
      <w:r w:rsidR="00253634">
        <w:rPr>
          <w:sz w:val="24"/>
          <w:szCs w:val="24"/>
        </w:rPr>
        <w:t xml:space="preserve"> + c</w:t>
      </w:r>
      <w:r>
        <w:rPr>
          <w:sz w:val="24"/>
          <w:szCs w:val="24"/>
        </w:rPr>
        <w:tab/>
        <w:t>[4]</w:t>
      </w:r>
    </w:p>
    <w:p w:rsidR="00177373" w:rsidRDefault="00253634" w:rsidP="00253634">
      <w:pPr>
        <w:spacing w:line="360" w:lineRule="auto"/>
        <w:rPr>
          <w:sz w:val="24"/>
          <w:szCs w:val="24"/>
        </w:rPr>
      </w:pPr>
      <w:r>
        <w:rPr>
          <w:sz w:val="24"/>
          <w:szCs w:val="24"/>
        </w:rPr>
        <w:t xml:space="preserve">where </w:t>
      </w:r>
      <w:r>
        <w:rPr>
          <w:sz w:val="24"/>
          <w:szCs w:val="24"/>
        </w:rPr>
        <w:sym w:font="Symbol" w:char="F063"/>
      </w:r>
      <w:r>
        <w:rPr>
          <w:sz w:val="24"/>
          <w:szCs w:val="24"/>
        </w:rPr>
        <w:t>[SO</w:t>
      </w:r>
      <w:r>
        <w:rPr>
          <w:sz w:val="24"/>
          <w:szCs w:val="24"/>
          <w:vertAlign w:val="subscript"/>
        </w:rPr>
        <w:t>4</w:t>
      </w:r>
      <w:r>
        <w:rPr>
          <w:sz w:val="24"/>
          <w:szCs w:val="24"/>
          <w:vertAlign w:val="superscript"/>
        </w:rPr>
        <w:t>2-</w:t>
      </w:r>
      <w:r>
        <w:rPr>
          <w:sz w:val="24"/>
          <w:szCs w:val="24"/>
        </w:rPr>
        <w:t>] and [SO</w:t>
      </w:r>
      <w:r>
        <w:rPr>
          <w:sz w:val="24"/>
          <w:szCs w:val="24"/>
          <w:vertAlign w:val="subscript"/>
        </w:rPr>
        <w:t>2</w:t>
      </w:r>
      <w:r>
        <w:rPr>
          <w:sz w:val="24"/>
          <w:szCs w:val="24"/>
        </w:rPr>
        <w:t xml:space="preserve">] are airborne concentrations, and a, b and c are constants.  As </w:t>
      </w:r>
      <w:r w:rsidRPr="008A238E">
        <w:rPr>
          <w:i/>
          <w:sz w:val="24"/>
          <w:szCs w:val="24"/>
        </w:rPr>
        <w:t>b</w:t>
      </w:r>
      <w:r>
        <w:rPr>
          <w:sz w:val="24"/>
          <w:szCs w:val="24"/>
        </w:rPr>
        <w:t xml:space="preserve"> takes values of typically around 0.6, the percentage reduction in SO</w:t>
      </w:r>
      <w:r>
        <w:rPr>
          <w:sz w:val="24"/>
          <w:szCs w:val="24"/>
          <w:vertAlign w:val="subscript"/>
        </w:rPr>
        <w:t>4</w:t>
      </w:r>
      <w:r>
        <w:rPr>
          <w:sz w:val="24"/>
          <w:szCs w:val="24"/>
          <w:vertAlign w:val="superscript"/>
        </w:rPr>
        <w:t>2-</w:t>
      </w:r>
      <w:r>
        <w:rPr>
          <w:sz w:val="24"/>
          <w:szCs w:val="24"/>
        </w:rPr>
        <w:t xml:space="preserve"> is less than proportionate for a given reduction in SO</w:t>
      </w:r>
      <w:r>
        <w:rPr>
          <w:sz w:val="24"/>
          <w:szCs w:val="24"/>
          <w:vertAlign w:val="subscript"/>
        </w:rPr>
        <w:t>2</w:t>
      </w:r>
      <w:r>
        <w:rPr>
          <w:sz w:val="24"/>
          <w:szCs w:val="24"/>
        </w:rPr>
        <w:t>.  Hidy et al. (2014) examined measured concentrations from sites in the southeastern United States</w:t>
      </w:r>
      <w:r w:rsidR="00295237">
        <w:rPr>
          <w:sz w:val="24"/>
          <w:szCs w:val="24"/>
        </w:rPr>
        <w:t>; b</w:t>
      </w:r>
      <w:r>
        <w:rPr>
          <w:sz w:val="24"/>
          <w:szCs w:val="24"/>
        </w:rPr>
        <w:t>etween 1999 and 2013, average SO</w:t>
      </w:r>
      <w:r>
        <w:rPr>
          <w:sz w:val="24"/>
          <w:szCs w:val="24"/>
          <w:vertAlign w:val="subscript"/>
        </w:rPr>
        <w:t>2</w:t>
      </w:r>
      <w:r>
        <w:rPr>
          <w:sz w:val="24"/>
          <w:szCs w:val="24"/>
        </w:rPr>
        <w:t xml:space="preserve"> concentrations fell by approximately 84%, while SO</w:t>
      </w:r>
      <w:r>
        <w:rPr>
          <w:sz w:val="24"/>
          <w:szCs w:val="24"/>
          <w:vertAlign w:val="subscript"/>
        </w:rPr>
        <w:t>4</w:t>
      </w:r>
      <w:r>
        <w:rPr>
          <w:sz w:val="24"/>
          <w:szCs w:val="24"/>
          <w:vertAlign w:val="superscript"/>
        </w:rPr>
        <w:t>2-</w:t>
      </w:r>
      <w:r>
        <w:rPr>
          <w:sz w:val="24"/>
          <w:szCs w:val="24"/>
        </w:rPr>
        <w:t xml:space="preserve"> over the same period fell by only 60%.  The trend seen in Figure 10 of higher sulfuric acid production efficiency at lower concentrations of SO</w:t>
      </w:r>
      <w:r>
        <w:rPr>
          <w:sz w:val="24"/>
          <w:szCs w:val="24"/>
          <w:vertAlign w:val="subscript"/>
        </w:rPr>
        <w:t>2</w:t>
      </w:r>
      <w:r>
        <w:rPr>
          <w:sz w:val="24"/>
          <w:szCs w:val="24"/>
        </w:rPr>
        <w:t xml:space="preserve"> in more recent years is consistent with this pattern.  </w:t>
      </w:r>
    </w:p>
    <w:p w:rsidR="00AB108F" w:rsidRPr="001D19E8" w:rsidRDefault="004B5D5C" w:rsidP="00AB108F">
      <w:pPr>
        <w:spacing w:line="360" w:lineRule="auto"/>
        <w:ind w:left="360" w:hanging="360"/>
        <w:rPr>
          <w:b/>
          <w:sz w:val="24"/>
          <w:szCs w:val="24"/>
        </w:rPr>
      </w:pPr>
      <w:r>
        <w:rPr>
          <w:b/>
          <w:sz w:val="24"/>
          <w:szCs w:val="24"/>
        </w:rPr>
        <w:lastRenderedPageBreak/>
        <w:t>4</w:t>
      </w:r>
      <w:r w:rsidR="00AB108F">
        <w:rPr>
          <w:b/>
          <w:sz w:val="24"/>
          <w:szCs w:val="24"/>
        </w:rPr>
        <w:t>.0</w:t>
      </w:r>
      <w:r w:rsidR="00AB108F" w:rsidRPr="001D19E8">
        <w:rPr>
          <w:b/>
          <w:sz w:val="24"/>
          <w:szCs w:val="24"/>
        </w:rPr>
        <w:t xml:space="preserve"> </w:t>
      </w:r>
      <w:r w:rsidR="00AB108F">
        <w:rPr>
          <w:b/>
          <w:sz w:val="24"/>
          <w:szCs w:val="24"/>
        </w:rPr>
        <w:t>Discussion</w:t>
      </w:r>
      <w:r w:rsidR="00E050CB">
        <w:rPr>
          <w:b/>
          <w:sz w:val="24"/>
          <w:szCs w:val="24"/>
        </w:rPr>
        <w:t xml:space="preserve"> and Conclusions</w:t>
      </w:r>
    </w:p>
    <w:p w:rsidR="00E75E47" w:rsidRDefault="000F1230" w:rsidP="00AB108F">
      <w:pPr>
        <w:spacing w:line="360" w:lineRule="auto"/>
        <w:rPr>
          <w:sz w:val="24"/>
          <w:szCs w:val="24"/>
        </w:rPr>
      </w:pPr>
      <w:r>
        <w:rPr>
          <w:sz w:val="24"/>
          <w:szCs w:val="24"/>
        </w:rPr>
        <w:t>G</w:t>
      </w:r>
      <w:r w:rsidR="00AB108F">
        <w:rPr>
          <w:sz w:val="24"/>
          <w:szCs w:val="24"/>
        </w:rPr>
        <w:t xml:space="preserve">ravestone decay </w:t>
      </w:r>
      <w:r>
        <w:rPr>
          <w:sz w:val="24"/>
          <w:szCs w:val="24"/>
        </w:rPr>
        <w:t>has been shown to serve as</w:t>
      </w:r>
      <w:r w:rsidR="00AB108F">
        <w:rPr>
          <w:sz w:val="24"/>
          <w:szCs w:val="24"/>
        </w:rPr>
        <w:t xml:space="preserve"> an excellent proxy for acid deposition (Mooers et al., 2016; Inkpen, 1998, 2013; Cooke, 1989, Cooke et al., 1995)</w:t>
      </w:r>
      <w:r>
        <w:rPr>
          <w:sz w:val="24"/>
          <w:szCs w:val="24"/>
        </w:rPr>
        <w:t xml:space="preserve">.  In addition, the results of this investigation suggest that gravestone decay </w:t>
      </w:r>
      <w:r w:rsidR="00216EBF">
        <w:rPr>
          <w:sz w:val="24"/>
          <w:szCs w:val="24"/>
        </w:rPr>
        <w:t xml:space="preserve">exhibits a high degree of correlation </w:t>
      </w:r>
      <w:r>
        <w:rPr>
          <w:sz w:val="24"/>
          <w:szCs w:val="24"/>
        </w:rPr>
        <w:t>with interpolated land use (Figure 7</w:t>
      </w:r>
      <w:r w:rsidR="008C66F1">
        <w:rPr>
          <w:sz w:val="24"/>
          <w:szCs w:val="24"/>
        </w:rPr>
        <w:t>)</w:t>
      </w:r>
      <w:r w:rsidR="00295237">
        <w:rPr>
          <w:sz w:val="24"/>
          <w:szCs w:val="24"/>
        </w:rPr>
        <w:t>, which when</w:t>
      </w:r>
      <w:r w:rsidR="00B51A55">
        <w:rPr>
          <w:sz w:val="24"/>
          <w:szCs w:val="24"/>
        </w:rPr>
        <w:t xml:space="preserve"> integrated over some optimal area essentially determines the pollution</w:t>
      </w:r>
      <w:r w:rsidR="00B47C58">
        <w:rPr>
          <w:sz w:val="24"/>
          <w:szCs w:val="24"/>
        </w:rPr>
        <w:t xml:space="preserve"> sources</w:t>
      </w:r>
      <w:r w:rsidR="00B51A55">
        <w:rPr>
          <w:sz w:val="24"/>
          <w:szCs w:val="24"/>
        </w:rPr>
        <w:t xml:space="preserve"> and therefore the acid flux</w:t>
      </w:r>
      <w:r w:rsidR="008C66F1">
        <w:rPr>
          <w:sz w:val="24"/>
          <w:szCs w:val="24"/>
        </w:rPr>
        <w:t>.</w:t>
      </w:r>
      <w:r>
        <w:rPr>
          <w:sz w:val="24"/>
          <w:szCs w:val="24"/>
        </w:rPr>
        <w:t xml:space="preserve"> </w:t>
      </w:r>
      <w:r w:rsidR="00AB108F">
        <w:rPr>
          <w:sz w:val="24"/>
          <w:szCs w:val="24"/>
        </w:rPr>
        <w:t xml:space="preserve"> </w:t>
      </w:r>
      <w:r w:rsidR="00B47C58">
        <w:rPr>
          <w:sz w:val="24"/>
          <w:szCs w:val="24"/>
        </w:rPr>
        <w:t>T</w:t>
      </w:r>
      <w:r w:rsidR="00671C59">
        <w:rPr>
          <w:sz w:val="24"/>
          <w:szCs w:val="24"/>
        </w:rPr>
        <w:t xml:space="preserve">he correlation between </w:t>
      </w:r>
      <w:r w:rsidR="00B51A55">
        <w:rPr>
          <w:sz w:val="24"/>
          <w:szCs w:val="24"/>
        </w:rPr>
        <w:t xml:space="preserve">interpolated </w:t>
      </w:r>
      <w:r w:rsidR="00671C59">
        <w:rPr>
          <w:sz w:val="24"/>
          <w:szCs w:val="24"/>
        </w:rPr>
        <w:t>land use and air quality</w:t>
      </w:r>
      <w:r w:rsidR="00B47C58">
        <w:rPr>
          <w:sz w:val="24"/>
          <w:szCs w:val="24"/>
        </w:rPr>
        <w:t>,</w:t>
      </w:r>
      <w:r w:rsidR="00671C59">
        <w:rPr>
          <w:sz w:val="24"/>
          <w:szCs w:val="24"/>
        </w:rPr>
        <w:t xml:space="preserve"> </w:t>
      </w:r>
      <w:r w:rsidR="00B47C58">
        <w:rPr>
          <w:sz w:val="24"/>
          <w:szCs w:val="24"/>
        </w:rPr>
        <w:t xml:space="preserve">however, </w:t>
      </w:r>
      <w:r w:rsidR="00216EBF">
        <w:rPr>
          <w:sz w:val="24"/>
          <w:szCs w:val="24"/>
        </w:rPr>
        <w:t>is rather poor</w:t>
      </w:r>
      <w:r w:rsidR="00B47C58" w:rsidRPr="00B47C58">
        <w:rPr>
          <w:sz w:val="24"/>
          <w:szCs w:val="24"/>
        </w:rPr>
        <w:t xml:space="preserve"> </w:t>
      </w:r>
      <w:r w:rsidR="00B47C58">
        <w:rPr>
          <w:sz w:val="24"/>
          <w:szCs w:val="24"/>
        </w:rPr>
        <w:t>(Figure 9) and t</w:t>
      </w:r>
      <w:r w:rsidR="00B51A55">
        <w:rPr>
          <w:sz w:val="24"/>
          <w:szCs w:val="24"/>
        </w:rPr>
        <w:t xml:space="preserve">he reasons for the poor correlation </w:t>
      </w:r>
      <w:r w:rsidR="00B47C58">
        <w:rPr>
          <w:sz w:val="24"/>
          <w:szCs w:val="24"/>
        </w:rPr>
        <w:t xml:space="preserve">are </w:t>
      </w:r>
      <w:r w:rsidR="00604F27">
        <w:rPr>
          <w:sz w:val="24"/>
          <w:szCs w:val="24"/>
        </w:rPr>
        <w:t>difficult to determine</w:t>
      </w:r>
      <w:r w:rsidR="00B47C58">
        <w:rPr>
          <w:sz w:val="24"/>
          <w:szCs w:val="24"/>
        </w:rPr>
        <w:t xml:space="preserve">.   </w:t>
      </w:r>
      <w:r w:rsidR="00AB108F">
        <w:rPr>
          <w:sz w:val="24"/>
          <w:szCs w:val="24"/>
        </w:rPr>
        <w:t xml:space="preserve">The paucity of </w:t>
      </w:r>
      <w:r w:rsidR="00B47C58">
        <w:rPr>
          <w:sz w:val="24"/>
          <w:szCs w:val="24"/>
        </w:rPr>
        <w:t xml:space="preserve">measurements of </w:t>
      </w:r>
      <w:r w:rsidR="00AB108F">
        <w:rPr>
          <w:sz w:val="24"/>
          <w:szCs w:val="24"/>
        </w:rPr>
        <w:t>SO</w:t>
      </w:r>
      <w:r w:rsidR="00AB108F" w:rsidRPr="00A173A6">
        <w:rPr>
          <w:sz w:val="24"/>
          <w:szCs w:val="24"/>
          <w:vertAlign w:val="subscript"/>
        </w:rPr>
        <w:t>2</w:t>
      </w:r>
      <w:r w:rsidR="00AB108F">
        <w:rPr>
          <w:sz w:val="24"/>
          <w:szCs w:val="24"/>
        </w:rPr>
        <w:t xml:space="preserve"> and smoke and </w:t>
      </w:r>
      <w:r w:rsidR="00B47C58">
        <w:rPr>
          <w:sz w:val="24"/>
          <w:szCs w:val="24"/>
        </w:rPr>
        <w:t xml:space="preserve">the </w:t>
      </w:r>
      <w:r w:rsidR="00AB108F">
        <w:rPr>
          <w:sz w:val="24"/>
          <w:szCs w:val="24"/>
        </w:rPr>
        <w:t xml:space="preserve">lack of spatial and temporal continuity of the records all contribute to poor correlation. </w:t>
      </w:r>
      <w:r w:rsidR="001E1E8B">
        <w:rPr>
          <w:sz w:val="24"/>
          <w:szCs w:val="24"/>
        </w:rPr>
        <w:t xml:space="preserve">In addition, </w:t>
      </w:r>
      <w:r w:rsidR="001E1E8B" w:rsidRPr="001E1E8B">
        <w:rPr>
          <w:sz w:val="24"/>
          <w:szCs w:val="24"/>
        </w:rPr>
        <w:t>SO</w:t>
      </w:r>
      <w:r w:rsidR="001E1E8B" w:rsidRPr="001E1E8B">
        <w:rPr>
          <w:sz w:val="24"/>
          <w:szCs w:val="24"/>
          <w:vertAlign w:val="subscript"/>
        </w:rPr>
        <w:t>2</w:t>
      </w:r>
      <w:r w:rsidR="001E1E8B" w:rsidRPr="001E1E8B">
        <w:rPr>
          <w:sz w:val="24"/>
          <w:szCs w:val="24"/>
        </w:rPr>
        <w:t xml:space="preserve"> </w:t>
      </w:r>
      <w:r w:rsidR="001E1E8B">
        <w:rPr>
          <w:sz w:val="24"/>
          <w:szCs w:val="24"/>
        </w:rPr>
        <w:t>data are annual averages and gravestone decay may well be sensitive to seasonal variations or even short-term extreme events</w:t>
      </w:r>
      <w:r w:rsidR="002159E7">
        <w:rPr>
          <w:sz w:val="24"/>
          <w:szCs w:val="24"/>
        </w:rPr>
        <w:t xml:space="preserve"> that are not represented in the available data</w:t>
      </w:r>
      <w:r w:rsidR="001E1E8B">
        <w:rPr>
          <w:sz w:val="24"/>
          <w:szCs w:val="24"/>
        </w:rPr>
        <w:t xml:space="preserve">. </w:t>
      </w:r>
      <w:r w:rsidR="00E54628">
        <w:rPr>
          <w:sz w:val="24"/>
          <w:szCs w:val="24"/>
        </w:rPr>
        <w:t>C</w:t>
      </w:r>
      <w:r w:rsidR="002159E7">
        <w:rPr>
          <w:sz w:val="24"/>
          <w:szCs w:val="24"/>
        </w:rPr>
        <w:t xml:space="preserve">orrelation between </w:t>
      </w:r>
      <w:r w:rsidR="00AB108F">
        <w:rPr>
          <w:sz w:val="24"/>
          <w:szCs w:val="24"/>
        </w:rPr>
        <w:t xml:space="preserve">gravestone decay </w:t>
      </w:r>
      <w:r w:rsidR="002159E7">
        <w:rPr>
          <w:sz w:val="24"/>
          <w:szCs w:val="24"/>
        </w:rPr>
        <w:t>and measured SO</w:t>
      </w:r>
      <w:r w:rsidR="002159E7" w:rsidRPr="00A173A6">
        <w:rPr>
          <w:sz w:val="24"/>
          <w:szCs w:val="24"/>
          <w:vertAlign w:val="subscript"/>
        </w:rPr>
        <w:t>2</w:t>
      </w:r>
      <w:r w:rsidR="002159E7">
        <w:rPr>
          <w:sz w:val="24"/>
          <w:szCs w:val="24"/>
        </w:rPr>
        <w:t xml:space="preserve"> and smoke concentrations (air quality) is </w:t>
      </w:r>
      <w:r w:rsidR="00B47C58">
        <w:rPr>
          <w:sz w:val="24"/>
          <w:szCs w:val="24"/>
        </w:rPr>
        <w:t xml:space="preserve">suggested </w:t>
      </w:r>
      <w:r w:rsidR="002159E7">
        <w:rPr>
          <w:sz w:val="24"/>
          <w:szCs w:val="24"/>
        </w:rPr>
        <w:t xml:space="preserve">by </w:t>
      </w:r>
      <w:r w:rsidR="00B47C58">
        <w:rPr>
          <w:sz w:val="24"/>
          <w:szCs w:val="24"/>
        </w:rPr>
        <w:t xml:space="preserve">their </w:t>
      </w:r>
      <w:r w:rsidR="002159E7">
        <w:rPr>
          <w:sz w:val="24"/>
          <w:szCs w:val="24"/>
        </w:rPr>
        <w:t xml:space="preserve">similar exponential trends </w:t>
      </w:r>
      <w:r w:rsidR="00AB108F">
        <w:rPr>
          <w:sz w:val="24"/>
          <w:szCs w:val="24"/>
        </w:rPr>
        <w:t>(Figure</w:t>
      </w:r>
      <w:r w:rsidR="002159E7">
        <w:rPr>
          <w:sz w:val="24"/>
          <w:szCs w:val="24"/>
        </w:rPr>
        <w:t>s 2 and</w:t>
      </w:r>
      <w:r w:rsidR="00AB108F">
        <w:rPr>
          <w:sz w:val="24"/>
          <w:szCs w:val="24"/>
        </w:rPr>
        <w:t xml:space="preserve"> 3). Although spatial interpolation procedures can be used to </w:t>
      </w:r>
      <w:r w:rsidR="00604F27">
        <w:rPr>
          <w:sz w:val="24"/>
          <w:szCs w:val="24"/>
        </w:rPr>
        <w:t xml:space="preserve">determine intermediate values of </w:t>
      </w:r>
      <w:r w:rsidR="00B47C58">
        <w:rPr>
          <w:sz w:val="24"/>
          <w:szCs w:val="24"/>
        </w:rPr>
        <w:t xml:space="preserve">gravestone </w:t>
      </w:r>
      <w:r w:rsidR="00AB108F">
        <w:rPr>
          <w:sz w:val="24"/>
          <w:szCs w:val="24"/>
        </w:rPr>
        <w:t xml:space="preserve">decay, variogram analysis indicates that there is </w:t>
      </w:r>
      <w:r w:rsidR="002159E7">
        <w:rPr>
          <w:sz w:val="24"/>
          <w:szCs w:val="24"/>
        </w:rPr>
        <w:t>a lack of</w:t>
      </w:r>
      <w:r w:rsidR="00FE5127">
        <w:rPr>
          <w:sz w:val="24"/>
          <w:szCs w:val="24"/>
        </w:rPr>
        <w:t xml:space="preserve"> spatial correlation</w:t>
      </w:r>
      <w:r w:rsidR="00AC709F">
        <w:rPr>
          <w:sz w:val="24"/>
          <w:szCs w:val="24"/>
        </w:rPr>
        <w:t xml:space="preserve"> particularly prior to about 1980</w:t>
      </w:r>
      <w:r w:rsidR="00FE5127">
        <w:rPr>
          <w:sz w:val="24"/>
          <w:szCs w:val="24"/>
        </w:rPr>
        <w:t xml:space="preserve">. </w:t>
      </w:r>
      <w:r w:rsidR="002159E7">
        <w:rPr>
          <w:sz w:val="24"/>
          <w:szCs w:val="24"/>
        </w:rPr>
        <w:t>Local factors, likely related to land use</w:t>
      </w:r>
      <w:r w:rsidR="009346EE">
        <w:rPr>
          <w:sz w:val="24"/>
          <w:szCs w:val="24"/>
        </w:rPr>
        <w:t xml:space="preserve"> (or possibly even microclimatic effects)</w:t>
      </w:r>
      <w:r w:rsidR="002159E7">
        <w:rPr>
          <w:sz w:val="24"/>
          <w:szCs w:val="24"/>
        </w:rPr>
        <w:t xml:space="preserve">, therefore appear to overwhelm the spatial continuum. </w:t>
      </w:r>
      <w:r w:rsidR="00FE5127">
        <w:rPr>
          <w:sz w:val="24"/>
          <w:szCs w:val="24"/>
        </w:rPr>
        <w:t>The land-</w:t>
      </w:r>
      <w:r w:rsidR="00AB108F">
        <w:rPr>
          <w:sz w:val="24"/>
          <w:szCs w:val="24"/>
        </w:rPr>
        <w:t>use approach of spatial interpolation is</w:t>
      </w:r>
      <w:r w:rsidR="002159E7">
        <w:rPr>
          <w:sz w:val="24"/>
          <w:szCs w:val="24"/>
        </w:rPr>
        <w:t xml:space="preserve"> therefore</w:t>
      </w:r>
      <w:r w:rsidR="00AB108F">
        <w:rPr>
          <w:sz w:val="24"/>
          <w:szCs w:val="24"/>
        </w:rPr>
        <w:t xml:space="preserve"> at least as good as other methods even though the correlation with </w:t>
      </w:r>
      <w:r w:rsidR="006165F5">
        <w:rPr>
          <w:sz w:val="24"/>
          <w:szCs w:val="24"/>
        </w:rPr>
        <w:t xml:space="preserve">annually averaged </w:t>
      </w:r>
      <w:r w:rsidR="00D04148">
        <w:rPr>
          <w:sz w:val="24"/>
          <w:szCs w:val="24"/>
        </w:rPr>
        <w:t xml:space="preserve">annual </w:t>
      </w:r>
      <w:r w:rsidR="00AB108F">
        <w:rPr>
          <w:sz w:val="24"/>
          <w:szCs w:val="24"/>
        </w:rPr>
        <w:t>air</w:t>
      </w:r>
      <w:r w:rsidR="00D04148">
        <w:rPr>
          <w:sz w:val="24"/>
          <w:szCs w:val="24"/>
        </w:rPr>
        <w:t>-</w:t>
      </w:r>
      <w:r w:rsidR="00AB108F">
        <w:rPr>
          <w:sz w:val="24"/>
          <w:szCs w:val="24"/>
        </w:rPr>
        <w:t>quality</w:t>
      </w:r>
      <w:r w:rsidR="006165F5">
        <w:rPr>
          <w:sz w:val="24"/>
          <w:szCs w:val="24"/>
        </w:rPr>
        <w:t xml:space="preserve"> data</w:t>
      </w:r>
      <w:r w:rsidR="00AB108F">
        <w:rPr>
          <w:sz w:val="24"/>
          <w:szCs w:val="24"/>
        </w:rPr>
        <w:t xml:space="preserve"> is rather poor. </w:t>
      </w:r>
    </w:p>
    <w:p w:rsidR="00FF4AB0" w:rsidRPr="00C63D50" w:rsidRDefault="00E75E47" w:rsidP="00F20551">
      <w:pPr>
        <w:spacing w:line="360" w:lineRule="auto"/>
        <w:rPr>
          <w:sz w:val="24"/>
          <w:szCs w:val="24"/>
        </w:rPr>
      </w:pPr>
      <w:r>
        <w:rPr>
          <w:sz w:val="24"/>
          <w:szCs w:val="24"/>
        </w:rPr>
        <w:t xml:space="preserve">By about 1980 there was a dramatic turnaround in air quality (Mosley, 2009; 2011) that is evident in both the </w:t>
      </w:r>
      <w:r w:rsidRPr="00E75E47">
        <w:rPr>
          <w:sz w:val="24"/>
          <w:szCs w:val="24"/>
        </w:rPr>
        <w:t>SO</w:t>
      </w:r>
      <w:r w:rsidRPr="00E75E47">
        <w:rPr>
          <w:sz w:val="24"/>
          <w:szCs w:val="24"/>
          <w:vertAlign w:val="subscript"/>
        </w:rPr>
        <w:t>2</w:t>
      </w:r>
      <w:r w:rsidRPr="00E75E47">
        <w:rPr>
          <w:sz w:val="24"/>
          <w:szCs w:val="24"/>
        </w:rPr>
        <w:t xml:space="preserve"> </w:t>
      </w:r>
      <w:r>
        <w:rPr>
          <w:sz w:val="24"/>
          <w:szCs w:val="24"/>
        </w:rPr>
        <w:t>and smoke data (Figure 2) and is well documented in decreasing gravestone decay rates (Mooers et al., 2016)</w:t>
      </w:r>
      <w:r w:rsidR="003F22FD">
        <w:rPr>
          <w:sz w:val="24"/>
          <w:szCs w:val="24"/>
        </w:rPr>
        <w:t xml:space="preserve"> and therefore acid flux</w:t>
      </w:r>
      <w:r>
        <w:rPr>
          <w:sz w:val="24"/>
          <w:szCs w:val="24"/>
        </w:rPr>
        <w:t>. At this time there is a change in the directional dependence of gravestone decay on land use (Figure 8)</w:t>
      </w:r>
      <w:r w:rsidR="009632A4">
        <w:rPr>
          <w:sz w:val="24"/>
          <w:szCs w:val="24"/>
        </w:rPr>
        <w:t xml:space="preserve"> and an increase in the optimum radius of influence of</w:t>
      </w:r>
      <w:r>
        <w:rPr>
          <w:sz w:val="24"/>
          <w:szCs w:val="24"/>
        </w:rPr>
        <w:t xml:space="preserve"> land use </w:t>
      </w:r>
      <w:r w:rsidR="00062B8E">
        <w:rPr>
          <w:sz w:val="24"/>
          <w:szCs w:val="24"/>
        </w:rPr>
        <w:t xml:space="preserve">on </w:t>
      </w:r>
      <w:r w:rsidR="009632A4">
        <w:rPr>
          <w:sz w:val="24"/>
          <w:szCs w:val="24"/>
        </w:rPr>
        <w:t>grave</w:t>
      </w:r>
      <w:r>
        <w:rPr>
          <w:sz w:val="24"/>
          <w:szCs w:val="24"/>
        </w:rPr>
        <w:t>stone decay</w:t>
      </w:r>
      <w:r w:rsidR="009632A4">
        <w:rPr>
          <w:sz w:val="24"/>
          <w:szCs w:val="24"/>
        </w:rPr>
        <w:t xml:space="preserve"> rates</w:t>
      </w:r>
      <w:r>
        <w:rPr>
          <w:sz w:val="24"/>
          <w:szCs w:val="24"/>
        </w:rPr>
        <w:t xml:space="preserve"> </w:t>
      </w:r>
      <w:r w:rsidR="003F22FD">
        <w:rPr>
          <w:sz w:val="24"/>
          <w:szCs w:val="24"/>
        </w:rPr>
        <w:t xml:space="preserve">(Tables 3 and 4). </w:t>
      </w:r>
      <w:r w:rsidR="00B74E8E">
        <w:rPr>
          <w:sz w:val="24"/>
          <w:szCs w:val="24"/>
        </w:rPr>
        <w:t xml:space="preserve">Also at this time there appears to be a marked increase in the efficiency of the </w:t>
      </w:r>
      <w:r w:rsidR="00B74E8E" w:rsidRPr="00B74E8E">
        <w:rPr>
          <w:sz w:val="24"/>
          <w:szCs w:val="24"/>
        </w:rPr>
        <w:t>SO</w:t>
      </w:r>
      <w:r w:rsidR="00B74E8E" w:rsidRPr="00B74E8E">
        <w:rPr>
          <w:sz w:val="24"/>
          <w:szCs w:val="24"/>
          <w:vertAlign w:val="subscript"/>
        </w:rPr>
        <w:t>2</w:t>
      </w:r>
      <w:r w:rsidR="00B74E8E" w:rsidRPr="00B74E8E">
        <w:rPr>
          <w:sz w:val="24"/>
          <w:szCs w:val="24"/>
        </w:rPr>
        <w:t xml:space="preserve"> </w:t>
      </w:r>
      <w:r w:rsidR="00B74E8E">
        <w:rPr>
          <w:sz w:val="24"/>
          <w:szCs w:val="24"/>
        </w:rPr>
        <w:t>oxidation process</w:t>
      </w:r>
      <w:r w:rsidR="00253634">
        <w:rPr>
          <w:sz w:val="24"/>
          <w:szCs w:val="24"/>
        </w:rPr>
        <w:t xml:space="preserve"> (Figure 10)</w:t>
      </w:r>
      <w:r w:rsidR="00B74E8E">
        <w:rPr>
          <w:sz w:val="24"/>
          <w:szCs w:val="24"/>
        </w:rPr>
        <w:t xml:space="preserve">.   The most probable explanation </w:t>
      </w:r>
      <w:r w:rsidR="00253634">
        <w:rPr>
          <w:sz w:val="24"/>
          <w:szCs w:val="24"/>
        </w:rPr>
        <w:t xml:space="preserve">for the increased deposition efficiency </w:t>
      </w:r>
      <w:r w:rsidR="00B74E8E">
        <w:rPr>
          <w:sz w:val="24"/>
          <w:szCs w:val="24"/>
        </w:rPr>
        <w:t xml:space="preserve">is non-linearity in the </w:t>
      </w:r>
      <w:r w:rsidR="00B74E8E" w:rsidRPr="001B70BB">
        <w:rPr>
          <w:sz w:val="24"/>
          <w:szCs w:val="24"/>
        </w:rPr>
        <w:t>SO</w:t>
      </w:r>
      <w:r w:rsidR="00B74E8E" w:rsidRPr="001B70BB">
        <w:rPr>
          <w:sz w:val="24"/>
          <w:szCs w:val="24"/>
          <w:vertAlign w:val="subscript"/>
        </w:rPr>
        <w:t>2</w:t>
      </w:r>
      <w:r w:rsidR="00B74E8E" w:rsidRPr="001B70BB">
        <w:rPr>
          <w:sz w:val="24"/>
          <w:szCs w:val="24"/>
        </w:rPr>
        <w:t xml:space="preserve"> </w:t>
      </w:r>
      <w:r w:rsidR="00B74E8E">
        <w:rPr>
          <w:sz w:val="24"/>
          <w:szCs w:val="24"/>
        </w:rPr>
        <w:t xml:space="preserve">conversion to sulfate, which is seen in both field measurement data (Jones and Harrison, 2011; Hidy et al., 2014) and numerical model results (Harrison et al., 2013).  </w:t>
      </w:r>
      <w:r w:rsidR="00B74E8E">
        <w:rPr>
          <w:sz w:val="24"/>
          <w:szCs w:val="24"/>
        </w:rPr>
        <w:lastRenderedPageBreak/>
        <w:t>An alternative explanation of Figure 10</w:t>
      </w:r>
      <w:r w:rsidR="00253634">
        <w:rPr>
          <w:sz w:val="24"/>
          <w:szCs w:val="24"/>
        </w:rPr>
        <w:t>,</w:t>
      </w:r>
      <w:r w:rsidR="00B74E8E">
        <w:rPr>
          <w:sz w:val="24"/>
          <w:szCs w:val="24"/>
        </w:rPr>
        <w:t xml:space="preserve"> which needs to be </w:t>
      </w:r>
      <w:r w:rsidR="00253634">
        <w:rPr>
          <w:sz w:val="24"/>
          <w:szCs w:val="24"/>
        </w:rPr>
        <w:t>considered,</w:t>
      </w:r>
      <w:r w:rsidR="00B74E8E">
        <w:rPr>
          <w:sz w:val="24"/>
          <w:szCs w:val="24"/>
        </w:rPr>
        <w:t xml:space="preserve"> is that increased emissions of nitrogen oxides have led to increased concentrations of nitric acid and higher decay rates.  However, UK emission statistics for NO</w:t>
      </w:r>
      <w:r w:rsidR="00B74E8E">
        <w:rPr>
          <w:sz w:val="24"/>
          <w:szCs w:val="24"/>
          <w:vertAlign w:val="subscript"/>
        </w:rPr>
        <w:t>x</w:t>
      </w:r>
      <w:r w:rsidR="00B74E8E">
        <w:rPr>
          <w:sz w:val="24"/>
          <w:szCs w:val="24"/>
        </w:rPr>
        <w:t xml:space="preserve"> show a peak in 1990 with continual decrease until 2013 (National Atmospheric Emissions Inventory, 2016), suggesting that decay due to nitric acid cannot explain the observed trend</w:t>
      </w:r>
      <w:r w:rsidR="00253634">
        <w:rPr>
          <w:sz w:val="24"/>
          <w:szCs w:val="24"/>
        </w:rPr>
        <w:t>s</w:t>
      </w:r>
      <w:r w:rsidR="00B74E8E">
        <w:rPr>
          <w:sz w:val="24"/>
          <w:szCs w:val="24"/>
        </w:rPr>
        <w:t>.</w:t>
      </w:r>
    </w:p>
    <w:p w:rsidR="00AB108F" w:rsidRPr="004A5298" w:rsidRDefault="00AB108F" w:rsidP="00AB108F">
      <w:pPr>
        <w:spacing w:line="360" w:lineRule="auto"/>
        <w:rPr>
          <w:sz w:val="24"/>
          <w:szCs w:val="24"/>
        </w:rPr>
      </w:pPr>
      <w:r>
        <w:rPr>
          <w:sz w:val="24"/>
          <w:szCs w:val="24"/>
        </w:rPr>
        <w:t xml:space="preserve">As </w:t>
      </w:r>
      <w:r w:rsidR="008E6425">
        <w:rPr>
          <w:sz w:val="24"/>
          <w:szCs w:val="24"/>
        </w:rPr>
        <w:t xml:space="preserve">sulfuric </w:t>
      </w:r>
      <w:r>
        <w:rPr>
          <w:sz w:val="24"/>
          <w:szCs w:val="24"/>
        </w:rPr>
        <w:t>acid production falls in response to decreased SO</w:t>
      </w:r>
      <w:r>
        <w:rPr>
          <w:sz w:val="24"/>
          <w:szCs w:val="24"/>
          <w:vertAlign w:val="subscript"/>
        </w:rPr>
        <w:t>2</w:t>
      </w:r>
      <w:r>
        <w:rPr>
          <w:sz w:val="24"/>
          <w:szCs w:val="24"/>
        </w:rPr>
        <w:t xml:space="preserve"> concentrations, so the extent of neutrali</w:t>
      </w:r>
      <w:r w:rsidR="008E6425">
        <w:rPr>
          <w:sz w:val="24"/>
          <w:szCs w:val="24"/>
        </w:rPr>
        <w:t>z</w:t>
      </w:r>
      <w:r>
        <w:rPr>
          <w:sz w:val="24"/>
          <w:szCs w:val="24"/>
        </w:rPr>
        <w:t>ation by ammonia is likely t</w:t>
      </w:r>
      <w:r w:rsidR="008E6425">
        <w:rPr>
          <w:sz w:val="24"/>
          <w:szCs w:val="24"/>
        </w:rPr>
        <w:t>o increase, hence reducing sulf</w:t>
      </w:r>
      <w:r>
        <w:rPr>
          <w:sz w:val="24"/>
          <w:szCs w:val="24"/>
        </w:rPr>
        <w:t xml:space="preserve">ate acidity and working in the opposite sense to </w:t>
      </w:r>
      <w:r w:rsidR="002E1D24">
        <w:rPr>
          <w:sz w:val="24"/>
          <w:szCs w:val="24"/>
        </w:rPr>
        <w:t>Figure 10</w:t>
      </w:r>
      <w:r>
        <w:rPr>
          <w:sz w:val="24"/>
          <w:szCs w:val="24"/>
        </w:rPr>
        <w:t>.  An alternative role for ammonia is in enhancing th</w:t>
      </w:r>
      <w:r w:rsidR="008E6425">
        <w:rPr>
          <w:sz w:val="24"/>
          <w:szCs w:val="24"/>
        </w:rPr>
        <w:t xml:space="preserve">e deposition efficiency of </w:t>
      </w:r>
      <w:r w:rsidR="001B70BB" w:rsidRPr="001B70BB">
        <w:rPr>
          <w:sz w:val="24"/>
          <w:szCs w:val="24"/>
        </w:rPr>
        <w:t>SO</w:t>
      </w:r>
      <w:r w:rsidR="001B70BB" w:rsidRPr="001B70BB">
        <w:rPr>
          <w:sz w:val="24"/>
          <w:szCs w:val="24"/>
          <w:vertAlign w:val="subscript"/>
        </w:rPr>
        <w:t>2</w:t>
      </w:r>
      <w:r w:rsidR="001B70BB">
        <w:rPr>
          <w:sz w:val="24"/>
          <w:szCs w:val="24"/>
        </w:rPr>
        <w:t xml:space="preserve"> </w:t>
      </w:r>
      <w:r>
        <w:rPr>
          <w:sz w:val="24"/>
          <w:szCs w:val="24"/>
        </w:rPr>
        <w:t>through co-deposition (Erisman and Wyers, 1993).  This is expected to enhance SO</w:t>
      </w:r>
      <w:r>
        <w:rPr>
          <w:sz w:val="24"/>
          <w:szCs w:val="24"/>
          <w:vertAlign w:val="subscript"/>
        </w:rPr>
        <w:t>2</w:t>
      </w:r>
      <w:r>
        <w:rPr>
          <w:sz w:val="24"/>
          <w:szCs w:val="24"/>
        </w:rPr>
        <w:t xml:space="preserve"> deposition efficiency at lower concentrations, and if fo</w:t>
      </w:r>
      <w:r w:rsidR="008E6425">
        <w:rPr>
          <w:sz w:val="24"/>
          <w:szCs w:val="24"/>
        </w:rPr>
        <w:t xml:space="preserve">llowed by oxidation of the </w:t>
      </w:r>
      <w:r w:rsidR="001B70BB">
        <w:rPr>
          <w:sz w:val="24"/>
          <w:szCs w:val="24"/>
        </w:rPr>
        <w:t>SO</w:t>
      </w:r>
      <w:r w:rsidR="001B70BB" w:rsidRPr="001B70BB">
        <w:rPr>
          <w:sz w:val="24"/>
          <w:szCs w:val="24"/>
          <w:vertAlign w:val="subscript"/>
        </w:rPr>
        <w:t>2</w:t>
      </w:r>
      <w:r w:rsidR="008E6425">
        <w:rPr>
          <w:sz w:val="24"/>
          <w:szCs w:val="24"/>
        </w:rPr>
        <w:t xml:space="preserve"> leads to enhanced sulf</w:t>
      </w:r>
      <w:r>
        <w:rPr>
          <w:sz w:val="24"/>
          <w:szCs w:val="24"/>
        </w:rPr>
        <w:t xml:space="preserve">ate concentrations, although not necessarily to </w:t>
      </w:r>
      <w:r w:rsidR="008E6425">
        <w:rPr>
          <w:sz w:val="24"/>
          <w:szCs w:val="24"/>
        </w:rPr>
        <w:t xml:space="preserve">sulfuric </w:t>
      </w:r>
      <w:r>
        <w:rPr>
          <w:sz w:val="24"/>
          <w:szCs w:val="24"/>
        </w:rPr>
        <w:t>acid.</w:t>
      </w:r>
    </w:p>
    <w:p w:rsidR="00AB108F" w:rsidRDefault="00AB108F" w:rsidP="00AB108F">
      <w:pPr>
        <w:spacing w:line="360" w:lineRule="auto"/>
        <w:rPr>
          <w:sz w:val="24"/>
          <w:szCs w:val="24"/>
        </w:rPr>
      </w:pPr>
      <w:r>
        <w:rPr>
          <w:sz w:val="24"/>
          <w:szCs w:val="24"/>
        </w:rPr>
        <w:t xml:space="preserve">As overall air quality improves four trends are evident; 1) the correlation between interpolated land use and stone decay becomes less (Table </w:t>
      </w:r>
      <w:r w:rsidR="004E45BE">
        <w:rPr>
          <w:sz w:val="24"/>
          <w:szCs w:val="24"/>
        </w:rPr>
        <w:t>4</w:t>
      </w:r>
      <w:r>
        <w:rPr>
          <w:sz w:val="24"/>
          <w:szCs w:val="24"/>
        </w:rPr>
        <w:t xml:space="preserve">), 2) the effective radius of influence of land use on local air quality increases (Table </w:t>
      </w:r>
      <w:r w:rsidR="004E45BE">
        <w:rPr>
          <w:sz w:val="24"/>
          <w:szCs w:val="24"/>
        </w:rPr>
        <w:t>4</w:t>
      </w:r>
      <w:r>
        <w:rPr>
          <w:sz w:val="24"/>
          <w:szCs w:val="24"/>
        </w:rPr>
        <w:t>), 3) the directional dependence of land use on local air quality changes from southerly to westerly to northerly, and 4) the efficiency o</w:t>
      </w:r>
      <w:r w:rsidR="008E6425">
        <w:rPr>
          <w:sz w:val="24"/>
          <w:szCs w:val="24"/>
        </w:rPr>
        <w:t xml:space="preserve">f stone decay increases as </w:t>
      </w:r>
      <w:r w:rsidR="001B70BB">
        <w:rPr>
          <w:sz w:val="24"/>
          <w:szCs w:val="24"/>
        </w:rPr>
        <w:t>SO</w:t>
      </w:r>
      <w:r w:rsidR="001B70BB" w:rsidRPr="001B70BB">
        <w:rPr>
          <w:sz w:val="24"/>
          <w:szCs w:val="24"/>
          <w:vertAlign w:val="subscript"/>
        </w:rPr>
        <w:t>2</w:t>
      </w:r>
      <w:r>
        <w:rPr>
          <w:sz w:val="24"/>
          <w:szCs w:val="24"/>
        </w:rPr>
        <w:t xml:space="preserve"> concentrations fall. These trends are consistent with greatly reduced contrast in air quality among different land-use types. The reason for the change in directional trend from south to north over 50 years is unclear, but </w:t>
      </w:r>
      <w:r w:rsidR="00062B8E">
        <w:rPr>
          <w:sz w:val="24"/>
          <w:szCs w:val="24"/>
        </w:rPr>
        <w:t xml:space="preserve">possibly </w:t>
      </w:r>
      <w:r>
        <w:rPr>
          <w:sz w:val="24"/>
          <w:szCs w:val="24"/>
        </w:rPr>
        <w:t xml:space="preserve">related to industrial decline in the Midlands over this time (Spencer et al., 1986). </w:t>
      </w:r>
    </w:p>
    <w:p w:rsidR="00AB108F" w:rsidRDefault="0009163C" w:rsidP="00AB108F">
      <w:pPr>
        <w:spacing w:line="360" w:lineRule="auto"/>
        <w:rPr>
          <w:sz w:val="24"/>
          <w:szCs w:val="24"/>
        </w:rPr>
      </w:pPr>
      <w:r>
        <w:rPr>
          <w:sz w:val="24"/>
          <w:szCs w:val="24"/>
        </w:rPr>
        <w:t>Finally</w:t>
      </w:r>
      <w:r w:rsidR="00AB108F">
        <w:rPr>
          <w:sz w:val="24"/>
          <w:szCs w:val="24"/>
        </w:rPr>
        <w:t>, interpolated land use and the correlation with SO</w:t>
      </w:r>
      <w:r w:rsidR="00AB108F" w:rsidRPr="003A2963">
        <w:rPr>
          <w:sz w:val="24"/>
          <w:szCs w:val="24"/>
          <w:vertAlign w:val="subscript"/>
        </w:rPr>
        <w:t>2</w:t>
      </w:r>
      <w:r w:rsidR="00AB108F">
        <w:rPr>
          <w:sz w:val="24"/>
          <w:szCs w:val="24"/>
        </w:rPr>
        <w:t xml:space="preserve"> and smoke </w:t>
      </w:r>
      <w:r w:rsidR="001E1E8B">
        <w:rPr>
          <w:sz w:val="24"/>
          <w:szCs w:val="24"/>
        </w:rPr>
        <w:t>can be used to</w:t>
      </w:r>
      <w:r w:rsidR="00AB108F">
        <w:rPr>
          <w:sz w:val="24"/>
          <w:szCs w:val="24"/>
        </w:rPr>
        <w:t xml:space="preserve"> estimate average air quality over the study area for each decade (</w:t>
      </w:r>
      <w:r w:rsidR="002E1D24">
        <w:rPr>
          <w:sz w:val="24"/>
          <w:szCs w:val="24"/>
        </w:rPr>
        <w:t>Figure 11</w:t>
      </w:r>
      <w:r w:rsidR="00AB108F">
        <w:rPr>
          <w:sz w:val="24"/>
          <w:szCs w:val="24"/>
        </w:rPr>
        <w:t xml:space="preserve">). The improvement in air quality is quite dramatic, particularly </w:t>
      </w:r>
      <w:r w:rsidR="00CF4FE5">
        <w:rPr>
          <w:sz w:val="24"/>
          <w:szCs w:val="24"/>
        </w:rPr>
        <w:t xml:space="preserve">between </w:t>
      </w:r>
      <w:r w:rsidR="00AB108F">
        <w:rPr>
          <w:sz w:val="24"/>
          <w:szCs w:val="24"/>
        </w:rPr>
        <w:t xml:space="preserve">the 1960s </w:t>
      </w:r>
      <w:r w:rsidR="00CF4FE5">
        <w:rPr>
          <w:sz w:val="24"/>
          <w:szCs w:val="24"/>
        </w:rPr>
        <w:t xml:space="preserve">and </w:t>
      </w:r>
      <w:r w:rsidR="00AB108F">
        <w:rPr>
          <w:sz w:val="24"/>
          <w:szCs w:val="24"/>
        </w:rPr>
        <w:t xml:space="preserve">the 1980s. After about the mid-1980s air quality is relatively uniform spatially in the West Midlands and the correlation with land use is </w:t>
      </w:r>
      <w:r w:rsidR="00E93D62">
        <w:rPr>
          <w:sz w:val="24"/>
          <w:szCs w:val="24"/>
        </w:rPr>
        <w:t>significantly lower</w:t>
      </w:r>
      <w:r w:rsidR="00AB108F">
        <w:rPr>
          <w:sz w:val="24"/>
          <w:szCs w:val="24"/>
        </w:rPr>
        <w:t>.</w:t>
      </w:r>
    </w:p>
    <w:p w:rsidR="00DE4CEA" w:rsidRPr="003E3D9E" w:rsidRDefault="00DE4CEA" w:rsidP="00B31B23">
      <w:pPr>
        <w:spacing w:line="360" w:lineRule="auto"/>
        <w:rPr>
          <w:b/>
          <w:sz w:val="24"/>
          <w:szCs w:val="24"/>
        </w:rPr>
      </w:pPr>
      <w:r w:rsidRPr="003E3D9E">
        <w:rPr>
          <w:b/>
          <w:sz w:val="24"/>
          <w:szCs w:val="24"/>
        </w:rPr>
        <w:t>Acknowledgements</w:t>
      </w:r>
    </w:p>
    <w:p w:rsidR="00DE4CEA" w:rsidRDefault="003E3D9E" w:rsidP="00B31B23">
      <w:pPr>
        <w:spacing w:line="360" w:lineRule="auto"/>
        <w:rPr>
          <w:sz w:val="24"/>
          <w:szCs w:val="24"/>
        </w:rPr>
      </w:pPr>
      <w:r>
        <w:rPr>
          <w:sz w:val="24"/>
          <w:szCs w:val="24"/>
        </w:rPr>
        <w:t xml:space="preserve">Several people were instrumental in the process of gathering data for this study over the past ten years.  Tony Sames was our guide and natural historian lending his knowledge and </w:t>
      </w:r>
      <w:r>
        <w:rPr>
          <w:sz w:val="24"/>
          <w:szCs w:val="24"/>
        </w:rPr>
        <w:lastRenderedPageBreak/>
        <w:t>expertise.  Special thanks to Liz Ross and Chris and Diane Rance for their logistical support and friendship and to Lillian Mooers for keeping the batteries charged in the canal boat.</w:t>
      </w:r>
    </w:p>
    <w:p w:rsidR="005060D0" w:rsidRPr="00AE7027" w:rsidRDefault="005060D0" w:rsidP="005060D0">
      <w:pPr>
        <w:autoSpaceDE w:val="0"/>
        <w:autoSpaceDN w:val="0"/>
        <w:adjustRightInd w:val="0"/>
        <w:spacing w:after="0" w:line="240" w:lineRule="auto"/>
        <w:ind w:left="360" w:hanging="360"/>
        <w:rPr>
          <w:rFonts w:cs="Times New Roman"/>
          <w:b/>
          <w:sz w:val="24"/>
          <w:szCs w:val="24"/>
        </w:rPr>
      </w:pPr>
      <w:r w:rsidRPr="00AE7027">
        <w:rPr>
          <w:rFonts w:cs="Times New Roman"/>
          <w:b/>
          <w:sz w:val="24"/>
          <w:szCs w:val="24"/>
        </w:rPr>
        <w:t>References</w:t>
      </w:r>
    </w:p>
    <w:p w:rsidR="005060D0" w:rsidRPr="00AE7027" w:rsidRDefault="005060D0" w:rsidP="005060D0">
      <w:pPr>
        <w:autoSpaceDE w:val="0"/>
        <w:autoSpaceDN w:val="0"/>
        <w:adjustRightInd w:val="0"/>
        <w:spacing w:after="0" w:line="240" w:lineRule="auto"/>
        <w:ind w:left="360" w:hanging="360"/>
        <w:rPr>
          <w:rFonts w:cs="Times New Roman"/>
          <w:b/>
          <w:sz w:val="24"/>
          <w:szCs w:val="24"/>
        </w:rPr>
      </w:pP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Allen, C. G., 1966. The Industrial Development of Birmingham and the Black Country 1860-1927, Frank Cass and Co. Ltd., p. 1-479.</w:t>
      </w:r>
    </w:p>
    <w:p w:rsidR="005060D0" w:rsidRPr="00C335A9" w:rsidRDefault="005060D0" w:rsidP="005060D0">
      <w:pPr>
        <w:autoSpaceDE w:val="0"/>
        <w:autoSpaceDN w:val="0"/>
        <w:adjustRightInd w:val="0"/>
        <w:spacing w:after="0" w:line="240" w:lineRule="auto"/>
        <w:ind w:left="360" w:hanging="360"/>
        <w:rPr>
          <w:rFonts w:cs="Times New Roman"/>
          <w:sz w:val="24"/>
          <w:szCs w:val="24"/>
        </w:rPr>
      </w:pPr>
      <w:r w:rsidRPr="00C335A9">
        <w:rPr>
          <w:rFonts w:cs="Times New Roman"/>
          <w:sz w:val="24"/>
          <w:szCs w:val="24"/>
        </w:rPr>
        <w:t xml:space="preserve">Allen, R. C. (1994). Agriculture during the industrial revolution. </w:t>
      </w:r>
      <w:r w:rsidRPr="00C335A9">
        <w:rPr>
          <w:rFonts w:cs="Times New Roman"/>
          <w:i/>
          <w:sz w:val="24"/>
          <w:szCs w:val="24"/>
        </w:rPr>
        <w:t>The economic history of Britain since, 1700(1),</w:t>
      </w:r>
      <w:r w:rsidRPr="00C335A9">
        <w:rPr>
          <w:rFonts w:cs="Times New Roman"/>
          <w:sz w:val="24"/>
          <w:szCs w:val="24"/>
        </w:rPr>
        <w:t xml:space="preserve"> 96-122.</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Auliciems, A., &amp; Burton, I. 1973. Trends in smoke concentrations before and after the clean air act of 1956. </w:t>
      </w:r>
      <w:r w:rsidRPr="00AE7027">
        <w:rPr>
          <w:rFonts w:cs="Times New Roman"/>
          <w:i/>
          <w:sz w:val="24"/>
          <w:szCs w:val="24"/>
        </w:rPr>
        <w:t>Atmospheric Environment</w:t>
      </w:r>
      <w:r w:rsidRPr="00AE7027">
        <w:rPr>
          <w:rFonts w:cs="Times New Roman"/>
          <w:sz w:val="24"/>
          <w:szCs w:val="24"/>
        </w:rPr>
        <w:t>, 7(11), 1063-1070.</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Battarbee, R. W. and Renberg, I., 1990. The Surface Water Acidification Project (SWAP) Palaeolimnology Programme, </w:t>
      </w:r>
      <w:r w:rsidRPr="00AE7027">
        <w:rPr>
          <w:rFonts w:cs="Times New Roman"/>
          <w:i/>
          <w:sz w:val="24"/>
          <w:szCs w:val="24"/>
        </w:rPr>
        <w:t>Philosophical Transactions of the Royal Society of London</w:t>
      </w:r>
      <w:r w:rsidRPr="00AE7027">
        <w:rPr>
          <w:rFonts w:cs="Times New Roman"/>
          <w:sz w:val="24"/>
          <w:szCs w:val="24"/>
        </w:rPr>
        <w:t xml:space="preserve">, Series B, Biological Sciences, v. 327, p. 227-232. </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Battarbee, R. W., Howells, G., Skeffington, R. A., and Bradshaw, A. D. , 1990. The Causes of Lake Acidification, with Special Reference to the Role of Acid Deposition (and discussion), </w:t>
      </w:r>
      <w:r w:rsidRPr="00AE7027">
        <w:rPr>
          <w:rFonts w:cs="Times New Roman"/>
          <w:i/>
          <w:sz w:val="24"/>
          <w:szCs w:val="24"/>
        </w:rPr>
        <w:t>Philosophical Transactions of the Royal Society of London</w:t>
      </w:r>
      <w:r w:rsidRPr="00AE7027">
        <w:rPr>
          <w:rFonts w:cs="Times New Roman"/>
          <w:sz w:val="24"/>
          <w:szCs w:val="24"/>
        </w:rPr>
        <w:t>, Series B, Biological Sciences, v. 327, no. 1240, p. 339-347.</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Bricker, O. P. and Rice, K. C., 1993. Acid Rain, </w:t>
      </w:r>
      <w:r w:rsidRPr="00AE7027">
        <w:rPr>
          <w:rFonts w:cs="Times New Roman"/>
          <w:i/>
          <w:sz w:val="24"/>
          <w:szCs w:val="24"/>
        </w:rPr>
        <w:t>Annual Review of Earth Planetary Science</w:t>
      </w:r>
      <w:r w:rsidRPr="00AE7027">
        <w:rPr>
          <w:rFonts w:cs="Times New Roman"/>
          <w:sz w:val="24"/>
          <w:szCs w:val="24"/>
        </w:rPr>
        <w:t>, v. 21, p. 151-174.</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Chilès, J-P., and P. Delfiner 1999. Chapter 4 of Geostatistics: Modeling Spatial Uncertainty. New York: John Wiley &amp; Sons, Inc.</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Cooke, R. U., 1989. II. Geomorphological Contributions to Acid Rain Research: Studies of Stone Weathering, </w:t>
      </w:r>
      <w:r w:rsidRPr="00AE7027">
        <w:rPr>
          <w:rFonts w:cs="Times New Roman"/>
          <w:i/>
          <w:sz w:val="24"/>
          <w:szCs w:val="24"/>
        </w:rPr>
        <w:t>Geographical Journal</w:t>
      </w:r>
      <w:r w:rsidRPr="00AE7027">
        <w:rPr>
          <w:rFonts w:cs="Times New Roman"/>
          <w:sz w:val="24"/>
          <w:szCs w:val="24"/>
        </w:rPr>
        <w:t xml:space="preserve">, v. 155, p. 361-366. </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Cooke, R. U., Inkpen, R. J., and Wiggs, G. F. S., 1995. Using Gravestones to Assess Changing Rates of weathering in the United Kingdom, </w:t>
      </w:r>
      <w:r w:rsidRPr="00AE7027">
        <w:rPr>
          <w:rFonts w:cs="Times New Roman"/>
          <w:i/>
          <w:sz w:val="24"/>
          <w:szCs w:val="24"/>
        </w:rPr>
        <w:t>Earth Surface Processes and Landforms</w:t>
      </w:r>
      <w:r w:rsidRPr="00AE7027">
        <w:rPr>
          <w:rFonts w:cs="Times New Roman"/>
          <w:sz w:val="24"/>
          <w:szCs w:val="24"/>
        </w:rPr>
        <w:t>, v. 20, p. 531-546.</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Dragovich, D., 1991. Marble Weathering in an Industrial Environment, Eastern Australia,Environmental </w:t>
      </w:r>
      <w:r w:rsidRPr="00AE7027">
        <w:rPr>
          <w:rFonts w:cs="Times New Roman"/>
          <w:i/>
          <w:sz w:val="24"/>
          <w:szCs w:val="24"/>
        </w:rPr>
        <w:t>Geology Water Science</w:t>
      </w:r>
      <w:r w:rsidRPr="00AE7027">
        <w:rPr>
          <w:rFonts w:cs="Times New Roman"/>
          <w:sz w:val="24"/>
          <w:szCs w:val="24"/>
        </w:rPr>
        <w:t>, v. 17, no.2, p. 127-132.</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Eggleston, S., Hackman, M., Heyes, C., Irwin, J., Timmis, R. &amp; Williams, M., 1992. Trends in urban air pollution in the United Kingdom during recent decades. </w:t>
      </w:r>
      <w:r w:rsidRPr="00AE7027">
        <w:rPr>
          <w:rFonts w:cs="Times New Roman"/>
          <w:i/>
          <w:sz w:val="24"/>
          <w:szCs w:val="24"/>
        </w:rPr>
        <w:t>Atmospheric Environment</w:t>
      </w:r>
      <w:r w:rsidRPr="00AE7027">
        <w:rPr>
          <w:rFonts w:cs="Times New Roman"/>
          <w:sz w:val="24"/>
          <w:szCs w:val="24"/>
        </w:rPr>
        <w:t>, 26B (2), 227-239.</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Erisman, J. W. and Wyers, G. P., 1993.  Continuous measurements of surface exchange of SO</w:t>
      </w:r>
      <w:r w:rsidRPr="00AE7027">
        <w:rPr>
          <w:rFonts w:cs="Times New Roman"/>
          <w:sz w:val="24"/>
          <w:szCs w:val="24"/>
          <w:vertAlign w:val="subscript"/>
        </w:rPr>
        <w:t>2</w:t>
      </w:r>
      <w:r w:rsidRPr="00AE7027">
        <w:rPr>
          <w:rFonts w:cs="Times New Roman"/>
          <w:sz w:val="24"/>
          <w:szCs w:val="24"/>
        </w:rPr>
        <w:t xml:space="preserve">, and NH3; implications for their possible interaction in the deposition process.  </w:t>
      </w:r>
      <w:r w:rsidRPr="00AE7027">
        <w:rPr>
          <w:rFonts w:cs="Times New Roman"/>
          <w:i/>
          <w:sz w:val="24"/>
          <w:szCs w:val="24"/>
        </w:rPr>
        <w:t>Atmospheric Environment,</w:t>
      </w:r>
      <w:r w:rsidRPr="00AE7027">
        <w:rPr>
          <w:rFonts w:cs="Times New Roman"/>
          <w:sz w:val="24"/>
          <w:szCs w:val="24"/>
        </w:rPr>
        <w:t xml:space="preserve"> 37A, 1937-1949.</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Fenger, J., 2009. Air pollution in the last 50 years – From local to global. </w:t>
      </w:r>
      <w:r w:rsidRPr="00AE7027">
        <w:rPr>
          <w:rFonts w:cs="Times New Roman"/>
          <w:i/>
          <w:sz w:val="24"/>
          <w:szCs w:val="24"/>
        </w:rPr>
        <w:t>Atmospheric Environment</w:t>
      </w:r>
      <w:r w:rsidRPr="00AE7027">
        <w:rPr>
          <w:rFonts w:cs="Times New Roman"/>
          <w:sz w:val="24"/>
          <w:szCs w:val="24"/>
        </w:rPr>
        <w:t>, 43, 13-22.</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Greenstone, M., 2004. Did the Clean Air Act cause the remarkable decline in sulfur dioxide concentrations? </w:t>
      </w:r>
      <w:r w:rsidRPr="00AE7027">
        <w:rPr>
          <w:rFonts w:cs="Times New Roman"/>
          <w:i/>
          <w:sz w:val="24"/>
          <w:szCs w:val="24"/>
        </w:rPr>
        <w:t>Environmental Economics and Management</w:t>
      </w:r>
      <w:r w:rsidRPr="00AE7027">
        <w:rPr>
          <w:rFonts w:cs="Times New Roman"/>
          <w:sz w:val="24"/>
          <w:szCs w:val="24"/>
        </w:rPr>
        <w:t xml:space="preserve"> 47, 585-611</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Harrison, R. M., Jones, A. M., Beddows, D.  and Derwent, R. G., 2013.  The effect of varying primary emissions on the concentrations of inorganic aerosols predicted by the enhanced UK photochemical trajectory model.  </w:t>
      </w:r>
      <w:r w:rsidRPr="00AE7027">
        <w:rPr>
          <w:rFonts w:cs="Times New Roman"/>
          <w:i/>
          <w:sz w:val="24"/>
          <w:szCs w:val="24"/>
        </w:rPr>
        <w:t>Atmospheric Environment</w:t>
      </w:r>
      <w:r w:rsidRPr="00AE7027">
        <w:rPr>
          <w:rFonts w:cs="Times New Roman"/>
          <w:sz w:val="24"/>
          <w:szCs w:val="24"/>
        </w:rPr>
        <w:t>, 69, 211-218.</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lastRenderedPageBreak/>
        <w:t xml:space="preserve">Hidy, G. M., Blanchard, C. L., Baumann, K., Edgerton, E., Tanenbaum, S., Shaw, S., Knipping, E., Tombach, I., Jansen, J. and Walters, J., 2014.  Chemical climatology of the southeastern United States, 1999-2013.  </w:t>
      </w:r>
      <w:r w:rsidRPr="00AE7027">
        <w:rPr>
          <w:rFonts w:cs="Times New Roman"/>
          <w:i/>
          <w:sz w:val="24"/>
          <w:szCs w:val="24"/>
        </w:rPr>
        <w:t>Atmospheric Chemistry &amp; Physics</w:t>
      </w:r>
      <w:r w:rsidRPr="00AE7027">
        <w:rPr>
          <w:rFonts w:cs="Times New Roman"/>
          <w:sz w:val="24"/>
          <w:szCs w:val="24"/>
        </w:rPr>
        <w:t>, 14, 11893-11914.</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Hoek, G., Meliefste, K., Cyrys, J., Lewne, M., Bellander, T., Brauer, M., Fischer, P., Gehring, U., Heinrich, J., van Vliet, P., Brunekreef, B., 2002. Spatial variability of fine particles concentrations in three European areas. </w:t>
      </w:r>
      <w:r w:rsidRPr="00AE7027">
        <w:rPr>
          <w:rFonts w:cs="Times New Roman"/>
          <w:i/>
          <w:sz w:val="24"/>
          <w:szCs w:val="24"/>
        </w:rPr>
        <w:t>Atmospheric Environment</w:t>
      </w:r>
      <w:r w:rsidRPr="00AE7027">
        <w:rPr>
          <w:rFonts w:cs="Times New Roman"/>
          <w:sz w:val="24"/>
          <w:szCs w:val="24"/>
        </w:rPr>
        <w:t>. 36, 4077–4088.</w:t>
      </w:r>
    </w:p>
    <w:p w:rsidR="005060D0" w:rsidRPr="00CE606B" w:rsidRDefault="005060D0" w:rsidP="005060D0">
      <w:pPr>
        <w:autoSpaceDE w:val="0"/>
        <w:autoSpaceDN w:val="0"/>
        <w:adjustRightInd w:val="0"/>
        <w:spacing w:after="0" w:line="240" w:lineRule="auto"/>
        <w:ind w:left="360" w:hanging="360"/>
        <w:rPr>
          <w:rFonts w:cs="Times New Roman"/>
          <w:sz w:val="24"/>
          <w:szCs w:val="24"/>
        </w:rPr>
      </w:pPr>
      <w:r w:rsidRPr="00CE606B">
        <w:rPr>
          <w:rFonts w:cs="Times New Roman"/>
          <w:sz w:val="24"/>
          <w:szCs w:val="24"/>
        </w:rPr>
        <w:t xml:space="preserve">Hoek, G., Beelen, R., De Hoogh, K., Vienneau, D., Gulliver, J., Fischer, P., &amp; Briggs, D. (2008). A review of land-use regression models to assess spatial variation of outdoor air pollution. </w:t>
      </w:r>
      <w:r w:rsidRPr="00CE606B">
        <w:rPr>
          <w:rFonts w:cs="Times New Roman"/>
          <w:i/>
          <w:sz w:val="24"/>
          <w:szCs w:val="24"/>
        </w:rPr>
        <w:t xml:space="preserve">Atmospheric </w:t>
      </w:r>
      <w:r w:rsidRPr="00AE7027">
        <w:rPr>
          <w:rFonts w:cs="Times New Roman"/>
          <w:i/>
          <w:sz w:val="24"/>
          <w:szCs w:val="24"/>
        </w:rPr>
        <w:t>E</w:t>
      </w:r>
      <w:r w:rsidRPr="00CE606B">
        <w:rPr>
          <w:rFonts w:cs="Times New Roman"/>
          <w:i/>
          <w:sz w:val="24"/>
          <w:szCs w:val="24"/>
        </w:rPr>
        <w:t>nvironment</w:t>
      </w:r>
      <w:r w:rsidRPr="00CE606B">
        <w:rPr>
          <w:rFonts w:cs="Times New Roman"/>
          <w:sz w:val="24"/>
          <w:szCs w:val="24"/>
        </w:rPr>
        <w:t>, 42(33), 7561-7578.</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Hunt, A., Abraham, J., Judson, B. and Berry, C., 2003. Toxicologic and Epidemiologic Clues from the Characterization of the 1952 London Smog Fine Particulate Matter in Archival Autopsy Lung Tissues. </w:t>
      </w:r>
      <w:r w:rsidRPr="00AE7027">
        <w:rPr>
          <w:rFonts w:cs="Times New Roman"/>
          <w:i/>
          <w:sz w:val="24"/>
          <w:szCs w:val="24"/>
        </w:rPr>
        <w:t>Environmental Health Perspectives</w:t>
      </w:r>
      <w:r w:rsidRPr="00AE7027">
        <w:rPr>
          <w:rFonts w:cs="Times New Roman"/>
          <w:sz w:val="24"/>
          <w:szCs w:val="24"/>
        </w:rPr>
        <w:t>, 111(9), 1209-1214</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Inkpen, R. J. and Jackson, J., 2000. Contrasting Weathering Rates in Coastal, Urban and Rural Areas in Southern Britain: Preliminary Investigations Using Gravestones. </w:t>
      </w:r>
      <w:r w:rsidRPr="00AE7027">
        <w:rPr>
          <w:rFonts w:cs="Times New Roman"/>
          <w:i/>
          <w:sz w:val="24"/>
          <w:szCs w:val="24"/>
        </w:rPr>
        <w:t>Earth Surface Processes and Landforms</w:t>
      </w:r>
      <w:r w:rsidRPr="00AE7027">
        <w:rPr>
          <w:rFonts w:cs="Times New Roman"/>
          <w:sz w:val="24"/>
          <w:szCs w:val="24"/>
        </w:rPr>
        <w:t xml:space="preserve">, v. 25, p. 229-238. </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Inkpen, R. J., 1998. Gravestones: Problems and potentials as indicators of recent changes in weathering, in Jones, M. and Wakefield, R. (eds.), Aspects of stone weathering, decay and conservation, Imperial College Press, London, p. 16-27. </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Inkpen, R., 2013. Reconstructing past atmospheric pollution levels using gravestone erosion rates. </w:t>
      </w:r>
      <w:r w:rsidRPr="00AE7027">
        <w:rPr>
          <w:rFonts w:cs="Times New Roman"/>
          <w:i/>
          <w:sz w:val="24"/>
          <w:szCs w:val="24"/>
        </w:rPr>
        <w:t>Area</w:t>
      </w:r>
      <w:r w:rsidRPr="00AE7027">
        <w:rPr>
          <w:rFonts w:cs="Times New Roman"/>
          <w:sz w:val="24"/>
          <w:szCs w:val="24"/>
        </w:rPr>
        <w:t xml:space="preserve">, 45(3), 321-329. </w:t>
      </w:r>
    </w:p>
    <w:p w:rsidR="005060D0" w:rsidRPr="00C335A9"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Inkpen, R. J., &amp; Jackson, J., 2000</w:t>
      </w:r>
      <w:r w:rsidRPr="00C335A9">
        <w:rPr>
          <w:rFonts w:cs="Times New Roman"/>
          <w:sz w:val="24"/>
          <w:szCs w:val="24"/>
        </w:rPr>
        <w:t xml:space="preserve">. Contrasting weathering rates in coastal, urban and rural areas in southern Britain: preliminary investigations using gravestones. </w:t>
      </w:r>
      <w:r w:rsidRPr="00C335A9">
        <w:rPr>
          <w:rFonts w:cs="Times New Roman"/>
          <w:i/>
          <w:sz w:val="24"/>
          <w:szCs w:val="24"/>
        </w:rPr>
        <w:t>Earth Surface Processes and Landforms</w:t>
      </w:r>
      <w:r w:rsidRPr="00C335A9">
        <w:rPr>
          <w:rFonts w:cs="Times New Roman"/>
          <w:sz w:val="24"/>
          <w:szCs w:val="24"/>
        </w:rPr>
        <w:t>, 25(3), 229-238.</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Inkpen, R. J., Collier, P., and Fontana, D., 2000. Close-Range Photogrammetric Analysis of Rock Surfaces. </w:t>
      </w:r>
      <w:r w:rsidRPr="00AE7027">
        <w:rPr>
          <w:rFonts w:cs="Times New Roman"/>
          <w:i/>
          <w:sz w:val="24"/>
          <w:szCs w:val="24"/>
        </w:rPr>
        <w:t>Zeitschrift fur Geomorphologie Supplementband</w:t>
      </w:r>
      <w:r w:rsidRPr="00AE7027">
        <w:rPr>
          <w:rFonts w:cs="Times New Roman"/>
          <w:sz w:val="24"/>
          <w:szCs w:val="24"/>
        </w:rPr>
        <w:t xml:space="preserve"> (120). pp. 67-81. </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Inkpen, R. J., Fontana, D., and Collier, P., 2001. Mapping Decay: Integrating Scales of Weathering within a GIS. </w:t>
      </w:r>
      <w:r w:rsidRPr="00AE7027">
        <w:rPr>
          <w:rFonts w:cs="Times New Roman"/>
          <w:i/>
          <w:sz w:val="24"/>
          <w:szCs w:val="24"/>
        </w:rPr>
        <w:t>Earth Surface Processes and Landforms</w:t>
      </w:r>
      <w:r w:rsidRPr="00AE7027">
        <w:rPr>
          <w:rFonts w:cs="Times New Roman"/>
          <w:sz w:val="24"/>
          <w:szCs w:val="24"/>
        </w:rPr>
        <w:t xml:space="preserve">, v. 26, p. 885¬900. </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Inkpen, R., Duane, B., Burdett, J., &amp; Yates, T., 2008. Assessing stone degradation using an integrated database and geographical information system (GIS). Environmental geology, 56(3-4), 789-801.</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Inkpen, R.J., Mooers, H.D., and Carlson, M.J., in press, Using rates of gravestone decay to reconstruct atmospheric sulphur dioxide levels. </w:t>
      </w:r>
      <w:r w:rsidRPr="00AE7027">
        <w:rPr>
          <w:rFonts w:cs="Times New Roman"/>
          <w:i/>
          <w:sz w:val="24"/>
          <w:szCs w:val="24"/>
        </w:rPr>
        <w:t>Area</w:t>
      </w:r>
      <w:r w:rsidRPr="00AE7027">
        <w:rPr>
          <w:rFonts w:cs="Times New Roman"/>
          <w:sz w:val="24"/>
          <w:szCs w:val="24"/>
        </w:rPr>
        <w:t>.</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Ito, K., Thurston, G., Hayes, C. &amp; Lippmann, M., 1993. Associations of London, England, Daily mortality with particulate matter, sulfur dioxide, and acidic aerosol pollution. </w:t>
      </w:r>
      <w:r w:rsidRPr="00AE7027">
        <w:rPr>
          <w:rFonts w:cs="Times New Roman"/>
          <w:i/>
          <w:sz w:val="24"/>
          <w:szCs w:val="24"/>
        </w:rPr>
        <w:t>Archives of Environmental Health</w:t>
      </w:r>
      <w:r w:rsidRPr="00AE7027">
        <w:rPr>
          <w:rFonts w:cs="Times New Roman"/>
          <w:sz w:val="24"/>
          <w:szCs w:val="24"/>
        </w:rPr>
        <w:t>, 48(4), 213-220.</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Jones, A. M., Harrison and R. M., 2011.  Temporal trends in sulphate concentrations at European sites and relationships to sulphur dioxide.  </w:t>
      </w:r>
      <w:r w:rsidRPr="00AE7027">
        <w:rPr>
          <w:rFonts w:cs="Times New Roman"/>
          <w:i/>
          <w:sz w:val="24"/>
          <w:szCs w:val="24"/>
        </w:rPr>
        <w:t>Atmospheric Environment</w:t>
      </w:r>
      <w:r w:rsidRPr="00AE7027">
        <w:rPr>
          <w:rFonts w:cs="Times New Roman"/>
          <w:sz w:val="24"/>
          <w:szCs w:val="24"/>
        </w:rPr>
        <w:t>, 45, 873-882.</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Kelly, J. and  Thornton, I., 1996. Urban Geochemistry: A study of the influence of anthropogenic activity on the heavy metal content of soils in traditionally industrial and non-industrial areas of Britain. </w:t>
      </w:r>
      <w:r w:rsidRPr="00AE7027">
        <w:rPr>
          <w:rFonts w:cs="Times New Roman"/>
          <w:i/>
          <w:sz w:val="24"/>
          <w:szCs w:val="24"/>
        </w:rPr>
        <w:t>Applied Geochemistry</w:t>
      </w:r>
      <w:r w:rsidRPr="00AE7027">
        <w:rPr>
          <w:rFonts w:cs="Times New Roman"/>
          <w:sz w:val="24"/>
          <w:szCs w:val="24"/>
        </w:rPr>
        <w:t>, 11, 363-370.</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Krivourchko, K., 2012. Empirical Bayesian Kriging. http://www.esri.com/news/arcuser/1012/empirical-byesian-kriging.html.</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lastRenderedPageBreak/>
        <w:t xml:space="preserve">Leck, C. &amp; Rodhe, H., 1989. On the relation between anthropogenic SO2 emissions and concentration of sulfate in air and precipitation. </w:t>
      </w:r>
      <w:r w:rsidRPr="00AE7027">
        <w:rPr>
          <w:rFonts w:cs="Times New Roman"/>
          <w:i/>
          <w:sz w:val="24"/>
          <w:szCs w:val="24"/>
        </w:rPr>
        <w:t>Atmospheric Envrionment</w:t>
      </w:r>
      <w:r w:rsidRPr="00AE7027">
        <w:rPr>
          <w:rFonts w:cs="Times New Roman"/>
          <w:sz w:val="24"/>
          <w:szCs w:val="24"/>
        </w:rPr>
        <w:t>, 23 (5), 959-966.</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Macfarlane, A., 1977. Daily mortality and environment in English conurbations; 1: Air pollution, low temperature, and influenza in Greater London. </w:t>
      </w:r>
      <w:r w:rsidRPr="00AE7027">
        <w:rPr>
          <w:rFonts w:cs="Times New Roman"/>
          <w:i/>
          <w:sz w:val="24"/>
          <w:szCs w:val="24"/>
        </w:rPr>
        <w:t>British Journal of Preventative and Social Medicine</w:t>
      </w:r>
      <w:r w:rsidRPr="00AE7027">
        <w:rPr>
          <w:rFonts w:cs="Times New Roman"/>
          <w:sz w:val="24"/>
          <w:szCs w:val="24"/>
        </w:rPr>
        <w:t>, 31, 54-61.</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Malaga-Starzec, K., Åkesson, U., Lindqvist, J.E., Schouenborg, B., 2006. Microscopic and macroscopic characterization of the porosity of marble as a function of temperature and impregnation. </w:t>
      </w:r>
      <w:r w:rsidRPr="00AE7027">
        <w:rPr>
          <w:rFonts w:cs="Times New Roman"/>
          <w:i/>
          <w:sz w:val="24"/>
          <w:szCs w:val="24"/>
        </w:rPr>
        <w:t>Construction and Building Materials</w:t>
      </w:r>
      <w:r w:rsidRPr="00AE7027">
        <w:rPr>
          <w:rFonts w:cs="Times New Roman"/>
          <w:sz w:val="24"/>
          <w:szCs w:val="24"/>
        </w:rPr>
        <w:t>. 20 (10), 939-947.</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Marsh, A.R.W., 1978. Sulphur and nitrogen contributions to the acidity of rain. </w:t>
      </w:r>
      <w:r w:rsidRPr="00AE7027">
        <w:rPr>
          <w:rFonts w:cs="Times New Roman"/>
          <w:i/>
          <w:sz w:val="24"/>
          <w:szCs w:val="24"/>
        </w:rPr>
        <w:t>Atmospheric Environment</w:t>
      </w:r>
      <w:r w:rsidRPr="00AE7027">
        <w:rPr>
          <w:rFonts w:cs="Times New Roman"/>
          <w:sz w:val="24"/>
          <w:szCs w:val="24"/>
        </w:rPr>
        <w:t xml:space="preserve">, vol. 12, pp 401-406. </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McCormick, J., 2013. British Politics and the Environment. Routledge.</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Meierding, T. C., 1981. Marble Tombstone Weathering Rates, A Transect of the United States. </w:t>
      </w:r>
      <w:r w:rsidRPr="00AE7027">
        <w:rPr>
          <w:rFonts w:cs="Times New Roman"/>
          <w:i/>
          <w:sz w:val="24"/>
          <w:szCs w:val="24"/>
        </w:rPr>
        <w:t>Physical Geography</w:t>
      </w:r>
      <w:r w:rsidRPr="00AE7027">
        <w:rPr>
          <w:rFonts w:cs="Times New Roman"/>
          <w:sz w:val="24"/>
          <w:szCs w:val="24"/>
        </w:rPr>
        <w:t xml:space="preserve">, v. 2, 18 p. </w:t>
      </w:r>
    </w:p>
    <w:p w:rsidR="005060D0" w:rsidRPr="00AE7027" w:rsidRDefault="005060D0" w:rsidP="005060D0">
      <w:pPr>
        <w:autoSpaceDE w:val="0"/>
        <w:autoSpaceDN w:val="0"/>
        <w:adjustRightInd w:val="0"/>
        <w:spacing w:after="0" w:line="240" w:lineRule="auto"/>
        <w:ind w:left="360" w:hanging="360"/>
        <w:rPr>
          <w:rFonts w:cs="Times New Roman"/>
          <w:i/>
          <w:sz w:val="24"/>
          <w:szCs w:val="24"/>
        </w:rPr>
      </w:pPr>
      <w:r w:rsidRPr="00AE7027">
        <w:rPr>
          <w:rFonts w:cs="Times New Roman"/>
          <w:sz w:val="24"/>
          <w:szCs w:val="24"/>
        </w:rPr>
        <w:t xml:space="preserve">Mooers, H.D. and Massman, W.J., in press, Gravestone decay and the determination of deciduous bulk canopy resistance to acid deposition. </w:t>
      </w:r>
      <w:r w:rsidRPr="00AE7027">
        <w:rPr>
          <w:rFonts w:cs="Times New Roman"/>
          <w:i/>
          <w:sz w:val="24"/>
          <w:szCs w:val="24"/>
        </w:rPr>
        <w:t>Science of the Total Environment.</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Mooers, H.D., Cota-Guertin, A.R., Regal, R.R., Sames, A.R., Dekan, A.J., and Henlels, L.M., 2016. A 120-year record of the spatial and temporal distribution of gravestone decay and acid deposition, </w:t>
      </w:r>
      <w:r w:rsidRPr="00AE7027">
        <w:rPr>
          <w:rFonts w:cs="Times New Roman"/>
          <w:i/>
          <w:sz w:val="24"/>
          <w:szCs w:val="24"/>
        </w:rPr>
        <w:t>Atmospheric Environment</w:t>
      </w:r>
      <w:r w:rsidRPr="00AE7027">
        <w:rPr>
          <w:rFonts w:cs="Times New Roman"/>
          <w:sz w:val="24"/>
          <w:szCs w:val="24"/>
        </w:rPr>
        <w:t xml:space="preserve"> 127, 139-154</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Mosley, S., 2009. A network of trust: Measuring and monitoring air pollution in British cities, 1912-1960. </w:t>
      </w:r>
      <w:r w:rsidRPr="00AE7027">
        <w:rPr>
          <w:rFonts w:cs="Times New Roman"/>
          <w:i/>
          <w:sz w:val="24"/>
          <w:szCs w:val="24"/>
        </w:rPr>
        <w:t>Environment and History</w:t>
      </w:r>
      <w:r w:rsidRPr="00AE7027">
        <w:rPr>
          <w:rFonts w:cs="Times New Roman"/>
          <w:sz w:val="24"/>
          <w:szCs w:val="24"/>
        </w:rPr>
        <w:t>, 15, 273-302.</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Mosley, S., 2011. Environmental history of air pollution and protection. World Environmental History, Encyclopedia of Life Support Systems.</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National Atmospheric Emissions Inventory, 2016.  </w:t>
      </w:r>
      <w:hyperlink r:id="rId9" w:history="1">
        <w:r w:rsidRPr="00AE7027">
          <w:rPr>
            <w:rFonts w:cs="Times New Roman"/>
            <w:sz w:val="24"/>
            <w:szCs w:val="24"/>
          </w:rPr>
          <w:t>http://naei.defra.gov.uk/</w:t>
        </w:r>
      </w:hyperlink>
      <w:r w:rsidRPr="00AE7027">
        <w:rPr>
          <w:rFonts w:cs="Times New Roman"/>
          <w:sz w:val="24"/>
          <w:szCs w:val="24"/>
        </w:rPr>
        <w:t>.</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Pilz, J., and G. Spöck, 2007. Why Do We Need and How Should We Implement Bayesian Kriging Methods. </w:t>
      </w:r>
      <w:r w:rsidRPr="00AE7027">
        <w:rPr>
          <w:rFonts w:cs="Times New Roman"/>
          <w:i/>
          <w:sz w:val="24"/>
          <w:szCs w:val="24"/>
        </w:rPr>
        <w:t>Stochastic Environmental Research and Risk Assessment</w:t>
      </w:r>
      <w:r w:rsidRPr="00AE7027">
        <w:rPr>
          <w:rFonts w:cs="Times New Roman"/>
          <w:sz w:val="24"/>
          <w:szCs w:val="24"/>
        </w:rPr>
        <w:t xml:space="preserve"> 22 (5): 621–632.</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Sale, K., &amp; Foner, E. (1993). </w:t>
      </w:r>
      <w:r w:rsidRPr="00AE7027">
        <w:rPr>
          <w:rFonts w:cs="Times New Roman"/>
          <w:i/>
          <w:sz w:val="24"/>
          <w:szCs w:val="24"/>
        </w:rPr>
        <w:t>The Green Revolution: The Environmental Movement 1962-1992</w:t>
      </w:r>
      <w:r w:rsidRPr="00AE7027">
        <w:rPr>
          <w:rFonts w:cs="Times New Roman"/>
          <w:sz w:val="24"/>
          <w:szCs w:val="24"/>
        </w:rPr>
        <w:t xml:space="preserve"> (Vol. 1). Macmillan. </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Schaefer, D.A., Conklin, P., Knoerr, K., 1992a. Atmospheric deposition of acid. In: Johnson, D.W., Lindberg, S.E. (Eds.), Atmospheric Deposition and Forest Nutrient Cycling. Springer-Verlag, New York, p. 427-444.</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Smith, R.A., 1876. What Amendments are Required in the Legislation Necessary to Prevent the Evils Arising from Noxious Vapours and Smoke? </w:t>
      </w:r>
      <w:r w:rsidRPr="00AE7027">
        <w:rPr>
          <w:rFonts w:cs="Times New Roman"/>
          <w:i/>
          <w:sz w:val="24"/>
          <w:szCs w:val="24"/>
        </w:rPr>
        <w:t>Transactions of the National Association for the Promotion of Social Science</w:t>
      </w:r>
      <w:r w:rsidRPr="00AE7027">
        <w:rPr>
          <w:rFonts w:cs="Times New Roman"/>
          <w:sz w:val="24"/>
          <w:szCs w:val="24"/>
        </w:rPr>
        <w:t>: 495–542.</w:t>
      </w:r>
    </w:p>
    <w:p w:rsidR="005060D0" w:rsidRPr="00AE7027" w:rsidRDefault="005060D0" w:rsidP="005060D0">
      <w:pPr>
        <w:spacing w:after="0" w:line="240" w:lineRule="auto"/>
        <w:ind w:left="360" w:hanging="360"/>
        <w:rPr>
          <w:sz w:val="24"/>
          <w:szCs w:val="24"/>
        </w:rPr>
      </w:pPr>
      <w:r w:rsidRPr="00AE7027">
        <w:rPr>
          <w:sz w:val="24"/>
          <w:szCs w:val="24"/>
        </w:rPr>
        <w:t>Spencer, K., 1986. Crisis in the industrial heartland: a study of the West Midlands. Oxford University Press, USA.</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Spix, C., Heinrich, J., Dockery, D., Schwartz, J., Volksch, G., Schwinkowski, K., Collen, C., Wichmann, H. E., 1993. Air pollution and daily mortality in Erfurt, East Germany, 1980-1989. </w:t>
      </w:r>
      <w:r w:rsidRPr="00AE7027">
        <w:rPr>
          <w:rFonts w:cs="Times New Roman"/>
          <w:i/>
          <w:sz w:val="24"/>
          <w:szCs w:val="24"/>
        </w:rPr>
        <w:t>Environmental Health Perspectives</w:t>
      </w:r>
      <w:r w:rsidRPr="00AE7027">
        <w:rPr>
          <w:rFonts w:cs="Times New Roman"/>
          <w:sz w:val="24"/>
          <w:szCs w:val="24"/>
        </w:rPr>
        <w:t>, 101 (6), 518-526.</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Thornbush, M.J., Thornbush, S.E., 2013. The application of a limestone weathering index at churchyards in central Oxford, UK. </w:t>
      </w:r>
      <w:r w:rsidRPr="00AE7027">
        <w:rPr>
          <w:rFonts w:cs="Times New Roman"/>
          <w:i/>
          <w:sz w:val="24"/>
          <w:szCs w:val="24"/>
        </w:rPr>
        <w:t>Applied Geography</w:t>
      </w:r>
      <w:r w:rsidRPr="00AE7027">
        <w:rPr>
          <w:rFonts w:cs="Times New Roman"/>
          <w:sz w:val="24"/>
          <w:szCs w:val="24"/>
        </w:rPr>
        <w:t>. 42, 157e164.</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Tukey, J.W., 1962. The future of data analysis. </w:t>
      </w:r>
      <w:r w:rsidRPr="00AE7027">
        <w:rPr>
          <w:rFonts w:cs="Times New Roman"/>
          <w:i/>
          <w:sz w:val="24"/>
          <w:szCs w:val="24"/>
        </w:rPr>
        <w:t>Ann. Math. Stat</w:t>
      </w:r>
      <w:r w:rsidRPr="00AE7027">
        <w:rPr>
          <w:rFonts w:cs="Times New Roman"/>
          <w:sz w:val="24"/>
          <w:szCs w:val="24"/>
        </w:rPr>
        <w:t>., 1–67.</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University of Salzburg, 2014. Interfaculty Department of Geoinformatics - Z_GIS, Austria, </w:t>
      </w:r>
      <w:hyperlink r:id="rId10" w:history="1">
        <w:r w:rsidRPr="00AE7027">
          <w:rPr>
            <w:rFonts w:cs="Times New Roman"/>
          </w:rPr>
          <w:t>http://www.unigis.ac.at/fernstudien/UNIGIS_professional/traun/spatial_interpolation/kriging3.htm</w:t>
        </w:r>
      </w:hyperlink>
      <w:r w:rsidRPr="00AE7027">
        <w:rPr>
          <w:rFonts w:cs="Times New Roman"/>
          <w:sz w:val="24"/>
          <w:szCs w:val="24"/>
        </w:rPr>
        <w:t>.</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lastRenderedPageBreak/>
        <w:t xml:space="preserve">Vestreng, V., Myhre, G., Fagerli, H., Reis, S. and Tarrason, L., 2007.  Twenty-five years of continuous sulphur dioxide emission reduction in Europe.  </w:t>
      </w:r>
      <w:r w:rsidRPr="00AE7027">
        <w:rPr>
          <w:rFonts w:cs="Times New Roman"/>
          <w:i/>
          <w:sz w:val="24"/>
          <w:szCs w:val="24"/>
        </w:rPr>
        <w:t>Atmospheric Chemistry &amp; Physics</w:t>
      </w:r>
      <w:r w:rsidRPr="00AE7027">
        <w:rPr>
          <w:rFonts w:cs="Times New Roman"/>
          <w:sz w:val="24"/>
          <w:szCs w:val="24"/>
        </w:rPr>
        <w:t>, 7, 3663-3681.</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Viles, H., 1996. Unswept stone, besmeer'd by sluttish time: air pollution and building stone decay in Oxford, 1790e1960. </w:t>
      </w:r>
      <w:r w:rsidRPr="00AE7027">
        <w:rPr>
          <w:rFonts w:cs="Times New Roman"/>
          <w:i/>
          <w:sz w:val="24"/>
          <w:szCs w:val="24"/>
        </w:rPr>
        <w:t>Environmental History</w:t>
      </w:r>
      <w:r w:rsidRPr="00AE7027">
        <w:rPr>
          <w:rFonts w:cs="Times New Roman"/>
          <w:sz w:val="24"/>
          <w:szCs w:val="24"/>
        </w:rPr>
        <w:t xml:space="preserve"> 2 (3), 359e372.</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Webster, R., &amp; Oliver, M. A., 1992. Sample adequately to estimate variograms of soil properties. </w:t>
      </w:r>
      <w:r w:rsidRPr="00AE7027">
        <w:rPr>
          <w:rFonts w:cs="Times New Roman"/>
          <w:i/>
          <w:sz w:val="24"/>
          <w:szCs w:val="24"/>
        </w:rPr>
        <w:t>Journal of Soil Science</w:t>
      </w:r>
      <w:r w:rsidRPr="00AE7027">
        <w:rPr>
          <w:rFonts w:cs="Times New Roman"/>
          <w:sz w:val="24"/>
          <w:szCs w:val="24"/>
        </w:rPr>
        <w:t>, 43(1), 177-192.</w:t>
      </w:r>
    </w:p>
    <w:p w:rsidR="005060D0" w:rsidRPr="00437952"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Wesely, M. L., &amp; Hicks, B. B., </w:t>
      </w:r>
      <w:r w:rsidRPr="00437952">
        <w:rPr>
          <w:rFonts w:cs="Times New Roman"/>
          <w:sz w:val="24"/>
          <w:szCs w:val="24"/>
        </w:rPr>
        <w:t xml:space="preserve">1977. Some factors that affect the deposition rates of sulfur dioxide and similar gases on vegetation. </w:t>
      </w:r>
      <w:r w:rsidRPr="00437952">
        <w:rPr>
          <w:rFonts w:cs="Times New Roman"/>
          <w:i/>
          <w:sz w:val="24"/>
          <w:szCs w:val="24"/>
        </w:rPr>
        <w:t>Journal of the Air Pollution Control Association</w:t>
      </w:r>
      <w:r w:rsidRPr="00437952">
        <w:rPr>
          <w:rFonts w:cs="Times New Roman"/>
          <w:sz w:val="24"/>
          <w:szCs w:val="24"/>
        </w:rPr>
        <w:t>, 27(11), 1110-1116.</w:t>
      </w:r>
    </w:p>
    <w:p w:rsidR="005060D0" w:rsidRPr="00AE7027" w:rsidRDefault="005060D0" w:rsidP="005060D0">
      <w:pPr>
        <w:autoSpaceDE w:val="0"/>
        <w:autoSpaceDN w:val="0"/>
        <w:adjustRightInd w:val="0"/>
        <w:spacing w:after="0" w:line="240" w:lineRule="auto"/>
        <w:ind w:left="360" w:hanging="360"/>
        <w:rPr>
          <w:rFonts w:cs="Times New Roman"/>
          <w:sz w:val="24"/>
          <w:szCs w:val="24"/>
        </w:rPr>
      </w:pPr>
      <w:r w:rsidRPr="00AE7027">
        <w:rPr>
          <w:rFonts w:cs="Times New Roman"/>
          <w:sz w:val="24"/>
          <w:szCs w:val="24"/>
        </w:rPr>
        <w:t xml:space="preserve">Zimmerman, D., Pavlik, C., Ruggles, A., and Armstrong, M.P., 1999. An Experimental Comparison of Ordinary and Universal Kriging and Inverse Distance Weighting, </w:t>
      </w:r>
      <w:r w:rsidRPr="00AE7027">
        <w:rPr>
          <w:rFonts w:cs="Times New Roman"/>
          <w:i/>
          <w:sz w:val="24"/>
          <w:szCs w:val="24"/>
        </w:rPr>
        <w:t>Mathematical Geology</w:t>
      </w:r>
      <w:r w:rsidRPr="00AE7027">
        <w:rPr>
          <w:rFonts w:cs="Times New Roman"/>
          <w:sz w:val="24"/>
          <w:szCs w:val="24"/>
        </w:rPr>
        <w:t>, Vol. 31, No. 4, 1999</w:t>
      </w:r>
      <w:r>
        <w:rPr>
          <w:rFonts w:cs="Times New Roman"/>
          <w:sz w:val="24"/>
          <w:szCs w:val="24"/>
        </w:rPr>
        <w:t>.</w:t>
      </w:r>
    </w:p>
    <w:p w:rsidR="005060D0" w:rsidRPr="00AE7027" w:rsidRDefault="005060D0" w:rsidP="005060D0"/>
    <w:p w:rsidR="00BE6C44" w:rsidRDefault="00BE6C44" w:rsidP="00BE6C44">
      <w:pPr>
        <w:autoSpaceDE w:val="0"/>
        <w:autoSpaceDN w:val="0"/>
        <w:adjustRightInd w:val="0"/>
        <w:spacing w:after="0" w:line="240" w:lineRule="auto"/>
        <w:rPr>
          <w:sz w:val="24"/>
          <w:szCs w:val="24"/>
        </w:rPr>
      </w:pPr>
    </w:p>
    <w:p w:rsidR="009D0867" w:rsidRDefault="009D0867">
      <w:pPr>
        <w:rPr>
          <w:sz w:val="24"/>
          <w:szCs w:val="24"/>
        </w:rPr>
        <w:sectPr w:rsidR="009D0867" w:rsidSect="00B815DF">
          <w:footerReference w:type="default" r:id="rId11"/>
          <w:pgSz w:w="12240" w:h="15840"/>
          <w:pgMar w:top="1440" w:right="1440" w:bottom="1440" w:left="1440" w:header="720" w:footer="720" w:gutter="0"/>
          <w:lnNumType w:countBy="1" w:restart="continuous"/>
          <w:cols w:space="720"/>
          <w:docGrid w:linePitch="360"/>
        </w:sectPr>
      </w:pPr>
    </w:p>
    <w:p w:rsidR="00E44303" w:rsidRPr="009D0867" w:rsidRDefault="00E44303" w:rsidP="00E44303">
      <w:pPr>
        <w:rPr>
          <w:sz w:val="24"/>
          <w:szCs w:val="24"/>
        </w:rPr>
      </w:pPr>
      <w:r w:rsidRPr="009D0867">
        <w:rPr>
          <w:sz w:val="24"/>
          <w:szCs w:val="24"/>
        </w:rPr>
        <w:lastRenderedPageBreak/>
        <w:t>Figure 1. West Midlands County</w:t>
      </w:r>
      <w:r w:rsidR="008F0155">
        <w:rPr>
          <w:sz w:val="24"/>
          <w:szCs w:val="24"/>
        </w:rPr>
        <w:t>, UK,</w:t>
      </w:r>
      <w:r w:rsidRPr="009D0867">
        <w:rPr>
          <w:sz w:val="24"/>
          <w:szCs w:val="24"/>
        </w:rPr>
        <w:t xml:space="preserve"> showing the locations of cemeteries (A) and air-quality monitoring stations (B).</w:t>
      </w:r>
    </w:p>
    <w:p w:rsidR="00E44303" w:rsidRDefault="00E44303" w:rsidP="00E44303">
      <w:pPr>
        <w:spacing w:line="360" w:lineRule="auto"/>
        <w:rPr>
          <w:sz w:val="24"/>
          <w:szCs w:val="24"/>
        </w:rPr>
      </w:pPr>
      <w:r>
        <w:rPr>
          <w:noProof/>
          <w:lang w:val="en-GB" w:eastAsia="en-GB"/>
        </w:rPr>
        <w:drawing>
          <wp:inline distT="0" distB="0" distL="0" distR="0" wp14:anchorId="705CE1C4" wp14:editId="364E16DD">
            <wp:extent cx="3916969" cy="545459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16796" cy="5454355"/>
                    </a:xfrm>
                    <a:prstGeom prst="rect">
                      <a:avLst/>
                    </a:prstGeom>
                  </pic:spPr>
                </pic:pic>
              </a:graphicData>
            </a:graphic>
          </wp:inline>
        </w:drawing>
      </w:r>
    </w:p>
    <w:p w:rsidR="00E44303" w:rsidRPr="009D0867" w:rsidRDefault="00E44303" w:rsidP="00E44303">
      <w:r>
        <w:rPr>
          <w:sz w:val="24"/>
          <w:szCs w:val="24"/>
        </w:rPr>
        <w:br w:type="page"/>
      </w:r>
      <w:r w:rsidRPr="009D0867">
        <w:lastRenderedPageBreak/>
        <w:t>Figure 2. SO</w:t>
      </w:r>
      <w:r w:rsidRPr="009D0867">
        <w:rPr>
          <w:vertAlign w:val="subscript"/>
        </w:rPr>
        <w:t>2</w:t>
      </w:r>
      <w:r w:rsidRPr="009D0867">
        <w:t xml:space="preserve"> </w:t>
      </w:r>
      <w:r>
        <w:t xml:space="preserve">and smoke </w:t>
      </w:r>
      <w:r w:rsidRPr="009D0867">
        <w:t>concentrations from all stations for the period 1960 to 2005, the period of available record.</w:t>
      </w:r>
      <w:r>
        <w:t xml:space="preserve"> Each data point represents a one-year average of SO</w:t>
      </w:r>
      <w:r w:rsidRPr="00FE5127">
        <w:rPr>
          <w:vertAlign w:val="subscript"/>
        </w:rPr>
        <w:t>2</w:t>
      </w:r>
      <w:r>
        <w:t xml:space="preserve"> or smoke for the 23 stations listed in Table 2.</w:t>
      </w:r>
    </w:p>
    <w:p w:rsidR="00E44303" w:rsidRDefault="00E44303" w:rsidP="00E44303">
      <w:pPr>
        <w:rPr>
          <w:sz w:val="24"/>
          <w:szCs w:val="24"/>
        </w:rPr>
      </w:pPr>
      <w:r>
        <w:rPr>
          <w:noProof/>
          <w:lang w:val="en-GB" w:eastAsia="en-GB"/>
        </w:rPr>
        <w:drawing>
          <wp:inline distT="0" distB="0" distL="0" distR="0" wp14:anchorId="6CCFDD19" wp14:editId="7D61E67D">
            <wp:extent cx="5943600" cy="356616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147BE">
        <w:rPr>
          <w:noProof/>
        </w:rPr>
        <w:t xml:space="preserve"> </w:t>
      </w:r>
    </w:p>
    <w:p w:rsidR="00E44303" w:rsidRDefault="00E44303" w:rsidP="00E44303">
      <w:pPr>
        <w:rPr>
          <w:sz w:val="24"/>
          <w:szCs w:val="24"/>
        </w:rPr>
      </w:pPr>
      <w:r>
        <w:rPr>
          <w:sz w:val="24"/>
          <w:szCs w:val="24"/>
        </w:rPr>
        <w:br w:type="page"/>
      </w:r>
    </w:p>
    <w:p w:rsidR="00E44303" w:rsidRPr="009D0867" w:rsidRDefault="00E44303" w:rsidP="00E44303">
      <w:pPr>
        <w:rPr>
          <w:sz w:val="24"/>
          <w:szCs w:val="24"/>
        </w:rPr>
      </w:pPr>
      <w:r w:rsidRPr="009D0867">
        <w:rPr>
          <w:sz w:val="24"/>
          <w:szCs w:val="24"/>
        </w:rPr>
        <w:lastRenderedPageBreak/>
        <w:t>Figure 3. Gravestone decay for 33 cemeteries in the West Midlands and surrounding area.  Each point represents stone decay on a single inscription. Values are the average of 10 measurements on the date line of the inscription with the high and low values removed (trimmed mean</w:t>
      </w:r>
      <w:r>
        <w:rPr>
          <w:sz w:val="24"/>
          <w:szCs w:val="24"/>
        </w:rPr>
        <w:t>)</w:t>
      </w:r>
      <w:r w:rsidRPr="009D0867">
        <w:rPr>
          <w:sz w:val="24"/>
          <w:szCs w:val="24"/>
        </w:rPr>
        <w:t>.</w:t>
      </w:r>
      <w:r>
        <w:rPr>
          <w:sz w:val="24"/>
          <w:szCs w:val="24"/>
        </w:rPr>
        <w:t xml:space="preserve"> Data are plotted as years before 2010 so that regression equations pass through the graph origin.</w:t>
      </w:r>
    </w:p>
    <w:p w:rsidR="00E44303" w:rsidRDefault="00E44303" w:rsidP="00E44303">
      <w:pPr>
        <w:rPr>
          <w:sz w:val="24"/>
          <w:szCs w:val="24"/>
        </w:rPr>
      </w:pPr>
      <w:r>
        <w:rPr>
          <w:noProof/>
          <w:sz w:val="24"/>
          <w:szCs w:val="24"/>
          <w:lang w:val="en-GB" w:eastAsia="en-GB"/>
        </w:rPr>
        <w:drawing>
          <wp:inline distT="0" distB="0" distL="0" distR="0" wp14:anchorId="2FD44485" wp14:editId="7D556693">
            <wp:extent cx="4965954" cy="70130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decay v time with trendlin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65954" cy="7013050"/>
                    </a:xfrm>
                    <a:prstGeom prst="rect">
                      <a:avLst/>
                    </a:prstGeom>
                  </pic:spPr>
                </pic:pic>
              </a:graphicData>
            </a:graphic>
          </wp:inline>
        </w:drawing>
      </w:r>
      <w:r>
        <w:rPr>
          <w:sz w:val="24"/>
          <w:szCs w:val="24"/>
        </w:rPr>
        <w:br w:type="page"/>
      </w:r>
    </w:p>
    <w:p w:rsidR="00E44303" w:rsidRDefault="00E44303" w:rsidP="00E44303">
      <w:pPr>
        <w:rPr>
          <w:sz w:val="24"/>
          <w:szCs w:val="24"/>
        </w:rPr>
      </w:pPr>
    </w:p>
    <w:p w:rsidR="00E44303" w:rsidRPr="009D0867" w:rsidRDefault="00E44303" w:rsidP="00E44303">
      <w:pPr>
        <w:rPr>
          <w:sz w:val="24"/>
          <w:szCs w:val="24"/>
        </w:rPr>
      </w:pPr>
      <w:r w:rsidRPr="009D0867">
        <w:rPr>
          <w:sz w:val="24"/>
          <w:szCs w:val="24"/>
        </w:rPr>
        <w:t xml:space="preserve">Figure </w:t>
      </w:r>
      <w:r>
        <w:rPr>
          <w:sz w:val="24"/>
          <w:szCs w:val="24"/>
        </w:rPr>
        <w:t>4</w:t>
      </w:r>
      <w:r w:rsidRPr="009D0867">
        <w:rPr>
          <w:sz w:val="24"/>
          <w:szCs w:val="24"/>
        </w:rPr>
        <w:t>.</w:t>
      </w:r>
      <w:r>
        <w:rPr>
          <w:sz w:val="24"/>
          <w:szCs w:val="24"/>
        </w:rPr>
        <w:t xml:space="preserve"> A-E) variograms of the gravestone decay rate for the 1960s – 2000s, respectively; F) results of Empirical Bayesian Kriging of decay rates, and G) correlation of interpolated gravestone decay rate and SO</w:t>
      </w:r>
      <w:r w:rsidRPr="00C8701F">
        <w:rPr>
          <w:sz w:val="24"/>
          <w:szCs w:val="24"/>
          <w:vertAlign w:val="subscript"/>
        </w:rPr>
        <w:t>2</w:t>
      </w:r>
      <w:r>
        <w:rPr>
          <w:sz w:val="24"/>
          <w:szCs w:val="24"/>
        </w:rPr>
        <w:t xml:space="preserve"> concentrations at air quality monitoring locations.</w:t>
      </w:r>
    </w:p>
    <w:p w:rsidR="00E44303" w:rsidRDefault="00E44303" w:rsidP="00E44303">
      <w:pPr>
        <w:rPr>
          <w:sz w:val="24"/>
          <w:szCs w:val="24"/>
        </w:rPr>
      </w:pPr>
      <w:r>
        <w:rPr>
          <w:noProof/>
          <w:lang w:val="en-GB" w:eastAsia="en-GB"/>
        </w:rPr>
        <w:drawing>
          <wp:inline distT="0" distB="0" distL="0" distR="0" wp14:anchorId="504D0173" wp14:editId="353D6FEC">
            <wp:extent cx="5943600" cy="5283200"/>
            <wp:effectExtent l="0" t="0" r="0" b="0"/>
            <wp:docPr id="5109" name="Picture 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5283200"/>
                    </a:xfrm>
                    <a:prstGeom prst="rect">
                      <a:avLst/>
                    </a:prstGeom>
                  </pic:spPr>
                </pic:pic>
              </a:graphicData>
            </a:graphic>
          </wp:inline>
        </w:drawing>
      </w:r>
    </w:p>
    <w:p w:rsidR="00E44303" w:rsidRDefault="00E44303" w:rsidP="00E44303">
      <w:pPr>
        <w:rPr>
          <w:sz w:val="24"/>
          <w:szCs w:val="24"/>
        </w:rPr>
      </w:pPr>
      <w:r>
        <w:rPr>
          <w:sz w:val="24"/>
          <w:szCs w:val="24"/>
        </w:rPr>
        <w:br w:type="page"/>
      </w:r>
    </w:p>
    <w:p w:rsidR="00E44303" w:rsidRPr="002529E7" w:rsidRDefault="00E44303" w:rsidP="00E44303">
      <w:pPr>
        <w:rPr>
          <w:sz w:val="24"/>
          <w:szCs w:val="24"/>
        </w:rPr>
      </w:pPr>
      <w:r w:rsidRPr="002529E7">
        <w:rPr>
          <w:sz w:val="24"/>
          <w:szCs w:val="24"/>
        </w:rPr>
        <w:lastRenderedPageBreak/>
        <w:t xml:space="preserve">Figure </w:t>
      </w:r>
      <w:r>
        <w:rPr>
          <w:sz w:val="24"/>
          <w:szCs w:val="24"/>
        </w:rPr>
        <w:t>5.</w:t>
      </w:r>
      <w:r w:rsidRPr="002529E7">
        <w:rPr>
          <w:sz w:val="24"/>
          <w:szCs w:val="24"/>
        </w:rPr>
        <w:t xml:space="preserve"> Land use digitized from recent aerial photography.  </w:t>
      </w:r>
    </w:p>
    <w:p w:rsidR="00E44303" w:rsidRDefault="00E44303" w:rsidP="00E44303">
      <w:pPr>
        <w:rPr>
          <w:sz w:val="24"/>
          <w:szCs w:val="24"/>
        </w:rPr>
      </w:pPr>
      <w:r>
        <w:rPr>
          <w:noProof/>
          <w:lang w:val="en-GB" w:eastAsia="en-GB"/>
        </w:rPr>
        <w:drawing>
          <wp:inline distT="0" distB="0" distL="0" distR="0" wp14:anchorId="10FB6DBB" wp14:editId="18AD4CDE">
            <wp:extent cx="5943600" cy="4074160"/>
            <wp:effectExtent l="0" t="0" r="0" b="2540"/>
            <wp:docPr id="5125" name="Picture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074160"/>
                    </a:xfrm>
                    <a:prstGeom prst="rect">
                      <a:avLst/>
                    </a:prstGeom>
                  </pic:spPr>
                </pic:pic>
              </a:graphicData>
            </a:graphic>
          </wp:inline>
        </w:drawing>
      </w:r>
    </w:p>
    <w:p w:rsidR="00E44303" w:rsidRDefault="00E44303" w:rsidP="00E44303">
      <w:pPr>
        <w:rPr>
          <w:sz w:val="24"/>
          <w:szCs w:val="24"/>
        </w:rPr>
      </w:pPr>
      <w:r>
        <w:rPr>
          <w:sz w:val="24"/>
          <w:szCs w:val="24"/>
        </w:rPr>
        <w:br w:type="page"/>
      </w:r>
    </w:p>
    <w:p w:rsidR="00E44303" w:rsidRPr="002529E7" w:rsidRDefault="00E44303" w:rsidP="00E44303">
      <w:pPr>
        <w:rPr>
          <w:sz w:val="24"/>
          <w:szCs w:val="24"/>
        </w:rPr>
      </w:pPr>
      <w:r>
        <w:rPr>
          <w:sz w:val="24"/>
          <w:szCs w:val="24"/>
        </w:rPr>
        <w:lastRenderedPageBreak/>
        <w:t xml:space="preserve">Figure 6. </w:t>
      </w:r>
      <w:r w:rsidRPr="002529E7">
        <w:rPr>
          <w:sz w:val="24"/>
          <w:szCs w:val="24"/>
        </w:rPr>
        <w:t>IDW optimization; A) radius, B) residential land-use indicator, and C) inverse-distance weighting factor.</w:t>
      </w:r>
    </w:p>
    <w:p w:rsidR="00E44303" w:rsidRDefault="00E44303" w:rsidP="00E44303">
      <w:pPr>
        <w:rPr>
          <w:sz w:val="24"/>
          <w:szCs w:val="24"/>
        </w:rPr>
      </w:pPr>
      <w:r>
        <w:rPr>
          <w:noProof/>
          <w:lang w:val="en-GB" w:eastAsia="en-GB"/>
        </w:rPr>
        <w:drawing>
          <wp:inline distT="0" distB="0" distL="0" distR="0" wp14:anchorId="4B6AA163" wp14:editId="54BE2A68">
            <wp:extent cx="5943600" cy="4893310"/>
            <wp:effectExtent l="0" t="0" r="0" b="2540"/>
            <wp:docPr id="5111" name="Picture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893310"/>
                    </a:xfrm>
                    <a:prstGeom prst="rect">
                      <a:avLst/>
                    </a:prstGeom>
                  </pic:spPr>
                </pic:pic>
              </a:graphicData>
            </a:graphic>
          </wp:inline>
        </w:drawing>
      </w:r>
    </w:p>
    <w:p w:rsidR="00E44303" w:rsidRDefault="00E44303" w:rsidP="00E44303">
      <w:pPr>
        <w:rPr>
          <w:sz w:val="24"/>
          <w:szCs w:val="24"/>
        </w:rPr>
      </w:pPr>
      <w:r>
        <w:rPr>
          <w:sz w:val="24"/>
          <w:szCs w:val="24"/>
        </w:rPr>
        <w:br w:type="page"/>
      </w:r>
    </w:p>
    <w:p w:rsidR="00E44303" w:rsidRPr="00D60268" w:rsidRDefault="00E44303" w:rsidP="00E44303">
      <w:pPr>
        <w:rPr>
          <w:sz w:val="24"/>
          <w:szCs w:val="24"/>
        </w:rPr>
      </w:pPr>
      <w:r>
        <w:rPr>
          <w:sz w:val="24"/>
          <w:szCs w:val="24"/>
        </w:rPr>
        <w:lastRenderedPageBreak/>
        <w:t>Figure 7</w:t>
      </w:r>
      <w:r w:rsidRPr="00D60268">
        <w:rPr>
          <w:sz w:val="24"/>
          <w:szCs w:val="24"/>
        </w:rPr>
        <w:t xml:space="preserve">. </w:t>
      </w:r>
      <w:r>
        <w:rPr>
          <w:sz w:val="24"/>
          <w:szCs w:val="24"/>
        </w:rPr>
        <w:t>Relationship between Interpolated land use and gravestone decay rate for 33 cemeteries.  Land-use interpolation by</w:t>
      </w:r>
      <w:r w:rsidRPr="00D60268">
        <w:rPr>
          <w:sz w:val="24"/>
          <w:szCs w:val="24"/>
        </w:rPr>
        <w:t xml:space="preserve"> Kriging</w:t>
      </w:r>
      <w:r>
        <w:rPr>
          <w:sz w:val="24"/>
          <w:szCs w:val="24"/>
        </w:rPr>
        <w:t xml:space="preserve"> (A, B)</w:t>
      </w:r>
      <w:r w:rsidRPr="00D60268">
        <w:rPr>
          <w:sz w:val="24"/>
          <w:szCs w:val="24"/>
        </w:rPr>
        <w:t>, Kernel Density</w:t>
      </w:r>
      <w:r>
        <w:rPr>
          <w:sz w:val="24"/>
          <w:szCs w:val="24"/>
        </w:rPr>
        <w:t xml:space="preserve"> (C,D)</w:t>
      </w:r>
      <w:r w:rsidRPr="00D60268">
        <w:rPr>
          <w:sz w:val="24"/>
          <w:szCs w:val="24"/>
        </w:rPr>
        <w:t>, Point Density</w:t>
      </w:r>
      <w:r>
        <w:rPr>
          <w:sz w:val="24"/>
          <w:szCs w:val="24"/>
        </w:rPr>
        <w:t xml:space="preserve"> (E,F)</w:t>
      </w:r>
      <w:r w:rsidRPr="00D60268">
        <w:rPr>
          <w:sz w:val="24"/>
          <w:szCs w:val="24"/>
        </w:rPr>
        <w:t xml:space="preserve">, and IDW </w:t>
      </w:r>
      <w:r>
        <w:rPr>
          <w:sz w:val="24"/>
          <w:szCs w:val="24"/>
        </w:rPr>
        <w:t>(G,H)</w:t>
      </w:r>
      <w:r w:rsidRPr="00D60268">
        <w:rPr>
          <w:sz w:val="24"/>
          <w:szCs w:val="24"/>
        </w:rPr>
        <w:t>.</w:t>
      </w:r>
      <w:r>
        <w:rPr>
          <w:sz w:val="24"/>
          <w:szCs w:val="24"/>
        </w:rPr>
        <w:t xml:space="preserve"> For each method of interpolation the correlation coefficient is greatly improved by omitting the four anomalous cemeteries as described in the text (B, D, F, and H).</w:t>
      </w:r>
    </w:p>
    <w:p w:rsidR="00E44303" w:rsidRDefault="00E44303" w:rsidP="00E44303">
      <w:pPr>
        <w:rPr>
          <w:sz w:val="24"/>
          <w:szCs w:val="24"/>
        </w:rPr>
      </w:pPr>
      <w:r>
        <w:rPr>
          <w:noProof/>
          <w:lang w:val="en-GB" w:eastAsia="en-GB"/>
        </w:rPr>
        <w:drawing>
          <wp:inline distT="0" distB="0" distL="0" distR="0" wp14:anchorId="1E6DB0A6" wp14:editId="711E941D">
            <wp:extent cx="5943600" cy="6029960"/>
            <wp:effectExtent l="0" t="0" r="0" b="8890"/>
            <wp:docPr id="5126" name="Picture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6029960"/>
                    </a:xfrm>
                    <a:prstGeom prst="rect">
                      <a:avLst/>
                    </a:prstGeom>
                  </pic:spPr>
                </pic:pic>
              </a:graphicData>
            </a:graphic>
          </wp:inline>
        </w:drawing>
      </w:r>
    </w:p>
    <w:p w:rsidR="00E44303" w:rsidRDefault="00E44303" w:rsidP="00E44303">
      <w:pPr>
        <w:rPr>
          <w:sz w:val="24"/>
          <w:szCs w:val="24"/>
        </w:rPr>
      </w:pPr>
      <w:r>
        <w:rPr>
          <w:sz w:val="24"/>
          <w:szCs w:val="24"/>
        </w:rPr>
        <w:br w:type="page"/>
      </w:r>
    </w:p>
    <w:p w:rsidR="00E44303" w:rsidRDefault="00E44303" w:rsidP="00E44303">
      <w:pPr>
        <w:rPr>
          <w:sz w:val="24"/>
          <w:szCs w:val="24"/>
        </w:rPr>
      </w:pPr>
      <w:r>
        <w:rPr>
          <w:sz w:val="24"/>
          <w:szCs w:val="24"/>
        </w:rPr>
        <w:lastRenderedPageBreak/>
        <w:t>Figure 8. Rose diagrams of directional dependence of land use on gravestone weathering rate.  Diagrams were constructed from the directional searches using the mean azimuth of each search and the correlation coefficient for that search window between gravestone weathering and the interpolated land-use indicator.</w:t>
      </w:r>
    </w:p>
    <w:p w:rsidR="00E44303" w:rsidRDefault="00E44303" w:rsidP="00E44303">
      <w:pPr>
        <w:rPr>
          <w:sz w:val="24"/>
          <w:szCs w:val="24"/>
        </w:rPr>
      </w:pPr>
      <w:r>
        <w:rPr>
          <w:noProof/>
          <w:lang w:val="en-GB" w:eastAsia="en-GB"/>
        </w:rPr>
        <mc:AlternateContent>
          <mc:Choice Requires="wps">
            <w:drawing>
              <wp:anchor distT="0" distB="0" distL="114300" distR="114300" simplePos="0" relativeHeight="251665408" behindDoc="0" locked="0" layoutInCell="1" allowOverlap="1" wp14:anchorId="3D250523" wp14:editId="5042D912">
                <wp:simplePos x="0" y="0"/>
                <wp:positionH relativeFrom="column">
                  <wp:posOffset>5156200</wp:posOffset>
                </wp:positionH>
                <wp:positionV relativeFrom="paragraph">
                  <wp:posOffset>670560</wp:posOffset>
                </wp:positionV>
                <wp:extent cx="619760" cy="285750"/>
                <wp:effectExtent l="0" t="0" r="8890" b="0"/>
                <wp:wrapNone/>
                <wp:docPr id="6" name="Text Box 6"/>
                <wp:cNvGraphicFramePr/>
                <a:graphic xmlns:a="http://schemas.openxmlformats.org/drawingml/2006/main">
                  <a:graphicData uri="http://schemas.microsoft.com/office/word/2010/wordprocessingShape">
                    <wps:wsp>
                      <wps:cNvSpPr txBox="1"/>
                      <wps:spPr>
                        <a:xfrm>
                          <a:off x="0" y="0"/>
                          <a:ext cx="61976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15DF" w:rsidRPr="006A6055" w:rsidRDefault="00B815DF" w:rsidP="00E44303">
                            <w:pPr>
                              <w:rPr>
                                <w:b/>
                                <w:sz w:val="24"/>
                                <w:szCs w:val="24"/>
                              </w:rPr>
                            </w:pPr>
                            <w:r w:rsidRPr="006A6055">
                              <w:rPr>
                                <w:b/>
                                <w:sz w:val="24"/>
                                <w:szCs w:val="24"/>
                              </w:rPr>
                              <w:t>1980s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06pt;margin-top:52.8pt;width:48.8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" fillcolor="white [3201]" stroked="f" strokeweight=".5pt">
                <v:textbox>
                  <w:txbxContent>
                    <w:p w:rsidR="00B815DF" w:rsidRPr="006A6055" w:rsidRDefault="00B815DF" w:rsidP="00E44303">
                      <w:pPr>
                        <w:rPr>
                          <w:b/>
                          <w:sz w:val="24"/>
                          <w:szCs w:val="24"/>
                        </w:rPr>
                      </w:pPr>
                      <w:r w:rsidRPr="006A6055">
                        <w:rPr>
                          <w:b/>
                          <w:sz w:val="24"/>
                          <w:szCs w:val="24"/>
                        </w:rPr>
                        <w:t>1980s</w:t>
                      </w:r>
                    </w:p>
                  </w:txbxContent>
                </v:textbox>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2F8E5AB6" wp14:editId="033AC36D">
                <wp:simplePos x="0" y="0"/>
                <wp:positionH relativeFrom="column">
                  <wp:posOffset>3176270</wp:posOffset>
                </wp:positionH>
                <wp:positionV relativeFrom="paragraph">
                  <wp:posOffset>670560</wp:posOffset>
                </wp:positionV>
                <wp:extent cx="619760" cy="285750"/>
                <wp:effectExtent l="0" t="0" r="8890" b="0"/>
                <wp:wrapNone/>
                <wp:docPr id="7" name="Text Box 7"/>
                <wp:cNvGraphicFramePr/>
                <a:graphic xmlns:a="http://schemas.openxmlformats.org/drawingml/2006/main">
                  <a:graphicData uri="http://schemas.microsoft.com/office/word/2010/wordprocessingShape">
                    <wps:wsp>
                      <wps:cNvSpPr txBox="1"/>
                      <wps:spPr>
                        <a:xfrm>
                          <a:off x="0" y="0"/>
                          <a:ext cx="61976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15DF" w:rsidRPr="006A6055" w:rsidRDefault="00B815DF" w:rsidP="00E44303">
                            <w:pPr>
                              <w:rPr>
                                <w:b/>
                                <w:sz w:val="24"/>
                                <w:szCs w:val="24"/>
                              </w:rPr>
                            </w:pPr>
                            <w:r w:rsidRPr="006A6055">
                              <w:rPr>
                                <w:b/>
                                <w:sz w:val="24"/>
                                <w:szCs w:val="24"/>
                              </w:rPr>
                              <w:t>1970s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250.1pt;margin-top:52.8pt;width:48.8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" fillcolor="white [3201]" stroked="f" strokeweight=".5pt">
                <v:textbox>
                  <w:txbxContent>
                    <w:p w:rsidR="00B815DF" w:rsidRPr="006A6055" w:rsidRDefault="00B815DF" w:rsidP="00E44303">
                      <w:pPr>
                        <w:rPr>
                          <w:b/>
                          <w:sz w:val="24"/>
                          <w:szCs w:val="24"/>
                        </w:rPr>
                      </w:pPr>
                      <w:r w:rsidRPr="006A6055">
                        <w:rPr>
                          <w:b/>
                          <w:sz w:val="24"/>
                          <w:szCs w:val="24"/>
                        </w:rPr>
                        <w:t>1970s</w:t>
                      </w:r>
                    </w:p>
                  </w:txbxContent>
                </v:textbox>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0067CEC5" wp14:editId="29740874">
                <wp:simplePos x="0" y="0"/>
                <wp:positionH relativeFrom="column">
                  <wp:posOffset>1180465</wp:posOffset>
                </wp:positionH>
                <wp:positionV relativeFrom="paragraph">
                  <wp:posOffset>2722245</wp:posOffset>
                </wp:positionV>
                <wp:extent cx="619760" cy="285750"/>
                <wp:effectExtent l="0" t="0" r="8890" b="0"/>
                <wp:wrapNone/>
                <wp:docPr id="5" name="Text Box 5"/>
                <wp:cNvGraphicFramePr/>
                <a:graphic xmlns:a="http://schemas.openxmlformats.org/drawingml/2006/main">
                  <a:graphicData uri="http://schemas.microsoft.com/office/word/2010/wordprocessingShape">
                    <wps:wsp>
                      <wps:cNvSpPr txBox="1"/>
                      <wps:spPr>
                        <a:xfrm>
                          <a:off x="0" y="0"/>
                          <a:ext cx="61976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15DF" w:rsidRPr="006A6055" w:rsidRDefault="00B815DF" w:rsidP="00E44303">
                            <w:pPr>
                              <w:rPr>
                                <w:b/>
                                <w:sz w:val="24"/>
                                <w:szCs w:val="24"/>
                              </w:rPr>
                            </w:pPr>
                            <w:r w:rsidRPr="006A6055">
                              <w:rPr>
                                <w:b/>
                                <w:sz w:val="24"/>
                                <w:szCs w:val="24"/>
                              </w:rPr>
                              <w:t>1990s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92.95pt;margin-top:214.35pt;width:48.8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" fillcolor="white [3201]" stroked="f" strokeweight=".5pt">
                <v:textbox>
                  <w:txbxContent>
                    <w:p w:rsidR="00B815DF" w:rsidRPr="006A6055" w:rsidRDefault="00B815DF" w:rsidP="00E44303">
                      <w:pPr>
                        <w:rPr>
                          <w:b/>
                          <w:sz w:val="24"/>
                          <w:szCs w:val="24"/>
                        </w:rPr>
                      </w:pPr>
                      <w:r w:rsidRPr="006A6055">
                        <w:rPr>
                          <w:b/>
                          <w:sz w:val="24"/>
                          <w:szCs w:val="24"/>
                        </w:rPr>
                        <w:t>1990s</w:t>
                      </w:r>
                    </w:p>
                  </w:txbxContent>
                </v:textbox>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63750D0B" wp14:editId="1C8256CF">
                <wp:simplePos x="0" y="0"/>
                <wp:positionH relativeFrom="column">
                  <wp:posOffset>3192145</wp:posOffset>
                </wp:positionH>
                <wp:positionV relativeFrom="paragraph">
                  <wp:posOffset>2761615</wp:posOffset>
                </wp:positionV>
                <wp:extent cx="619760" cy="285750"/>
                <wp:effectExtent l="0" t="0" r="8890" b="0"/>
                <wp:wrapNone/>
                <wp:docPr id="4" name="Text Box 4"/>
                <wp:cNvGraphicFramePr/>
                <a:graphic xmlns:a="http://schemas.openxmlformats.org/drawingml/2006/main">
                  <a:graphicData uri="http://schemas.microsoft.com/office/word/2010/wordprocessingShape">
                    <wps:wsp>
                      <wps:cNvSpPr txBox="1"/>
                      <wps:spPr>
                        <a:xfrm>
                          <a:off x="0" y="0"/>
                          <a:ext cx="61976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15DF" w:rsidRPr="006A6055" w:rsidRDefault="00B815DF" w:rsidP="00E44303">
                            <w:pPr>
                              <w:rPr>
                                <w:b/>
                                <w:sz w:val="24"/>
                                <w:szCs w:val="24"/>
                              </w:rPr>
                            </w:pPr>
                            <w:r w:rsidRPr="006A6055">
                              <w:rPr>
                                <w:b/>
                                <w:sz w:val="24"/>
                                <w:szCs w:val="24"/>
                              </w:rPr>
                              <w:t>2000s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251.35pt;margin-top:217.45pt;width:48.8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" fillcolor="white [3201]" stroked="f" strokeweight=".5pt">
                <v:textbox>
                  <w:txbxContent>
                    <w:p w:rsidR="00B815DF" w:rsidRPr="006A6055" w:rsidRDefault="00B815DF" w:rsidP="00E44303">
                      <w:pPr>
                        <w:rPr>
                          <w:b/>
                          <w:sz w:val="24"/>
                          <w:szCs w:val="24"/>
                        </w:rPr>
                      </w:pPr>
                      <w:r w:rsidRPr="006A6055">
                        <w:rPr>
                          <w:b/>
                          <w:sz w:val="24"/>
                          <w:szCs w:val="24"/>
                        </w:rPr>
                        <w:t>2000s</w:t>
                      </w:r>
                    </w:p>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4F4907AF" wp14:editId="3FB89F2A">
                <wp:simplePos x="0" y="0"/>
                <wp:positionH relativeFrom="column">
                  <wp:posOffset>1172541</wp:posOffset>
                </wp:positionH>
                <wp:positionV relativeFrom="paragraph">
                  <wp:posOffset>678815</wp:posOffset>
                </wp:positionV>
                <wp:extent cx="619760" cy="285750"/>
                <wp:effectExtent l="0" t="0" r="8890" b="0"/>
                <wp:wrapNone/>
                <wp:docPr id="3" name="Text Box 3"/>
                <wp:cNvGraphicFramePr/>
                <a:graphic xmlns:a="http://schemas.openxmlformats.org/drawingml/2006/main">
                  <a:graphicData uri="http://schemas.microsoft.com/office/word/2010/wordprocessingShape">
                    <wps:wsp>
                      <wps:cNvSpPr txBox="1"/>
                      <wps:spPr>
                        <a:xfrm>
                          <a:off x="0" y="0"/>
                          <a:ext cx="61976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15DF" w:rsidRPr="006A6055" w:rsidRDefault="00B815DF" w:rsidP="00E44303">
                            <w:pPr>
                              <w:rPr>
                                <w:b/>
                                <w:sz w:val="24"/>
                                <w:szCs w:val="24"/>
                              </w:rPr>
                            </w:pPr>
                            <w:r w:rsidRPr="006A6055">
                              <w:rPr>
                                <w:b/>
                                <w:sz w:val="24"/>
                                <w:szCs w:val="24"/>
                              </w:rPr>
                              <w:t>1960s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92.35pt;margin-top:53.45pt;width:48.8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" fillcolor="white [3201]" stroked="f" strokeweight=".5pt">
                <v:textbox>
                  <w:txbxContent>
                    <w:p w:rsidR="00B815DF" w:rsidRPr="006A6055" w:rsidRDefault="00B815DF" w:rsidP="00E44303">
                      <w:pPr>
                        <w:rPr>
                          <w:b/>
                          <w:sz w:val="24"/>
                          <w:szCs w:val="24"/>
                        </w:rPr>
                      </w:pPr>
                      <w:r w:rsidRPr="006A6055">
                        <w:rPr>
                          <w:b/>
                          <w:sz w:val="24"/>
                          <w:szCs w:val="24"/>
                        </w:rPr>
                        <w:t>1960s</w:t>
                      </w:r>
                    </w:p>
                  </w:txbxContent>
                </v:textbox>
              </v:shape>
            </w:pict>
          </mc:Fallback>
        </mc:AlternateContent>
      </w:r>
      <w:r>
        <w:rPr>
          <w:noProof/>
          <w:lang w:val="en-GB" w:eastAsia="en-GB"/>
        </w:rPr>
        <w:drawing>
          <wp:inline distT="0" distB="0" distL="0" distR="0" wp14:anchorId="28BED8E3" wp14:editId="3C935302">
            <wp:extent cx="5943600" cy="4002405"/>
            <wp:effectExtent l="0" t="0" r="0" b="0"/>
            <wp:docPr id="5113" name="Picture 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002405"/>
                    </a:xfrm>
                    <a:prstGeom prst="rect">
                      <a:avLst/>
                    </a:prstGeom>
                  </pic:spPr>
                </pic:pic>
              </a:graphicData>
            </a:graphic>
          </wp:inline>
        </w:drawing>
      </w:r>
    </w:p>
    <w:p w:rsidR="00E44303" w:rsidRDefault="00E44303" w:rsidP="00E44303">
      <w:pPr>
        <w:rPr>
          <w:sz w:val="24"/>
          <w:szCs w:val="24"/>
        </w:rPr>
      </w:pPr>
      <w:r>
        <w:rPr>
          <w:sz w:val="24"/>
          <w:szCs w:val="24"/>
        </w:rPr>
        <w:br w:type="page"/>
      </w:r>
    </w:p>
    <w:p w:rsidR="00E44303" w:rsidRDefault="00E44303" w:rsidP="00E44303">
      <w:pPr>
        <w:rPr>
          <w:sz w:val="24"/>
          <w:szCs w:val="24"/>
        </w:rPr>
      </w:pPr>
      <w:r>
        <w:rPr>
          <w:sz w:val="24"/>
          <w:szCs w:val="24"/>
        </w:rPr>
        <w:lastRenderedPageBreak/>
        <w:t>Figure 9. Correlation between land-use indicator and SO</w:t>
      </w:r>
      <w:r w:rsidRPr="00D25394">
        <w:rPr>
          <w:sz w:val="24"/>
          <w:szCs w:val="24"/>
          <w:vertAlign w:val="subscript"/>
        </w:rPr>
        <w:t>2</w:t>
      </w:r>
      <w:r>
        <w:rPr>
          <w:sz w:val="24"/>
          <w:szCs w:val="24"/>
        </w:rPr>
        <w:t xml:space="preserve"> and smoke concentrations for the 1960s (A, B), 1970s (C, D), and the 1980s (E, F).</w:t>
      </w:r>
    </w:p>
    <w:p w:rsidR="00E44303" w:rsidRDefault="00E44303" w:rsidP="00E44303">
      <w:pPr>
        <w:rPr>
          <w:sz w:val="24"/>
          <w:szCs w:val="24"/>
        </w:rPr>
      </w:pPr>
      <w:r>
        <w:rPr>
          <w:noProof/>
          <w:lang w:val="en-GB" w:eastAsia="en-GB"/>
        </w:rPr>
        <w:drawing>
          <wp:inline distT="0" distB="0" distL="0" distR="0" wp14:anchorId="7AE445B2" wp14:editId="2252B2EE">
            <wp:extent cx="5943600" cy="4620260"/>
            <wp:effectExtent l="0" t="0" r="0" b="8890"/>
            <wp:docPr id="5127" name="Picture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620260"/>
                    </a:xfrm>
                    <a:prstGeom prst="rect">
                      <a:avLst/>
                    </a:prstGeom>
                  </pic:spPr>
                </pic:pic>
              </a:graphicData>
            </a:graphic>
          </wp:inline>
        </w:drawing>
      </w:r>
    </w:p>
    <w:p w:rsidR="00E44303" w:rsidRDefault="00E44303" w:rsidP="00E44303">
      <w:pPr>
        <w:rPr>
          <w:sz w:val="24"/>
          <w:szCs w:val="24"/>
        </w:rPr>
      </w:pPr>
      <w:r>
        <w:rPr>
          <w:sz w:val="24"/>
          <w:szCs w:val="24"/>
        </w:rPr>
        <w:br w:type="page"/>
      </w:r>
    </w:p>
    <w:p w:rsidR="00E44303" w:rsidRPr="004A5CED" w:rsidRDefault="00E44303" w:rsidP="00E44303">
      <w:pPr>
        <w:spacing w:line="240" w:lineRule="auto"/>
        <w:rPr>
          <w:sz w:val="24"/>
          <w:szCs w:val="24"/>
        </w:rPr>
      </w:pPr>
      <w:r w:rsidRPr="008E6425">
        <w:rPr>
          <w:sz w:val="24"/>
          <w:szCs w:val="24"/>
        </w:rPr>
        <w:lastRenderedPageBreak/>
        <w:t xml:space="preserve">Figure </w:t>
      </w:r>
      <w:r>
        <w:rPr>
          <w:sz w:val="24"/>
          <w:szCs w:val="24"/>
        </w:rPr>
        <w:t>10</w:t>
      </w:r>
      <w:r w:rsidRPr="008E6425">
        <w:rPr>
          <w:sz w:val="24"/>
          <w:szCs w:val="24"/>
        </w:rPr>
        <w:t>.</w:t>
      </w:r>
      <w:r>
        <w:rPr>
          <w:sz w:val="24"/>
          <w:szCs w:val="24"/>
        </w:rPr>
        <w:t xml:space="preserve">  Surrogate deposition velocity (S/q) as a function of year of measurement.  Blue diamonds are all data, red squares are 5-year and green triangles are 10-year moving averages. Trend line was calculated from all data points using a third-order polynomial least-squares regression.</w:t>
      </w:r>
    </w:p>
    <w:p w:rsidR="00E44303" w:rsidRDefault="00E44303" w:rsidP="00E44303">
      <w:pPr>
        <w:rPr>
          <w:sz w:val="24"/>
          <w:szCs w:val="24"/>
        </w:rPr>
      </w:pPr>
      <w:r w:rsidRPr="00BE1598">
        <w:rPr>
          <w:noProof/>
          <w:lang w:val="en-GB" w:eastAsia="en-GB"/>
        </w:rPr>
        <w:drawing>
          <wp:inline distT="0" distB="0" distL="0" distR="0" wp14:anchorId="59A71247" wp14:editId="79750202">
            <wp:extent cx="5072932" cy="2918129"/>
            <wp:effectExtent l="0" t="0" r="0" b="0"/>
            <wp:docPr id="5702" name="Picture 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9644" cy="2921990"/>
                    </a:xfrm>
                    <a:prstGeom prst="rect">
                      <a:avLst/>
                    </a:prstGeom>
                    <a:noFill/>
                    <a:ln>
                      <a:noFill/>
                    </a:ln>
                  </pic:spPr>
                </pic:pic>
              </a:graphicData>
            </a:graphic>
          </wp:inline>
        </w:drawing>
      </w:r>
    </w:p>
    <w:p w:rsidR="00E44303" w:rsidRDefault="00E44303" w:rsidP="00E44303">
      <w:pPr>
        <w:rPr>
          <w:sz w:val="24"/>
          <w:szCs w:val="24"/>
        </w:rPr>
      </w:pPr>
    </w:p>
    <w:p w:rsidR="00E44303" w:rsidRDefault="00E44303" w:rsidP="00E44303">
      <w:pPr>
        <w:rPr>
          <w:sz w:val="24"/>
          <w:szCs w:val="24"/>
        </w:rPr>
      </w:pPr>
      <w:r>
        <w:rPr>
          <w:sz w:val="24"/>
          <w:szCs w:val="24"/>
        </w:rPr>
        <w:br w:type="page"/>
      </w:r>
    </w:p>
    <w:p w:rsidR="00E44303" w:rsidRPr="00223376" w:rsidRDefault="00E44303" w:rsidP="00E44303">
      <w:r>
        <w:rPr>
          <w:sz w:val="24"/>
          <w:szCs w:val="24"/>
        </w:rPr>
        <w:lastRenderedPageBreak/>
        <w:t>Figure 11.</w:t>
      </w:r>
      <w:r w:rsidRPr="00223376">
        <w:t xml:space="preserve"> Predicted SO</w:t>
      </w:r>
      <w:r w:rsidRPr="00D25394">
        <w:rPr>
          <w:vertAlign w:val="subscript"/>
        </w:rPr>
        <w:t>2</w:t>
      </w:r>
      <w:r w:rsidRPr="00223376">
        <w:t xml:space="preserve"> and </w:t>
      </w:r>
      <w:r>
        <w:t>s</w:t>
      </w:r>
      <w:r w:rsidRPr="00223376">
        <w:t>moke</w:t>
      </w:r>
      <w:r>
        <w:t xml:space="preserve"> concentrations</w:t>
      </w:r>
      <w:r w:rsidRPr="00223376">
        <w:t xml:space="preserve"> based on land-use/air quality correlation</w:t>
      </w:r>
      <w:r>
        <w:t>s in Figure 9 for the 1960s through 1980s</w:t>
      </w:r>
      <w:r w:rsidRPr="00223376">
        <w:t>.</w:t>
      </w:r>
    </w:p>
    <w:p w:rsidR="00E44303" w:rsidRDefault="00E44303" w:rsidP="00E44303">
      <w:pPr>
        <w:rPr>
          <w:sz w:val="24"/>
          <w:szCs w:val="24"/>
        </w:rPr>
      </w:pPr>
      <w:r>
        <w:rPr>
          <w:noProof/>
          <w:lang w:val="en-GB" w:eastAsia="en-GB"/>
        </w:rPr>
        <w:drawing>
          <wp:inline distT="0" distB="0" distL="0" distR="0" wp14:anchorId="18DB0D3A" wp14:editId="26971F59">
            <wp:extent cx="5649488" cy="7677509"/>
            <wp:effectExtent l="0" t="0" r="8890" b="0"/>
            <wp:docPr id="5115" name="Picture 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46459" cy="7673392"/>
                    </a:xfrm>
                    <a:prstGeom prst="rect">
                      <a:avLst/>
                    </a:prstGeom>
                  </pic:spPr>
                </pic:pic>
              </a:graphicData>
            </a:graphic>
          </wp:inline>
        </w:drawing>
      </w:r>
      <w:r>
        <w:rPr>
          <w:sz w:val="24"/>
          <w:szCs w:val="24"/>
        </w:rPr>
        <w:br w:type="page"/>
      </w:r>
    </w:p>
    <w:p w:rsidR="00E44303" w:rsidRDefault="00E44303" w:rsidP="00E44303">
      <w:pPr>
        <w:rPr>
          <w:sz w:val="24"/>
          <w:szCs w:val="24"/>
        </w:rPr>
      </w:pPr>
    </w:p>
    <w:p w:rsidR="00E44303" w:rsidRDefault="00E44303" w:rsidP="00E44303">
      <w:pPr>
        <w:rPr>
          <w:sz w:val="24"/>
          <w:szCs w:val="24"/>
        </w:rPr>
      </w:pPr>
      <w:r>
        <w:rPr>
          <w:sz w:val="24"/>
          <w:szCs w:val="24"/>
        </w:rPr>
        <w:t xml:space="preserve">Table 1. List of cemeteries visited during this investigation. Locations are given in UTM Zone 30.  Gravestone decay vs. age for each cemetery was fitted with a non-linear polynomial regression and the equation and </w:t>
      </w:r>
      <w:r w:rsidRPr="008A238E">
        <w:rPr>
          <w:i/>
          <w:sz w:val="24"/>
          <w:szCs w:val="24"/>
        </w:rPr>
        <w:t>R2</w:t>
      </w:r>
      <w:r>
        <w:rPr>
          <w:sz w:val="24"/>
          <w:szCs w:val="24"/>
        </w:rPr>
        <w:t xml:space="preserve"> value are tabulated.  For each decade 1960-2010 mean decay rates were calculated at the derivative of the regression equation for the midpoint year and are given in </w:t>
      </w:r>
      <w:r w:rsidRPr="00FC15FE">
        <w:rPr>
          <w:rFonts w:ascii="Symbol" w:hAnsi="Symbol"/>
          <w:sz w:val="24"/>
          <w:szCs w:val="24"/>
        </w:rPr>
        <w:t></w:t>
      </w:r>
      <w:r>
        <w:rPr>
          <w:sz w:val="24"/>
          <w:szCs w:val="24"/>
        </w:rPr>
        <w:t>m/yr.</w:t>
      </w:r>
    </w:p>
    <w:p w:rsidR="00E44303" w:rsidRDefault="00E44303" w:rsidP="00E44303">
      <w:pPr>
        <w:rPr>
          <w:sz w:val="24"/>
          <w:szCs w:val="24"/>
        </w:rPr>
      </w:pPr>
      <w:r>
        <w:rPr>
          <w:noProof/>
          <w:lang w:val="en-GB" w:eastAsia="en-GB"/>
        </w:rPr>
        <w:drawing>
          <wp:inline distT="0" distB="0" distL="0" distR="0" wp14:anchorId="0E9A526E" wp14:editId="5159092C">
            <wp:extent cx="5943600" cy="36944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694430"/>
                    </a:xfrm>
                    <a:prstGeom prst="rect">
                      <a:avLst/>
                    </a:prstGeom>
                  </pic:spPr>
                </pic:pic>
              </a:graphicData>
            </a:graphic>
          </wp:inline>
        </w:drawing>
      </w:r>
    </w:p>
    <w:p w:rsidR="00E44303" w:rsidRDefault="00E44303" w:rsidP="00E44303">
      <w:pPr>
        <w:rPr>
          <w:sz w:val="24"/>
          <w:szCs w:val="24"/>
        </w:rPr>
      </w:pPr>
      <w:r>
        <w:rPr>
          <w:sz w:val="24"/>
          <w:szCs w:val="24"/>
        </w:rPr>
        <w:br w:type="page"/>
      </w:r>
    </w:p>
    <w:p w:rsidR="00E44303" w:rsidRDefault="00E44303" w:rsidP="00E44303">
      <w:pPr>
        <w:rPr>
          <w:sz w:val="24"/>
          <w:szCs w:val="24"/>
        </w:rPr>
      </w:pPr>
      <w:r>
        <w:rPr>
          <w:sz w:val="24"/>
          <w:szCs w:val="24"/>
        </w:rPr>
        <w:lastRenderedPageBreak/>
        <w:t>Table2. Name and location of air-quality monitoring stations active within the study area, their location (UTM), and period of record.</w:t>
      </w:r>
    </w:p>
    <w:p w:rsidR="00E44303" w:rsidRDefault="00E44303" w:rsidP="00E44303">
      <w:pPr>
        <w:rPr>
          <w:sz w:val="24"/>
          <w:szCs w:val="24"/>
        </w:rPr>
      </w:pPr>
      <w:r>
        <w:rPr>
          <w:noProof/>
          <w:lang w:val="en-GB" w:eastAsia="en-GB"/>
        </w:rPr>
        <w:drawing>
          <wp:inline distT="0" distB="0" distL="0" distR="0" wp14:anchorId="5FC1B433" wp14:editId="252AF2DA">
            <wp:extent cx="5943600" cy="2963545"/>
            <wp:effectExtent l="0" t="0" r="0" b="8255"/>
            <wp:docPr id="5117" name="Picture 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963545"/>
                    </a:xfrm>
                    <a:prstGeom prst="rect">
                      <a:avLst/>
                    </a:prstGeom>
                  </pic:spPr>
                </pic:pic>
              </a:graphicData>
            </a:graphic>
          </wp:inline>
        </w:drawing>
      </w:r>
    </w:p>
    <w:p w:rsidR="00E44303" w:rsidRDefault="00E44303" w:rsidP="00E44303">
      <w:pPr>
        <w:rPr>
          <w:sz w:val="24"/>
          <w:szCs w:val="24"/>
        </w:rPr>
      </w:pPr>
      <w:r>
        <w:rPr>
          <w:sz w:val="24"/>
          <w:szCs w:val="24"/>
        </w:rPr>
        <w:br w:type="page"/>
      </w:r>
    </w:p>
    <w:p w:rsidR="00E44303" w:rsidRDefault="00E44303" w:rsidP="00E44303">
      <w:pPr>
        <w:rPr>
          <w:sz w:val="24"/>
          <w:szCs w:val="24"/>
        </w:rPr>
      </w:pPr>
      <w:r>
        <w:rPr>
          <w:sz w:val="24"/>
          <w:szCs w:val="24"/>
        </w:rPr>
        <w:lastRenderedPageBreak/>
        <w:t>Table 3.Results of optimization of parameters, radius, residential land-use indicator, and inverse distance weighting (IDW) power.</w:t>
      </w:r>
      <w:r w:rsidR="00946790">
        <w:rPr>
          <w:sz w:val="24"/>
          <w:szCs w:val="24"/>
        </w:rPr>
        <w:t xml:space="preserve"> Maximum values in bold.</w:t>
      </w:r>
    </w:p>
    <w:tbl>
      <w:tblPr>
        <w:tblW w:w="0" w:type="auto"/>
        <w:tblInd w:w="108" w:type="dxa"/>
        <w:tblLook w:val="04A0" w:firstRow="1" w:lastRow="0" w:firstColumn="1" w:lastColumn="0" w:noHBand="0" w:noVBand="1"/>
      </w:tblPr>
      <w:tblGrid>
        <w:gridCol w:w="1176"/>
        <w:gridCol w:w="701"/>
        <w:gridCol w:w="652"/>
        <w:gridCol w:w="652"/>
        <w:gridCol w:w="652"/>
        <w:gridCol w:w="652"/>
        <w:gridCol w:w="652"/>
      </w:tblGrid>
      <w:tr w:rsidR="00E44303" w:rsidRPr="008B02D2" w:rsidTr="005E285D">
        <w:trPr>
          <w:trHeight w:val="300"/>
        </w:trPr>
        <w:tc>
          <w:tcPr>
            <w:tcW w:w="0" w:type="auto"/>
            <w:shd w:val="clear" w:color="auto" w:fill="auto"/>
            <w:noWrap/>
            <w:vAlign w:val="bottom"/>
            <w:hideMark/>
          </w:tcPr>
          <w:p w:rsidR="00E44303" w:rsidRPr="008B02D2" w:rsidRDefault="00E44303" w:rsidP="00B815DF">
            <w:pPr>
              <w:spacing w:after="0" w:line="240" w:lineRule="auto"/>
              <w:rPr>
                <w:rFonts w:ascii="Calibri" w:eastAsia="Times New Roman" w:hAnsi="Calibri" w:cs="Times New Roman"/>
                <w:color w:val="000000"/>
              </w:rPr>
            </w:pPr>
          </w:p>
        </w:tc>
        <w:tc>
          <w:tcPr>
            <w:tcW w:w="0" w:type="auto"/>
            <w:tcBorders>
              <w:bottom w:val="single" w:sz="4" w:space="0" w:color="auto"/>
            </w:tcBorders>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Radius</w:t>
            </w:r>
          </w:p>
        </w:tc>
        <w:tc>
          <w:tcPr>
            <w:tcW w:w="0" w:type="auto"/>
            <w:tcBorders>
              <w:bottom w:val="single" w:sz="4" w:space="0" w:color="auto"/>
            </w:tcBorders>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1960s</w:t>
            </w:r>
          </w:p>
        </w:tc>
        <w:tc>
          <w:tcPr>
            <w:tcW w:w="0" w:type="auto"/>
            <w:tcBorders>
              <w:bottom w:val="single" w:sz="4" w:space="0" w:color="auto"/>
            </w:tcBorders>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1970s</w:t>
            </w:r>
          </w:p>
        </w:tc>
        <w:tc>
          <w:tcPr>
            <w:tcW w:w="0" w:type="auto"/>
            <w:tcBorders>
              <w:bottom w:val="single" w:sz="4" w:space="0" w:color="auto"/>
            </w:tcBorders>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1980s</w:t>
            </w:r>
          </w:p>
        </w:tc>
        <w:tc>
          <w:tcPr>
            <w:tcW w:w="0" w:type="auto"/>
            <w:tcBorders>
              <w:bottom w:val="single" w:sz="4" w:space="0" w:color="auto"/>
            </w:tcBorders>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1990s</w:t>
            </w:r>
          </w:p>
        </w:tc>
        <w:tc>
          <w:tcPr>
            <w:tcW w:w="0" w:type="auto"/>
            <w:tcBorders>
              <w:bottom w:val="single" w:sz="4" w:space="0" w:color="auto"/>
            </w:tcBorders>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2000s</w:t>
            </w:r>
          </w:p>
        </w:tc>
      </w:tr>
      <w:tr w:rsidR="00E44303" w:rsidRPr="008B02D2" w:rsidTr="005E285D">
        <w:trPr>
          <w:trHeight w:val="300"/>
        </w:trPr>
        <w:tc>
          <w:tcPr>
            <w:tcW w:w="0" w:type="auto"/>
            <w:shd w:val="clear" w:color="auto" w:fill="auto"/>
            <w:noWrap/>
            <w:vAlign w:val="bottom"/>
            <w:hideMark/>
          </w:tcPr>
          <w:p w:rsidR="00E44303" w:rsidRPr="008B02D2" w:rsidRDefault="00E44303" w:rsidP="00B815DF">
            <w:pPr>
              <w:spacing w:after="0" w:line="240" w:lineRule="auto"/>
              <w:rPr>
                <w:rFonts w:ascii="Calibri" w:eastAsia="Times New Roman" w:hAnsi="Calibri" w:cs="Times New Roman"/>
                <w:color w:val="000000"/>
              </w:rPr>
            </w:pPr>
            <w:r>
              <w:rPr>
                <w:rFonts w:ascii="Calibri" w:eastAsia="Times New Roman" w:hAnsi="Calibri" w:cs="Times New Roman"/>
                <w:noProof/>
                <w:color w:val="000000"/>
                <w:lang w:val="en-GB" w:eastAsia="en-GB"/>
              </w:rPr>
              <mc:AlternateContent>
                <mc:Choice Requires="wps">
                  <w:drawing>
                    <wp:anchor distT="0" distB="0" distL="114300" distR="114300" simplePos="0" relativeHeight="251659264" behindDoc="0" locked="0" layoutInCell="1" allowOverlap="1" wp14:anchorId="5A0F3513" wp14:editId="1473F744">
                      <wp:simplePos x="0" y="0"/>
                      <wp:positionH relativeFrom="column">
                        <wp:posOffset>314325</wp:posOffset>
                      </wp:positionH>
                      <wp:positionV relativeFrom="paragraph">
                        <wp:posOffset>142875</wp:posOffset>
                      </wp:positionV>
                      <wp:extent cx="266700" cy="552450"/>
                      <wp:effectExtent l="0" t="0" r="0" b="0"/>
                      <wp:wrapNone/>
                      <wp:docPr id="5119" name="Text Box 5119"/>
                      <wp:cNvGraphicFramePr/>
                      <a:graphic xmlns:a="http://schemas.openxmlformats.org/drawingml/2006/main">
                        <a:graphicData uri="http://schemas.microsoft.com/office/word/2010/wordprocessingShape">
                          <wps:wsp>
                            <wps:cNvSpPr txBox="1"/>
                            <wps:spPr>
                              <a:xfrm rot="16200000">
                                <a:off x="0" y="0"/>
                                <a:ext cx="564642" cy="2645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B815DF" w:rsidRDefault="00B815DF" w:rsidP="00E44303">
                                  <w:pPr>
                                    <w:pStyle w:val="NormalWeb"/>
                                    <w:spacing w:before="0" w:beforeAutospacing="0" w:after="0" w:afterAutospacing="0"/>
                                  </w:pPr>
                                  <w:r>
                                    <w:rPr>
                                      <w:rFonts w:asciiTheme="minorHAnsi" w:hAnsi="Calibri" w:cstheme="minorBidi"/>
                                      <w:color w:val="000000" w:themeColor="text1"/>
                                      <w:sz w:val="22"/>
                                      <w:szCs w:val="22"/>
                                    </w:rPr>
                                    <w:t>Radius</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Text Box 5119" o:spid="_x0000_s1031" type="#_x0000_t202" style="position:absolute;margin-left:24.75pt;margin-top:11.25pt;width:21pt;height:43.5pt;rotation:-90;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" filled="f" stroked="f">
                      <v:textbox style="mso-fit-shape-to-text:t">
                        <w:txbxContent>
                          <w:p w:rsidR="00B815DF" w:rsidRDefault="00B815DF" w:rsidP="00E44303">
                            <w:pPr>
                              <w:pStyle w:val="NormalWeb"/>
                              <w:spacing w:before="0" w:beforeAutospacing="0" w:after="0" w:afterAutospacing="0"/>
                            </w:pPr>
                            <w:r>
                              <w:rPr>
                                <w:rFonts w:asciiTheme="minorHAnsi" w:hAnsi="Calibri" w:cstheme="minorBidi"/>
                                <w:color w:val="000000" w:themeColor="text1"/>
                                <w:sz w:val="22"/>
                                <w:szCs w:val="22"/>
                              </w:rPr>
                              <w:t>Radius</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E44303" w:rsidRPr="008B02D2" w:rsidTr="00B815DF">
              <w:trPr>
                <w:trHeight w:val="300"/>
                <w:tblCellSpacing w:w="0" w:type="dxa"/>
              </w:trPr>
              <w:tc>
                <w:tcPr>
                  <w:tcW w:w="960" w:type="dxa"/>
                  <w:tcBorders>
                    <w:top w:val="nil"/>
                    <w:left w:val="nil"/>
                    <w:bottom w:val="nil"/>
                    <w:right w:val="nil"/>
                  </w:tcBorders>
                  <w:shd w:val="clear" w:color="auto" w:fill="auto"/>
                  <w:noWrap/>
                  <w:vAlign w:val="bottom"/>
                  <w:hideMark/>
                </w:tcPr>
                <w:p w:rsidR="00E44303" w:rsidRPr="008B02D2" w:rsidRDefault="00E44303" w:rsidP="00B815DF">
                  <w:pPr>
                    <w:spacing w:after="0" w:line="240" w:lineRule="auto"/>
                    <w:rPr>
                      <w:rFonts w:ascii="Calibri" w:eastAsia="Times New Roman" w:hAnsi="Calibri" w:cs="Times New Roman"/>
                      <w:color w:val="000000"/>
                    </w:rPr>
                  </w:pPr>
                </w:p>
              </w:tc>
            </w:tr>
          </w:tbl>
          <w:p w:rsidR="00E44303" w:rsidRPr="008B02D2" w:rsidRDefault="00E44303" w:rsidP="00B815DF">
            <w:pPr>
              <w:spacing w:after="0" w:line="240" w:lineRule="auto"/>
              <w:rPr>
                <w:rFonts w:ascii="Calibri" w:eastAsia="Times New Roman" w:hAnsi="Calibri" w:cs="Times New Roman"/>
                <w:color w:val="000000"/>
              </w:rPr>
            </w:pPr>
          </w:p>
        </w:tc>
        <w:tc>
          <w:tcPr>
            <w:tcW w:w="0" w:type="auto"/>
            <w:tcBorders>
              <w:top w:val="single" w:sz="4" w:space="0" w:color="auto"/>
            </w:tcBorders>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300</w:t>
            </w:r>
          </w:p>
        </w:tc>
        <w:tc>
          <w:tcPr>
            <w:tcW w:w="0" w:type="auto"/>
            <w:tcBorders>
              <w:top w:val="single" w:sz="4" w:space="0" w:color="auto"/>
            </w:tcBorders>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0.02</w:t>
            </w:r>
          </w:p>
        </w:tc>
        <w:tc>
          <w:tcPr>
            <w:tcW w:w="0" w:type="auto"/>
            <w:tcBorders>
              <w:top w:val="single" w:sz="4" w:space="0" w:color="auto"/>
            </w:tcBorders>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0.01</w:t>
            </w:r>
          </w:p>
        </w:tc>
        <w:tc>
          <w:tcPr>
            <w:tcW w:w="0" w:type="auto"/>
            <w:tcBorders>
              <w:top w:val="single" w:sz="4" w:space="0" w:color="auto"/>
            </w:tcBorders>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0.01</w:t>
            </w:r>
          </w:p>
        </w:tc>
        <w:tc>
          <w:tcPr>
            <w:tcW w:w="0" w:type="auto"/>
            <w:tcBorders>
              <w:top w:val="single" w:sz="4" w:space="0" w:color="auto"/>
            </w:tcBorders>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0.00</w:t>
            </w:r>
          </w:p>
        </w:tc>
        <w:tc>
          <w:tcPr>
            <w:tcW w:w="0" w:type="auto"/>
            <w:tcBorders>
              <w:top w:val="single" w:sz="4" w:space="0" w:color="auto"/>
            </w:tcBorders>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0.02</w:t>
            </w:r>
          </w:p>
        </w:tc>
      </w:tr>
      <w:tr w:rsidR="00E44303" w:rsidRPr="008B02D2" w:rsidTr="005E285D">
        <w:trPr>
          <w:trHeight w:val="300"/>
        </w:trPr>
        <w:tc>
          <w:tcPr>
            <w:tcW w:w="0" w:type="auto"/>
            <w:shd w:val="clear" w:color="auto" w:fill="auto"/>
            <w:noWrap/>
            <w:vAlign w:val="bottom"/>
            <w:hideMark/>
          </w:tcPr>
          <w:p w:rsidR="00E44303" w:rsidRPr="008B02D2" w:rsidRDefault="00E44303" w:rsidP="00B815DF">
            <w:pPr>
              <w:spacing w:after="0" w:line="240" w:lineRule="auto"/>
              <w:rPr>
                <w:rFonts w:ascii="Calibri" w:eastAsia="Times New Roman" w:hAnsi="Calibri" w:cs="Times New Roman"/>
                <w:color w:val="000000"/>
              </w:rPr>
            </w:pPr>
          </w:p>
        </w:tc>
        <w:tc>
          <w:tcPr>
            <w:tcW w:w="0" w:type="auto"/>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3000</w:t>
            </w:r>
          </w:p>
        </w:tc>
        <w:tc>
          <w:tcPr>
            <w:tcW w:w="0" w:type="auto"/>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0.19</w:t>
            </w:r>
          </w:p>
        </w:tc>
        <w:tc>
          <w:tcPr>
            <w:tcW w:w="0" w:type="auto"/>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0.20</w:t>
            </w:r>
          </w:p>
        </w:tc>
        <w:tc>
          <w:tcPr>
            <w:tcW w:w="0" w:type="auto"/>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0.19</w:t>
            </w:r>
          </w:p>
        </w:tc>
        <w:tc>
          <w:tcPr>
            <w:tcW w:w="0" w:type="auto"/>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0.12</w:t>
            </w:r>
          </w:p>
        </w:tc>
        <w:tc>
          <w:tcPr>
            <w:tcW w:w="0" w:type="auto"/>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0.01</w:t>
            </w:r>
          </w:p>
        </w:tc>
      </w:tr>
      <w:tr w:rsidR="00E44303" w:rsidRPr="008B02D2" w:rsidTr="005E285D">
        <w:trPr>
          <w:trHeight w:val="300"/>
        </w:trPr>
        <w:tc>
          <w:tcPr>
            <w:tcW w:w="0" w:type="auto"/>
            <w:shd w:val="clear" w:color="auto" w:fill="auto"/>
            <w:noWrap/>
            <w:vAlign w:val="bottom"/>
            <w:hideMark/>
          </w:tcPr>
          <w:p w:rsidR="00E44303" w:rsidRPr="008B02D2" w:rsidRDefault="00E44303" w:rsidP="00B815DF">
            <w:pPr>
              <w:spacing w:after="0" w:line="240" w:lineRule="auto"/>
              <w:rPr>
                <w:rFonts w:ascii="Calibri" w:eastAsia="Times New Roman" w:hAnsi="Calibri" w:cs="Times New Roman"/>
                <w:color w:val="000000"/>
              </w:rPr>
            </w:pPr>
          </w:p>
        </w:tc>
        <w:tc>
          <w:tcPr>
            <w:tcW w:w="0" w:type="auto"/>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7000</w:t>
            </w:r>
          </w:p>
        </w:tc>
        <w:tc>
          <w:tcPr>
            <w:tcW w:w="0" w:type="auto"/>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b/>
                <w:bCs/>
                <w:i/>
                <w:iCs/>
                <w:color w:val="000000"/>
                <w:sz w:val="18"/>
                <w:szCs w:val="18"/>
                <w:highlight w:val="lightGray"/>
              </w:rPr>
            </w:pPr>
            <w:r w:rsidRPr="008B02D2">
              <w:rPr>
                <w:rFonts w:ascii="Calibri" w:eastAsia="Times New Roman" w:hAnsi="Calibri" w:cs="Times New Roman"/>
                <w:b/>
                <w:bCs/>
                <w:i/>
                <w:iCs/>
                <w:color w:val="000000"/>
                <w:sz w:val="18"/>
                <w:szCs w:val="18"/>
                <w:highlight w:val="lightGray"/>
              </w:rPr>
              <w:t>0.33</w:t>
            </w:r>
          </w:p>
        </w:tc>
        <w:tc>
          <w:tcPr>
            <w:tcW w:w="0" w:type="auto"/>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b/>
                <w:bCs/>
                <w:i/>
                <w:iCs/>
                <w:color w:val="000000"/>
                <w:sz w:val="18"/>
                <w:szCs w:val="18"/>
                <w:highlight w:val="lightGray"/>
              </w:rPr>
            </w:pPr>
            <w:r w:rsidRPr="008B02D2">
              <w:rPr>
                <w:rFonts w:ascii="Calibri" w:eastAsia="Times New Roman" w:hAnsi="Calibri" w:cs="Times New Roman"/>
                <w:b/>
                <w:bCs/>
                <w:i/>
                <w:iCs/>
                <w:color w:val="000000"/>
                <w:sz w:val="18"/>
                <w:szCs w:val="18"/>
                <w:highlight w:val="lightGray"/>
              </w:rPr>
              <w:t>0.37</w:t>
            </w:r>
          </w:p>
        </w:tc>
        <w:tc>
          <w:tcPr>
            <w:tcW w:w="0" w:type="auto"/>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b/>
                <w:bCs/>
                <w:i/>
                <w:iCs/>
                <w:color w:val="000000"/>
                <w:sz w:val="18"/>
                <w:szCs w:val="18"/>
                <w:highlight w:val="lightGray"/>
              </w:rPr>
            </w:pPr>
            <w:r w:rsidRPr="008B02D2">
              <w:rPr>
                <w:rFonts w:ascii="Calibri" w:eastAsia="Times New Roman" w:hAnsi="Calibri" w:cs="Times New Roman"/>
                <w:b/>
                <w:bCs/>
                <w:i/>
                <w:iCs/>
                <w:color w:val="000000"/>
                <w:sz w:val="18"/>
                <w:szCs w:val="18"/>
                <w:highlight w:val="lightGray"/>
              </w:rPr>
              <w:t>0.38</w:t>
            </w:r>
          </w:p>
        </w:tc>
        <w:tc>
          <w:tcPr>
            <w:tcW w:w="0" w:type="auto"/>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0.28</w:t>
            </w:r>
          </w:p>
        </w:tc>
        <w:tc>
          <w:tcPr>
            <w:tcW w:w="0" w:type="auto"/>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0.05</w:t>
            </w:r>
          </w:p>
        </w:tc>
      </w:tr>
      <w:tr w:rsidR="00E44303" w:rsidRPr="008B02D2" w:rsidTr="005E285D">
        <w:trPr>
          <w:trHeight w:val="300"/>
        </w:trPr>
        <w:tc>
          <w:tcPr>
            <w:tcW w:w="0" w:type="auto"/>
            <w:shd w:val="clear" w:color="auto" w:fill="auto"/>
            <w:noWrap/>
            <w:vAlign w:val="bottom"/>
            <w:hideMark/>
          </w:tcPr>
          <w:p w:rsidR="00E44303" w:rsidRPr="008B02D2" w:rsidRDefault="00E44303" w:rsidP="00B815DF">
            <w:pPr>
              <w:spacing w:after="0" w:line="240" w:lineRule="auto"/>
              <w:rPr>
                <w:rFonts w:ascii="Calibri" w:eastAsia="Times New Roman" w:hAnsi="Calibri" w:cs="Times New Roman"/>
                <w:color w:val="000000"/>
              </w:rPr>
            </w:pPr>
          </w:p>
        </w:tc>
        <w:tc>
          <w:tcPr>
            <w:tcW w:w="0" w:type="auto"/>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8000</w:t>
            </w:r>
          </w:p>
        </w:tc>
        <w:tc>
          <w:tcPr>
            <w:tcW w:w="0" w:type="auto"/>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0.28</w:t>
            </w:r>
          </w:p>
        </w:tc>
        <w:tc>
          <w:tcPr>
            <w:tcW w:w="0" w:type="auto"/>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0.33</w:t>
            </w:r>
          </w:p>
        </w:tc>
        <w:tc>
          <w:tcPr>
            <w:tcW w:w="0" w:type="auto"/>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b/>
                <w:bCs/>
                <w:i/>
                <w:iCs/>
                <w:color w:val="000000"/>
                <w:sz w:val="18"/>
                <w:szCs w:val="18"/>
                <w:highlight w:val="lightGray"/>
              </w:rPr>
            </w:pPr>
            <w:r w:rsidRPr="008B02D2">
              <w:rPr>
                <w:rFonts w:ascii="Calibri" w:eastAsia="Times New Roman" w:hAnsi="Calibri" w:cs="Times New Roman"/>
                <w:b/>
                <w:bCs/>
                <w:i/>
                <w:iCs/>
                <w:color w:val="000000"/>
                <w:sz w:val="18"/>
                <w:szCs w:val="18"/>
                <w:highlight w:val="lightGray"/>
              </w:rPr>
              <w:t>0.38</w:t>
            </w:r>
          </w:p>
        </w:tc>
        <w:tc>
          <w:tcPr>
            <w:tcW w:w="0" w:type="auto"/>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0.33</w:t>
            </w:r>
          </w:p>
        </w:tc>
        <w:tc>
          <w:tcPr>
            <w:tcW w:w="0" w:type="auto"/>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0.10</w:t>
            </w:r>
          </w:p>
        </w:tc>
      </w:tr>
      <w:tr w:rsidR="00E44303" w:rsidRPr="008B02D2" w:rsidTr="005E285D">
        <w:trPr>
          <w:trHeight w:val="300"/>
        </w:trPr>
        <w:tc>
          <w:tcPr>
            <w:tcW w:w="0" w:type="auto"/>
            <w:shd w:val="clear" w:color="auto" w:fill="auto"/>
            <w:noWrap/>
            <w:vAlign w:val="bottom"/>
            <w:hideMark/>
          </w:tcPr>
          <w:p w:rsidR="00E44303" w:rsidRPr="008B02D2" w:rsidRDefault="00E44303" w:rsidP="00B815DF">
            <w:pPr>
              <w:spacing w:after="0" w:line="240" w:lineRule="auto"/>
              <w:rPr>
                <w:rFonts w:ascii="Calibri" w:eastAsia="Times New Roman" w:hAnsi="Calibri" w:cs="Times New Roman"/>
                <w:color w:val="000000"/>
              </w:rPr>
            </w:pPr>
          </w:p>
        </w:tc>
        <w:tc>
          <w:tcPr>
            <w:tcW w:w="0" w:type="auto"/>
            <w:tcBorders>
              <w:bottom w:val="single" w:sz="4" w:space="0" w:color="auto"/>
            </w:tcBorders>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10000</w:t>
            </w:r>
          </w:p>
        </w:tc>
        <w:tc>
          <w:tcPr>
            <w:tcW w:w="0" w:type="auto"/>
            <w:tcBorders>
              <w:bottom w:val="single" w:sz="4" w:space="0" w:color="auto"/>
            </w:tcBorders>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0.22</w:t>
            </w:r>
          </w:p>
        </w:tc>
        <w:tc>
          <w:tcPr>
            <w:tcW w:w="0" w:type="auto"/>
            <w:tcBorders>
              <w:bottom w:val="single" w:sz="4" w:space="0" w:color="auto"/>
            </w:tcBorders>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0.27</w:t>
            </w:r>
          </w:p>
        </w:tc>
        <w:tc>
          <w:tcPr>
            <w:tcW w:w="0" w:type="auto"/>
            <w:tcBorders>
              <w:bottom w:val="single" w:sz="4" w:space="0" w:color="auto"/>
            </w:tcBorders>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color w:val="000000"/>
                <w:sz w:val="18"/>
                <w:szCs w:val="18"/>
              </w:rPr>
            </w:pPr>
            <w:r w:rsidRPr="008B02D2">
              <w:rPr>
                <w:rFonts w:ascii="Calibri" w:eastAsia="Times New Roman" w:hAnsi="Calibri" w:cs="Times New Roman"/>
                <w:color w:val="000000"/>
                <w:sz w:val="18"/>
                <w:szCs w:val="18"/>
              </w:rPr>
              <w:t>0.34</w:t>
            </w:r>
          </w:p>
        </w:tc>
        <w:tc>
          <w:tcPr>
            <w:tcW w:w="0" w:type="auto"/>
            <w:tcBorders>
              <w:bottom w:val="single" w:sz="4" w:space="0" w:color="auto"/>
            </w:tcBorders>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b/>
                <w:bCs/>
                <w:i/>
                <w:iCs/>
                <w:color w:val="000000"/>
                <w:sz w:val="18"/>
                <w:szCs w:val="18"/>
                <w:highlight w:val="lightGray"/>
              </w:rPr>
            </w:pPr>
            <w:r w:rsidRPr="008B02D2">
              <w:rPr>
                <w:rFonts w:ascii="Calibri" w:eastAsia="Times New Roman" w:hAnsi="Calibri" w:cs="Times New Roman"/>
                <w:b/>
                <w:bCs/>
                <w:i/>
                <w:iCs/>
                <w:color w:val="000000"/>
                <w:sz w:val="18"/>
                <w:szCs w:val="18"/>
                <w:highlight w:val="lightGray"/>
              </w:rPr>
              <w:t>0.34</w:t>
            </w:r>
          </w:p>
        </w:tc>
        <w:tc>
          <w:tcPr>
            <w:tcW w:w="0" w:type="auto"/>
            <w:tcBorders>
              <w:bottom w:val="single" w:sz="4" w:space="0" w:color="auto"/>
            </w:tcBorders>
            <w:shd w:val="clear" w:color="auto" w:fill="auto"/>
            <w:noWrap/>
            <w:vAlign w:val="bottom"/>
            <w:hideMark/>
          </w:tcPr>
          <w:p w:rsidR="00E44303" w:rsidRPr="008B02D2" w:rsidRDefault="00E44303" w:rsidP="00B815DF">
            <w:pPr>
              <w:spacing w:after="0" w:line="240" w:lineRule="auto"/>
              <w:jc w:val="center"/>
              <w:rPr>
                <w:rFonts w:ascii="Calibri" w:eastAsia="Times New Roman" w:hAnsi="Calibri" w:cs="Times New Roman"/>
                <w:b/>
                <w:bCs/>
                <w:i/>
                <w:iCs/>
                <w:color w:val="000000"/>
                <w:sz w:val="18"/>
                <w:szCs w:val="18"/>
                <w:highlight w:val="lightGray"/>
              </w:rPr>
            </w:pPr>
            <w:r w:rsidRPr="008B02D2">
              <w:rPr>
                <w:rFonts w:ascii="Calibri" w:eastAsia="Times New Roman" w:hAnsi="Calibri" w:cs="Times New Roman"/>
                <w:b/>
                <w:bCs/>
                <w:i/>
                <w:iCs/>
                <w:color w:val="000000"/>
                <w:sz w:val="18"/>
                <w:szCs w:val="18"/>
                <w:highlight w:val="lightGray"/>
              </w:rPr>
              <w:t>0.14</w:t>
            </w:r>
          </w:p>
        </w:tc>
      </w:tr>
    </w:tbl>
    <w:p w:rsidR="00E44303" w:rsidRDefault="00E44303" w:rsidP="00E44303">
      <w:pPr>
        <w:rPr>
          <w:sz w:val="24"/>
          <w:szCs w:val="24"/>
        </w:rPr>
      </w:pPr>
    </w:p>
    <w:tbl>
      <w:tblPr>
        <w:tblW w:w="0" w:type="auto"/>
        <w:tblInd w:w="108" w:type="dxa"/>
        <w:tblLayout w:type="fixed"/>
        <w:tblLook w:val="04A0" w:firstRow="1" w:lastRow="0" w:firstColumn="1" w:lastColumn="0" w:noHBand="0" w:noVBand="1"/>
      </w:tblPr>
      <w:tblGrid>
        <w:gridCol w:w="1170"/>
        <w:gridCol w:w="884"/>
        <w:gridCol w:w="652"/>
        <w:gridCol w:w="652"/>
        <w:gridCol w:w="652"/>
        <w:gridCol w:w="652"/>
        <w:gridCol w:w="652"/>
      </w:tblGrid>
      <w:tr w:rsidR="00E44303" w:rsidRPr="00A40E7C" w:rsidTr="005E285D">
        <w:trPr>
          <w:trHeight w:val="300"/>
        </w:trPr>
        <w:tc>
          <w:tcPr>
            <w:tcW w:w="1170" w:type="dxa"/>
            <w:shd w:val="clear" w:color="auto" w:fill="auto"/>
            <w:noWrap/>
            <w:vAlign w:val="bottom"/>
            <w:hideMark/>
          </w:tcPr>
          <w:p w:rsidR="00E44303" w:rsidRPr="00A40E7C" w:rsidRDefault="00E44303" w:rsidP="00B815DF">
            <w:pPr>
              <w:spacing w:after="0" w:line="240" w:lineRule="auto"/>
              <w:rPr>
                <w:rFonts w:ascii="Calibri" w:eastAsia="Times New Roman" w:hAnsi="Calibri" w:cs="Times New Roman"/>
                <w:color w:val="000000"/>
              </w:rPr>
            </w:pPr>
          </w:p>
        </w:tc>
        <w:tc>
          <w:tcPr>
            <w:tcW w:w="884" w:type="dxa"/>
            <w:tcBorders>
              <w:bottom w:val="single" w:sz="4" w:space="0" w:color="auto"/>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Land Use</w:t>
            </w:r>
          </w:p>
        </w:tc>
        <w:tc>
          <w:tcPr>
            <w:tcW w:w="652" w:type="dxa"/>
            <w:tcBorders>
              <w:bottom w:val="single" w:sz="4" w:space="0" w:color="auto"/>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1960s</w:t>
            </w:r>
          </w:p>
        </w:tc>
        <w:tc>
          <w:tcPr>
            <w:tcW w:w="652" w:type="dxa"/>
            <w:tcBorders>
              <w:bottom w:val="single" w:sz="4" w:space="0" w:color="auto"/>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1970s</w:t>
            </w:r>
          </w:p>
        </w:tc>
        <w:tc>
          <w:tcPr>
            <w:tcW w:w="652" w:type="dxa"/>
            <w:tcBorders>
              <w:bottom w:val="single" w:sz="4" w:space="0" w:color="auto"/>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1980s</w:t>
            </w:r>
          </w:p>
        </w:tc>
        <w:tc>
          <w:tcPr>
            <w:tcW w:w="652" w:type="dxa"/>
            <w:tcBorders>
              <w:bottom w:val="single" w:sz="4" w:space="0" w:color="auto"/>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1990s</w:t>
            </w:r>
          </w:p>
        </w:tc>
        <w:tc>
          <w:tcPr>
            <w:tcW w:w="652" w:type="dxa"/>
            <w:tcBorders>
              <w:bottom w:val="single" w:sz="4" w:space="0" w:color="auto"/>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2000s</w:t>
            </w:r>
          </w:p>
        </w:tc>
      </w:tr>
      <w:tr w:rsidR="00E44303" w:rsidRPr="00A40E7C" w:rsidTr="005E285D">
        <w:trPr>
          <w:trHeight w:val="300"/>
        </w:trPr>
        <w:tc>
          <w:tcPr>
            <w:tcW w:w="1170" w:type="dxa"/>
            <w:shd w:val="clear" w:color="auto" w:fill="auto"/>
            <w:noWrap/>
            <w:vAlign w:val="bottom"/>
            <w:hideMark/>
          </w:tcPr>
          <w:p w:rsidR="00E44303" w:rsidRPr="00A40E7C" w:rsidRDefault="00E44303" w:rsidP="00B815DF">
            <w:pPr>
              <w:spacing w:after="0" w:line="240" w:lineRule="auto"/>
              <w:rPr>
                <w:rFonts w:ascii="Calibri" w:eastAsia="Times New Roman" w:hAnsi="Calibri" w:cs="Times New Roman"/>
                <w:color w:val="000000"/>
              </w:rPr>
            </w:pPr>
          </w:p>
          <w:tbl>
            <w:tblPr>
              <w:tblW w:w="0" w:type="auto"/>
              <w:tblCellSpacing w:w="0" w:type="dxa"/>
              <w:tblLayout w:type="fixed"/>
              <w:tblCellMar>
                <w:left w:w="0" w:type="dxa"/>
                <w:right w:w="0" w:type="dxa"/>
              </w:tblCellMar>
              <w:tblLook w:val="04A0" w:firstRow="1" w:lastRow="0" w:firstColumn="1" w:lastColumn="0" w:noHBand="0" w:noVBand="1"/>
            </w:tblPr>
            <w:tblGrid>
              <w:gridCol w:w="1180"/>
            </w:tblGrid>
            <w:tr w:rsidR="00E44303" w:rsidRPr="00A40E7C" w:rsidTr="005E285D">
              <w:trPr>
                <w:trHeight w:val="300"/>
                <w:tblCellSpacing w:w="0" w:type="dxa"/>
              </w:trPr>
              <w:tc>
                <w:tcPr>
                  <w:tcW w:w="1180" w:type="dxa"/>
                  <w:tcBorders>
                    <w:top w:val="nil"/>
                    <w:left w:val="nil"/>
                    <w:bottom w:val="nil"/>
                    <w:right w:val="nil"/>
                  </w:tcBorders>
                  <w:shd w:val="clear" w:color="auto" w:fill="auto"/>
                  <w:noWrap/>
                  <w:vAlign w:val="bottom"/>
                  <w:hideMark/>
                </w:tcPr>
                <w:p w:rsidR="00E44303" w:rsidRPr="00A40E7C" w:rsidRDefault="00E44303" w:rsidP="00B815DF">
                  <w:pPr>
                    <w:spacing w:after="0" w:line="240" w:lineRule="auto"/>
                    <w:rPr>
                      <w:rFonts w:ascii="Calibri" w:eastAsia="Times New Roman" w:hAnsi="Calibri" w:cs="Times New Roman"/>
                      <w:color w:val="000000"/>
                    </w:rPr>
                  </w:pPr>
                </w:p>
              </w:tc>
            </w:tr>
          </w:tbl>
          <w:p w:rsidR="00E44303" w:rsidRPr="00A40E7C" w:rsidRDefault="00E44303" w:rsidP="00B815DF">
            <w:pPr>
              <w:spacing w:after="0" w:line="240" w:lineRule="auto"/>
              <w:rPr>
                <w:rFonts w:ascii="Calibri" w:eastAsia="Times New Roman" w:hAnsi="Calibri" w:cs="Times New Roman"/>
                <w:color w:val="000000"/>
              </w:rPr>
            </w:pPr>
          </w:p>
        </w:tc>
        <w:tc>
          <w:tcPr>
            <w:tcW w:w="884" w:type="dxa"/>
            <w:tcBorders>
              <w:top w:val="single" w:sz="4" w:space="0" w:color="auto"/>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1.0</w:t>
            </w:r>
          </w:p>
        </w:tc>
        <w:tc>
          <w:tcPr>
            <w:tcW w:w="652" w:type="dxa"/>
            <w:tcBorders>
              <w:top w:val="single" w:sz="4" w:space="0" w:color="auto"/>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0.24</w:t>
            </w:r>
          </w:p>
        </w:tc>
        <w:tc>
          <w:tcPr>
            <w:tcW w:w="652" w:type="dxa"/>
            <w:tcBorders>
              <w:top w:val="single" w:sz="4" w:space="0" w:color="auto"/>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0.28</w:t>
            </w:r>
          </w:p>
        </w:tc>
        <w:tc>
          <w:tcPr>
            <w:tcW w:w="652" w:type="dxa"/>
            <w:tcBorders>
              <w:top w:val="single" w:sz="4" w:space="0" w:color="auto"/>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0.34</w:t>
            </w:r>
          </w:p>
        </w:tc>
        <w:tc>
          <w:tcPr>
            <w:tcW w:w="652" w:type="dxa"/>
            <w:tcBorders>
              <w:top w:val="single" w:sz="4" w:space="0" w:color="auto"/>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0.31</w:t>
            </w:r>
          </w:p>
        </w:tc>
        <w:tc>
          <w:tcPr>
            <w:tcW w:w="652" w:type="dxa"/>
            <w:tcBorders>
              <w:top w:val="single" w:sz="4" w:space="0" w:color="auto"/>
            </w:tcBorders>
            <w:shd w:val="clear" w:color="auto" w:fill="auto"/>
            <w:noWrap/>
            <w:vAlign w:val="bottom"/>
            <w:hideMark/>
          </w:tcPr>
          <w:p w:rsidR="00E44303" w:rsidRPr="00A40E7C" w:rsidRDefault="00E44303" w:rsidP="00B815DF">
            <w:pPr>
              <w:spacing w:after="0" w:line="240" w:lineRule="auto"/>
              <w:jc w:val="center"/>
              <w:rPr>
                <w:rFonts w:ascii="Arial" w:eastAsia="Times New Roman" w:hAnsi="Arial" w:cs="Arial"/>
                <w:sz w:val="18"/>
                <w:szCs w:val="18"/>
              </w:rPr>
            </w:pPr>
            <w:r w:rsidRPr="00A40E7C">
              <w:rPr>
                <w:rFonts w:ascii="Arial" w:eastAsia="Times New Roman" w:hAnsi="Arial" w:cs="Arial"/>
                <w:sz w:val="18"/>
                <w:szCs w:val="18"/>
              </w:rPr>
              <w:t>0.12</w:t>
            </w:r>
          </w:p>
        </w:tc>
      </w:tr>
      <w:tr w:rsidR="00E44303" w:rsidRPr="00A40E7C" w:rsidTr="005E285D">
        <w:trPr>
          <w:trHeight w:val="300"/>
        </w:trPr>
        <w:tc>
          <w:tcPr>
            <w:tcW w:w="1170" w:type="dxa"/>
            <w:shd w:val="clear" w:color="auto" w:fill="auto"/>
            <w:noWrap/>
            <w:vAlign w:val="bottom"/>
            <w:hideMark/>
          </w:tcPr>
          <w:p w:rsidR="00E44303" w:rsidRPr="00A40E7C" w:rsidRDefault="005E285D" w:rsidP="00B815DF">
            <w:pPr>
              <w:spacing w:after="0" w:line="240" w:lineRule="auto"/>
              <w:rPr>
                <w:rFonts w:ascii="Calibri" w:eastAsia="Times New Roman" w:hAnsi="Calibri" w:cs="Times New Roman"/>
                <w:color w:val="000000"/>
              </w:rPr>
            </w:pPr>
            <w:r>
              <w:rPr>
                <w:rFonts w:ascii="Calibri" w:eastAsia="Times New Roman" w:hAnsi="Calibri" w:cs="Times New Roman"/>
                <w:noProof/>
                <w:color w:val="000000"/>
                <w:lang w:val="en-GB" w:eastAsia="en-GB"/>
              </w:rPr>
              <mc:AlternateContent>
                <mc:Choice Requires="wps">
                  <w:drawing>
                    <wp:anchor distT="0" distB="0" distL="114300" distR="114300" simplePos="0" relativeHeight="251660288" behindDoc="0" locked="0" layoutInCell="1" allowOverlap="1" wp14:anchorId="0E2B48AF" wp14:editId="2D900970">
                      <wp:simplePos x="0" y="0"/>
                      <wp:positionH relativeFrom="column">
                        <wp:posOffset>-354330</wp:posOffset>
                      </wp:positionH>
                      <wp:positionV relativeFrom="paragraph">
                        <wp:posOffset>9525</wp:posOffset>
                      </wp:positionV>
                      <wp:extent cx="1519555" cy="436245"/>
                      <wp:effectExtent l="0" t="0" r="0" b="0"/>
                      <wp:wrapNone/>
                      <wp:docPr id="5121" name="Text Box 5121"/>
                      <wp:cNvGraphicFramePr/>
                      <a:graphic xmlns:a="http://schemas.openxmlformats.org/drawingml/2006/main">
                        <a:graphicData uri="http://schemas.microsoft.com/office/word/2010/wordprocessingShape">
                          <wps:wsp>
                            <wps:cNvSpPr txBox="1"/>
                            <wps:spPr>
                              <a:xfrm rot="16200000">
                                <a:off x="0" y="0"/>
                                <a:ext cx="1519555" cy="43624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B815DF" w:rsidRDefault="00B815DF" w:rsidP="00E44303">
                                  <w:pPr>
                                    <w:pStyle w:val="NormalWeb"/>
                                    <w:spacing w:before="0" w:beforeAutospacing="0" w:after="0" w:afterAutospacing="0"/>
                                    <w:jc w:val="center"/>
                                  </w:pPr>
                                  <w:r>
                                    <w:rPr>
                                      <w:rFonts w:asciiTheme="minorHAnsi" w:hAnsi="Calibri" w:cstheme="minorBidi"/>
                                      <w:color w:val="000000" w:themeColor="text1"/>
                                      <w:sz w:val="22"/>
                                      <w:szCs w:val="22"/>
                                    </w:rPr>
                                    <w:t>Residential</w:t>
                                  </w:r>
                                  <w:r w:rsidR="005E285D">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Land-use</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5121" o:spid="_x0000_s1032" type="#_x0000_t202" style="position:absolute;margin-left:-27.9pt;margin-top:.75pt;width:119.65pt;height:34.3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" filled="f" stroked="f">
                      <v:textbox>
                        <w:txbxContent>
                          <w:p w:rsidR="00B815DF" w:rsidRDefault="00B815DF" w:rsidP="00E44303">
                            <w:pPr>
                              <w:pStyle w:val="NormalWeb"/>
                              <w:spacing w:before="0" w:beforeAutospacing="0" w:after="0" w:afterAutospacing="0"/>
                              <w:jc w:val="center"/>
                            </w:pPr>
                            <w:r>
                              <w:rPr>
                                <w:rFonts w:asciiTheme="minorHAnsi" w:hAnsi="Calibri" w:cstheme="minorBidi"/>
                                <w:color w:val="000000" w:themeColor="text1"/>
                                <w:sz w:val="22"/>
                                <w:szCs w:val="22"/>
                              </w:rPr>
                              <w:t>Residential</w:t>
                            </w:r>
                            <w:r w:rsidR="005E285D">
                              <w:rPr>
                                <w:rFonts w:asciiTheme="minorHAnsi" w:hAnsi="Calibri" w:cstheme="minorBidi"/>
                                <w:color w:val="000000" w:themeColor="text1"/>
                                <w:sz w:val="22"/>
                                <w:szCs w:val="22"/>
                              </w:rPr>
                              <w:t xml:space="preserve"> </w:t>
                            </w:r>
                            <w:r>
                              <w:rPr>
                                <w:rFonts w:asciiTheme="minorHAnsi" w:hAnsi="Calibri" w:cstheme="minorBidi"/>
                                <w:color w:val="000000" w:themeColor="text1"/>
                                <w:sz w:val="22"/>
                                <w:szCs w:val="22"/>
                              </w:rPr>
                              <w:t>Land-use</w:t>
                            </w:r>
                          </w:p>
                        </w:txbxContent>
                      </v:textbox>
                    </v:shape>
                  </w:pict>
                </mc:Fallback>
              </mc:AlternateContent>
            </w:r>
          </w:p>
        </w:tc>
        <w:tc>
          <w:tcPr>
            <w:tcW w:w="884"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0.8</w:t>
            </w:r>
          </w:p>
        </w:tc>
        <w:tc>
          <w:tcPr>
            <w:tcW w:w="652"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0.32</w:t>
            </w:r>
          </w:p>
        </w:tc>
        <w:tc>
          <w:tcPr>
            <w:tcW w:w="652"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0.35</w:t>
            </w:r>
          </w:p>
        </w:tc>
        <w:tc>
          <w:tcPr>
            <w:tcW w:w="652"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0.41</w:t>
            </w:r>
          </w:p>
        </w:tc>
        <w:tc>
          <w:tcPr>
            <w:tcW w:w="652"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0.32</w:t>
            </w:r>
          </w:p>
        </w:tc>
        <w:tc>
          <w:tcPr>
            <w:tcW w:w="652" w:type="dxa"/>
            <w:shd w:val="clear" w:color="auto" w:fill="auto"/>
            <w:noWrap/>
            <w:vAlign w:val="bottom"/>
            <w:hideMark/>
          </w:tcPr>
          <w:p w:rsidR="00E44303" w:rsidRPr="00A40E7C" w:rsidRDefault="00E44303" w:rsidP="00B815DF">
            <w:pPr>
              <w:spacing w:after="0" w:line="240" w:lineRule="auto"/>
              <w:jc w:val="center"/>
              <w:rPr>
                <w:rFonts w:ascii="Arial" w:eastAsia="Times New Roman" w:hAnsi="Arial" w:cs="Arial"/>
                <w:sz w:val="18"/>
                <w:szCs w:val="18"/>
              </w:rPr>
            </w:pPr>
            <w:r w:rsidRPr="00A40E7C">
              <w:rPr>
                <w:rFonts w:ascii="Arial" w:eastAsia="Times New Roman" w:hAnsi="Arial" w:cs="Arial"/>
                <w:sz w:val="18"/>
                <w:szCs w:val="18"/>
              </w:rPr>
              <w:t>0.12</w:t>
            </w:r>
          </w:p>
        </w:tc>
      </w:tr>
      <w:tr w:rsidR="00E44303" w:rsidRPr="00A40E7C" w:rsidTr="005E285D">
        <w:trPr>
          <w:trHeight w:val="300"/>
        </w:trPr>
        <w:tc>
          <w:tcPr>
            <w:tcW w:w="1170" w:type="dxa"/>
            <w:shd w:val="clear" w:color="auto" w:fill="auto"/>
            <w:noWrap/>
            <w:vAlign w:val="bottom"/>
            <w:hideMark/>
          </w:tcPr>
          <w:p w:rsidR="00E44303" w:rsidRPr="00A40E7C" w:rsidRDefault="00E44303" w:rsidP="00B815DF">
            <w:pPr>
              <w:spacing w:after="0" w:line="240" w:lineRule="auto"/>
              <w:rPr>
                <w:rFonts w:ascii="Calibri" w:eastAsia="Times New Roman" w:hAnsi="Calibri" w:cs="Times New Roman"/>
                <w:color w:val="000000"/>
              </w:rPr>
            </w:pPr>
          </w:p>
        </w:tc>
        <w:tc>
          <w:tcPr>
            <w:tcW w:w="884"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0.6</w:t>
            </w:r>
          </w:p>
        </w:tc>
        <w:tc>
          <w:tcPr>
            <w:tcW w:w="652"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0.35</w:t>
            </w:r>
          </w:p>
        </w:tc>
        <w:tc>
          <w:tcPr>
            <w:tcW w:w="652"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0.40</w:t>
            </w:r>
          </w:p>
        </w:tc>
        <w:tc>
          <w:tcPr>
            <w:tcW w:w="652"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0.43</w:t>
            </w:r>
          </w:p>
        </w:tc>
        <w:tc>
          <w:tcPr>
            <w:tcW w:w="652"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0.33</w:t>
            </w:r>
          </w:p>
        </w:tc>
        <w:tc>
          <w:tcPr>
            <w:tcW w:w="652" w:type="dxa"/>
            <w:shd w:val="clear" w:color="auto" w:fill="auto"/>
            <w:noWrap/>
            <w:vAlign w:val="bottom"/>
            <w:hideMark/>
          </w:tcPr>
          <w:p w:rsidR="00E44303" w:rsidRPr="00A40E7C" w:rsidRDefault="00E44303" w:rsidP="00B815DF">
            <w:pPr>
              <w:spacing w:after="0" w:line="240" w:lineRule="auto"/>
              <w:jc w:val="center"/>
              <w:rPr>
                <w:rFonts w:ascii="Arial" w:eastAsia="Times New Roman" w:hAnsi="Arial" w:cs="Arial"/>
                <w:sz w:val="18"/>
                <w:szCs w:val="18"/>
              </w:rPr>
            </w:pPr>
            <w:r w:rsidRPr="00A40E7C">
              <w:rPr>
                <w:rFonts w:ascii="Arial" w:eastAsia="Times New Roman" w:hAnsi="Arial" w:cs="Arial"/>
                <w:sz w:val="18"/>
                <w:szCs w:val="18"/>
              </w:rPr>
              <w:t>0.11</w:t>
            </w:r>
          </w:p>
        </w:tc>
      </w:tr>
      <w:tr w:rsidR="00E44303" w:rsidRPr="00A40E7C" w:rsidTr="005E285D">
        <w:trPr>
          <w:trHeight w:val="300"/>
        </w:trPr>
        <w:tc>
          <w:tcPr>
            <w:tcW w:w="1170" w:type="dxa"/>
            <w:shd w:val="clear" w:color="auto" w:fill="auto"/>
            <w:noWrap/>
            <w:vAlign w:val="bottom"/>
            <w:hideMark/>
          </w:tcPr>
          <w:p w:rsidR="00E44303" w:rsidRPr="00A40E7C" w:rsidRDefault="00E44303" w:rsidP="00B815DF">
            <w:pPr>
              <w:spacing w:after="0" w:line="240" w:lineRule="auto"/>
              <w:rPr>
                <w:rFonts w:ascii="Calibri" w:eastAsia="Times New Roman" w:hAnsi="Calibri" w:cs="Times New Roman"/>
                <w:color w:val="000000"/>
              </w:rPr>
            </w:pPr>
          </w:p>
        </w:tc>
        <w:tc>
          <w:tcPr>
            <w:tcW w:w="884"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0.4</w:t>
            </w:r>
          </w:p>
        </w:tc>
        <w:tc>
          <w:tcPr>
            <w:tcW w:w="652"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0.40</w:t>
            </w:r>
          </w:p>
        </w:tc>
        <w:tc>
          <w:tcPr>
            <w:tcW w:w="652"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0.44</w:t>
            </w:r>
          </w:p>
        </w:tc>
        <w:tc>
          <w:tcPr>
            <w:tcW w:w="652"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0.45</w:t>
            </w:r>
          </w:p>
        </w:tc>
        <w:tc>
          <w:tcPr>
            <w:tcW w:w="652"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0.36</w:t>
            </w:r>
          </w:p>
        </w:tc>
        <w:tc>
          <w:tcPr>
            <w:tcW w:w="652"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0.10</w:t>
            </w:r>
          </w:p>
        </w:tc>
      </w:tr>
      <w:tr w:rsidR="00E44303" w:rsidRPr="00A40E7C" w:rsidTr="005E285D">
        <w:trPr>
          <w:trHeight w:val="300"/>
        </w:trPr>
        <w:tc>
          <w:tcPr>
            <w:tcW w:w="1170" w:type="dxa"/>
            <w:shd w:val="clear" w:color="auto" w:fill="auto"/>
            <w:noWrap/>
            <w:vAlign w:val="bottom"/>
            <w:hideMark/>
          </w:tcPr>
          <w:p w:rsidR="00E44303" w:rsidRPr="00A40E7C" w:rsidRDefault="00E44303" w:rsidP="00B815DF">
            <w:pPr>
              <w:spacing w:after="0" w:line="240" w:lineRule="auto"/>
              <w:rPr>
                <w:rFonts w:ascii="Calibri" w:eastAsia="Times New Roman" w:hAnsi="Calibri" w:cs="Times New Roman"/>
                <w:color w:val="000000"/>
              </w:rPr>
            </w:pPr>
          </w:p>
        </w:tc>
        <w:tc>
          <w:tcPr>
            <w:tcW w:w="884"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0.2</w:t>
            </w:r>
          </w:p>
        </w:tc>
        <w:tc>
          <w:tcPr>
            <w:tcW w:w="652"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0.46</w:t>
            </w:r>
          </w:p>
        </w:tc>
        <w:tc>
          <w:tcPr>
            <w:tcW w:w="652"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0.50</w:t>
            </w:r>
          </w:p>
        </w:tc>
        <w:tc>
          <w:tcPr>
            <w:tcW w:w="652"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0.49</w:t>
            </w:r>
          </w:p>
        </w:tc>
        <w:tc>
          <w:tcPr>
            <w:tcW w:w="652"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b/>
                <w:bCs/>
                <w:i/>
                <w:iCs/>
                <w:color w:val="000000"/>
                <w:sz w:val="18"/>
                <w:szCs w:val="18"/>
              </w:rPr>
            </w:pPr>
            <w:r w:rsidRPr="00A40E7C">
              <w:rPr>
                <w:rFonts w:ascii="Calibri" w:eastAsia="Times New Roman" w:hAnsi="Calibri" w:cs="Times New Roman"/>
                <w:b/>
                <w:bCs/>
                <w:i/>
                <w:iCs/>
                <w:color w:val="000000"/>
                <w:sz w:val="18"/>
                <w:szCs w:val="18"/>
                <w:highlight w:val="lightGray"/>
              </w:rPr>
              <w:t>0.44</w:t>
            </w:r>
          </w:p>
        </w:tc>
        <w:tc>
          <w:tcPr>
            <w:tcW w:w="652" w:type="dxa"/>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0.11</w:t>
            </w:r>
          </w:p>
        </w:tc>
      </w:tr>
      <w:tr w:rsidR="00E44303" w:rsidRPr="00A40E7C" w:rsidTr="005E285D">
        <w:trPr>
          <w:trHeight w:val="300"/>
        </w:trPr>
        <w:tc>
          <w:tcPr>
            <w:tcW w:w="1170" w:type="dxa"/>
            <w:shd w:val="clear" w:color="auto" w:fill="auto"/>
            <w:noWrap/>
            <w:vAlign w:val="bottom"/>
            <w:hideMark/>
          </w:tcPr>
          <w:p w:rsidR="00E44303" w:rsidRPr="00A40E7C" w:rsidRDefault="00E44303" w:rsidP="00B815DF">
            <w:pPr>
              <w:spacing w:after="0" w:line="240" w:lineRule="auto"/>
              <w:rPr>
                <w:rFonts w:ascii="Calibri" w:eastAsia="Times New Roman" w:hAnsi="Calibri" w:cs="Times New Roman"/>
                <w:color w:val="000000"/>
              </w:rPr>
            </w:pPr>
          </w:p>
        </w:tc>
        <w:tc>
          <w:tcPr>
            <w:tcW w:w="884" w:type="dxa"/>
            <w:tcBorders>
              <w:bottom w:val="single" w:sz="4" w:space="0" w:color="auto"/>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w:t>
            </w:r>
          </w:p>
        </w:tc>
        <w:tc>
          <w:tcPr>
            <w:tcW w:w="652" w:type="dxa"/>
            <w:tcBorders>
              <w:bottom w:val="single" w:sz="4" w:space="0" w:color="auto"/>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b/>
                <w:bCs/>
                <w:i/>
                <w:iCs/>
                <w:color w:val="000000"/>
                <w:sz w:val="18"/>
                <w:szCs w:val="18"/>
                <w:highlight w:val="lightGray"/>
              </w:rPr>
            </w:pPr>
            <w:r w:rsidRPr="00A40E7C">
              <w:rPr>
                <w:rFonts w:ascii="Calibri" w:eastAsia="Times New Roman" w:hAnsi="Calibri" w:cs="Times New Roman"/>
                <w:b/>
                <w:bCs/>
                <w:i/>
                <w:iCs/>
                <w:color w:val="000000"/>
                <w:sz w:val="18"/>
                <w:szCs w:val="18"/>
                <w:highlight w:val="lightGray"/>
              </w:rPr>
              <w:t>0.55</w:t>
            </w:r>
          </w:p>
        </w:tc>
        <w:tc>
          <w:tcPr>
            <w:tcW w:w="652" w:type="dxa"/>
            <w:tcBorders>
              <w:bottom w:val="single" w:sz="4" w:space="0" w:color="auto"/>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b/>
                <w:bCs/>
                <w:i/>
                <w:iCs/>
                <w:color w:val="000000"/>
                <w:sz w:val="18"/>
                <w:szCs w:val="18"/>
                <w:highlight w:val="lightGray"/>
              </w:rPr>
            </w:pPr>
            <w:r w:rsidRPr="00A40E7C">
              <w:rPr>
                <w:rFonts w:ascii="Calibri" w:eastAsia="Times New Roman" w:hAnsi="Calibri" w:cs="Times New Roman"/>
                <w:b/>
                <w:bCs/>
                <w:i/>
                <w:iCs/>
                <w:color w:val="000000"/>
                <w:sz w:val="18"/>
                <w:szCs w:val="18"/>
                <w:highlight w:val="lightGray"/>
              </w:rPr>
              <w:t>0.57</w:t>
            </w:r>
          </w:p>
        </w:tc>
        <w:tc>
          <w:tcPr>
            <w:tcW w:w="652" w:type="dxa"/>
            <w:tcBorders>
              <w:bottom w:val="single" w:sz="4" w:space="0" w:color="auto"/>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b/>
                <w:bCs/>
                <w:i/>
                <w:iCs/>
                <w:color w:val="000000"/>
                <w:sz w:val="18"/>
                <w:szCs w:val="18"/>
                <w:highlight w:val="lightGray"/>
              </w:rPr>
            </w:pPr>
            <w:r w:rsidRPr="00A40E7C">
              <w:rPr>
                <w:rFonts w:ascii="Calibri" w:eastAsia="Times New Roman" w:hAnsi="Calibri" w:cs="Times New Roman"/>
                <w:b/>
                <w:bCs/>
                <w:i/>
                <w:iCs/>
                <w:color w:val="000000"/>
                <w:sz w:val="18"/>
                <w:szCs w:val="18"/>
                <w:highlight w:val="lightGray"/>
              </w:rPr>
              <w:t>0.53</w:t>
            </w:r>
          </w:p>
        </w:tc>
        <w:tc>
          <w:tcPr>
            <w:tcW w:w="652" w:type="dxa"/>
            <w:tcBorders>
              <w:bottom w:val="single" w:sz="4" w:space="0" w:color="auto"/>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0.35</w:t>
            </w:r>
          </w:p>
        </w:tc>
        <w:tc>
          <w:tcPr>
            <w:tcW w:w="652" w:type="dxa"/>
            <w:tcBorders>
              <w:bottom w:val="single" w:sz="4" w:space="0" w:color="auto"/>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0.07</w:t>
            </w:r>
          </w:p>
        </w:tc>
      </w:tr>
    </w:tbl>
    <w:p w:rsidR="00E44303" w:rsidRDefault="00E4003F" w:rsidP="00E44303">
      <w:pPr>
        <w:rPr>
          <w:sz w:val="24"/>
          <w:szCs w:val="24"/>
        </w:rPr>
      </w:pPr>
      <w:r>
        <w:rPr>
          <w:rFonts w:ascii="Calibri" w:eastAsia="Times New Roman" w:hAnsi="Calibri" w:cs="Times New Roman"/>
          <w:noProof/>
          <w:color w:val="000000"/>
          <w:lang w:val="en-GB" w:eastAsia="en-GB"/>
        </w:rPr>
        <mc:AlternateContent>
          <mc:Choice Requires="wps">
            <w:drawing>
              <wp:anchor distT="0" distB="0" distL="114300" distR="114300" simplePos="0" relativeHeight="251661312" behindDoc="0" locked="0" layoutInCell="1" allowOverlap="1" wp14:anchorId="5DD7CA7D" wp14:editId="3A7FF42E">
                <wp:simplePos x="0" y="0"/>
                <wp:positionH relativeFrom="column">
                  <wp:posOffset>553720</wp:posOffset>
                </wp:positionH>
                <wp:positionV relativeFrom="paragraph">
                  <wp:posOffset>290195</wp:posOffset>
                </wp:positionV>
                <wp:extent cx="266700" cy="838200"/>
                <wp:effectExtent l="0" t="0" r="0" b="0"/>
                <wp:wrapNone/>
                <wp:docPr id="5123" name="Text Box 5123"/>
                <wp:cNvGraphicFramePr/>
                <a:graphic xmlns:a="http://schemas.openxmlformats.org/drawingml/2006/main">
                  <a:graphicData uri="http://schemas.microsoft.com/office/word/2010/wordprocessingShape">
                    <wps:wsp>
                      <wps:cNvSpPr txBox="1"/>
                      <wps:spPr>
                        <a:xfrm rot="16200000">
                          <a:off x="0" y="0"/>
                          <a:ext cx="266700" cy="83820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B815DF" w:rsidRDefault="00B815DF" w:rsidP="00E44303">
                            <w:pPr>
                              <w:pStyle w:val="NormalWeb"/>
                              <w:spacing w:before="0" w:beforeAutospacing="0" w:after="0" w:afterAutospacing="0"/>
                            </w:pPr>
                            <w:r>
                              <w:rPr>
                                <w:rFonts w:asciiTheme="minorHAnsi" w:hAnsi="Calibri" w:cstheme="minorBidi"/>
                                <w:color w:val="000000" w:themeColor="text1"/>
                                <w:sz w:val="22"/>
                                <w:szCs w:val="22"/>
                              </w:rPr>
                              <w:t>IDW Power</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Text Box 5123" o:spid="_x0000_s1033" type="#_x0000_t202" style="position:absolute;margin-left:43.6pt;margin-top:22.85pt;width:21pt;height:66pt;rotation:-90;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" filled="f" stroked="f">
                <v:textbox style="mso-fit-shape-to-text:t">
                  <w:txbxContent>
                    <w:p w:rsidR="00B815DF" w:rsidRDefault="00B815DF" w:rsidP="00E44303">
                      <w:pPr>
                        <w:pStyle w:val="NormalWeb"/>
                        <w:spacing w:before="0" w:beforeAutospacing="0" w:after="0" w:afterAutospacing="0"/>
                      </w:pPr>
                      <w:r>
                        <w:rPr>
                          <w:rFonts w:asciiTheme="minorHAnsi" w:hAnsi="Calibri" w:cstheme="minorBidi"/>
                          <w:color w:val="000000" w:themeColor="text1"/>
                          <w:sz w:val="22"/>
                          <w:szCs w:val="22"/>
                        </w:rPr>
                        <w:t>IDW Power</w:t>
                      </w:r>
                    </w:p>
                  </w:txbxContent>
                </v:textbox>
              </v:shape>
            </w:pict>
          </mc:Fallback>
        </mc:AlternateContent>
      </w:r>
    </w:p>
    <w:tbl>
      <w:tblPr>
        <w:tblW w:w="0" w:type="auto"/>
        <w:tblInd w:w="1117" w:type="dxa"/>
        <w:tblLook w:val="04A0" w:firstRow="1" w:lastRow="0" w:firstColumn="1" w:lastColumn="0" w:noHBand="0" w:noVBand="1"/>
      </w:tblPr>
      <w:tblGrid>
        <w:gridCol w:w="222"/>
        <w:gridCol w:w="536"/>
        <w:gridCol w:w="652"/>
        <w:gridCol w:w="652"/>
        <w:gridCol w:w="652"/>
        <w:gridCol w:w="652"/>
        <w:gridCol w:w="652"/>
      </w:tblGrid>
      <w:tr w:rsidR="00E44303" w:rsidRPr="00A40E7C" w:rsidTr="00E4003F">
        <w:trPr>
          <w:trHeight w:val="300"/>
        </w:trPr>
        <w:tc>
          <w:tcPr>
            <w:tcW w:w="0" w:type="auto"/>
            <w:tcBorders>
              <w:top w:val="nil"/>
              <w:left w:val="nil"/>
              <w:bottom w:val="nil"/>
              <w:right w:val="nil"/>
            </w:tcBorders>
            <w:shd w:val="clear" w:color="auto" w:fill="auto"/>
            <w:noWrap/>
            <w:vAlign w:val="bottom"/>
            <w:hideMark/>
          </w:tcPr>
          <w:p w:rsidR="00E44303" w:rsidRPr="00A40E7C" w:rsidRDefault="00E44303" w:rsidP="00B815DF">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IDW</w:t>
            </w:r>
          </w:p>
        </w:tc>
        <w:tc>
          <w:tcPr>
            <w:tcW w:w="0" w:type="auto"/>
            <w:tcBorders>
              <w:top w:val="nil"/>
              <w:left w:val="nil"/>
              <w:bottom w:val="single" w:sz="4" w:space="0" w:color="auto"/>
              <w:right w:val="nil"/>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1960s</w:t>
            </w:r>
          </w:p>
        </w:tc>
        <w:tc>
          <w:tcPr>
            <w:tcW w:w="0" w:type="auto"/>
            <w:tcBorders>
              <w:top w:val="nil"/>
              <w:left w:val="nil"/>
              <w:bottom w:val="single" w:sz="4" w:space="0" w:color="auto"/>
              <w:right w:val="nil"/>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1970s</w:t>
            </w:r>
          </w:p>
        </w:tc>
        <w:tc>
          <w:tcPr>
            <w:tcW w:w="0" w:type="auto"/>
            <w:tcBorders>
              <w:top w:val="nil"/>
              <w:left w:val="nil"/>
              <w:bottom w:val="single" w:sz="4" w:space="0" w:color="auto"/>
              <w:right w:val="nil"/>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1980s</w:t>
            </w:r>
          </w:p>
        </w:tc>
        <w:tc>
          <w:tcPr>
            <w:tcW w:w="0" w:type="auto"/>
            <w:tcBorders>
              <w:top w:val="nil"/>
              <w:left w:val="nil"/>
              <w:bottom w:val="single" w:sz="4" w:space="0" w:color="auto"/>
              <w:right w:val="nil"/>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1990s</w:t>
            </w:r>
          </w:p>
        </w:tc>
        <w:tc>
          <w:tcPr>
            <w:tcW w:w="0" w:type="auto"/>
            <w:tcBorders>
              <w:top w:val="nil"/>
              <w:left w:val="nil"/>
              <w:bottom w:val="single" w:sz="4" w:space="0" w:color="auto"/>
              <w:right w:val="nil"/>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2000s</w:t>
            </w:r>
          </w:p>
        </w:tc>
      </w:tr>
      <w:tr w:rsidR="00E44303" w:rsidRPr="00A40E7C" w:rsidTr="00E4003F">
        <w:trPr>
          <w:trHeight w:val="300"/>
        </w:trPr>
        <w:tc>
          <w:tcPr>
            <w:tcW w:w="0" w:type="auto"/>
            <w:tcBorders>
              <w:top w:val="nil"/>
              <w:left w:val="nil"/>
              <w:bottom w:val="nil"/>
              <w:right w:val="nil"/>
            </w:tcBorders>
            <w:shd w:val="clear" w:color="auto" w:fill="auto"/>
            <w:noWrap/>
            <w:vAlign w:val="bottom"/>
            <w:hideMark/>
          </w:tcPr>
          <w:p w:rsidR="00E44303" w:rsidRPr="00A40E7C" w:rsidRDefault="00E44303" w:rsidP="00B815DF">
            <w:pPr>
              <w:spacing w:after="0" w:line="240" w:lineRule="auto"/>
              <w:rPr>
                <w:rFonts w:ascii="Calibri" w:eastAsia="Times New Roman" w:hAnsi="Calibri" w:cs="Times New Roman"/>
                <w:color w:val="000000"/>
              </w:rPr>
            </w:pPr>
          </w:p>
        </w:tc>
        <w:tc>
          <w:tcPr>
            <w:tcW w:w="0" w:type="auto"/>
            <w:tcBorders>
              <w:top w:val="single" w:sz="4" w:space="0" w:color="auto"/>
              <w:left w:val="nil"/>
              <w:bottom w:val="nil"/>
              <w:right w:val="nil"/>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2.00</w:t>
            </w:r>
          </w:p>
        </w:tc>
        <w:tc>
          <w:tcPr>
            <w:tcW w:w="0" w:type="auto"/>
            <w:tcBorders>
              <w:top w:val="nil"/>
              <w:left w:val="nil"/>
              <w:bottom w:val="nil"/>
              <w:right w:val="nil"/>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0.00</w:t>
            </w:r>
          </w:p>
        </w:tc>
        <w:tc>
          <w:tcPr>
            <w:tcW w:w="0" w:type="auto"/>
            <w:tcBorders>
              <w:top w:val="nil"/>
              <w:left w:val="nil"/>
              <w:bottom w:val="nil"/>
              <w:right w:val="nil"/>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0.00</w:t>
            </w:r>
          </w:p>
        </w:tc>
        <w:tc>
          <w:tcPr>
            <w:tcW w:w="0" w:type="auto"/>
            <w:tcBorders>
              <w:top w:val="nil"/>
              <w:left w:val="nil"/>
              <w:bottom w:val="nil"/>
              <w:right w:val="nil"/>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0.00</w:t>
            </w:r>
          </w:p>
        </w:tc>
        <w:tc>
          <w:tcPr>
            <w:tcW w:w="0" w:type="auto"/>
            <w:tcBorders>
              <w:top w:val="nil"/>
              <w:left w:val="nil"/>
              <w:bottom w:val="nil"/>
              <w:right w:val="nil"/>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0.01</w:t>
            </w:r>
          </w:p>
        </w:tc>
        <w:tc>
          <w:tcPr>
            <w:tcW w:w="0" w:type="auto"/>
            <w:tcBorders>
              <w:top w:val="nil"/>
              <w:left w:val="nil"/>
              <w:bottom w:val="nil"/>
              <w:right w:val="nil"/>
            </w:tcBorders>
            <w:shd w:val="clear" w:color="auto" w:fill="auto"/>
            <w:noWrap/>
            <w:vAlign w:val="bottom"/>
            <w:hideMark/>
          </w:tcPr>
          <w:p w:rsidR="00E44303" w:rsidRPr="00A40E7C" w:rsidRDefault="00E44303"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0.03</w:t>
            </w:r>
          </w:p>
        </w:tc>
      </w:tr>
      <w:tr w:rsidR="00E4003F" w:rsidRPr="00A40E7C" w:rsidTr="00E4003F">
        <w:trPr>
          <w:trHeight w:val="300"/>
        </w:trPr>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1.50</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0.00</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0.00</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0.00</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0.01</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0.03</w:t>
            </w:r>
          </w:p>
        </w:tc>
      </w:tr>
      <w:tr w:rsidR="00E4003F" w:rsidRPr="00A40E7C" w:rsidTr="00E4003F">
        <w:trPr>
          <w:trHeight w:val="300"/>
        </w:trPr>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1.00</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0.00</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0.00</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0.00</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0.01</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0.03</w:t>
            </w:r>
          </w:p>
        </w:tc>
      </w:tr>
      <w:tr w:rsidR="00E4003F" w:rsidRPr="00A40E7C" w:rsidTr="00E4003F">
        <w:trPr>
          <w:trHeight w:val="300"/>
        </w:trPr>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0.50</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0.02</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0.02</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0.01</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0.00</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0.01</w:t>
            </w:r>
          </w:p>
        </w:tc>
      </w:tr>
      <w:tr w:rsidR="00E4003F" w:rsidRPr="00A40E7C" w:rsidTr="00E4003F">
        <w:trPr>
          <w:trHeight w:val="300"/>
        </w:trPr>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0.40</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0.17</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0.18</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0.16</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0.09</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0.00</w:t>
            </w:r>
          </w:p>
        </w:tc>
      </w:tr>
      <w:tr w:rsidR="00E4003F" w:rsidRPr="00A40E7C" w:rsidTr="00E4003F">
        <w:trPr>
          <w:trHeight w:val="300"/>
        </w:trPr>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0.25</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b/>
                <w:bCs/>
                <w:i/>
                <w:iCs/>
                <w:color w:val="000000"/>
                <w:sz w:val="18"/>
                <w:szCs w:val="18"/>
                <w:highlight w:val="lightGray"/>
              </w:rPr>
            </w:pPr>
            <w:r w:rsidRPr="00A40E7C">
              <w:rPr>
                <w:rFonts w:ascii="Calibri" w:eastAsia="Times New Roman" w:hAnsi="Calibri" w:cs="Times New Roman"/>
                <w:b/>
                <w:bCs/>
                <w:i/>
                <w:iCs/>
                <w:color w:val="000000"/>
                <w:sz w:val="18"/>
                <w:szCs w:val="18"/>
                <w:highlight w:val="lightGray"/>
              </w:rPr>
              <w:t>0.33</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0.36</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0.37</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0.26</w:t>
            </w:r>
          </w:p>
        </w:tc>
        <w:tc>
          <w:tcPr>
            <w:tcW w:w="0" w:type="auto"/>
            <w:tcBorders>
              <w:top w:val="nil"/>
              <w:left w:val="nil"/>
              <w:bottom w:val="nil"/>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0.04</w:t>
            </w:r>
          </w:p>
        </w:tc>
      </w:tr>
      <w:tr w:rsidR="00E4003F" w:rsidRPr="00A40E7C" w:rsidTr="00E4003F">
        <w:trPr>
          <w:trHeight w:val="300"/>
        </w:trPr>
        <w:tc>
          <w:tcPr>
            <w:tcW w:w="0" w:type="auto"/>
            <w:tcBorders>
              <w:top w:val="nil"/>
              <w:left w:val="nil"/>
              <w:bottom w:val="nil"/>
              <w:right w:val="nil"/>
            </w:tcBorders>
            <w:shd w:val="clear" w:color="auto" w:fill="auto"/>
            <w:noWrap/>
            <w:vAlign w:val="bottom"/>
          </w:tcPr>
          <w:p w:rsidR="00E4003F" w:rsidRPr="00A40E7C" w:rsidRDefault="00E4003F" w:rsidP="00B815DF">
            <w:p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0.00</w:t>
            </w:r>
          </w:p>
        </w:tc>
        <w:tc>
          <w:tcPr>
            <w:tcW w:w="0" w:type="auto"/>
            <w:tcBorders>
              <w:top w:val="nil"/>
              <w:left w:val="nil"/>
              <w:bottom w:val="single" w:sz="4" w:space="0" w:color="auto"/>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b/>
                <w:bCs/>
                <w:i/>
                <w:iCs/>
                <w:color w:val="000000"/>
                <w:sz w:val="18"/>
                <w:szCs w:val="18"/>
                <w:highlight w:val="lightGray"/>
              </w:rPr>
            </w:pPr>
            <w:r w:rsidRPr="00A40E7C">
              <w:rPr>
                <w:rFonts w:ascii="Calibri" w:eastAsia="Times New Roman" w:hAnsi="Calibri" w:cs="Times New Roman"/>
                <w:b/>
                <w:bCs/>
                <w:i/>
                <w:iCs/>
                <w:color w:val="000000"/>
                <w:sz w:val="18"/>
                <w:szCs w:val="18"/>
                <w:highlight w:val="lightGray"/>
              </w:rPr>
              <w:t>0.33</w:t>
            </w:r>
          </w:p>
        </w:tc>
        <w:tc>
          <w:tcPr>
            <w:tcW w:w="0" w:type="auto"/>
            <w:tcBorders>
              <w:top w:val="nil"/>
              <w:left w:val="nil"/>
              <w:bottom w:val="single" w:sz="4" w:space="0" w:color="auto"/>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b/>
                <w:bCs/>
                <w:i/>
                <w:iCs/>
                <w:color w:val="000000"/>
                <w:sz w:val="18"/>
                <w:szCs w:val="18"/>
                <w:highlight w:val="lightGray"/>
              </w:rPr>
            </w:pPr>
            <w:r w:rsidRPr="00A40E7C">
              <w:rPr>
                <w:rFonts w:ascii="Calibri" w:eastAsia="Times New Roman" w:hAnsi="Calibri" w:cs="Times New Roman"/>
                <w:b/>
                <w:bCs/>
                <w:i/>
                <w:iCs/>
                <w:color w:val="000000"/>
                <w:sz w:val="18"/>
                <w:szCs w:val="18"/>
                <w:highlight w:val="lightGray"/>
              </w:rPr>
              <w:t>0.37</w:t>
            </w:r>
          </w:p>
        </w:tc>
        <w:tc>
          <w:tcPr>
            <w:tcW w:w="0" w:type="auto"/>
            <w:tcBorders>
              <w:top w:val="nil"/>
              <w:left w:val="nil"/>
              <w:bottom w:val="single" w:sz="4" w:space="0" w:color="auto"/>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b/>
                <w:bCs/>
                <w:i/>
                <w:iCs/>
                <w:color w:val="000000"/>
                <w:sz w:val="18"/>
                <w:szCs w:val="18"/>
                <w:highlight w:val="lightGray"/>
              </w:rPr>
            </w:pPr>
            <w:r w:rsidRPr="00A40E7C">
              <w:rPr>
                <w:rFonts w:ascii="Calibri" w:eastAsia="Times New Roman" w:hAnsi="Calibri" w:cs="Times New Roman"/>
                <w:b/>
                <w:bCs/>
                <w:i/>
                <w:iCs/>
                <w:color w:val="000000"/>
                <w:sz w:val="18"/>
                <w:szCs w:val="18"/>
                <w:highlight w:val="lightGray"/>
              </w:rPr>
              <w:t>0.39</w:t>
            </w:r>
          </w:p>
        </w:tc>
        <w:tc>
          <w:tcPr>
            <w:tcW w:w="0" w:type="auto"/>
            <w:tcBorders>
              <w:top w:val="nil"/>
              <w:left w:val="nil"/>
              <w:bottom w:val="single" w:sz="4" w:space="0" w:color="auto"/>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b/>
                <w:bCs/>
                <w:i/>
                <w:iCs/>
                <w:color w:val="000000"/>
                <w:sz w:val="18"/>
                <w:szCs w:val="18"/>
                <w:highlight w:val="lightGray"/>
              </w:rPr>
            </w:pPr>
            <w:r w:rsidRPr="00A40E7C">
              <w:rPr>
                <w:rFonts w:ascii="Calibri" w:eastAsia="Times New Roman" w:hAnsi="Calibri" w:cs="Times New Roman"/>
                <w:b/>
                <w:bCs/>
                <w:i/>
                <w:iCs/>
                <w:color w:val="000000"/>
                <w:sz w:val="18"/>
                <w:szCs w:val="18"/>
                <w:highlight w:val="lightGray"/>
              </w:rPr>
              <w:t>0.29</w:t>
            </w:r>
          </w:p>
        </w:tc>
        <w:tc>
          <w:tcPr>
            <w:tcW w:w="0" w:type="auto"/>
            <w:tcBorders>
              <w:top w:val="nil"/>
              <w:left w:val="nil"/>
              <w:bottom w:val="single" w:sz="4" w:space="0" w:color="auto"/>
              <w:right w:val="nil"/>
            </w:tcBorders>
            <w:shd w:val="clear" w:color="auto" w:fill="auto"/>
            <w:noWrap/>
            <w:vAlign w:val="bottom"/>
            <w:hideMark/>
          </w:tcPr>
          <w:p w:rsidR="00E4003F" w:rsidRPr="00A40E7C" w:rsidRDefault="00E4003F" w:rsidP="00B815DF">
            <w:pPr>
              <w:spacing w:after="0" w:line="240" w:lineRule="auto"/>
              <w:jc w:val="center"/>
              <w:rPr>
                <w:rFonts w:ascii="Calibri" w:eastAsia="Times New Roman" w:hAnsi="Calibri" w:cs="Times New Roman"/>
                <w:color w:val="000000"/>
                <w:sz w:val="18"/>
                <w:szCs w:val="18"/>
              </w:rPr>
            </w:pPr>
            <w:r w:rsidRPr="00A40E7C">
              <w:rPr>
                <w:rFonts w:ascii="Calibri" w:eastAsia="Times New Roman" w:hAnsi="Calibri" w:cs="Times New Roman"/>
                <w:color w:val="000000"/>
                <w:sz w:val="18"/>
                <w:szCs w:val="18"/>
              </w:rPr>
              <w:t>0.06</w:t>
            </w:r>
          </w:p>
        </w:tc>
      </w:tr>
    </w:tbl>
    <w:p w:rsidR="00E44303" w:rsidRDefault="00E44303" w:rsidP="00E44303">
      <w:pPr>
        <w:rPr>
          <w:sz w:val="24"/>
          <w:szCs w:val="24"/>
        </w:rPr>
      </w:pPr>
    </w:p>
    <w:p w:rsidR="00E44303" w:rsidRDefault="00E44303" w:rsidP="00E44303">
      <w:pPr>
        <w:rPr>
          <w:sz w:val="24"/>
          <w:szCs w:val="24"/>
        </w:rPr>
      </w:pPr>
      <w:r>
        <w:rPr>
          <w:sz w:val="24"/>
          <w:szCs w:val="24"/>
        </w:rPr>
        <w:br w:type="page"/>
      </w:r>
    </w:p>
    <w:p w:rsidR="00E44303" w:rsidRDefault="00E44303" w:rsidP="00E44303">
      <w:pPr>
        <w:rPr>
          <w:sz w:val="24"/>
          <w:szCs w:val="24"/>
        </w:rPr>
      </w:pPr>
      <w:r>
        <w:rPr>
          <w:sz w:val="24"/>
          <w:szCs w:val="24"/>
        </w:rPr>
        <w:lastRenderedPageBreak/>
        <w:t xml:space="preserve">Table 4. </w:t>
      </w:r>
      <w:r w:rsidRPr="00C63D50">
        <w:rPr>
          <w:sz w:val="24"/>
          <w:szCs w:val="24"/>
        </w:rPr>
        <w:t>Correlation coefficient</w:t>
      </w:r>
      <w:r>
        <w:rPr>
          <w:sz w:val="24"/>
          <w:szCs w:val="24"/>
        </w:rPr>
        <w:t>s</w:t>
      </w:r>
      <w:r w:rsidRPr="00C63D50">
        <w:rPr>
          <w:sz w:val="24"/>
          <w:szCs w:val="24"/>
        </w:rPr>
        <w:t xml:space="preserve"> </w:t>
      </w:r>
      <w:r>
        <w:rPr>
          <w:sz w:val="24"/>
          <w:szCs w:val="24"/>
        </w:rPr>
        <w:t>for</w:t>
      </w:r>
      <w:r w:rsidRPr="00C63D50">
        <w:rPr>
          <w:sz w:val="24"/>
          <w:szCs w:val="24"/>
        </w:rPr>
        <w:t xml:space="preserve"> land-use using the point-density calculation vs. </w:t>
      </w:r>
      <w:r>
        <w:rPr>
          <w:sz w:val="24"/>
          <w:szCs w:val="24"/>
        </w:rPr>
        <w:t xml:space="preserve">average decadal gravestone </w:t>
      </w:r>
      <w:r w:rsidRPr="00C63D50">
        <w:rPr>
          <w:sz w:val="24"/>
          <w:szCs w:val="24"/>
        </w:rPr>
        <w:t>stone decay</w:t>
      </w:r>
      <w:r>
        <w:rPr>
          <w:sz w:val="24"/>
          <w:szCs w:val="24"/>
        </w:rPr>
        <w:t xml:space="preserve"> rate</w:t>
      </w:r>
      <w:r w:rsidRPr="00C63D50">
        <w:rPr>
          <w:sz w:val="24"/>
          <w:szCs w:val="24"/>
        </w:rPr>
        <w:t xml:space="preserve"> for radii of 4000 – 12000 </w:t>
      </w:r>
      <w:r>
        <w:rPr>
          <w:sz w:val="24"/>
          <w:szCs w:val="24"/>
        </w:rPr>
        <w:t xml:space="preserve">m. Maximum values in bold/italic </w:t>
      </w:r>
    </w:p>
    <w:tbl>
      <w:tblPr>
        <w:tblW w:w="6792" w:type="dxa"/>
        <w:tblInd w:w="108" w:type="dxa"/>
        <w:tblLook w:val="04A0" w:firstRow="1" w:lastRow="0" w:firstColumn="1" w:lastColumn="0" w:noHBand="0" w:noVBand="1"/>
      </w:tblPr>
      <w:tblGrid>
        <w:gridCol w:w="968"/>
        <w:gridCol w:w="1054"/>
        <w:gridCol w:w="921"/>
        <w:gridCol w:w="921"/>
        <w:gridCol w:w="976"/>
        <w:gridCol w:w="976"/>
        <w:gridCol w:w="976"/>
      </w:tblGrid>
      <w:tr w:rsidR="00E44303" w:rsidRPr="00F42035" w:rsidTr="00B815DF">
        <w:trPr>
          <w:trHeight w:val="300"/>
        </w:trPr>
        <w:tc>
          <w:tcPr>
            <w:tcW w:w="968"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rPr>
                <w:rFonts w:ascii="Calibri" w:eastAsia="Times New Roman" w:hAnsi="Calibri" w:cs="Times New Roman"/>
                <w:color w:val="000000"/>
              </w:rPr>
            </w:pPr>
          </w:p>
        </w:tc>
        <w:tc>
          <w:tcPr>
            <w:tcW w:w="2896" w:type="dxa"/>
            <w:gridSpan w:val="3"/>
            <w:tcBorders>
              <w:top w:val="nil"/>
              <w:left w:val="nil"/>
              <w:bottom w:val="nil"/>
              <w:right w:val="nil"/>
            </w:tcBorders>
            <w:shd w:val="clear" w:color="auto" w:fill="auto"/>
            <w:noWrap/>
            <w:vAlign w:val="bottom"/>
            <w:hideMark/>
          </w:tcPr>
          <w:p w:rsidR="00E44303" w:rsidRPr="00F42035" w:rsidRDefault="00E44303" w:rsidP="00B815DF">
            <w:pPr>
              <w:spacing w:after="0" w:line="240" w:lineRule="auto"/>
              <w:rPr>
                <w:rFonts w:ascii="Calibri" w:eastAsia="Times New Roman" w:hAnsi="Calibri" w:cs="Times New Roman"/>
                <w:color w:val="000000"/>
              </w:rPr>
            </w:pPr>
            <w:r w:rsidRPr="00F42035">
              <w:rPr>
                <w:rFonts w:ascii="Calibri" w:eastAsia="Times New Roman" w:hAnsi="Calibri" w:cs="Times New Roman"/>
                <w:color w:val="000000"/>
              </w:rPr>
              <w:t>Residential Value 0.2</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rPr>
                <w:rFonts w:ascii="Calibri" w:eastAsia="Times New Roman" w:hAnsi="Calibri" w:cs="Times New Roman"/>
                <w:color w:val="000000"/>
              </w:rPr>
            </w:pPr>
          </w:p>
        </w:tc>
      </w:tr>
      <w:tr w:rsidR="00E44303" w:rsidRPr="00F42035" w:rsidTr="00B815DF">
        <w:trPr>
          <w:trHeight w:val="300"/>
        </w:trPr>
        <w:tc>
          <w:tcPr>
            <w:tcW w:w="968"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Resid. Ind.</w:t>
            </w:r>
          </w:p>
        </w:tc>
        <w:tc>
          <w:tcPr>
            <w:tcW w:w="1054"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Radius</w:t>
            </w:r>
          </w:p>
        </w:tc>
        <w:tc>
          <w:tcPr>
            <w:tcW w:w="921"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1960s</w:t>
            </w:r>
          </w:p>
        </w:tc>
        <w:tc>
          <w:tcPr>
            <w:tcW w:w="921"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1970s</w:t>
            </w:r>
          </w:p>
        </w:tc>
        <w:tc>
          <w:tcPr>
            <w:tcW w:w="976"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1980s</w:t>
            </w:r>
          </w:p>
        </w:tc>
        <w:tc>
          <w:tcPr>
            <w:tcW w:w="976"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1990s</w:t>
            </w:r>
          </w:p>
        </w:tc>
        <w:tc>
          <w:tcPr>
            <w:tcW w:w="976"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2000s</w:t>
            </w:r>
          </w:p>
        </w:tc>
      </w:tr>
      <w:tr w:rsidR="00E44303" w:rsidRPr="00F42035" w:rsidTr="00B815DF">
        <w:trPr>
          <w:trHeight w:val="300"/>
        </w:trPr>
        <w:tc>
          <w:tcPr>
            <w:tcW w:w="968"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0.2</w:t>
            </w:r>
          </w:p>
        </w:tc>
        <w:tc>
          <w:tcPr>
            <w:tcW w:w="1054"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4000</w:t>
            </w:r>
          </w:p>
        </w:tc>
        <w:tc>
          <w:tcPr>
            <w:tcW w:w="921" w:type="dxa"/>
            <w:tcBorders>
              <w:top w:val="nil"/>
              <w:left w:val="nil"/>
              <w:bottom w:val="nil"/>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0.45</w:t>
            </w:r>
          </w:p>
        </w:tc>
        <w:tc>
          <w:tcPr>
            <w:tcW w:w="921" w:type="dxa"/>
            <w:tcBorders>
              <w:top w:val="nil"/>
              <w:left w:val="nil"/>
              <w:bottom w:val="nil"/>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0.48</w:t>
            </w:r>
          </w:p>
        </w:tc>
        <w:tc>
          <w:tcPr>
            <w:tcW w:w="976" w:type="dxa"/>
            <w:tcBorders>
              <w:top w:val="nil"/>
              <w:left w:val="nil"/>
              <w:bottom w:val="nil"/>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0.47</w:t>
            </w:r>
          </w:p>
        </w:tc>
        <w:tc>
          <w:tcPr>
            <w:tcW w:w="976" w:type="dxa"/>
            <w:tcBorders>
              <w:top w:val="nil"/>
              <w:left w:val="nil"/>
              <w:bottom w:val="nil"/>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0.32</w:t>
            </w:r>
          </w:p>
        </w:tc>
        <w:tc>
          <w:tcPr>
            <w:tcW w:w="976" w:type="dxa"/>
            <w:tcBorders>
              <w:top w:val="nil"/>
              <w:left w:val="nil"/>
              <w:bottom w:val="nil"/>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0.06</w:t>
            </w:r>
          </w:p>
        </w:tc>
      </w:tr>
      <w:tr w:rsidR="00E44303" w:rsidRPr="00F42035" w:rsidTr="00B815DF">
        <w:trPr>
          <w:trHeight w:val="300"/>
        </w:trPr>
        <w:tc>
          <w:tcPr>
            <w:tcW w:w="968"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0.2</w:t>
            </w:r>
          </w:p>
        </w:tc>
        <w:tc>
          <w:tcPr>
            <w:tcW w:w="1054"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6000</w:t>
            </w:r>
          </w:p>
        </w:tc>
        <w:tc>
          <w:tcPr>
            <w:tcW w:w="921"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Arial" w:eastAsia="Times New Roman" w:hAnsi="Arial" w:cs="Arial"/>
                <w:b/>
                <w:bCs/>
                <w:i/>
                <w:iCs/>
                <w:sz w:val="20"/>
                <w:szCs w:val="20"/>
              </w:rPr>
            </w:pPr>
            <w:r w:rsidRPr="00F42035">
              <w:rPr>
                <w:rFonts w:ascii="Arial" w:eastAsia="Times New Roman" w:hAnsi="Arial" w:cs="Arial"/>
                <w:b/>
                <w:bCs/>
                <w:i/>
                <w:iCs/>
                <w:sz w:val="20"/>
                <w:szCs w:val="20"/>
              </w:rPr>
              <w:t>0.56</w:t>
            </w:r>
          </w:p>
        </w:tc>
        <w:tc>
          <w:tcPr>
            <w:tcW w:w="921"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Arial" w:eastAsia="Times New Roman" w:hAnsi="Arial" w:cs="Arial"/>
                <w:b/>
                <w:bCs/>
                <w:i/>
                <w:iCs/>
                <w:sz w:val="20"/>
                <w:szCs w:val="20"/>
              </w:rPr>
            </w:pPr>
            <w:r w:rsidRPr="00F42035">
              <w:rPr>
                <w:rFonts w:ascii="Arial" w:eastAsia="Times New Roman" w:hAnsi="Arial" w:cs="Arial"/>
                <w:b/>
                <w:bCs/>
                <w:i/>
                <w:iCs/>
                <w:sz w:val="20"/>
                <w:szCs w:val="20"/>
              </w:rPr>
              <w:t>0.60</w:t>
            </w:r>
          </w:p>
        </w:tc>
        <w:tc>
          <w:tcPr>
            <w:tcW w:w="976"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Arial" w:eastAsia="Times New Roman" w:hAnsi="Arial" w:cs="Arial"/>
                <w:b/>
                <w:bCs/>
                <w:i/>
                <w:iCs/>
                <w:sz w:val="20"/>
                <w:szCs w:val="20"/>
              </w:rPr>
            </w:pPr>
            <w:r w:rsidRPr="00F42035">
              <w:rPr>
                <w:rFonts w:ascii="Arial" w:eastAsia="Times New Roman" w:hAnsi="Arial" w:cs="Arial"/>
                <w:b/>
                <w:bCs/>
                <w:i/>
                <w:iCs/>
                <w:sz w:val="20"/>
                <w:szCs w:val="20"/>
              </w:rPr>
              <w:t>0.59</w:t>
            </w:r>
          </w:p>
        </w:tc>
        <w:tc>
          <w:tcPr>
            <w:tcW w:w="976" w:type="dxa"/>
            <w:tcBorders>
              <w:top w:val="nil"/>
              <w:left w:val="nil"/>
              <w:bottom w:val="nil"/>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0.40</w:t>
            </w:r>
          </w:p>
        </w:tc>
        <w:tc>
          <w:tcPr>
            <w:tcW w:w="976" w:type="dxa"/>
            <w:tcBorders>
              <w:top w:val="nil"/>
              <w:left w:val="nil"/>
              <w:bottom w:val="nil"/>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0.07</w:t>
            </w:r>
          </w:p>
        </w:tc>
      </w:tr>
      <w:tr w:rsidR="00E44303" w:rsidRPr="00F42035" w:rsidTr="00B815DF">
        <w:trPr>
          <w:trHeight w:val="300"/>
        </w:trPr>
        <w:tc>
          <w:tcPr>
            <w:tcW w:w="968"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0.2</w:t>
            </w:r>
          </w:p>
        </w:tc>
        <w:tc>
          <w:tcPr>
            <w:tcW w:w="1054"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7000</w:t>
            </w:r>
          </w:p>
        </w:tc>
        <w:tc>
          <w:tcPr>
            <w:tcW w:w="921"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0.53</w:t>
            </w:r>
          </w:p>
        </w:tc>
        <w:tc>
          <w:tcPr>
            <w:tcW w:w="921"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0.58</w:t>
            </w:r>
          </w:p>
        </w:tc>
        <w:tc>
          <w:tcPr>
            <w:tcW w:w="976"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Calibri" w:eastAsia="Times New Roman" w:hAnsi="Calibri" w:cs="Times New Roman"/>
                <w:b/>
                <w:bCs/>
                <w:i/>
                <w:iCs/>
                <w:color w:val="000000"/>
              </w:rPr>
            </w:pPr>
            <w:r w:rsidRPr="00F42035">
              <w:rPr>
                <w:rFonts w:ascii="Calibri" w:eastAsia="Times New Roman" w:hAnsi="Calibri" w:cs="Times New Roman"/>
                <w:b/>
                <w:bCs/>
                <w:i/>
                <w:iCs/>
                <w:color w:val="000000"/>
              </w:rPr>
              <w:t>0.59</w:t>
            </w:r>
          </w:p>
        </w:tc>
        <w:tc>
          <w:tcPr>
            <w:tcW w:w="976"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0.43</w:t>
            </w:r>
          </w:p>
        </w:tc>
        <w:tc>
          <w:tcPr>
            <w:tcW w:w="976" w:type="dxa"/>
            <w:tcBorders>
              <w:top w:val="nil"/>
              <w:left w:val="nil"/>
              <w:bottom w:val="nil"/>
              <w:right w:val="nil"/>
            </w:tcBorders>
            <w:shd w:val="clear" w:color="000000" w:fill="FFFFFF"/>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0.10</w:t>
            </w:r>
          </w:p>
        </w:tc>
      </w:tr>
      <w:tr w:rsidR="00E44303" w:rsidRPr="00F42035" w:rsidTr="00B815DF">
        <w:trPr>
          <w:trHeight w:val="300"/>
        </w:trPr>
        <w:tc>
          <w:tcPr>
            <w:tcW w:w="968"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0.2</w:t>
            </w:r>
          </w:p>
        </w:tc>
        <w:tc>
          <w:tcPr>
            <w:tcW w:w="1054"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8000</w:t>
            </w:r>
          </w:p>
        </w:tc>
        <w:tc>
          <w:tcPr>
            <w:tcW w:w="921" w:type="dxa"/>
            <w:tcBorders>
              <w:top w:val="nil"/>
              <w:left w:val="nil"/>
              <w:bottom w:val="nil"/>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0.45</w:t>
            </w:r>
          </w:p>
        </w:tc>
        <w:tc>
          <w:tcPr>
            <w:tcW w:w="921" w:type="dxa"/>
            <w:tcBorders>
              <w:top w:val="nil"/>
              <w:left w:val="nil"/>
              <w:bottom w:val="nil"/>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0.51</w:t>
            </w:r>
          </w:p>
        </w:tc>
        <w:tc>
          <w:tcPr>
            <w:tcW w:w="976" w:type="dxa"/>
            <w:tcBorders>
              <w:top w:val="nil"/>
              <w:left w:val="nil"/>
              <w:bottom w:val="nil"/>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0.55</w:t>
            </w:r>
          </w:p>
        </w:tc>
        <w:tc>
          <w:tcPr>
            <w:tcW w:w="976"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0.44</w:t>
            </w:r>
          </w:p>
        </w:tc>
        <w:tc>
          <w:tcPr>
            <w:tcW w:w="976" w:type="dxa"/>
            <w:tcBorders>
              <w:top w:val="nil"/>
              <w:left w:val="nil"/>
              <w:bottom w:val="nil"/>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0.12</w:t>
            </w:r>
          </w:p>
        </w:tc>
      </w:tr>
      <w:tr w:rsidR="00E44303" w:rsidRPr="00F42035" w:rsidTr="00B815DF">
        <w:trPr>
          <w:trHeight w:val="300"/>
        </w:trPr>
        <w:tc>
          <w:tcPr>
            <w:tcW w:w="968"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0.2</w:t>
            </w:r>
          </w:p>
        </w:tc>
        <w:tc>
          <w:tcPr>
            <w:tcW w:w="1054"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10000</w:t>
            </w:r>
          </w:p>
        </w:tc>
        <w:tc>
          <w:tcPr>
            <w:tcW w:w="921" w:type="dxa"/>
            <w:tcBorders>
              <w:top w:val="nil"/>
              <w:left w:val="nil"/>
              <w:bottom w:val="nil"/>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0.37</w:t>
            </w:r>
          </w:p>
        </w:tc>
        <w:tc>
          <w:tcPr>
            <w:tcW w:w="921" w:type="dxa"/>
            <w:tcBorders>
              <w:top w:val="nil"/>
              <w:left w:val="nil"/>
              <w:bottom w:val="nil"/>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0.44</w:t>
            </w:r>
          </w:p>
        </w:tc>
        <w:tc>
          <w:tcPr>
            <w:tcW w:w="976" w:type="dxa"/>
            <w:tcBorders>
              <w:top w:val="nil"/>
              <w:left w:val="nil"/>
              <w:bottom w:val="nil"/>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0.49</w:t>
            </w:r>
          </w:p>
        </w:tc>
        <w:tc>
          <w:tcPr>
            <w:tcW w:w="976"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0.43</w:t>
            </w:r>
          </w:p>
        </w:tc>
        <w:tc>
          <w:tcPr>
            <w:tcW w:w="976" w:type="dxa"/>
            <w:tcBorders>
              <w:top w:val="nil"/>
              <w:left w:val="nil"/>
              <w:bottom w:val="nil"/>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b/>
                <w:bCs/>
                <w:i/>
                <w:iCs/>
                <w:sz w:val="20"/>
                <w:szCs w:val="20"/>
              </w:rPr>
            </w:pPr>
            <w:r w:rsidRPr="00F42035">
              <w:rPr>
                <w:rFonts w:ascii="Arial" w:eastAsia="Times New Roman" w:hAnsi="Arial" w:cs="Arial"/>
                <w:b/>
                <w:bCs/>
                <w:i/>
                <w:iCs/>
                <w:sz w:val="20"/>
                <w:szCs w:val="20"/>
              </w:rPr>
              <w:t>0.14</w:t>
            </w:r>
          </w:p>
        </w:tc>
      </w:tr>
      <w:tr w:rsidR="00E44303" w:rsidRPr="00F42035" w:rsidTr="00B815DF">
        <w:trPr>
          <w:trHeight w:val="300"/>
        </w:trPr>
        <w:tc>
          <w:tcPr>
            <w:tcW w:w="968"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0.2</w:t>
            </w:r>
          </w:p>
        </w:tc>
        <w:tc>
          <w:tcPr>
            <w:tcW w:w="1054"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12000</w:t>
            </w:r>
          </w:p>
        </w:tc>
        <w:tc>
          <w:tcPr>
            <w:tcW w:w="921" w:type="dxa"/>
            <w:tcBorders>
              <w:top w:val="nil"/>
              <w:left w:val="nil"/>
              <w:bottom w:val="single" w:sz="4" w:space="0" w:color="auto"/>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0.34</w:t>
            </w:r>
          </w:p>
        </w:tc>
        <w:tc>
          <w:tcPr>
            <w:tcW w:w="921" w:type="dxa"/>
            <w:tcBorders>
              <w:top w:val="nil"/>
              <w:left w:val="nil"/>
              <w:bottom w:val="single" w:sz="4" w:space="0" w:color="auto"/>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0.42</w:t>
            </w:r>
          </w:p>
        </w:tc>
        <w:tc>
          <w:tcPr>
            <w:tcW w:w="976" w:type="dxa"/>
            <w:tcBorders>
              <w:top w:val="nil"/>
              <w:left w:val="nil"/>
              <w:bottom w:val="single" w:sz="4" w:space="0" w:color="auto"/>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0.48</w:t>
            </w:r>
          </w:p>
        </w:tc>
        <w:tc>
          <w:tcPr>
            <w:tcW w:w="976" w:type="dxa"/>
            <w:tcBorders>
              <w:top w:val="nil"/>
              <w:left w:val="nil"/>
              <w:bottom w:val="single" w:sz="4" w:space="0" w:color="auto"/>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0.42</w:t>
            </w:r>
          </w:p>
        </w:tc>
        <w:tc>
          <w:tcPr>
            <w:tcW w:w="976" w:type="dxa"/>
            <w:tcBorders>
              <w:top w:val="nil"/>
              <w:left w:val="nil"/>
              <w:bottom w:val="single" w:sz="4" w:space="0" w:color="auto"/>
              <w:right w:val="nil"/>
            </w:tcBorders>
            <w:shd w:val="clear" w:color="000000" w:fill="FFFFF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0.14</w:t>
            </w:r>
          </w:p>
        </w:tc>
      </w:tr>
      <w:tr w:rsidR="00E44303" w:rsidRPr="00F42035" w:rsidTr="00B815DF">
        <w:trPr>
          <w:trHeight w:val="300"/>
        </w:trPr>
        <w:tc>
          <w:tcPr>
            <w:tcW w:w="968"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rPr>
                <w:rFonts w:ascii="Calibri" w:eastAsia="Times New Roman" w:hAnsi="Calibri" w:cs="Times New Roman"/>
                <w:color w:val="000000"/>
              </w:rPr>
            </w:pPr>
          </w:p>
        </w:tc>
        <w:tc>
          <w:tcPr>
            <w:tcW w:w="1054"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rPr>
                <w:rFonts w:ascii="Calibri" w:eastAsia="Times New Roman" w:hAnsi="Calibri" w:cs="Times New Roman"/>
                <w:color w:val="000000"/>
              </w:rPr>
            </w:pPr>
          </w:p>
        </w:tc>
        <w:tc>
          <w:tcPr>
            <w:tcW w:w="921"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rPr>
                <w:rFonts w:ascii="Calibri" w:eastAsia="Times New Roman" w:hAnsi="Calibri" w:cs="Times New Roman"/>
                <w:color w:val="000000"/>
              </w:rPr>
            </w:pPr>
          </w:p>
        </w:tc>
        <w:tc>
          <w:tcPr>
            <w:tcW w:w="921"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rPr>
                <w:rFonts w:ascii="Calibri" w:eastAsia="Times New Roman" w:hAnsi="Calibri" w:cs="Times New Roman"/>
                <w:color w:val="000000"/>
              </w:rPr>
            </w:pPr>
          </w:p>
        </w:tc>
      </w:tr>
      <w:tr w:rsidR="00E44303" w:rsidRPr="00F42035" w:rsidTr="00B815DF">
        <w:trPr>
          <w:trHeight w:val="300"/>
        </w:trPr>
        <w:tc>
          <w:tcPr>
            <w:tcW w:w="968"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rPr>
                <w:rFonts w:ascii="Calibri" w:eastAsia="Times New Roman" w:hAnsi="Calibri" w:cs="Times New Roman"/>
                <w:color w:val="000000"/>
              </w:rPr>
            </w:pPr>
            <w:r w:rsidRPr="00F42035">
              <w:rPr>
                <w:rFonts w:ascii="Calibri" w:eastAsia="Times New Roman" w:hAnsi="Calibri" w:cs="Times New Roman"/>
                <w:color w:val="000000"/>
              </w:rPr>
              <w:t> </w:t>
            </w:r>
          </w:p>
        </w:tc>
        <w:tc>
          <w:tcPr>
            <w:tcW w:w="2896" w:type="dxa"/>
            <w:gridSpan w:val="3"/>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rPr>
                <w:rFonts w:ascii="Calibri" w:eastAsia="Times New Roman" w:hAnsi="Calibri" w:cs="Times New Roman"/>
                <w:color w:val="000000"/>
              </w:rPr>
            </w:pPr>
            <w:r w:rsidRPr="00F42035">
              <w:rPr>
                <w:rFonts w:ascii="Calibri" w:eastAsia="Times New Roman" w:hAnsi="Calibri" w:cs="Times New Roman"/>
                <w:color w:val="000000"/>
              </w:rPr>
              <w:t>Residential Value 0.0</w:t>
            </w:r>
          </w:p>
        </w:tc>
        <w:tc>
          <w:tcPr>
            <w:tcW w:w="976"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rPr>
                <w:rFonts w:ascii="Calibri" w:eastAsia="Times New Roman" w:hAnsi="Calibri" w:cs="Times New Roman"/>
                <w:color w:val="000000"/>
              </w:rPr>
            </w:pPr>
            <w:r w:rsidRPr="00F42035">
              <w:rPr>
                <w:rFonts w:ascii="Calibri" w:eastAsia="Times New Roman" w:hAnsi="Calibri" w:cs="Times New Roman"/>
                <w:color w:val="000000"/>
              </w:rPr>
              <w:t> </w:t>
            </w:r>
          </w:p>
        </w:tc>
        <w:tc>
          <w:tcPr>
            <w:tcW w:w="976"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rPr>
                <w:rFonts w:ascii="Calibri" w:eastAsia="Times New Roman" w:hAnsi="Calibri" w:cs="Times New Roman"/>
                <w:color w:val="000000"/>
              </w:rPr>
            </w:pPr>
            <w:r w:rsidRPr="00F42035">
              <w:rPr>
                <w:rFonts w:ascii="Calibri" w:eastAsia="Times New Roman" w:hAnsi="Calibri" w:cs="Times New Roman"/>
                <w:color w:val="000000"/>
              </w:rPr>
              <w:t> </w:t>
            </w:r>
          </w:p>
        </w:tc>
        <w:tc>
          <w:tcPr>
            <w:tcW w:w="976"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rPr>
                <w:rFonts w:ascii="Calibri" w:eastAsia="Times New Roman" w:hAnsi="Calibri" w:cs="Times New Roman"/>
                <w:color w:val="000000"/>
              </w:rPr>
            </w:pPr>
            <w:r w:rsidRPr="00F42035">
              <w:rPr>
                <w:rFonts w:ascii="Calibri" w:eastAsia="Times New Roman" w:hAnsi="Calibri" w:cs="Times New Roman"/>
                <w:color w:val="000000"/>
              </w:rPr>
              <w:t> </w:t>
            </w:r>
          </w:p>
        </w:tc>
      </w:tr>
      <w:tr w:rsidR="00E44303" w:rsidRPr="00F42035" w:rsidTr="00B815DF">
        <w:trPr>
          <w:trHeight w:val="300"/>
        </w:trPr>
        <w:tc>
          <w:tcPr>
            <w:tcW w:w="968"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0.0</w:t>
            </w:r>
          </w:p>
        </w:tc>
        <w:tc>
          <w:tcPr>
            <w:tcW w:w="1054"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4000</w:t>
            </w:r>
          </w:p>
        </w:tc>
        <w:tc>
          <w:tcPr>
            <w:tcW w:w="921"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0.45</w:t>
            </w:r>
          </w:p>
        </w:tc>
        <w:tc>
          <w:tcPr>
            <w:tcW w:w="921"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0.45</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0.40</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0.23</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0.02</w:t>
            </w:r>
          </w:p>
        </w:tc>
      </w:tr>
      <w:tr w:rsidR="00E44303" w:rsidRPr="00F42035" w:rsidTr="00B815DF">
        <w:trPr>
          <w:trHeight w:val="300"/>
        </w:trPr>
        <w:tc>
          <w:tcPr>
            <w:tcW w:w="968"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0.0</w:t>
            </w:r>
          </w:p>
        </w:tc>
        <w:tc>
          <w:tcPr>
            <w:tcW w:w="1054"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6000</w:t>
            </w:r>
          </w:p>
        </w:tc>
        <w:tc>
          <w:tcPr>
            <w:tcW w:w="921"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Arial" w:eastAsia="Times New Roman" w:hAnsi="Arial" w:cs="Arial"/>
                <w:b/>
                <w:bCs/>
                <w:i/>
                <w:iCs/>
                <w:sz w:val="20"/>
                <w:szCs w:val="20"/>
              </w:rPr>
            </w:pPr>
            <w:r w:rsidRPr="00F42035">
              <w:rPr>
                <w:rFonts w:ascii="Arial" w:eastAsia="Times New Roman" w:hAnsi="Arial" w:cs="Arial"/>
                <w:b/>
                <w:bCs/>
                <w:i/>
                <w:iCs/>
                <w:sz w:val="20"/>
                <w:szCs w:val="20"/>
              </w:rPr>
              <w:t>0.65</w:t>
            </w:r>
          </w:p>
        </w:tc>
        <w:tc>
          <w:tcPr>
            <w:tcW w:w="921"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0.66</w:t>
            </w:r>
          </w:p>
        </w:tc>
        <w:tc>
          <w:tcPr>
            <w:tcW w:w="976"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0.60</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0.34</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0.03</w:t>
            </w:r>
          </w:p>
        </w:tc>
      </w:tr>
      <w:tr w:rsidR="00E44303" w:rsidRPr="00F42035" w:rsidTr="00B815DF">
        <w:trPr>
          <w:trHeight w:val="300"/>
        </w:trPr>
        <w:tc>
          <w:tcPr>
            <w:tcW w:w="968"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0.0</w:t>
            </w:r>
          </w:p>
        </w:tc>
        <w:tc>
          <w:tcPr>
            <w:tcW w:w="1054"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7000</w:t>
            </w:r>
          </w:p>
        </w:tc>
        <w:tc>
          <w:tcPr>
            <w:tcW w:w="921"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Arial" w:eastAsia="Times New Roman" w:hAnsi="Arial" w:cs="Arial"/>
                <w:b/>
                <w:bCs/>
                <w:sz w:val="20"/>
                <w:szCs w:val="20"/>
              </w:rPr>
            </w:pPr>
            <w:r w:rsidRPr="00F42035">
              <w:rPr>
                <w:rFonts w:ascii="Arial" w:eastAsia="Times New Roman" w:hAnsi="Arial" w:cs="Arial"/>
                <w:b/>
                <w:bCs/>
                <w:sz w:val="20"/>
                <w:szCs w:val="20"/>
              </w:rPr>
              <w:t>0.65</w:t>
            </w:r>
          </w:p>
        </w:tc>
        <w:tc>
          <w:tcPr>
            <w:tcW w:w="921"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Arial" w:eastAsia="Times New Roman" w:hAnsi="Arial" w:cs="Arial"/>
                <w:b/>
                <w:bCs/>
                <w:i/>
                <w:iCs/>
                <w:sz w:val="20"/>
                <w:szCs w:val="20"/>
              </w:rPr>
            </w:pPr>
            <w:r w:rsidRPr="00F42035">
              <w:rPr>
                <w:rFonts w:ascii="Arial" w:eastAsia="Times New Roman" w:hAnsi="Arial" w:cs="Arial"/>
                <w:b/>
                <w:bCs/>
                <w:i/>
                <w:iCs/>
                <w:sz w:val="20"/>
                <w:szCs w:val="20"/>
              </w:rPr>
              <w:t>0.68</w:t>
            </w:r>
          </w:p>
        </w:tc>
        <w:tc>
          <w:tcPr>
            <w:tcW w:w="976"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Arial" w:eastAsia="Times New Roman" w:hAnsi="Arial" w:cs="Arial"/>
                <w:b/>
                <w:bCs/>
                <w:i/>
                <w:iCs/>
                <w:sz w:val="20"/>
                <w:szCs w:val="20"/>
              </w:rPr>
            </w:pPr>
            <w:r w:rsidRPr="00F42035">
              <w:rPr>
                <w:rFonts w:ascii="Arial" w:eastAsia="Times New Roman" w:hAnsi="Arial" w:cs="Arial"/>
                <w:b/>
                <w:bCs/>
                <w:i/>
                <w:iCs/>
                <w:sz w:val="20"/>
                <w:szCs w:val="20"/>
              </w:rPr>
              <w:t>0.65</w:t>
            </w:r>
          </w:p>
        </w:tc>
        <w:tc>
          <w:tcPr>
            <w:tcW w:w="976"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0.41</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0.06</w:t>
            </w:r>
          </w:p>
        </w:tc>
      </w:tr>
      <w:tr w:rsidR="00E44303" w:rsidRPr="00F42035" w:rsidTr="00B815DF">
        <w:trPr>
          <w:trHeight w:val="300"/>
        </w:trPr>
        <w:tc>
          <w:tcPr>
            <w:tcW w:w="968"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0.0</w:t>
            </w:r>
          </w:p>
        </w:tc>
        <w:tc>
          <w:tcPr>
            <w:tcW w:w="1054"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8000</w:t>
            </w:r>
          </w:p>
        </w:tc>
        <w:tc>
          <w:tcPr>
            <w:tcW w:w="921"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0.52</w:t>
            </w:r>
          </w:p>
        </w:tc>
        <w:tc>
          <w:tcPr>
            <w:tcW w:w="921"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0.58</w:t>
            </w:r>
          </w:p>
        </w:tc>
        <w:tc>
          <w:tcPr>
            <w:tcW w:w="976"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0.60</w:t>
            </w:r>
          </w:p>
        </w:tc>
        <w:tc>
          <w:tcPr>
            <w:tcW w:w="976"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Arial" w:eastAsia="Times New Roman" w:hAnsi="Arial" w:cs="Arial"/>
                <w:b/>
                <w:bCs/>
                <w:i/>
                <w:iCs/>
                <w:sz w:val="20"/>
                <w:szCs w:val="20"/>
              </w:rPr>
            </w:pPr>
            <w:r w:rsidRPr="00F42035">
              <w:rPr>
                <w:rFonts w:ascii="Arial" w:eastAsia="Times New Roman" w:hAnsi="Arial" w:cs="Arial"/>
                <w:b/>
                <w:bCs/>
                <w:i/>
                <w:iCs/>
                <w:sz w:val="20"/>
                <w:szCs w:val="20"/>
              </w:rPr>
              <w:t>0.45</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0.10</w:t>
            </w:r>
          </w:p>
        </w:tc>
      </w:tr>
      <w:tr w:rsidR="00E44303" w:rsidRPr="00F42035" w:rsidTr="00B815DF">
        <w:trPr>
          <w:trHeight w:val="300"/>
        </w:trPr>
        <w:tc>
          <w:tcPr>
            <w:tcW w:w="968"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0.0</w:t>
            </w:r>
          </w:p>
        </w:tc>
        <w:tc>
          <w:tcPr>
            <w:tcW w:w="1054"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10000</w:t>
            </w:r>
          </w:p>
        </w:tc>
        <w:tc>
          <w:tcPr>
            <w:tcW w:w="921"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0.38</w:t>
            </w:r>
          </w:p>
        </w:tc>
        <w:tc>
          <w:tcPr>
            <w:tcW w:w="921"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0.44</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0.48</w:t>
            </w:r>
          </w:p>
        </w:tc>
        <w:tc>
          <w:tcPr>
            <w:tcW w:w="976" w:type="dxa"/>
            <w:tcBorders>
              <w:top w:val="nil"/>
              <w:left w:val="nil"/>
              <w:bottom w:val="nil"/>
              <w:right w:val="nil"/>
            </w:tcBorders>
            <w:shd w:val="clear" w:color="000000" w:fill="BFBFBF"/>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0.41</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b/>
                <w:bCs/>
                <w:i/>
                <w:iCs/>
                <w:sz w:val="20"/>
                <w:szCs w:val="20"/>
              </w:rPr>
            </w:pPr>
            <w:r w:rsidRPr="00F42035">
              <w:rPr>
                <w:rFonts w:ascii="Arial" w:eastAsia="Times New Roman" w:hAnsi="Arial" w:cs="Arial"/>
                <w:b/>
                <w:bCs/>
                <w:i/>
                <w:iCs/>
                <w:sz w:val="20"/>
                <w:szCs w:val="20"/>
              </w:rPr>
              <w:t>0.14</w:t>
            </w:r>
          </w:p>
        </w:tc>
      </w:tr>
      <w:tr w:rsidR="00E44303" w:rsidRPr="00F42035" w:rsidTr="00B815DF">
        <w:trPr>
          <w:trHeight w:val="300"/>
        </w:trPr>
        <w:tc>
          <w:tcPr>
            <w:tcW w:w="968"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0.0</w:t>
            </w:r>
          </w:p>
        </w:tc>
        <w:tc>
          <w:tcPr>
            <w:tcW w:w="1054"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12000</w:t>
            </w:r>
          </w:p>
        </w:tc>
        <w:tc>
          <w:tcPr>
            <w:tcW w:w="921"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0.33</w:t>
            </w:r>
          </w:p>
        </w:tc>
        <w:tc>
          <w:tcPr>
            <w:tcW w:w="921"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0.40</w:t>
            </w:r>
          </w:p>
        </w:tc>
        <w:tc>
          <w:tcPr>
            <w:tcW w:w="976"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0.46</w:t>
            </w:r>
          </w:p>
        </w:tc>
        <w:tc>
          <w:tcPr>
            <w:tcW w:w="976"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0.40</w:t>
            </w:r>
          </w:p>
        </w:tc>
        <w:tc>
          <w:tcPr>
            <w:tcW w:w="976"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0.14</w:t>
            </w:r>
          </w:p>
        </w:tc>
      </w:tr>
    </w:tbl>
    <w:p w:rsidR="00E44303" w:rsidRDefault="00E44303" w:rsidP="00E44303">
      <w:pPr>
        <w:rPr>
          <w:sz w:val="24"/>
          <w:szCs w:val="24"/>
        </w:rPr>
      </w:pPr>
    </w:p>
    <w:p w:rsidR="00E44303" w:rsidRDefault="00E44303" w:rsidP="00E44303">
      <w:pPr>
        <w:rPr>
          <w:sz w:val="24"/>
          <w:szCs w:val="24"/>
        </w:rPr>
      </w:pPr>
    </w:p>
    <w:p w:rsidR="00E44303" w:rsidRDefault="00E44303" w:rsidP="00E44303">
      <w:pPr>
        <w:rPr>
          <w:sz w:val="24"/>
          <w:szCs w:val="24"/>
        </w:rPr>
      </w:pPr>
      <w:r>
        <w:rPr>
          <w:sz w:val="24"/>
          <w:szCs w:val="24"/>
        </w:rPr>
        <w:br w:type="page"/>
      </w:r>
    </w:p>
    <w:p w:rsidR="00E44303" w:rsidRDefault="00E44303" w:rsidP="00E44303">
      <w:pPr>
        <w:rPr>
          <w:sz w:val="24"/>
          <w:szCs w:val="24"/>
        </w:rPr>
      </w:pPr>
      <w:r>
        <w:rPr>
          <w:sz w:val="24"/>
          <w:szCs w:val="24"/>
        </w:rPr>
        <w:lastRenderedPageBreak/>
        <w:t xml:space="preserve">Table 5. </w:t>
      </w:r>
      <w:r w:rsidRPr="00C63D50">
        <w:rPr>
          <w:sz w:val="24"/>
          <w:szCs w:val="24"/>
        </w:rPr>
        <w:t xml:space="preserve">Correlation coefficients for gravestone decay and land use for each </w:t>
      </w:r>
      <w:r>
        <w:rPr>
          <w:sz w:val="24"/>
          <w:szCs w:val="24"/>
        </w:rPr>
        <w:t>directional search window. Maximum values in bold/italic with near maximum values in grey.</w:t>
      </w:r>
    </w:p>
    <w:tbl>
      <w:tblPr>
        <w:tblW w:w="5856" w:type="dxa"/>
        <w:tblInd w:w="108" w:type="dxa"/>
        <w:tblLook w:val="04A0" w:firstRow="1" w:lastRow="0" w:firstColumn="1" w:lastColumn="0" w:noHBand="0" w:noVBand="1"/>
      </w:tblPr>
      <w:tblGrid>
        <w:gridCol w:w="976"/>
        <w:gridCol w:w="976"/>
        <w:gridCol w:w="976"/>
        <w:gridCol w:w="976"/>
        <w:gridCol w:w="976"/>
        <w:gridCol w:w="976"/>
      </w:tblGrid>
      <w:tr w:rsidR="00E44303" w:rsidRPr="00F42035" w:rsidTr="00B815DF">
        <w:trPr>
          <w:trHeight w:val="300"/>
        </w:trPr>
        <w:tc>
          <w:tcPr>
            <w:tcW w:w="976"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Azimuth</w:t>
            </w:r>
          </w:p>
        </w:tc>
        <w:tc>
          <w:tcPr>
            <w:tcW w:w="976"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1960s</w:t>
            </w:r>
          </w:p>
        </w:tc>
        <w:tc>
          <w:tcPr>
            <w:tcW w:w="976"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1970s</w:t>
            </w:r>
          </w:p>
        </w:tc>
        <w:tc>
          <w:tcPr>
            <w:tcW w:w="976"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1980s</w:t>
            </w:r>
          </w:p>
        </w:tc>
        <w:tc>
          <w:tcPr>
            <w:tcW w:w="976"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1990s</w:t>
            </w:r>
          </w:p>
        </w:tc>
        <w:tc>
          <w:tcPr>
            <w:tcW w:w="976"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2000s</w:t>
            </w:r>
          </w:p>
        </w:tc>
      </w:tr>
      <w:tr w:rsidR="00E44303" w:rsidRPr="00F42035" w:rsidTr="00AC7D14">
        <w:trPr>
          <w:trHeight w:val="300"/>
        </w:trPr>
        <w:tc>
          <w:tcPr>
            <w:tcW w:w="976" w:type="dxa"/>
            <w:tcBorders>
              <w:top w:val="nil"/>
              <w:left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p>
        </w:tc>
        <w:tc>
          <w:tcPr>
            <w:tcW w:w="976" w:type="dxa"/>
            <w:tcBorders>
              <w:top w:val="nil"/>
              <w:left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p>
        </w:tc>
        <w:tc>
          <w:tcPr>
            <w:tcW w:w="976" w:type="dxa"/>
            <w:tcBorders>
              <w:top w:val="nil"/>
              <w:left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p>
        </w:tc>
        <w:tc>
          <w:tcPr>
            <w:tcW w:w="976" w:type="dxa"/>
            <w:tcBorders>
              <w:top w:val="nil"/>
              <w:left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p>
        </w:tc>
        <w:tc>
          <w:tcPr>
            <w:tcW w:w="976" w:type="dxa"/>
            <w:tcBorders>
              <w:top w:val="nil"/>
              <w:left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p>
        </w:tc>
        <w:tc>
          <w:tcPr>
            <w:tcW w:w="976" w:type="dxa"/>
            <w:tcBorders>
              <w:top w:val="nil"/>
              <w:left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p>
        </w:tc>
      </w:tr>
      <w:tr w:rsidR="00E44303" w:rsidRPr="00F42035" w:rsidTr="00B815DF">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0.01</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0.02</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0.05</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0.12</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0.14</w:t>
            </w:r>
          </w:p>
        </w:tc>
      </w:tr>
      <w:tr w:rsidR="00E44303" w:rsidRPr="00F42035" w:rsidTr="00B815DF">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45</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0.00</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0.00</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0.00</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0.01</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0.05</w:t>
            </w:r>
          </w:p>
        </w:tc>
      </w:tr>
      <w:tr w:rsidR="00E44303" w:rsidRPr="00F42035" w:rsidTr="00B815DF">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90</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0.13</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0.14</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0.14</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0.12</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0.04</w:t>
            </w:r>
          </w:p>
        </w:tc>
      </w:tr>
      <w:tr w:rsidR="00E44303" w:rsidRPr="00F42035" w:rsidTr="00B815DF">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135</w:t>
            </w:r>
          </w:p>
        </w:tc>
        <w:tc>
          <w:tcPr>
            <w:tcW w:w="976" w:type="dxa"/>
            <w:tcBorders>
              <w:top w:val="nil"/>
              <w:left w:val="nil"/>
              <w:bottom w:val="nil"/>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b/>
                <w:bCs/>
                <w:i/>
                <w:iCs/>
                <w:color w:val="000000"/>
              </w:rPr>
            </w:pPr>
            <w:r w:rsidRPr="00F42035">
              <w:rPr>
                <w:rFonts w:ascii="Calibri" w:eastAsia="Times New Roman" w:hAnsi="Calibri" w:cs="Times New Roman"/>
                <w:b/>
                <w:bCs/>
                <w:i/>
                <w:iCs/>
                <w:color w:val="000000"/>
              </w:rPr>
              <w:t>0.39</w:t>
            </w:r>
          </w:p>
        </w:tc>
        <w:tc>
          <w:tcPr>
            <w:tcW w:w="976" w:type="dxa"/>
            <w:tcBorders>
              <w:top w:val="nil"/>
              <w:left w:val="nil"/>
              <w:bottom w:val="nil"/>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0.38</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0.33</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0.16</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0.00</w:t>
            </w:r>
          </w:p>
        </w:tc>
      </w:tr>
      <w:tr w:rsidR="00E44303" w:rsidRPr="00F42035" w:rsidTr="00B815DF">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180</w:t>
            </w:r>
          </w:p>
        </w:tc>
        <w:tc>
          <w:tcPr>
            <w:tcW w:w="976" w:type="dxa"/>
            <w:tcBorders>
              <w:top w:val="nil"/>
              <w:left w:val="nil"/>
              <w:bottom w:val="nil"/>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0.33</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0.26</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0.14</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0.01</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0.06</w:t>
            </w:r>
          </w:p>
        </w:tc>
      </w:tr>
      <w:tr w:rsidR="00E44303" w:rsidRPr="00F42035" w:rsidTr="00B815DF">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225</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0.31</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0.27</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0.18</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0.03</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0.03</w:t>
            </w:r>
          </w:p>
        </w:tc>
      </w:tr>
      <w:tr w:rsidR="00E44303" w:rsidRPr="00F42035" w:rsidTr="00B815DF">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270</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0.32</w:t>
            </w:r>
          </w:p>
        </w:tc>
        <w:tc>
          <w:tcPr>
            <w:tcW w:w="976" w:type="dxa"/>
            <w:tcBorders>
              <w:top w:val="nil"/>
              <w:left w:val="nil"/>
              <w:bottom w:val="nil"/>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b/>
                <w:bCs/>
                <w:i/>
                <w:iCs/>
                <w:color w:val="000000"/>
              </w:rPr>
            </w:pPr>
            <w:r w:rsidRPr="00F42035">
              <w:rPr>
                <w:rFonts w:ascii="Calibri" w:eastAsia="Times New Roman" w:hAnsi="Calibri" w:cs="Times New Roman"/>
                <w:b/>
                <w:bCs/>
                <w:i/>
                <w:iCs/>
                <w:color w:val="000000"/>
              </w:rPr>
              <w:t>0.39</w:t>
            </w:r>
          </w:p>
        </w:tc>
        <w:tc>
          <w:tcPr>
            <w:tcW w:w="976" w:type="dxa"/>
            <w:tcBorders>
              <w:top w:val="nil"/>
              <w:left w:val="nil"/>
              <w:bottom w:val="nil"/>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b/>
                <w:bCs/>
                <w:i/>
                <w:iCs/>
                <w:color w:val="000000"/>
              </w:rPr>
            </w:pPr>
            <w:r w:rsidRPr="00F42035">
              <w:rPr>
                <w:rFonts w:ascii="Calibri" w:eastAsia="Times New Roman" w:hAnsi="Calibri" w:cs="Times New Roman"/>
                <w:b/>
                <w:bCs/>
                <w:i/>
                <w:iCs/>
                <w:color w:val="000000"/>
              </w:rPr>
              <w:t>0.44</w:t>
            </w:r>
          </w:p>
        </w:tc>
        <w:tc>
          <w:tcPr>
            <w:tcW w:w="976" w:type="dxa"/>
            <w:tcBorders>
              <w:top w:val="nil"/>
              <w:left w:val="nil"/>
              <w:bottom w:val="nil"/>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0.34</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0.06</w:t>
            </w:r>
          </w:p>
        </w:tc>
      </w:tr>
      <w:tr w:rsidR="00E44303" w:rsidRPr="00F42035" w:rsidTr="00B815DF">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315</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0.15</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0.23</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0.33</w:t>
            </w:r>
          </w:p>
        </w:tc>
        <w:tc>
          <w:tcPr>
            <w:tcW w:w="976" w:type="dxa"/>
            <w:tcBorders>
              <w:top w:val="nil"/>
              <w:left w:val="nil"/>
              <w:bottom w:val="nil"/>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b/>
                <w:bCs/>
                <w:i/>
                <w:iCs/>
                <w:color w:val="000000"/>
              </w:rPr>
            </w:pPr>
            <w:r w:rsidRPr="00F42035">
              <w:rPr>
                <w:rFonts w:ascii="Calibri" w:eastAsia="Times New Roman" w:hAnsi="Calibri" w:cs="Times New Roman"/>
                <w:b/>
                <w:bCs/>
                <w:i/>
                <w:iCs/>
                <w:color w:val="000000"/>
              </w:rPr>
              <w:t>0.39</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0.19</w:t>
            </w:r>
          </w:p>
        </w:tc>
      </w:tr>
      <w:tr w:rsidR="00E44303" w:rsidRPr="00F42035" w:rsidTr="00B815DF">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p>
        </w:tc>
      </w:tr>
      <w:tr w:rsidR="00E44303" w:rsidRPr="00F42035" w:rsidTr="00B815DF">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0.10</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0.16</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0.26</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0.33</w:t>
            </w:r>
          </w:p>
        </w:tc>
        <w:tc>
          <w:tcPr>
            <w:tcW w:w="976" w:type="dxa"/>
            <w:tcBorders>
              <w:top w:val="nil"/>
              <w:left w:val="nil"/>
              <w:bottom w:val="nil"/>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b/>
                <w:bCs/>
                <w:i/>
                <w:iCs/>
                <w:color w:val="000000"/>
              </w:rPr>
            </w:pPr>
            <w:r w:rsidRPr="00F42035">
              <w:rPr>
                <w:rFonts w:ascii="Calibri" w:eastAsia="Times New Roman" w:hAnsi="Calibri" w:cs="Times New Roman"/>
                <w:b/>
                <w:bCs/>
                <w:i/>
                <w:iCs/>
                <w:color w:val="000000"/>
              </w:rPr>
              <w:t>0.20</w:t>
            </w:r>
          </w:p>
        </w:tc>
      </w:tr>
      <w:tr w:rsidR="00E44303" w:rsidRPr="00F42035" w:rsidTr="00B815DF">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45</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0.00</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0.00</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0.01</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0.04</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0.09</w:t>
            </w:r>
          </w:p>
        </w:tc>
      </w:tr>
      <w:tr w:rsidR="00E44303" w:rsidRPr="00F42035" w:rsidTr="00B815DF">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135</w:t>
            </w:r>
          </w:p>
        </w:tc>
        <w:tc>
          <w:tcPr>
            <w:tcW w:w="976" w:type="dxa"/>
            <w:tcBorders>
              <w:top w:val="nil"/>
              <w:left w:val="nil"/>
              <w:bottom w:val="nil"/>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b/>
                <w:bCs/>
                <w:i/>
                <w:iCs/>
                <w:color w:val="000000"/>
              </w:rPr>
            </w:pPr>
            <w:r w:rsidRPr="00F42035">
              <w:rPr>
                <w:rFonts w:ascii="Calibri" w:eastAsia="Times New Roman" w:hAnsi="Calibri" w:cs="Times New Roman"/>
                <w:b/>
                <w:bCs/>
                <w:i/>
                <w:iCs/>
                <w:color w:val="000000"/>
              </w:rPr>
              <w:t>0.45</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0.41</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0.29</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0.09</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0.01</w:t>
            </w:r>
          </w:p>
        </w:tc>
      </w:tr>
      <w:tr w:rsidR="00E44303" w:rsidRPr="00F42035" w:rsidTr="00B815DF">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135</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0.15</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0.15</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0.14</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0.11</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0.03</w:t>
            </w:r>
          </w:p>
        </w:tc>
      </w:tr>
      <w:tr w:rsidR="00E44303" w:rsidRPr="00F42035" w:rsidTr="00B815DF">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225</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0.31</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0.27</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0.18</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0.03</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0.03</w:t>
            </w:r>
          </w:p>
        </w:tc>
      </w:tr>
      <w:tr w:rsidR="00E44303" w:rsidRPr="00F42035" w:rsidTr="00B815DF">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270</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0.36</w:t>
            </w:r>
          </w:p>
        </w:tc>
        <w:tc>
          <w:tcPr>
            <w:tcW w:w="976" w:type="dxa"/>
            <w:tcBorders>
              <w:top w:val="nil"/>
              <w:left w:val="nil"/>
              <w:bottom w:val="nil"/>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b/>
                <w:bCs/>
                <w:i/>
                <w:iCs/>
                <w:color w:val="000000"/>
              </w:rPr>
            </w:pPr>
            <w:r w:rsidRPr="00F42035">
              <w:rPr>
                <w:rFonts w:ascii="Calibri" w:eastAsia="Times New Roman" w:hAnsi="Calibri" w:cs="Times New Roman"/>
                <w:b/>
                <w:bCs/>
                <w:i/>
                <w:iCs/>
                <w:color w:val="000000"/>
              </w:rPr>
              <w:t>0.44</w:t>
            </w:r>
          </w:p>
        </w:tc>
        <w:tc>
          <w:tcPr>
            <w:tcW w:w="976" w:type="dxa"/>
            <w:tcBorders>
              <w:top w:val="nil"/>
              <w:left w:val="nil"/>
              <w:bottom w:val="nil"/>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b/>
                <w:bCs/>
                <w:i/>
                <w:iCs/>
                <w:color w:val="000000"/>
              </w:rPr>
            </w:pPr>
            <w:r w:rsidRPr="00F42035">
              <w:rPr>
                <w:rFonts w:ascii="Calibri" w:eastAsia="Times New Roman" w:hAnsi="Calibri" w:cs="Times New Roman"/>
                <w:b/>
                <w:bCs/>
                <w:i/>
                <w:iCs/>
                <w:color w:val="000000"/>
              </w:rPr>
              <w:t>0.51</w:t>
            </w:r>
          </w:p>
        </w:tc>
        <w:tc>
          <w:tcPr>
            <w:tcW w:w="976" w:type="dxa"/>
            <w:tcBorders>
              <w:top w:val="nil"/>
              <w:left w:val="nil"/>
              <w:bottom w:val="nil"/>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b/>
                <w:bCs/>
                <w:i/>
                <w:iCs/>
                <w:color w:val="000000"/>
              </w:rPr>
            </w:pPr>
            <w:r w:rsidRPr="00F42035">
              <w:rPr>
                <w:rFonts w:ascii="Calibri" w:eastAsia="Times New Roman" w:hAnsi="Calibri" w:cs="Times New Roman"/>
                <w:b/>
                <w:bCs/>
                <w:i/>
                <w:iCs/>
                <w:color w:val="000000"/>
              </w:rPr>
              <w:t>0.41</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0.09</w:t>
            </w:r>
          </w:p>
        </w:tc>
      </w:tr>
      <w:tr w:rsidR="00E44303" w:rsidRPr="00F42035" w:rsidTr="00B815DF">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p>
        </w:tc>
      </w:tr>
      <w:tr w:rsidR="00E44303" w:rsidRPr="00F42035" w:rsidTr="00B815DF">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0</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0.08</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0.12</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0.19</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0.27</w:t>
            </w:r>
          </w:p>
        </w:tc>
        <w:tc>
          <w:tcPr>
            <w:tcW w:w="976" w:type="dxa"/>
            <w:tcBorders>
              <w:top w:val="nil"/>
              <w:left w:val="nil"/>
              <w:bottom w:val="nil"/>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b/>
                <w:bCs/>
                <w:i/>
                <w:iCs/>
                <w:color w:val="000000"/>
              </w:rPr>
            </w:pPr>
            <w:r w:rsidRPr="00F42035">
              <w:rPr>
                <w:rFonts w:ascii="Calibri" w:eastAsia="Times New Roman" w:hAnsi="Calibri" w:cs="Times New Roman"/>
                <w:b/>
                <w:bCs/>
                <w:i/>
                <w:iCs/>
                <w:color w:val="000000"/>
              </w:rPr>
              <w:t>0.20</w:t>
            </w:r>
          </w:p>
        </w:tc>
      </w:tr>
      <w:tr w:rsidR="00E44303" w:rsidRPr="00F42035" w:rsidTr="00B815DF">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45</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0.12</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0.13</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0.15</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0.15</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0.08</w:t>
            </w:r>
          </w:p>
        </w:tc>
      </w:tr>
      <w:tr w:rsidR="00E44303" w:rsidRPr="00F42035" w:rsidTr="00AC7D14">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135</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0.35</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0.31</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0.23</w:t>
            </w:r>
          </w:p>
        </w:tc>
        <w:tc>
          <w:tcPr>
            <w:tcW w:w="976" w:type="dxa"/>
            <w:tcBorders>
              <w:top w:val="nil"/>
              <w:left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0.09</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0.00</w:t>
            </w:r>
          </w:p>
        </w:tc>
      </w:tr>
      <w:tr w:rsidR="00E44303" w:rsidRPr="00F42035" w:rsidTr="00AC7D14">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180</w:t>
            </w:r>
          </w:p>
        </w:tc>
        <w:tc>
          <w:tcPr>
            <w:tcW w:w="976" w:type="dxa"/>
            <w:tcBorders>
              <w:top w:val="nil"/>
              <w:left w:val="nil"/>
              <w:bottom w:val="nil"/>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b/>
                <w:bCs/>
                <w:i/>
                <w:iCs/>
                <w:color w:val="000000"/>
              </w:rPr>
            </w:pPr>
            <w:r w:rsidRPr="00F42035">
              <w:rPr>
                <w:rFonts w:ascii="Calibri" w:eastAsia="Times New Roman" w:hAnsi="Calibri" w:cs="Times New Roman"/>
                <w:b/>
                <w:bCs/>
                <w:i/>
                <w:iCs/>
                <w:color w:val="000000"/>
              </w:rPr>
              <w:t>0.52</w:t>
            </w:r>
          </w:p>
        </w:tc>
        <w:tc>
          <w:tcPr>
            <w:tcW w:w="976" w:type="dxa"/>
            <w:tcBorders>
              <w:top w:val="nil"/>
              <w:left w:val="nil"/>
              <w:bottom w:val="nil"/>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b/>
                <w:bCs/>
                <w:i/>
                <w:iCs/>
                <w:color w:val="000000"/>
              </w:rPr>
            </w:pPr>
            <w:r w:rsidRPr="00F42035">
              <w:rPr>
                <w:rFonts w:ascii="Calibri" w:eastAsia="Times New Roman" w:hAnsi="Calibri" w:cs="Times New Roman"/>
                <w:b/>
                <w:bCs/>
                <w:i/>
                <w:iCs/>
                <w:color w:val="000000"/>
              </w:rPr>
              <w:t>0.49</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0.37</w:t>
            </w:r>
          </w:p>
        </w:tc>
        <w:tc>
          <w:tcPr>
            <w:tcW w:w="976" w:type="dxa"/>
            <w:tcBorders>
              <w:top w:val="nil"/>
              <w:left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0.13</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0.01</w:t>
            </w:r>
          </w:p>
        </w:tc>
      </w:tr>
      <w:tr w:rsidR="00E44303" w:rsidRPr="00F42035" w:rsidTr="00AC7D14">
        <w:trPr>
          <w:trHeight w:val="300"/>
        </w:trPr>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225</w:t>
            </w:r>
          </w:p>
        </w:tc>
        <w:tc>
          <w:tcPr>
            <w:tcW w:w="976" w:type="dxa"/>
            <w:tcBorders>
              <w:top w:val="nil"/>
              <w:left w:val="nil"/>
              <w:bottom w:val="nil"/>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0.46</w:t>
            </w:r>
          </w:p>
        </w:tc>
        <w:tc>
          <w:tcPr>
            <w:tcW w:w="976" w:type="dxa"/>
            <w:tcBorders>
              <w:top w:val="nil"/>
              <w:left w:val="nil"/>
              <w:bottom w:val="nil"/>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b/>
                <w:bCs/>
                <w:i/>
                <w:iCs/>
                <w:color w:val="000000"/>
              </w:rPr>
            </w:pPr>
            <w:r w:rsidRPr="00F42035">
              <w:rPr>
                <w:rFonts w:ascii="Calibri" w:eastAsia="Times New Roman" w:hAnsi="Calibri" w:cs="Times New Roman"/>
                <w:b/>
                <w:bCs/>
                <w:i/>
                <w:iCs/>
                <w:color w:val="000000"/>
              </w:rPr>
              <w:t>0.49</w:t>
            </w:r>
          </w:p>
        </w:tc>
        <w:tc>
          <w:tcPr>
            <w:tcW w:w="976" w:type="dxa"/>
            <w:tcBorders>
              <w:top w:val="nil"/>
              <w:left w:val="nil"/>
              <w:bottom w:val="nil"/>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0.45</w:t>
            </w:r>
          </w:p>
        </w:tc>
        <w:tc>
          <w:tcPr>
            <w:tcW w:w="976" w:type="dxa"/>
            <w:tcBorders>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0.24</w:t>
            </w:r>
          </w:p>
        </w:tc>
        <w:tc>
          <w:tcPr>
            <w:tcW w:w="976" w:type="dxa"/>
            <w:tcBorders>
              <w:top w:val="nil"/>
              <w:left w:val="nil"/>
              <w:bottom w:val="nil"/>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0.01</w:t>
            </w:r>
          </w:p>
        </w:tc>
      </w:tr>
      <w:tr w:rsidR="00E44303" w:rsidRPr="00F42035" w:rsidTr="00B815DF">
        <w:trPr>
          <w:trHeight w:val="300"/>
        </w:trPr>
        <w:tc>
          <w:tcPr>
            <w:tcW w:w="976"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Arial" w:eastAsia="Times New Roman" w:hAnsi="Arial" w:cs="Arial"/>
                <w:sz w:val="20"/>
                <w:szCs w:val="20"/>
              </w:rPr>
            </w:pPr>
            <w:r w:rsidRPr="00F42035">
              <w:rPr>
                <w:rFonts w:ascii="Arial" w:eastAsia="Times New Roman" w:hAnsi="Arial" w:cs="Arial"/>
                <w:sz w:val="20"/>
                <w:szCs w:val="20"/>
              </w:rPr>
              <w:t>315</w:t>
            </w:r>
          </w:p>
        </w:tc>
        <w:tc>
          <w:tcPr>
            <w:tcW w:w="976"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0.29</w:t>
            </w:r>
          </w:p>
        </w:tc>
        <w:tc>
          <w:tcPr>
            <w:tcW w:w="976"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0.37</w:t>
            </w:r>
          </w:p>
        </w:tc>
        <w:tc>
          <w:tcPr>
            <w:tcW w:w="976" w:type="dxa"/>
            <w:tcBorders>
              <w:top w:val="nil"/>
              <w:left w:val="nil"/>
              <w:bottom w:val="single" w:sz="4" w:space="0" w:color="auto"/>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b/>
                <w:bCs/>
                <w:i/>
                <w:iCs/>
                <w:color w:val="000000"/>
              </w:rPr>
            </w:pPr>
            <w:r w:rsidRPr="00F42035">
              <w:rPr>
                <w:rFonts w:ascii="Calibri" w:eastAsia="Times New Roman" w:hAnsi="Calibri" w:cs="Times New Roman"/>
                <w:b/>
                <w:bCs/>
                <w:i/>
                <w:iCs/>
                <w:color w:val="000000"/>
              </w:rPr>
              <w:t>0.46</w:t>
            </w:r>
          </w:p>
        </w:tc>
        <w:tc>
          <w:tcPr>
            <w:tcW w:w="976" w:type="dxa"/>
            <w:tcBorders>
              <w:top w:val="nil"/>
              <w:left w:val="nil"/>
              <w:bottom w:val="single" w:sz="4" w:space="0" w:color="auto"/>
              <w:right w:val="nil"/>
            </w:tcBorders>
            <w:shd w:val="clear" w:color="000000" w:fill="A6A6A6"/>
            <w:noWrap/>
            <w:vAlign w:val="bottom"/>
            <w:hideMark/>
          </w:tcPr>
          <w:p w:rsidR="00E44303" w:rsidRPr="00F42035" w:rsidRDefault="00E44303" w:rsidP="00B815DF">
            <w:pPr>
              <w:spacing w:after="0" w:line="240" w:lineRule="auto"/>
              <w:jc w:val="center"/>
              <w:rPr>
                <w:rFonts w:ascii="Calibri" w:eastAsia="Times New Roman" w:hAnsi="Calibri" w:cs="Times New Roman"/>
                <w:b/>
                <w:bCs/>
                <w:i/>
                <w:iCs/>
                <w:color w:val="000000"/>
              </w:rPr>
            </w:pPr>
            <w:r w:rsidRPr="00F42035">
              <w:rPr>
                <w:rFonts w:ascii="Calibri" w:eastAsia="Times New Roman" w:hAnsi="Calibri" w:cs="Times New Roman"/>
                <w:b/>
                <w:bCs/>
                <w:i/>
                <w:iCs/>
                <w:color w:val="000000"/>
              </w:rPr>
              <w:t>0.43</w:t>
            </w:r>
          </w:p>
        </w:tc>
        <w:tc>
          <w:tcPr>
            <w:tcW w:w="976" w:type="dxa"/>
            <w:tcBorders>
              <w:top w:val="nil"/>
              <w:left w:val="nil"/>
              <w:bottom w:val="single" w:sz="4" w:space="0" w:color="auto"/>
              <w:right w:val="nil"/>
            </w:tcBorders>
            <w:shd w:val="clear" w:color="auto" w:fill="auto"/>
            <w:noWrap/>
            <w:vAlign w:val="bottom"/>
            <w:hideMark/>
          </w:tcPr>
          <w:p w:rsidR="00E44303" w:rsidRPr="00F42035" w:rsidRDefault="00E44303" w:rsidP="00B815DF">
            <w:pPr>
              <w:spacing w:after="0" w:line="240" w:lineRule="auto"/>
              <w:jc w:val="center"/>
              <w:rPr>
                <w:rFonts w:ascii="Calibri" w:eastAsia="Times New Roman" w:hAnsi="Calibri" w:cs="Times New Roman"/>
                <w:color w:val="000000"/>
              </w:rPr>
            </w:pPr>
            <w:r w:rsidRPr="00F42035">
              <w:rPr>
                <w:rFonts w:ascii="Calibri" w:eastAsia="Times New Roman" w:hAnsi="Calibri" w:cs="Times New Roman"/>
                <w:color w:val="000000"/>
              </w:rPr>
              <w:t>0.14</w:t>
            </w:r>
          </w:p>
        </w:tc>
      </w:tr>
    </w:tbl>
    <w:p w:rsidR="00E44303" w:rsidRDefault="00E44303" w:rsidP="00E44303">
      <w:pPr>
        <w:rPr>
          <w:sz w:val="24"/>
          <w:szCs w:val="24"/>
        </w:rPr>
      </w:pPr>
    </w:p>
    <w:p w:rsidR="00E44303" w:rsidRDefault="00E44303" w:rsidP="00E44303">
      <w:pPr>
        <w:rPr>
          <w:sz w:val="24"/>
          <w:szCs w:val="24"/>
        </w:rPr>
      </w:pPr>
    </w:p>
    <w:p w:rsidR="00E44303" w:rsidRDefault="00E44303" w:rsidP="00E44303">
      <w:pPr>
        <w:rPr>
          <w:sz w:val="24"/>
          <w:szCs w:val="24"/>
        </w:rPr>
      </w:pPr>
    </w:p>
    <w:p w:rsidR="00E44303" w:rsidRDefault="00E44303" w:rsidP="00E44303">
      <w:pPr>
        <w:rPr>
          <w:sz w:val="24"/>
          <w:szCs w:val="24"/>
        </w:rPr>
      </w:pPr>
    </w:p>
    <w:p w:rsidR="00E44303" w:rsidRDefault="00E44303" w:rsidP="00E44303">
      <w:pPr>
        <w:rPr>
          <w:sz w:val="24"/>
          <w:szCs w:val="24"/>
        </w:rPr>
      </w:pPr>
      <w:r>
        <w:rPr>
          <w:sz w:val="24"/>
          <w:szCs w:val="24"/>
        </w:rPr>
        <w:br w:type="page"/>
      </w:r>
    </w:p>
    <w:p w:rsidR="00E44303" w:rsidRDefault="00E44303" w:rsidP="00E44303">
      <w:pPr>
        <w:rPr>
          <w:sz w:val="24"/>
          <w:szCs w:val="24"/>
        </w:rPr>
      </w:pPr>
      <w:r>
        <w:rPr>
          <w:sz w:val="24"/>
          <w:szCs w:val="24"/>
        </w:rPr>
        <w:lastRenderedPageBreak/>
        <w:t>Table 6. Mean decadal SO</w:t>
      </w:r>
      <w:r w:rsidRPr="008F2ED6">
        <w:rPr>
          <w:sz w:val="24"/>
          <w:szCs w:val="24"/>
          <w:vertAlign w:val="subscript"/>
        </w:rPr>
        <w:t>2</w:t>
      </w:r>
      <w:r>
        <w:rPr>
          <w:sz w:val="24"/>
          <w:szCs w:val="24"/>
        </w:rPr>
        <w:t xml:space="preserve"> and smoke concentrations (</w:t>
      </w:r>
      <w:r w:rsidRPr="008F2ED6">
        <w:rPr>
          <w:rFonts w:ascii="Symbol" w:hAnsi="Symbol"/>
          <w:sz w:val="24"/>
          <w:szCs w:val="24"/>
        </w:rPr>
        <w:t></w:t>
      </w:r>
      <w:r>
        <w:rPr>
          <w:sz w:val="24"/>
          <w:szCs w:val="24"/>
        </w:rPr>
        <w:t>g/m</w:t>
      </w:r>
      <w:r w:rsidRPr="008F2ED6">
        <w:rPr>
          <w:sz w:val="24"/>
          <w:szCs w:val="24"/>
          <w:vertAlign w:val="superscript"/>
        </w:rPr>
        <w:t>3</w:t>
      </w:r>
      <w:r>
        <w:rPr>
          <w:sz w:val="24"/>
          <w:szCs w:val="24"/>
        </w:rPr>
        <w:t>) for 23 air-quality monitoring stations in the study area.  Interpolated land-use indicator determined by point-density function.</w:t>
      </w:r>
    </w:p>
    <w:tbl>
      <w:tblPr>
        <w:tblW w:w="7840" w:type="dxa"/>
        <w:tblInd w:w="93" w:type="dxa"/>
        <w:tblLook w:val="04A0" w:firstRow="1" w:lastRow="0" w:firstColumn="1" w:lastColumn="0" w:noHBand="0" w:noVBand="1"/>
      </w:tblPr>
      <w:tblGrid>
        <w:gridCol w:w="2260"/>
        <w:gridCol w:w="1380"/>
        <w:gridCol w:w="828"/>
        <w:gridCol w:w="839"/>
        <w:gridCol w:w="828"/>
        <w:gridCol w:w="839"/>
        <w:gridCol w:w="828"/>
        <w:gridCol w:w="839"/>
      </w:tblGrid>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Calibri" w:eastAsia="Times New Roman" w:hAnsi="Calibri" w:cs="Times New Roman"/>
                <w:color w:val="000000"/>
              </w:rPr>
            </w:pP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Land</w:t>
            </w:r>
            <w:r>
              <w:rPr>
                <w:rFonts w:ascii="Arial" w:eastAsia="Times New Roman" w:hAnsi="Arial" w:cs="Arial"/>
                <w:sz w:val="20"/>
                <w:szCs w:val="20"/>
              </w:rPr>
              <w:t xml:space="preserve"> </w:t>
            </w:r>
            <w:r w:rsidRPr="008D303C">
              <w:rPr>
                <w:rFonts w:ascii="Arial" w:eastAsia="Times New Roman" w:hAnsi="Arial" w:cs="Arial"/>
                <w:sz w:val="20"/>
                <w:szCs w:val="20"/>
              </w:rPr>
              <w:t>Use</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Calibri" w:eastAsia="Times New Roman" w:hAnsi="Calibri" w:cs="Times New Roman"/>
                <w:color w:val="000000"/>
              </w:rPr>
            </w:pPr>
            <w:r w:rsidRPr="008D303C">
              <w:rPr>
                <w:rFonts w:ascii="Calibri" w:eastAsia="Times New Roman" w:hAnsi="Calibri" w:cs="Times New Roman"/>
                <w:color w:val="000000"/>
              </w:rPr>
              <w:t>1960s</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rPr>
                <w:rFonts w:ascii="Calibri" w:eastAsia="Times New Roman" w:hAnsi="Calibri" w:cs="Times New Roman"/>
                <w:color w:val="000000"/>
              </w:rPr>
            </w:pPr>
            <w:r w:rsidRPr="008D303C">
              <w:rPr>
                <w:rFonts w:ascii="Calibri" w:eastAsia="Times New Roman" w:hAnsi="Calibri" w:cs="Times New Roman"/>
                <w:color w:val="000000"/>
              </w:rPr>
              <w:t> </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Calibri" w:eastAsia="Times New Roman" w:hAnsi="Calibri" w:cs="Times New Roman"/>
                <w:color w:val="000000"/>
              </w:rPr>
            </w:pPr>
            <w:r>
              <w:rPr>
                <w:rFonts w:ascii="Calibri" w:eastAsia="Times New Roman" w:hAnsi="Calibri" w:cs="Times New Roman"/>
                <w:color w:val="000000"/>
              </w:rPr>
              <w:t>19</w:t>
            </w:r>
            <w:r w:rsidRPr="008D303C">
              <w:rPr>
                <w:rFonts w:ascii="Calibri" w:eastAsia="Times New Roman" w:hAnsi="Calibri" w:cs="Times New Roman"/>
                <w:color w:val="000000"/>
              </w:rPr>
              <w:t>70s</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rPr>
                <w:rFonts w:ascii="Calibri" w:eastAsia="Times New Roman" w:hAnsi="Calibri" w:cs="Times New Roman"/>
                <w:color w:val="000000"/>
              </w:rPr>
            </w:pPr>
            <w:r w:rsidRPr="008D303C">
              <w:rPr>
                <w:rFonts w:ascii="Calibri" w:eastAsia="Times New Roman" w:hAnsi="Calibri" w:cs="Times New Roman"/>
                <w:color w:val="000000"/>
              </w:rPr>
              <w:t> </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Calibri" w:eastAsia="Times New Roman" w:hAnsi="Calibri" w:cs="Times New Roman"/>
                <w:color w:val="000000"/>
              </w:rPr>
            </w:pPr>
            <w:r>
              <w:rPr>
                <w:rFonts w:ascii="Calibri" w:eastAsia="Times New Roman" w:hAnsi="Calibri" w:cs="Times New Roman"/>
                <w:color w:val="000000"/>
              </w:rPr>
              <w:t>19</w:t>
            </w:r>
            <w:r w:rsidRPr="008D303C">
              <w:rPr>
                <w:rFonts w:ascii="Calibri" w:eastAsia="Times New Roman" w:hAnsi="Calibri" w:cs="Times New Roman"/>
                <w:color w:val="000000"/>
              </w:rPr>
              <w:t>80s</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rPr>
                <w:rFonts w:ascii="Calibri" w:eastAsia="Times New Roman" w:hAnsi="Calibri" w:cs="Times New Roman"/>
                <w:color w:val="000000"/>
              </w:rPr>
            </w:pPr>
            <w:r w:rsidRPr="008D303C">
              <w:rPr>
                <w:rFonts w:ascii="Calibri" w:eastAsia="Times New Roman" w:hAnsi="Calibri" w:cs="Times New Roman"/>
                <w:color w:val="000000"/>
              </w:rPr>
              <w:t> </w:t>
            </w:r>
          </w:p>
        </w:tc>
      </w:tr>
      <w:tr w:rsidR="00E44303" w:rsidRPr="008D303C" w:rsidTr="00B815DF">
        <w:trPr>
          <w:trHeight w:val="300"/>
        </w:trPr>
        <w:tc>
          <w:tcPr>
            <w:tcW w:w="2260" w:type="dxa"/>
            <w:tcBorders>
              <w:top w:val="nil"/>
              <w:left w:val="nil"/>
              <w:bottom w:val="single" w:sz="4" w:space="0" w:color="auto"/>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site_name</w:t>
            </w:r>
          </w:p>
        </w:tc>
        <w:tc>
          <w:tcPr>
            <w:tcW w:w="1380" w:type="dxa"/>
            <w:tcBorders>
              <w:top w:val="nil"/>
              <w:left w:val="nil"/>
              <w:bottom w:val="single" w:sz="4" w:space="0" w:color="auto"/>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Indicator</w:t>
            </w:r>
          </w:p>
        </w:tc>
        <w:tc>
          <w:tcPr>
            <w:tcW w:w="700" w:type="dxa"/>
            <w:tcBorders>
              <w:top w:val="nil"/>
              <w:left w:val="nil"/>
              <w:bottom w:val="single" w:sz="4" w:space="0" w:color="auto"/>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SO2</w:t>
            </w:r>
          </w:p>
        </w:tc>
        <w:tc>
          <w:tcPr>
            <w:tcW w:w="700" w:type="dxa"/>
            <w:tcBorders>
              <w:top w:val="nil"/>
              <w:left w:val="nil"/>
              <w:bottom w:val="single" w:sz="4" w:space="0" w:color="auto"/>
              <w:right w:val="single" w:sz="4" w:space="0" w:color="auto"/>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Smoke</w:t>
            </w:r>
          </w:p>
        </w:tc>
        <w:tc>
          <w:tcPr>
            <w:tcW w:w="700" w:type="dxa"/>
            <w:tcBorders>
              <w:top w:val="nil"/>
              <w:left w:val="nil"/>
              <w:bottom w:val="single" w:sz="4" w:space="0" w:color="auto"/>
              <w:right w:val="nil"/>
            </w:tcBorders>
            <w:shd w:val="clear" w:color="auto" w:fill="auto"/>
            <w:noWrap/>
            <w:vAlign w:val="bottom"/>
            <w:hideMark/>
          </w:tcPr>
          <w:p w:rsidR="00E44303" w:rsidRPr="008D303C" w:rsidRDefault="00E44303" w:rsidP="00B815DF">
            <w:pPr>
              <w:spacing w:after="0" w:line="240" w:lineRule="auto"/>
              <w:rPr>
                <w:rFonts w:ascii="Calibri" w:eastAsia="Times New Roman" w:hAnsi="Calibri" w:cs="Times New Roman"/>
                <w:color w:val="000000"/>
              </w:rPr>
            </w:pPr>
            <w:r w:rsidRPr="008D303C">
              <w:rPr>
                <w:rFonts w:ascii="Calibri" w:eastAsia="Times New Roman" w:hAnsi="Calibri" w:cs="Times New Roman"/>
                <w:color w:val="000000"/>
              </w:rPr>
              <w:t>SO2</w:t>
            </w:r>
          </w:p>
        </w:tc>
        <w:tc>
          <w:tcPr>
            <w:tcW w:w="700" w:type="dxa"/>
            <w:tcBorders>
              <w:top w:val="nil"/>
              <w:left w:val="nil"/>
              <w:bottom w:val="single" w:sz="4" w:space="0" w:color="auto"/>
              <w:right w:val="single" w:sz="4" w:space="0" w:color="auto"/>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Smoke</w:t>
            </w:r>
          </w:p>
        </w:tc>
        <w:tc>
          <w:tcPr>
            <w:tcW w:w="700" w:type="dxa"/>
            <w:tcBorders>
              <w:top w:val="nil"/>
              <w:left w:val="nil"/>
              <w:bottom w:val="single" w:sz="4" w:space="0" w:color="auto"/>
              <w:right w:val="nil"/>
            </w:tcBorders>
            <w:shd w:val="clear" w:color="auto" w:fill="auto"/>
            <w:noWrap/>
            <w:vAlign w:val="bottom"/>
            <w:hideMark/>
          </w:tcPr>
          <w:p w:rsidR="00E44303" w:rsidRPr="008D303C" w:rsidRDefault="00E44303" w:rsidP="00B815DF">
            <w:pPr>
              <w:spacing w:after="0" w:line="240" w:lineRule="auto"/>
              <w:rPr>
                <w:rFonts w:ascii="Calibri" w:eastAsia="Times New Roman" w:hAnsi="Calibri" w:cs="Times New Roman"/>
                <w:color w:val="000000"/>
              </w:rPr>
            </w:pPr>
            <w:r w:rsidRPr="008D303C">
              <w:rPr>
                <w:rFonts w:ascii="Calibri" w:eastAsia="Times New Roman" w:hAnsi="Calibri" w:cs="Times New Roman"/>
                <w:color w:val="000000"/>
              </w:rPr>
              <w:t>SO2</w:t>
            </w:r>
          </w:p>
        </w:tc>
        <w:tc>
          <w:tcPr>
            <w:tcW w:w="700" w:type="dxa"/>
            <w:tcBorders>
              <w:top w:val="nil"/>
              <w:left w:val="nil"/>
              <w:bottom w:val="single" w:sz="4" w:space="0" w:color="auto"/>
              <w:right w:val="single" w:sz="4" w:space="0" w:color="auto"/>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Smoke</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BILSTON 3</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0.56</w:t>
            </w:r>
          </w:p>
        </w:tc>
        <w:tc>
          <w:tcPr>
            <w:tcW w:w="700" w:type="dxa"/>
            <w:tcBorders>
              <w:top w:val="single" w:sz="4" w:space="0" w:color="auto"/>
              <w:left w:val="single" w:sz="4" w:space="0" w:color="auto"/>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99.00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128.00</w:t>
            </w:r>
          </w:p>
        </w:tc>
        <w:tc>
          <w:tcPr>
            <w:tcW w:w="700" w:type="dxa"/>
            <w:tcBorders>
              <w:top w:val="nil"/>
              <w:left w:val="nil"/>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 </w:t>
            </w:r>
            <w:r w:rsidR="002C4285">
              <w:rPr>
                <w:rFonts w:ascii="Arial" w:eastAsia="Times New Roman" w:hAnsi="Arial" w:cs="Arial"/>
                <w:sz w:val="20"/>
                <w:szCs w:val="20"/>
              </w:rPr>
              <w:t>-</w:t>
            </w:r>
          </w:p>
        </w:tc>
        <w:tc>
          <w:tcPr>
            <w:tcW w:w="700" w:type="dxa"/>
            <w:tcBorders>
              <w:top w:val="nil"/>
              <w:left w:val="nil"/>
              <w:bottom w:val="nil"/>
              <w:right w:val="nil"/>
            </w:tcBorders>
            <w:shd w:val="clear" w:color="auto" w:fill="auto"/>
            <w:noWrap/>
            <w:vAlign w:val="bottom"/>
            <w:hideMark/>
          </w:tcPr>
          <w:p w:rsidR="00E44303" w:rsidRPr="008D303C" w:rsidRDefault="002C4285" w:rsidP="00B815D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r w:rsidR="00E44303" w:rsidRPr="008D303C">
              <w:rPr>
                <w:rFonts w:ascii="Calibri" w:eastAsia="Times New Roman" w:hAnsi="Calibri" w:cs="Times New Roman"/>
                <w:color w:val="000000"/>
              </w:rPr>
              <w:t> </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 </w:t>
            </w:r>
            <w:r w:rsidR="002C4285">
              <w:rPr>
                <w:rFonts w:ascii="Calibri" w:eastAsia="Times New Roman" w:hAnsi="Calibri" w:cs="Times New Roman"/>
                <w:color w:val="000000"/>
              </w:rPr>
              <w:t>-</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BILSTON 18</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0.55</w:t>
            </w:r>
          </w:p>
        </w:tc>
        <w:tc>
          <w:tcPr>
            <w:tcW w:w="700" w:type="dxa"/>
            <w:tcBorders>
              <w:top w:val="nil"/>
              <w:left w:val="single" w:sz="4" w:space="0" w:color="auto"/>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 </w:t>
            </w:r>
            <w:r w:rsidR="002C4285">
              <w:rPr>
                <w:rFonts w:ascii="Arial" w:eastAsia="Times New Roman" w:hAnsi="Arial" w:cs="Arial"/>
                <w:sz w:val="20"/>
                <w:szCs w:val="20"/>
              </w:rPr>
              <w:t>-</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64.50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29.00</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40.67</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25.00</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BILSTON 19</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0.64</w:t>
            </w:r>
          </w:p>
        </w:tc>
        <w:tc>
          <w:tcPr>
            <w:tcW w:w="700" w:type="dxa"/>
            <w:tcBorders>
              <w:top w:val="nil"/>
              <w:left w:val="single" w:sz="4" w:space="0" w:color="auto"/>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 </w:t>
            </w:r>
            <w:r w:rsidR="002C4285">
              <w:rPr>
                <w:rFonts w:ascii="Arial" w:eastAsia="Times New Roman" w:hAnsi="Arial" w:cs="Arial"/>
                <w:sz w:val="20"/>
                <w:szCs w:val="20"/>
              </w:rPr>
              <w:t>-</w:t>
            </w:r>
          </w:p>
        </w:tc>
        <w:tc>
          <w:tcPr>
            <w:tcW w:w="700" w:type="dxa"/>
            <w:tcBorders>
              <w:top w:val="nil"/>
              <w:left w:val="nil"/>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r w:rsidR="00E44303" w:rsidRPr="008D303C">
              <w:rPr>
                <w:rFonts w:ascii="Arial" w:eastAsia="Times New Roman" w:hAnsi="Arial" w:cs="Arial"/>
                <w:sz w:val="20"/>
                <w:szCs w:val="20"/>
              </w:rPr>
              <w:t> </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42.60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15.60</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BIRMINGHAM 11</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0.55</w:t>
            </w:r>
          </w:p>
        </w:tc>
        <w:tc>
          <w:tcPr>
            <w:tcW w:w="700" w:type="dxa"/>
            <w:tcBorders>
              <w:top w:val="nil"/>
              <w:left w:val="single" w:sz="4" w:space="0" w:color="auto"/>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277.33</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131.17</w:t>
            </w:r>
          </w:p>
        </w:tc>
        <w:tc>
          <w:tcPr>
            <w:tcW w:w="700" w:type="dxa"/>
            <w:tcBorders>
              <w:top w:val="nil"/>
              <w:left w:val="nil"/>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r w:rsidR="00E44303" w:rsidRPr="008D303C">
              <w:rPr>
                <w:rFonts w:ascii="Arial" w:eastAsia="Times New Roman" w:hAnsi="Arial" w:cs="Arial"/>
                <w:sz w:val="20"/>
                <w:szCs w:val="20"/>
              </w:rPr>
              <w:t> </w:t>
            </w:r>
          </w:p>
        </w:tc>
        <w:tc>
          <w:tcPr>
            <w:tcW w:w="700" w:type="dxa"/>
            <w:tcBorders>
              <w:top w:val="nil"/>
              <w:left w:val="nil"/>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r w:rsidR="00E44303" w:rsidRPr="008D303C">
              <w:rPr>
                <w:rFonts w:ascii="Arial" w:eastAsia="Times New Roman" w:hAnsi="Arial" w:cs="Arial"/>
                <w:sz w:val="20"/>
                <w:szCs w:val="20"/>
              </w:rPr>
              <w:t> </w:t>
            </w:r>
          </w:p>
        </w:tc>
        <w:tc>
          <w:tcPr>
            <w:tcW w:w="700" w:type="dxa"/>
            <w:tcBorders>
              <w:top w:val="nil"/>
              <w:left w:val="nil"/>
              <w:bottom w:val="nil"/>
              <w:right w:val="single" w:sz="4" w:space="0" w:color="auto"/>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r w:rsidR="00E44303" w:rsidRPr="008D303C">
              <w:rPr>
                <w:rFonts w:ascii="Arial" w:eastAsia="Times New Roman" w:hAnsi="Arial" w:cs="Arial"/>
                <w:sz w:val="20"/>
                <w:szCs w:val="20"/>
              </w:rPr>
              <w:t> </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BIRMINGHAM 13</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0.46</w:t>
            </w:r>
          </w:p>
        </w:tc>
        <w:tc>
          <w:tcPr>
            <w:tcW w:w="700" w:type="dxa"/>
            <w:tcBorders>
              <w:top w:val="nil"/>
              <w:left w:val="single" w:sz="4" w:space="0" w:color="auto"/>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202.40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125.20</w:t>
            </w:r>
          </w:p>
        </w:tc>
        <w:tc>
          <w:tcPr>
            <w:tcW w:w="700" w:type="dxa"/>
            <w:tcBorders>
              <w:top w:val="nil"/>
              <w:left w:val="nil"/>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r w:rsidR="00E44303" w:rsidRPr="008D303C">
              <w:rPr>
                <w:rFonts w:ascii="Arial" w:eastAsia="Times New Roman" w:hAnsi="Arial" w:cs="Arial"/>
                <w:sz w:val="20"/>
                <w:szCs w:val="20"/>
              </w:rPr>
              <w:t> </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 </w:t>
            </w:r>
            <w:r w:rsidR="002C4285">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r w:rsidR="00E44303" w:rsidRPr="008D303C">
              <w:rPr>
                <w:rFonts w:ascii="Arial" w:eastAsia="Times New Roman" w:hAnsi="Arial" w:cs="Arial"/>
                <w:sz w:val="20"/>
                <w:szCs w:val="20"/>
              </w:rPr>
              <w:t> </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BIRMINGHAM 21</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0.55</w:t>
            </w:r>
          </w:p>
        </w:tc>
        <w:tc>
          <w:tcPr>
            <w:tcW w:w="700" w:type="dxa"/>
            <w:tcBorders>
              <w:top w:val="nil"/>
              <w:left w:val="single" w:sz="4" w:space="0" w:color="auto"/>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101.86</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27.57</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75.00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22.67</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BIRMINGHAM 26</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0.52</w:t>
            </w:r>
          </w:p>
        </w:tc>
        <w:tc>
          <w:tcPr>
            <w:tcW w:w="700" w:type="dxa"/>
            <w:tcBorders>
              <w:top w:val="nil"/>
              <w:left w:val="single" w:sz="4" w:space="0" w:color="auto"/>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100.00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28.60</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46.50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15.30</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CANNOCK 15</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0.07</w:t>
            </w:r>
          </w:p>
        </w:tc>
        <w:tc>
          <w:tcPr>
            <w:tcW w:w="700" w:type="dxa"/>
            <w:tcBorders>
              <w:top w:val="nil"/>
              <w:left w:val="single" w:sz="4" w:space="0" w:color="auto"/>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103.50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103.50</w:t>
            </w:r>
          </w:p>
        </w:tc>
        <w:tc>
          <w:tcPr>
            <w:tcW w:w="700" w:type="dxa"/>
            <w:tcBorders>
              <w:top w:val="nil"/>
              <w:left w:val="nil"/>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r w:rsidR="00E44303" w:rsidRPr="008D303C">
              <w:rPr>
                <w:rFonts w:ascii="Arial" w:eastAsia="Times New Roman" w:hAnsi="Arial" w:cs="Arial"/>
                <w:sz w:val="20"/>
                <w:szCs w:val="20"/>
              </w:rPr>
              <w:t> </w:t>
            </w:r>
          </w:p>
        </w:tc>
        <w:tc>
          <w:tcPr>
            <w:tcW w:w="700" w:type="dxa"/>
            <w:tcBorders>
              <w:top w:val="nil"/>
              <w:left w:val="nil"/>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r w:rsidR="00E44303" w:rsidRPr="008D303C">
              <w:rPr>
                <w:rFonts w:ascii="Arial" w:eastAsia="Times New Roman" w:hAnsi="Arial" w:cs="Arial"/>
                <w:sz w:val="20"/>
                <w:szCs w:val="20"/>
              </w:rPr>
              <w:t> </w:t>
            </w:r>
          </w:p>
        </w:tc>
        <w:tc>
          <w:tcPr>
            <w:tcW w:w="700" w:type="dxa"/>
            <w:tcBorders>
              <w:top w:val="nil"/>
              <w:left w:val="nil"/>
              <w:bottom w:val="nil"/>
              <w:right w:val="single" w:sz="4" w:space="0" w:color="auto"/>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r w:rsidR="00E44303" w:rsidRPr="008D303C">
              <w:rPr>
                <w:rFonts w:ascii="Arial" w:eastAsia="Times New Roman" w:hAnsi="Arial" w:cs="Arial"/>
                <w:sz w:val="20"/>
                <w:szCs w:val="20"/>
              </w:rPr>
              <w:t> </w:t>
            </w:r>
          </w:p>
        </w:tc>
      </w:tr>
      <w:tr w:rsidR="002C4285" w:rsidRPr="008D303C" w:rsidTr="00B815DF">
        <w:trPr>
          <w:trHeight w:val="300"/>
        </w:trPr>
        <w:tc>
          <w:tcPr>
            <w:tcW w:w="2260" w:type="dxa"/>
            <w:tcBorders>
              <w:top w:val="nil"/>
              <w:left w:val="nil"/>
              <w:bottom w:val="nil"/>
              <w:right w:val="nil"/>
            </w:tcBorders>
            <w:shd w:val="clear" w:color="auto" w:fill="auto"/>
            <w:noWrap/>
            <w:vAlign w:val="bottom"/>
          </w:tcPr>
          <w:p w:rsidR="002C4285" w:rsidRPr="008D303C" w:rsidRDefault="002C4285" w:rsidP="002C4285">
            <w:pPr>
              <w:spacing w:after="0" w:line="240" w:lineRule="auto"/>
              <w:rPr>
                <w:rFonts w:ascii="Arial" w:eastAsia="Times New Roman" w:hAnsi="Arial" w:cs="Arial"/>
                <w:sz w:val="20"/>
                <w:szCs w:val="20"/>
              </w:rPr>
            </w:pPr>
            <w:r w:rsidRPr="008D303C">
              <w:rPr>
                <w:rFonts w:ascii="Arial" w:eastAsia="Times New Roman" w:hAnsi="Arial" w:cs="Arial"/>
                <w:sz w:val="20"/>
                <w:szCs w:val="20"/>
              </w:rPr>
              <w:t>CANNOCK 1</w:t>
            </w:r>
            <w:r>
              <w:rPr>
                <w:rFonts w:ascii="Arial" w:eastAsia="Times New Roman" w:hAnsi="Arial" w:cs="Arial"/>
                <w:sz w:val="20"/>
                <w:szCs w:val="20"/>
              </w:rPr>
              <w:t>7</w:t>
            </w:r>
          </w:p>
        </w:tc>
        <w:tc>
          <w:tcPr>
            <w:tcW w:w="1380" w:type="dxa"/>
            <w:tcBorders>
              <w:top w:val="nil"/>
              <w:left w:val="nil"/>
              <w:bottom w:val="nil"/>
              <w:right w:val="single" w:sz="4" w:space="0" w:color="auto"/>
            </w:tcBorders>
            <w:shd w:val="clear" w:color="auto" w:fill="auto"/>
            <w:noWrap/>
            <w:vAlign w:val="bottom"/>
          </w:tcPr>
          <w:p w:rsidR="002C4285" w:rsidRPr="008D303C" w:rsidRDefault="009650B2" w:rsidP="00B815D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0.07</w:t>
            </w:r>
          </w:p>
        </w:tc>
        <w:tc>
          <w:tcPr>
            <w:tcW w:w="700" w:type="dxa"/>
            <w:tcBorders>
              <w:top w:val="nil"/>
              <w:left w:val="single" w:sz="4" w:space="0" w:color="auto"/>
              <w:bottom w:val="nil"/>
              <w:right w:val="nil"/>
            </w:tcBorders>
            <w:shd w:val="clear" w:color="auto" w:fill="auto"/>
            <w:noWrap/>
            <w:vAlign w:val="bottom"/>
          </w:tcPr>
          <w:p w:rsidR="002C4285"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tcPr>
          <w:p w:rsidR="002C4285" w:rsidRPr="008D303C" w:rsidRDefault="002C4285" w:rsidP="00B815D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700" w:type="dxa"/>
            <w:tcBorders>
              <w:top w:val="nil"/>
              <w:left w:val="nil"/>
              <w:bottom w:val="nil"/>
              <w:right w:val="nil"/>
            </w:tcBorders>
            <w:shd w:val="clear" w:color="auto" w:fill="auto"/>
            <w:noWrap/>
            <w:vAlign w:val="bottom"/>
          </w:tcPr>
          <w:p w:rsidR="002C4285"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88.33</w:t>
            </w:r>
          </w:p>
        </w:tc>
        <w:tc>
          <w:tcPr>
            <w:tcW w:w="700" w:type="dxa"/>
            <w:tcBorders>
              <w:top w:val="nil"/>
              <w:left w:val="nil"/>
              <w:bottom w:val="nil"/>
              <w:right w:val="single" w:sz="4" w:space="0" w:color="auto"/>
            </w:tcBorders>
            <w:shd w:val="clear" w:color="auto" w:fill="auto"/>
            <w:noWrap/>
            <w:vAlign w:val="bottom"/>
          </w:tcPr>
          <w:p w:rsidR="002C4285"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65.50</w:t>
            </w:r>
          </w:p>
        </w:tc>
        <w:tc>
          <w:tcPr>
            <w:tcW w:w="700" w:type="dxa"/>
            <w:tcBorders>
              <w:top w:val="nil"/>
              <w:left w:val="nil"/>
              <w:bottom w:val="nil"/>
              <w:right w:val="nil"/>
            </w:tcBorders>
            <w:shd w:val="clear" w:color="auto" w:fill="auto"/>
            <w:noWrap/>
            <w:vAlign w:val="bottom"/>
          </w:tcPr>
          <w:p w:rsidR="002C4285"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54.13</w:t>
            </w:r>
          </w:p>
        </w:tc>
        <w:tc>
          <w:tcPr>
            <w:tcW w:w="700" w:type="dxa"/>
            <w:tcBorders>
              <w:top w:val="nil"/>
              <w:left w:val="nil"/>
              <w:bottom w:val="nil"/>
              <w:right w:val="single" w:sz="4" w:space="0" w:color="auto"/>
            </w:tcBorders>
            <w:shd w:val="clear" w:color="auto" w:fill="auto"/>
            <w:noWrap/>
            <w:vAlign w:val="bottom"/>
          </w:tcPr>
          <w:p w:rsidR="002C4285"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50.88</w:t>
            </w:r>
          </w:p>
        </w:tc>
      </w:tr>
      <w:tr w:rsidR="002C4285" w:rsidRPr="008D303C" w:rsidTr="00B815DF">
        <w:trPr>
          <w:trHeight w:val="300"/>
        </w:trPr>
        <w:tc>
          <w:tcPr>
            <w:tcW w:w="2260" w:type="dxa"/>
            <w:tcBorders>
              <w:top w:val="nil"/>
              <w:left w:val="nil"/>
              <w:bottom w:val="nil"/>
              <w:right w:val="nil"/>
            </w:tcBorders>
            <w:shd w:val="clear" w:color="auto" w:fill="auto"/>
            <w:noWrap/>
            <w:vAlign w:val="bottom"/>
          </w:tcPr>
          <w:p w:rsidR="002C4285" w:rsidRPr="008D303C" w:rsidRDefault="002C4285" w:rsidP="00B815DF">
            <w:pPr>
              <w:spacing w:after="0" w:line="240" w:lineRule="auto"/>
              <w:rPr>
                <w:rFonts w:ascii="Arial" w:eastAsia="Times New Roman" w:hAnsi="Arial" w:cs="Arial"/>
                <w:sz w:val="20"/>
                <w:szCs w:val="20"/>
              </w:rPr>
            </w:pPr>
            <w:r>
              <w:rPr>
                <w:rFonts w:ascii="Arial" w:eastAsia="Times New Roman" w:hAnsi="Arial" w:cs="Arial"/>
                <w:sz w:val="20"/>
                <w:szCs w:val="20"/>
              </w:rPr>
              <w:t>CANNOCK 18</w:t>
            </w:r>
          </w:p>
        </w:tc>
        <w:tc>
          <w:tcPr>
            <w:tcW w:w="1380" w:type="dxa"/>
            <w:tcBorders>
              <w:top w:val="nil"/>
              <w:left w:val="nil"/>
              <w:bottom w:val="nil"/>
              <w:right w:val="single" w:sz="4" w:space="0" w:color="auto"/>
            </w:tcBorders>
            <w:shd w:val="clear" w:color="auto" w:fill="auto"/>
            <w:noWrap/>
            <w:vAlign w:val="bottom"/>
          </w:tcPr>
          <w:p w:rsidR="002C4285" w:rsidRPr="008D303C" w:rsidRDefault="009650B2" w:rsidP="00B815D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0.06</w:t>
            </w:r>
          </w:p>
        </w:tc>
        <w:tc>
          <w:tcPr>
            <w:tcW w:w="700" w:type="dxa"/>
            <w:tcBorders>
              <w:top w:val="nil"/>
              <w:left w:val="single" w:sz="4" w:space="0" w:color="auto"/>
              <w:bottom w:val="nil"/>
              <w:right w:val="nil"/>
            </w:tcBorders>
            <w:shd w:val="clear" w:color="auto" w:fill="auto"/>
            <w:noWrap/>
            <w:vAlign w:val="bottom"/>
          </w:tcPr>
          <w:p w:rsidR="002C4285"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tcPr>
          <w:p w:rsidR="002C4285" w:rsidRPr="008D303C" w:rsidRDefault="002C4285" w:rsidP="00B815D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700" w:type="dxa"/>
            <w:tcBorders>
              <w:top w:val="nil"/>
              <w:left w:val="nil"/>
              <w:bottom w:val="nil"/>
              <w:right w:val="nil"/>
            </w:tcBorders>
            <w:shd w:val="clear" w:color="auto" w:fill="auto"/>
            <w:noWrap/>
            <w:vAlign w:val="bottom"/>
          </w:tcPr>
          <w:p w:rsidR="002C4285"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tcPr>
          <w:p w:rsidR="002C4285"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nil"/>
            </w:tcBorders>
            <w:shd w:val="clear" w:color="auto" w:fill="auto"/>
            <w:noWrap/>
            <w:vAlign w:val="bottom"/>
          </w:tcPr>
          <w:p w:rsidR="002C4285"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tcPr>
          <w:p w:rsidR="002C4285"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KIDDERMINSTER 3</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0.07</w:t>
            </w:r>
          </w:p>
        </w:tc>
        <w:tc>
          <w:tcPr>
            <w:tcW w:w="700" w:type="dxa"/>
            <w:tcBorders>
              <w:top w:val="nil"/>
              <w:left w:val="single" w:sz="4" w:space="0" w:color="auto"/>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167.33</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112.75</w:t>
            </w:r>
          </w:p>
        </w:tc>
        <w:tc>
          <w:tcPr>
            <w:tcW w:w="700" w:type="dxa"/>
            <w:tcBorders>
              <w:top w:val="nil"/>
              <w:left w:val="nil"/>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 </w:t>
            </w:r>
            <w:r w:rsidR="002C4285">
              <w:rPr>
                <w:rFonts w:ascii="Arial" w:eastAsia="Times New Roman" w:hAnsi="Arial" w:cs="Arial"/>
                <w:sz w:val="20"/>
                <w:szCs w:val="20"/>
              </w:rPr>
              <w:t>-</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 </w:t>
            </w:r>
            <w:r w:rsidR="002C4285">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r w:rsidR="00E44303" w:rsidRPr="008D303C">
              <w:rPr>
                <w:rFonts w:ascii="Arial" w:eastAsia="Times New Roman" w:hAnsi="Arial" w:cs="Arial"/>
                <w:sz w:val="20"/>
                <w:szCs w:val="20"/>
              </w:rPr>
              <w:t> </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KIDDERMINSTER 4</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0.06</w:t>
            </w:r>
          </w:p>
        </w:tc>
        <w:tc>
          <w:tcPr>
            <w:tcW w:w="700" w:type="dxa"/>
            <w:tcBorders>
              <w:top w:val="nil"/>
              <w:left w:val="single" w:sz="4" w:space="0" w:color="auto"/>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60.00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60.00</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47.14</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14.86</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 </w:t>
            </w:r>
            <w:r w:rsidR="002C4285">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r w:rsidR="00E44303" w:rsidRPr="008D303C">
              <w:rPr>
                <w:rFonts w:ascii="Arial" w:eastAsia="Times New Roman" w:hAnsi="Arial" w:cs="Arial"/>
                <w:sz w:val="20"/>
                <w:szCs w:val="20"/>
              </w:rPr>
              <w:t> </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KIDDERMINSTER 5</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0.07</w:t>
            </w:r>
          </w:p>
        </w:tc>
        <w:tc>
          <w:tcPr>
            <w:tcW w:w="700" w:type="dxa"/>
            <w:tcBorders>
              <w:top w:val="nil"/>
              <w:left w:val="single" w:sz="4" w:space="0" w:color="auto"/>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r w:rsidR="00E44303" w:rsidRPr="008D303C">
              <w:rPr>
                <w:rFonts w:ascii="Arial" w:eastAsia="Times New Roman" w:hAnsi="Arial" w:cs="Arial"/>
                <w:sz w:val="20"/>
                <w:szCs w:val="20"/>
              </w:rPr>
              <w:t> </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72.00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13.00</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 </w:t>
            </w:r>
            <w:r w:rsidR="002C4285">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 </w:t>
            </w:r>
            <w:r w:rsidR="002C4285">
              <w:rPr>
                <w:rFonts w:ascii="Arial" w:eastAsia="Times New Roman" w:hAnsi="Arial" w:cs="Arial"/>
                <w:sz w:val="20"/>
                <w:szCs w:val="20"/>
              </w:rPr>
              <w:t>-</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OLDBURY 5</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0.50</w:t>
            </w:r>
          </w:p>
        </w:tc>
        <w:tc>
          <w:tcPr>
            <w:tcW w:w="700" w:type="dxa"/>
            <w:tcBorders>
              <w:top w:val="nil"/>
              <w:left w:val="single" w:sz="4" w:space="0" w:color="auto"/>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127.71</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94.29</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108.70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37.90</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116.00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25.67</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ROWLEY REGIS 1</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0.46</w:t>
            </w:r>
          </w:p>
        </w:tc>
        <w:tc>
          <w:tcPr>
            <w:tcW w:w="700" w:type="dxa"/>
            <w:tcBorders>
              <w:top w:val="nil"/>
              <w:left w:val="single" w:sz="4" w:space="0" w:color="auto"/>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126.33</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64.00</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86.80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44.40</w:t>
            </w:r>
          </w:p>
        </w:tc>
        <w:tc>
          <w:tcPr>
            <w:tcW w:w="700" w:type="dxa"/>
            <w:tcBorders>
              <w:top w:val="nil"/>
              <w:left w:val="nil"/>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r w:rsidR="00E44303" w:rsidRPr="008D303C">
              <w:rPr>
                <w:rFonts w:ascii="Arial" w:eastAsia="Times New Roman" w:hAnsi="Arial" w:cs="Arial"/>
                <w:sz w:val="20"/>
                <w:szCs w:val="20"/>
              </w:rPr>
              <w:t> </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 </w:t>
            </w:r>
            <w:r w:rsidR="002C4285">
              <w:rPr>
                <w:rFonts w:ascii="Arial" w:eastAsia="Times New Roman" w:hAnsi="Arial" w:cs="Arial"/>
                <w:sz w:val="20"/>
                <w:szCs w:val="20"/>
              </w:rPr>
              <w:t>-</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ROWLEY REGIS 2</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0.46</w:t>
            </w:r>
          </w:p>
        </w:tc>
        <w:tc>
          <w:tcPr>
            <w:tcW w:w="700" w:type="dxa"/>
            <w:tcBorders>
              <w:top w:val="nil"/>
              <w:left w:val="single" w:sz="4" w:space="0" w:color="auto"/>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r w:rsidR="00E44303" w:rsidRPr="008D303C">
              <w:rPr>
                <w:rFonts w:ascii="Arial" w:eastAsia="Times New Roman" w:hAnsi="Arial" w:cs="Arial"/>
                <w:sz w:val="20"/>
                <w:szCs w:val="20"/>
              </w:rPr>
              <w:t> </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58.80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22.00</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63.33</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14.67</w:t>
            </w:r>
          </w:p>
        </w:tc>
      </w:tr>
      <w:tr w:rsidR="002C4285" w:rsidRPr="008D303C" w:rsidTr="00B815DF">
        <w:trPr>
          <w:trHeight w:val="300"/>
        </w:trPr>
        <w:tc>
          <w:tcPr>
            <w:tcW w:w="2260" w:type="dxa"/>
            <w:tcBorders>
              <w:top w:val="nil"/>
              <w:left w:val="nil"/>
              <w:bottom w:val="nil"/>
              <w:right w:val="nil"/>
            </w:tcBorders>
            <w:shd w:val="clear" w:color="auto" w:fill="auto"/>
            <w:noWrap/>
            <w:vAlign w:val="bottom"/>
          </w:tcPr>
          <w:p w:rsidR="002C4285" w:rsidRPr="008D303C" w:rsidRDefault="002C4285"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ROWLEY REGIS</w:t>
            </w:r>
            <w:r>
              <w:rPr>
                <w:rFonts w:ascii="Arial" w:eastAsia="Times New Roman" w:hAnsi="Arial" w:cs="Arial"/>
                <w:sz w:val="20"/>
                <w:szCs w:val="20"/>
              </w:rPr>
              <w:t xml:space="preserve"> 3</w:t>
            </w:r>
          </w:p>
        </w:tc>
        <w:tc>
          <w:tcPr>
            <w:tcW w:w="1380" w:type="dxa"/>
            <w:tcBorders>
              <w:top w:val="nil"/>
              <w:left w:val="nil"/>
              <w:bottom w:val="nil"/>
              <w:right w:val="single" w:sz="4" w:space="0" w:color="auto"/>
            </w:tcBorders>
            <w:shd w:val="clear" w:color="auto" w:fill="auto"/>
            <w:noWrap/>
            <w:vAlign w:val="bottom"/>
          </w:tcPr>
          <w:p w:rsidR="002C4285" w:rsidRPr="008D303C" w:rsidRDefault="009650B2" w:rsidP="00B815D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0.50</w:t>
            </w:r>
          </w:p>
        </w:tc>
        <w:tc>
          <w:tcPr>
            <w:tcW w:w="700" w:type="dxa"/>
            <w:tcBorders>
              <w:top w:val="nil"/>
              <w:left w:val="single" w:sz="4" w:space="0" w:color="auto"/>
              <w:bottom w:val="nil"/>
              <w:right w:val="nil"/>
            </w:tcBorders>
            <w:shd w:val="clear" w:color="auto" w:fill="auto"/>
            <w:noWrap/>
            <w:vAlign w:val="bottom"/>
          </w:tcPr>
          <w:p w:rsidR="002C4285"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tcPr>
          <w:p w:rsidR="002C4285" w:rsidRPr="008D303C" w:rsidRDefault="002C4285" w:rsidP="00B815D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700" w:type="dxa"/>
            <w:tcBorders>
              <w:top w:val="nil"/>
              <w:left w:val="nil"/>
              <w:bottom w:val="nil"/>
              <w:right w:val="nil"/>
            </w:tcBorders>
            <w:shd w:val="clear" w:color="auto" w:fill="auto"/>
            <w:noWrap/>
            <w:vAlign w:val="bottom"/>
          </w:tcPr>
          <w:p w:rsidR="002C4285"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tcPr>
          <w:p w:rsidR="002C4285"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nil"/>
            </w:tcBorders>
            <w:shd w:val="clear" w:color="auto" w:fill="auto"/>
            <w:noWrap/>
            <w:vAlign w:val="bottom"/>
          </w:tcPr>
          <w:p w:rsidR="002C4285"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tcPr>
          <w:p w:rsidR="002C4285"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STOURBRIDGE 1</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0.24</w:t>
            </w:r>
          </w:p>
        </w:tc>
        <w:tc>
          <w:tcPr>
            <w:tcW w:w="700" w:type="dxa"/>
            <w:tcBorders>
              <w:top w:val="nil"/>
              <w:left w:val="single" w:sz="4" w:space="0" w:color="auto"/>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115.33</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84.00</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82.13</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34.44</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66.00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24.33</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WALSALL 13</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0.33</w:t>
            </w:r>
          </w:p>
        </w:tc>
        <w:tc>
          <w:tcPr>
            <w:tcW w:w="700" w:type="dxa"/>
            <w:tcBorders>
              <w:top w:val="nil"/>
              <w:left w:val="single" w:sz="4" w:space="0" w:color="auto"/>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155.50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111.63</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78.60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50.00</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44.22</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26.78</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WALSALL 18</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0.32</w:t>
            </w:r>
          </w:p>
        </w:tc>
        <w:tc>
          <w:tcPr>
            <w:tcW w:w="700" w:type="dxa"/>
            <w:tcBorders>
              <w:top w:val="nil"/>
              <w:left w:val="single" w:sz="4" w:space="0" w:color="auto"/>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 </w:t>
            </w:r>
            <w:r w:rsidR="002C4285">
              <w:rPr>
                <w:rFonts w:ascii="Arial" w:eastAsia="Times New Roman" w:hAnsi="Arial" w:cs="Arial"/>
                <w:sz w:val="20"/>
                <w:szCs w:val="20"/>
              </w:rPr>
              <w:t>-</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81.33</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29.33</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46.44</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21.56</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WEDNESFIELD 1</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0.43</w:t>
            </w:r>
          </w:p>
        </w:tc>
        <w:tc>
          <w:tcPr>
            <w:tcW w:w="700" w:type="dxa"/>
            <w:tcBorders>
              <w:top w:val="nil"/>
              <w:left w:val="single" w:sz="4" w:space="0" w:color="auto"/>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117.50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117.50</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79.00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46.20</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81.00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30.00</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WEDNESFIELD 2</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0.43</w:t>
            </w:r>
          </w:p>
        </w:tc>
        <w:tc>
          <w:tcPr>
            <w:tcW w:w="700" w:type="dxa"/>
            <w:tcBorders>
              <w:top w:val="nil"/>
              <w:left w:val="single" w:sz="4" w:space="0" w:color="auto"/>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 </w:t>
            </w:r>
            <w:r w:rsidR="002C4285">
              <w:rPr>
                <w:rFonts w:ascii="Calibri" w:eastAsia="Times New Roman" w:hAnsi="Calibri" w:cs="Times New Roman"/>
                <w:color w:val="000000"/>
              </w:rPr>
              <w:t>-</w:t>
            </w:r>
          </w:p>
        </w:tc>
        <w:tc>
          <w:tcPr>
            <w:tcW w:w="700" w:type="dxa"/>
            <w:tcBorders>
              <w:top w:val="nil"/>
              <w:left w:val="nil"/>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r w:rsidR="00E44303" w:rsidRPr="008D303C">
              <w:rPr>
                <w:rFonts w:ascii="Arial" w:eastAsia="Times New Roman" w:hAnsi="Arial" w:cs="Arial"/>
                <w:sz w:val="20"/>
                <w:szCs w:val="20"/>
              </w:rPr>
              <w:t> </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44.75</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15.38</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WILLENHALL 1</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0.52</w:t>
            </w:r>
          </w:p>
        </w:tc>
        <w:tc>
          <w:tcPr>
            <w:tcW w:w="700" w:type="dxa"/>
            <w:tcBorders>
              <w:top w:val="nil"/>
              <w:left w:val="single" w:sz="4" w:space="0" w:color="auto"/>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159.67</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132.75</w:t>
            </w:r>
          </w:p>
        </w:tc>
        <w:tc>
          <w:tcPr>
            <w:tcW w:w="700" w:type="dxa"/>
            <w:tcBorders>
              <w:top w:val="nil"/>
              <w:left w:val="nil"/>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r w:rsidR="00E44303" w:rsidRPr="008D303C">
              <w:rPr>
                <w:rFonts w:ascii="Arial" w:eastAsia="Times New Roman" w:hAnsi="Arial" w:cs="Arial"/>
                <w:sz w:val="20"/>
                <w:szCs w:val="20"/>
              </w:rPr>
              <w:t> </w:t>
            </w:r>
          </w:p>
        </w:tc>
        <w:tc>
          <w:tcPr>
            <w:tcW w:w="700" w:type="dxa"/>
            <w:tcBorders>
              <w:top w:val="nil"/>
              <w:left w:val="nil"/>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r w:rsidR="00E44303" w:rsidRPr="008D303C">
              <w:rPr>
                <w:rFonts w:ascii="Arial" w:eastAsia="Times New Roman" w:hAnsi="Arial" w:cs="Arial"/>
                <w:sz w:val="20"/>
                <w:szCs w:val="20"/>
              </w:rPr>
              <w:t> </w:t>
            </w:r>
          </w:p>
        </w:tc>
        <w:tc>
          <w:tcPr>
            <w:tcW w:w="700" w:type="dxa"/>
            <w:tcBorders>
              <w:top w:val="nil"/>
              <w:left w:val="nil"/>
              <w:bottom w:val="nil"/>
              <w:right w:val="single" w:sz="4" w:space="0" w:color="auto"/>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r w:rsidR="00E44303" w:rsidRPr="008D303C">
              <w:rPr>
                <w:rFonts w:ascii="Arial" w:eastAsia="Times New Roman" w:hAnsi="Arial" w:cs="Arial"/>
                <w:sz w:val="20"/>
                <w:szCs w:val="20"/>
              </w:rPr>
              <w:t> </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WILLENHALL 15</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0.53</w:t>
            </w:r>
          </w:p>
        </w:tc>
        <w:tc>
          <w:tcPr>
            <w:tcW w:w="700" w:type="dxa"/>
            <w:tcBorders>
              <w:top w:val="nil"/>
              <w:left w:val="single" w:sz="4" w:space="0" w:color="auto"/>
              <w:bottom w:val="nil"/>
              <w:right w:val="nil"/>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 </w:t>
            </w:r>
            <w:r w:rsidR="002C4285">
              <w:rPr>
                <w:rFonts w:ascii="Arial" w:eastAsia="Times New Roman" w:hAnsi="Arial" w:cs="Arial"/>
                <w:sz w:val="20"/>
                <w:szCs w:val="20"/>
              </w:rPr>
              <w:t>-</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113.40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42.70</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52.50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26.00</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WOLVERHAMPTON 3</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0.33</w:t>
            </w:r>
          </w:p>
        </w:tc>
        <w:tc>
          <w:tcPr>
            <w:tcW w:w="700" w:type="dxa"/>
            <w:tcBorders>
              <w:top w:val="nil"/>
              <w:left w:val="single" w:sz="4" w:space="0" w:color="auto"/>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118.71</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109.43</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85.50</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43.90</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 </w:t>
            </w:r>
            <w:r w:rsidR="002C4285">
              <w:rPr>
                <w:rFonts w:ascii="Arial" w:eastAsia="Times New Roman" w:hAnsi="Arial" w:cs="Arial"/>
                <w:sz w:val="20"/>
                <w:szCs w:val="20"/>
              </w:rPr>
              <w:t>-</w:t>
            </w:r>
          </w:p>
        </w:tc>
        <w:tc>
          <w:tcPr>
            <w:tcW w:w="700" w:type="dxa"/>
            <w:tcBorders>
              <w:top w:val="nil"/>
              <w:left w:val="nil"/>
              <w:bottom w:val="nil"/>
              <w:right w:val="single" w:sz="4" w:space="0" w:color="auto"/>
            </w:tcBorders>
            <w:shd w:val="clear" w:color="auto" w:fill="auto"/>
            <w:noWrap/>
            <w:vAlign w:val="bottom"/>
            <w:hideMark/>
          </w:tcPr>
          <w:p w:rsidR="00E44303" w:rsidRPr="008D303C" w:rsidRDefault="002C4285" w:rsidP="00B815DF">
            <w:pPr>
              <w:spacing w:after="0" w:line="240" w:lineRule="auto"/>
              <w:jc w:val="center"/>
              <w:rPr>
                <w:rFonts w:ascii="Arial" w:eastAsia="Times New Roman" w:hAnsi="Arial" w:cs="Arial"/>
                <w:sz w:val="20"/>
                <w:szCs w:val="20"/>
              </w:rPr>
            </w:pPr>
            <w:r>
              <w:rPr>
                <w:rFonts w:ascii="Arial" w:eastAsia="Times New Roman" w:hAnsi="Arial" w:cs="Arial"/>
                <w:sz w:val="20"/>
                <w:szCs w:val="20"/>
              </w:rPr>
              <w:t>-</w:t>
            </w:r>
            <w:r w:rsidR="00E44303" w:rsidRPr="008D303C">
              <w:rPr>
                <w:rFonts w:ascii="Arial" w:eastAsia="Times New Roman" w:hAnsi="Arial" w:cs="Arial"/>
                <w:sz w:val="20"/>
                <w:szCs w:val="20"/>
              </w:rPr>
              <w:t> </w:t>
            </w:r>
          </w:p>
        </w:tc>
      </w:tr>
      <w:tr w:rsidR="00E44303" w:rsidRPr="008D303C" w:rsidTr="00B815DF">
        <w:trPr>
          <w:trHeight w:val="300"/>
        </w:trPr>
        <w:tc>
          <w:tcPr>
            <w:tcW w:w="226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rPr>
                <w:rFonts w:ascii="Arial" w:eastAsia="Times New Roman" w:hAnsi="Arial" w:cs="Arial"/>
                <w:sz w:val="20"/>
                <w:szCs w:val="20"/>
              </w:rPr>
            </w:pPr>
            <w:r w:rsidRPr="008D303C">
              <w:rPr>
                <w:rFonts w:ascii="Arial" w:eastAsia="Times New Roman" w:hAnsi="Arial" w:cs="Arial"/>
                <w:sz w:val="20"/>
                <w:szCs w:val="20"/>
              </w:rPr>
              <w:t>WOLVERHAMPTON 7</w:t>
            </w:r>
          </w:p>
        </w:tc>
        <w:tc>
          <w:tcPr>
            <w:tcW w:w="138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0.33</w:t>
            </w:r>
          </w:p>
        </w:tc>
        <w:tc>
          <w:tcPr>
            <w:tcW w:w="700" w:type="dxa"/>
            <w:tcBorders>
              <w:top w:val="nil"/>
              <w:left w:val="single" w:sz="4" w:space="0" w:color="auto"/>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102.67</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Calibri" w:eastAsia="Times New Roman" w:hAnsi="Calibri" w:cs="Times New Roman"/>
                <w:color w:val="000000"/>
              </w:rPr>
            </w:pPr>
            <w:r w:rsidRPr="008D303C">
              <w:rPr>
                <w:rFonts w:ascii="Calibri" w:eastAsia="Times New Roman" w:hAnsi="Calibri" w:cs="Times New Roman"/>
                <w:color w:val="000000"/>
              </w:rPr>
              <w:t>85.00</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54.83</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23.33</w:t>
            </w:r>
          </w:p>
        </w:tc>
        <w:tc>
          <w:tcPr>
            <w:tcW w:w="700" w:type="dxa"/>
            <w:tcBorders>
              <w:top w:val="nil"/>
              <w:left w:val="nil"/>
              <w:bottom w:val="nil"/>
              <w:right w:val="nil"/>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52.63</w:t>
            </w:r>
          </w:p>
        </w:tc>
        <w:tc>
          <w:tcPr>
            <w:tcW w:w="700" w:type="dxa"/>
            <w:tcBorders>
              <w:top w:val="nil"/>
              <w:left w:val="nil"/>
              <w:bottom w:val="nil"/>
              <w:right w:val="single" w:sz="4" w:space="0" w:color="auto"/>
            </w:tcBorders>
            <w:shd w:val="clear" w:color="auto" w:fill="auto"/>
            <w:noWrap/>
            <w:vAlign w:val="bottom"/>
            <w:hideMark/>
          </w:tcPr>
          <w:p w:rsidR="00E44303" w:rsidRPr="008D303C" w:rsidRDefault="00E44303" w:rsidP="00B815DF">
            <w:pPr>
              <w:spacing w:after="0" w:line="240" w:lineRule="auto"/>
              <w:jc w:val="center"/>
              <w:rPr>
                <w:rFonts w:ascii="Arial" w:eastAsia="Times New Roman" w:hAnsi="Arial" w:cs="Arial"/>
                <w:sz w:val="20"/>
                <w:szCs w:val="20"/>
              </w:rPr>
            </w:pPr>
            <w:r w:rsidRPr="008D303C">
              <w:rPr>
                <w:rFonts w:ascii="Arial" w:eastAsia="Times New Roman" w:hAnsi="Arial" w:cs="Arial"/>
                <w:sz w:val="20"/>
                <w:szCs w:val="20"/>
              </w:rPr>
              <w:t>13.38</w:t>
            </w:r>
          </w:p>
        </w:tc>
      </w:tr>
    </w:tbl>
    <w:p w:rsidR="00E44303" w:rsidRDefault="00E44303" w:rsidP="00E44303">
      <w:pPr>
        <w:rPr>
          <w:sz w:val="24"/>
          <w:szCs w:val="24"/>
        </w:rPr>
      </w:pPr>
    </w:p>
    <w:p w:rsidR="00E44303" w:rsidRDefault="00E44303" w:rsidP="00E44303"/>
    <w:p w:rsidR="00E07344" w:rsidRDefault="00E07344">
      <w:pPr>
        <w:rPr>
          <w:sz w:val="24"/>
          <w:szCs w:val="24"/>
        </w:rPr>
      </w:pPr>
    </w:p>
    <w:sectPr w:rsidR="00E073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9E5" w:rsidRDefault="005679E5" w:rsidP="000D1826">
      <w:pPr>
        <w:spacing w:after="0" w:line="240" w:lineRule="auto"/>
      </w:pPr>
      <w:r>
        <w:separator/>
      </w:r>
    </w:p>
  </w:endnote>
  <w:endnote w:type="continuationSeparator" w:id="0">
    <w:p w:rsidR="005679E5" w:rsidRDefault="005679E5" w:rsidP="000D1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903190"/>
      <w:docPartObj>
        <w:docPartGallery w:val="Page Numbers (Bottom of Page)"/>
        <w:docPartUnique/>
      </w:docPartObj>
    </w:sdtPr>
    <w:sdtEndPr>
      <w:rPr>
        <w:noProof/>
      </w:rPr>
    </w:sdtEndPr>
    <w:sdtContent>
      <w:p w:rsidR="00B815DF" w:rsidRDefault="00B815DF">
        <w:pPr>
          <w:pStyle w:val="Footer"/>
          <w:jc w:val="center"/>
        </w:pPr>
        <w:r>
          <w:fldChar w:fldCharType="begin"/>
        </w:r>
        <w:r>
          <w:instrText xml:space="preserve"> PAGE   \* MERGEFORMAT </w:instrText>
        </w:r>
        <w:r>
          <w:fldChar w:fldCharType="separate"/>
        </w:r>
        <w:r w:rsidR="008B6521">
          <w:rPr>
            <w:noProof/>
          </w:rPr>
          <w:t>1</w:t>
        </w:r>
        <w:r>
          <w:rPr>
            <w:noProof/>
          </w:rPr>
          <w:fldChar w:fldCharType="end"/>
        </w:r>
      </w:p>
    </w:sdtContent>
  </w:sdt>
  <w:p w:rsidR="00B815DF" w:rsidRDefault="00B815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9E5" w:rsidRDefault="005679E5" w:rsidP="000D1826">
      <w:pPr>
        <w:spacing w:after="0" w:line="240" w:lineRule="auto"/>
      </w:pPr>
      <w:r>
        <w:separator/>
      </w:r>
    </w:p>
  </w:footnote>
  <w:footnote w:type="continuationSeparator" w:id="0">
    <w:p w:rsidR="005679E5" w:rsidRDefault="005679E5" w:rsidP="000D18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BB1790"/>
    <w:multiLevelType w:val="hybridMultilevel"/>
    <w:tmpl w:val="39EA4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C863C2"/>
    <w:multiLevelType w:val="hybridMultilevel"/>
    <w:tmpl w:val="80EA2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7D7475"/>
    <w:multiLevelType w:val="hybridMultilevel"/>
    <w:tmpl w:val="DAA8F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EAB"/>
    <w:rsid w:val="00013339"/>
    <w:rsid w:val="0002202E"/>
    <w:rsid w:val="0004388C"/>
    <w:rsid w:val="00045EC0"/>
    <w:rsid w:val="00062B8E"/>
    <w:rsid w:val="00063FDC"/>
    <w:rsid w:val="00073251"/>
    <w:rsid w:val="000815B6"/>
    <w:rsid w:val="0008303A"/>
    <w:rsid w:val="0009163C"/>
    <w:rsid w:val="00092D19"/>
    <w:rsid w:val="00097AF3"/>
    <w:rsid w:val="000C4BA0"/>
    <w:rsid w:val="000C6325"/>
    <w:rsid w:val="000D1826"/>
    <w:rsid w:val="000D477C"/>
    <w:rsid w:val="000E71C3"/>
    <w:rsid w:val="000F1230"/>
    <w:rsid w:val="000F3BC0"/>
    <w:rsid w:val="00106C86"/>
    <w:rsid w:val="0011303E"/>
    <w:rsid w:val="00123676"/>
    <w:rsid w:val="00132BFD"/>
    <w:rsid w:val="001517B8"/>
    <w:rsid w:val="0016075B"/>
    <w:rsid w:val="00160D03"/>
    <w:rsid w:val="00165436"/>
    <w:rsid w:val="0017254B"/>
    <w:rsid w:val="00177373"/>
    <w:rsid w:val="0019630D"/>
    <w:rsid w:val="00196ACE"/>
    <w:rsid w:val="001A50AC"/>
    <w:rsid w:val="001A6A5C"/>
    <w:rsid w:val="001B143F"/>
    <w:rsid w:val="001B38D3"/>
    <w:rsid w:val="001B70BB"/>
    <w:rsid w:val="001D19E8"/>
    <w:rsid w:val="001E1E8B"/>
    <w:rsid w:val="001F551A"/>
    <w:rsid w:val="00201A6D"/>
    <w:rsid w:val="00204D51"/>
    <w:rsid w:val="0021329B"/>
    <w:rsid w:val="002159E7"/>
    <w:rsid w:val="00216EBF"/>
    <w:rsid w:val="002213CB"/>
    <w:rsid w:val="00222539"/>
    <w:rsid w:val="00223376"/>
    <w:rsid w:val="0023006E"/>
    <w:rsid w:val="002302AB"/>
    <w:rsid w:val="002529E7"/>
    <w:rsid w:val="00253634"/>
    <w:rsid w:val="002561CA"/>
    <w:rsid w:val="00264EE7"/>
    <w:rsid w:val="0028053B"/>
    <w:rsid w:val="00280FCA"/>
    <w:rsid w:val="00292D9A"/>
    <w:rsid w:val="00295237"/>
    <w:rsid w:val="002A2F76"/>
    <w:rsid w:val="002C1797"/>
    <w:rsid w:val="002C4285"/>
    <w:rsid w:val="002E1D24"/>
    <w:rsid w:val="002E28BE"/>
    <w:rsid w:val="002E5ECC"/>
    <w:rsid w:val="00304667"/>
    <w:rsid w:val="00307DDB"/>
    <w:rsid w:val="0031216F"/>
    <w:rsid w:val="003158E6"/>
    <w:rsid w:val="00334356"/>
    <w:rsid w:val="00343AB4"/>
    <w:rsid w:val="00343D11"/>
    <w:rsid w:val="00346CDA"/>
    <w:rsid w:val="0035632C"/>
    <w:rsid w:val="00365DB0"/>
    <w:rsid w:val="0037365C"/>
    <w:rsid w:val="00383463"/>
    <w:rsid w:val="00385896"/>
    <w:rsid w:val="00391221"/>
    <w:rsid w:val="003A0AF5"/>
    <w:rsid w:val="003A2963"/>
    <w:rsid w:val="003C3680"/>
    <w:rsid w:val="003D040F"/>
    <w:rsid w:val="003E1055"/>
    <w:rsid w:val="003E3D9E"/>
    <w:rsid w:val="003F22FD"/>
    <w:rsid w:val="003F3106"/>
    <w:rsid w:val="003F5728"/>
    <w:rsid w:val="003F5F32"/>
    <w:rsid w:val="00413453"/>
    <w:rsid w:val="00414245"/>
    <w:rsid w:val="004179C7"/>
    <w:rsid w:val="004343B9"/>
    <w:rsid w:val="004345FD"/>
    <w:rsid w:val="004401C1"/>
    <w:rsid w:val="004409BD"/>
    <w:rsid w:val="00444037"/>
    <w:rsid w:val="00447F2F"/>
    <w:rsid w:val="00472233"/>
    <w:rsid w:val="00485262"/>
    <w:rsid w:val="0048675D"/>
    <w:rsid w:val="00496D48"/>
    <w:rsid w:val="004A1D59"/>
    <w:rsid w:val="004B5D5C"/>
    <w:rsid w:val="004E45BE"/>
    <w:rsid w:val="004E6936"/>
    <w:rsid w:val="004F47A3"/>
    <w:rsid w:val="005053E1"/>
    <w:rsid w:val="005060D0"/>
    <w:rsid w:val="00512705"/>
    <w:rsid w:val="00544FA5"/>
    <w:rsid w:val="0055293C"/>
    <w:rsid w:val="00555324"/>
    <w:rsid w:val="00557AC8"/>
    <w:rsid w:val="005679E5"/>
    <w:rsid w:val="00594D8C"/>
    <w:rsid w:val="005A259C"/>
    <w:rsid w:val="005A7E33"/>
    <w:rsid w:val="005C185C"/>
    <w:rsid w:val="005D41A5"/>
    <w:rsid w:val="005D4615"/>
    <w:rsid w:val="005E144E"/>
    <w:rsid w:val="005E1C59"/>
    <w:rsid w:val="005E285D"/>
    <w:rsid w:val="005E4345"/>
    <w:rsid w:val="005F0E01"/>
    <w:rsid w:val="00604F27"/>
    <w:rsid w:val="006142AB"/>
    <w:rsid w:val="006165F5"/>
    <w:rsid w:val="00622176"/>
    <w:rsid w:val="0063239F"/>
    <w:rsid w:val="0064205C"/>
    <w:rsid w:val="00650728"/>
    <w:rsid w:val="00650B87"/>
    <w:rsid w:val="00665CD5"/>
    <w:rsid w:val="00671C59"/>
    <w:rsid w:val="00672EE4"/>
    <w:rsid w:val="00676B96"/>
    <w:rsid w:val="006A0899"/>
    <w:rsid w:val="006A3B61"/>
    <w:rsid w:val="006C22F6"/>
    <w:rsid w:val="006D4777"/>
    <w:rsid w:val="006D7257"/>
    <w:rsid w:val="006F0A06"/>
    <w:rsid w:val="006F31AB"/>
    <w:rsid w:val="00710820"/>
    <w:rsid w:val="007115B3"/>
    <w:rsid w:val="00712EDA"/>
    <w:rsid w:val="00754D94"/>
    <w:rsid w:val="00765476"/>
    <w:rsid w:val="007676FF"/>
    <w:rsid w:val="00775A01"/>
    <w:rsid w:val="00775FA0"/>
    <w:rsid w:val="007A00AD"/>
    <w:rsid w:val="007B1AB1"/>
    <w:rsid w:val="007B3020"/>
    <w:rsid w:val="007C23F8"/>
    <w:rsid w:val="007E2DDE"/>
    <w:rsid w:val="007E62B8"/>
    <w:rsid w:val="007F5B35"/>
    <w:rsid w:val="0080414D"/>
    <w:rsid w:val="0080774E"/>
    <w:rsid w:val="00810992"/>
    <w:rsid w:val="008131AA"/>
    <w:rsid w:val="008233FD"/>
    <w:rsid w:val="008237AF"/>
    <w:rsid w:val="00833295"/>
    <w:rsid w:val="00843D57"/>
    <w:rsid w:val="00844EA8"/>
    <w:rsid w:val="00847DBA"/>
    <w:rsid w:val="00855B75"/>
    <w:rsid w:val="0086080A"/>
    <w:rsid w:val="008623ED"/>
    <w:rsid w:val="00866665"/>
    <w:rsid w:val="008764C4"/>
    <w:rsid w:val="00885D4F"/>
    <w:rsid w:val="008904F3"/>
    <w:rsid w:val="008A089B"/>
    <w:rsid w:val="008A238E"/>
    <w:rsid w:val="008B02D2"/>
    <w:rsid w:val="008B2FB2"/>
    <w:rsid w:val="008B6521"/>
    <w:rsid w:val="008C1800"/>
    <w:rsid w:val="008C66F1"/>
    <w:rsid w:val="008C7289"/>
    <w:rsid w:val="008D1C35"/>
    <w:rsid w:val="008D303C"/>
    <w:rsid w:val="008D5048"/>
    <w:rsid w:val="008E6425"/>
    <w:rsid w:val="008F0155"/>
    <w:rsid w:val="008F2ED6"/>
    <w:rsid w:val="008F604C"/>
    <w:rsid w:val="009012BB"/>
    <w:rsid w:val="009346EE"/>
    <w:rsid w:val="009440D6"/>
    <w:rsid w:val="00946790"/>
    <w:rsid w:val="00950299"/>
    <w:rsid w:val="009503D5"/>
    <w:rsid w:val="00951D96"/>
    <w:rsid w:val="009570A9"/>
    <w:rsid w:val="00961DE7"/>
    <w:rsid w:val="009620FC"/>
    <w:rsid w:val="009632A4"/>
    <w:rsid w:val="009650B2"/>
    <w:rsid w:val="009848BD"/>
    <w:rsid w:val="009C6E8B"/>
    <w:rsid w:val="009D0867"/>
    <w:rsid w:val="009E2079"/>
    <w:rsid w:val="00A034C9"/>
    <w:rsid w:val="00A03788"/>
    <w:rsid w:val="00A05552"/>
    <w:rsid w:val="00A173A6"/>
    <w:rsid w:val="00A238C4"/>
    <w:rsid w:val="00A3093D"/>
    <w:rsid w:val="00A3548E"/>
    <w:rsid w:val="00A40E7C"/>
    <w:rsid w:val="00A510AA"/>
    <w:rsid w:val="00A73A3C"/>
    <w:rsid w:val="00A74800"/>
    <w:rsid w:val="00AA0327"/>
    <w:rsid w:val="00AA7DE1"/>
    <w:rsid w:val="00AB108F"/>
    <w:rsid w:val="00AB4514"/>
    <w:rsid w:val="00AB51CD"/>
    <w:rsid w:val="00AC709F"/>
    <w:rsid w:val="00AC7D14"/>
    <w:rsid w:val="00AD0315"/>
    <w:rsid w:val="00AD05E4"/>
    <w:rsid w:val="00AE38AB"/>
    <w:rsid w:val="00AE5FD1"/>
    <w:rsid w:val="00AE7D6D"/>
    <w:rsid w:val="00B12DE0"/>
    <w:rsid w:val="00B22598"/>
    <w:rsid w:val="00B3034B"/>
    <w:rsid w:val="00B3041A"/>
    <w:rsid w:val="00B306D2"/>
    <w:rsid w:val="00B31B23"/>
    <w:rsid w:val="00B3228D"/>
    <w:rsid w:val="00B348E6"/>
    <w:rsid w:val="00B40924"/>
    <w:rsid w:val="00B47C58"/>
    <w:rsid w:val="00B51A55"/>
    <w:rsid w:val="00B520CF"/>
    <w:rsid w:val="00B71057"/>
    <w:rsid w:val="00B74E8E"/>
    <w:rsid w:val="00B815DF"/>
    <w:rsid w:val="00B90A58"/>
    <w:rsid w:val="00B960F5"/>
    <w:rsid w:val="00B97A2D"/>
    <w:rsid w:val="00BA719C"/>
    <w:rsid w:val="00BB3627"/>
    <w:rsid w:val="00BB4F26"/>
    <w:rsid w:val="00BE2362"/>
    <w:rsid w:val="00BE4E9C"/>
    <w:rsid w:val="00BE6C44"/>
    <w:rsid w:val="00C120A4"/>
    <w:rsid w:val="00C17B38"/>
    <w:rsid w:val="00C21745"/>
    <w:rsid w:val="00C243FB"/>
    <w:rsid w:val="00C33E4B"/>
    <w:rsid w:val="00C3473E"/>
    <w:rsid w:val="00C3475F"/>
    <w:rsid w:val="00C46B42"/>
    <w:rsid w:val="00C578C7"/>
    <w:rsid w:val="00C63D50"/>
    <w:rsid w:val="00C86CCB"/>
    <w:rsid w:val="00C8701F"/>
    <w:rsid w:val="00C947D2"/>
    <w:rsid w:val="00CA1763"/>
    <w:rsid w:val="00CA77DA"/>
    <w:rsid w:val="00CB1922"/>
    <w:rsid w:val="00CC1CDE"/>
    <w:rsid w:val="00CC5233"/>
    <w:rsid w:val="00CD43D1"/>
    <w:rsid w:val="00CE28C6"/>
    <w:rsid w:val="00CF4FE5"/>
    <w:rsid w:val="00D0087B"/>
    <w:rsid w:val="00D04148"/>
    <w:rsid w:val="00D0779B"/>
    <w:rsid w:val="00D25394"/>
    <w:rsid w:val="00D36AB5"/>
    <w:rsid w:val="00D46644"/>
    <w:rsid w:val="00D60268"/>
    <w:rsid w:val="00D82790"/>
    <w:rsid w:val="00D94F04"/>
    <w:rsid w:val="00D95BCD"/>
    <w:rsid w:val="00D966C8"/>
    <w:rsid w:val="00D97989"/>
    <w:rsid w:val="00DA7B76"/>
    <w:rsid w:val="00DC3C1C"/>
    <w:rsid w:val="00DD217A"/>
    <w:rsid w:val="00DD3DAC"/>
    <w:rsid w:val="00DD720D"/>
    <w:rsid w:val="00DE4CEA"/>
    <w:rsid w:val="00DF3721"/>
    <w:rsid w:val="00E050CB"/>
    <w:rsid w:val="00E07344"/>
    <w:rsid w:val="00E21B66"/>
    <w:rsid w:val="00E323B2"/>
    <w:rsid w:val="00E324E5"/>
    <w:rsid w:val="00E3570F"/>
    <w:rsid w:val="00E4003F"/>
    <w:rsid w:val="00E44303"/>
    <w:rsid w:val="00E447B3"/>
    <w:rsid w:val="00E47407"/>
    <w:rsid w:val="00E54628"/>
    <w:rsid w:val="00E670EE"/>
    <w:rsid w:val="00E67218"/>
    <w:rsid w:val="00E7183A"/>
    <w:rsid w:val="00E756AD"/>
    <w:rsid w:val="00E75E47"/>
    <w:rsid w:val="00E830E5"/>
    <w:rsid w:val="00E83258"/>
    <w:rsid w:val="00E93D62"/>
    <w:rsid w:val="00EA0E26"/>
    <w:rsid w:val="00EB77AA"/>
    <w:rsid w:val="00EC57F4"/>
    <w:rsid w:val="00EC6049"/>
    <w:rsid w:val="00ED1791"/>
    <w:rsid w:val="00ED58F0"/>
    <w:rsid w:val="00EE6523"/>
    <w:rsid w:val="00EF64DB"/>
    <w:rsid w:val="00F02C15"/>
    <w:rsid w:val="00F12330"/>
    <w:rsid w:val="00F16662"/>
    <w:rsid w:val="00F20551"/>
    <w:rsid w:val="00F241E2"/>
    <w:rsid w:val="00F27DA9"/>
    <w:rsid w:val="00F30154"/>
    <w:rsid w:val="00F34B5B"/>
    <w:rsid w:val="00F47451"/>
    <w:rsid w:val="00F5102E"/>
    <w:rsid w:val="00F55439"/>
    <w:rsid w:val="00F63633"/>
    <w:rsid w:val="00F66645"/>
    <w:rsid w:val="00F72EAB"/>
    <w:rsid w:val="00F73B7F"/>
    <w:rsid w:val="00F8393E"/>
    <w:rsid w:val="00FA71DB"/>
    <w:rsid w:val="00FB60A8"/>
    <w:rsid w:val="00FB6E0F"/>
    <w:rsid w:val="00FC1211"/>
    <w:rsid w:val="00FC15FE"/>
    <w:rsid w:val="00FC5B11"/>
    <w:rsid w:val="00FD0D2A"/>
    <w:rsid w:val="00FE104D"/>
    <w:rsid w:val="00FE10C5"/>
    <w:rsid w:val="00FE1713"/>
    <w:rsid w:val="00FE4DF4"/>
    <w:rsid w:val="00FE5127"/>
    <w:rsid w:val="00FE65BF"/>
    <w:rsid w:val="00FE6AD2"/>
    <w:rsid w:val="00FF03D7"/>
    <w:rsid w:val="00FF3AB0"/>
    <w:rsid w:val="00FF4AB0"/>
    <w:rsid w:val="00FF6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0EE"/>
  </w:style>
  <w:style w:type="paragraph" w:styleId="Heading1">
    <w:name w:val="heading 1"/>
    <w:basedOn w:val="Normal"/>
    <w:link w:val="Heading1Char"/>
    <w:uiPriority w:val="9"/>
    <w:qFormat/>
    <w:rsid w:val="00D979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670EE"/>
    <w:rPr>
      <w:sz w:val="16"/>
      <w:szCs w:val="16"/>
    </w:rPr>
  </w:style>
  <w:style w:type="paragraph" w:styleId="CommentText">
    <w:name w:val="annotation text"/>
    <w:basedOn w:val="Normal"/>
    <w:link w:val="CommentTextChar"/>
    <w:uiPriority w:val="99"/>
    <w:unhideWhenUsed/>
    <w:rsid w:val="00E670EE"/>
    <w:pPr>
      <w:spacing w:line="240" w:lineRule="auto"/>
    </w:pPr>
    <w:rPr>
      <w:sz w:val="20"/>
      <w:szCs w:val="20"/>
    </w:rPr>
  </w:style>
  <w:style w:type="character" w:customStyle="1" w:styleId="CommentTextChar">
    <w:name w:val="Comment Text Char"/>
    <w:basedOn w:val="DefaultParagraphFont"/>
    <w:link w:val="CommentText"/>
    <w:uiPriority w:val="99"/>
    <w:rsid w:val="00E670EE"/>
    <w:rPr>
      <w:sz w:val="20"/>
      <w:szCs w:val="20"/>
    </w:rPr>
  </w:style>
  <w:style w:type="paragraph" w:styleId="BalloonText">
    <w:name w:val="Balloon Text"/>
    <w:basedOn w:val="Normal"/>
    <w:link w:val="BalloonTextChar"/>
    <w:uiPriority w:val="99"/>
    <w:semiHidden/>
    <w:unhideWhenUsed/>
    <w:rsid w:val="00E67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0EE"/>
    <w:rPr>
      <w:rFonts w:ascii="Tahoma" w:hAnsi="Tahoma" w:cs="Tahoma"/>
      <w:sz w:val="16"/>
      <w:szCs w:val="16"/>
    </w:rPr>
  </w:style>
  <w:style w:type="character" w:styleId="Hyperlink">
    <w:name w:val="Hyperlink"/>
    <w:basedOn w:val="DefaultParagraphFont"/>
    <w:uiPriority w:val="99"/>
    <w:unhideWhenUsed/>
    <w:rsid w:val="00BE6C44"/>
    <w:rPr>
      <w:color w:val="0000FF" w:themeColor="hyperlink"/>
      <w:u w:val="single"/>
    </w:rPr>
  </w:style>
  <w:style w:type="table" w:styleId="TableGrid">
    <w:name w:val="Table Grid"/>
    <w:basedOn w:val="TableNormal"/>
    <w:uiPriority w:val="59"/>
    <w:rsid w:val="00BE6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D1791"/>
    <w:rPr>
      <w:b/>
      <w:bCs/>
    </w:rPr>
  </w:style>
  <w:style w:type="character" w:customStyle="1" w:styleId="CommentSubjectChar">
    <w:name w:val="Comment Subject Char"/>
    <w:basedOn w:val="CommentTextChar"/>
    <w:link w:val="CommentSubject"/>
    <w:uiPriority w:val="99"/>
    <w:semiHidden/>
    <w:rsid w:val="00ED1791"/>
    <w:rPr>
      <w:b/>
      <w:bCs/>
      <w:sz w:val="20"/>
      <w:szCs w:val="20"/>
    </w:rPr>
  </w:style>
  <w:style w:type="paragraph" w:styleId="NormalWeb">
    <w:name w:val="Normal (Web)"/>
    <w:basedOn w:val="Normal"/>
    <w:uiPriority w:val="99"/>
    <w:semiHidden/>
    <w:unhideWhenUsed/>
    <w:rsid w:val="002561CA"/>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link w:val="NoSpacingChar"/>
    <w:qFormat/>
    <w:rsid w:val="00AB108F"/>
    <w:pPr>
      <w:spacing w:after="0" w:line="240" w:lineRule="auto"/>
    </w:pPr>
    <w:rPr>
      <w:rFonts w:ascii="Times New Roman" w:eastAsia="Times New Roman" w:hAnsi="Times New Roman" w:cs="Times New Roman"/>
      <w:color w:val="000000"/>
      <w:sz w:val="24"/>
      <w:szCs w:val="20"/>
    </w:rPr>
  </w:style>
  <w:style w:type="character" w:customStyle="1" w:styleId="NoSpacingChar">
    <w:name w:val="No Spacing Char"/>
    <w:link w:val="NoSpacing"/>
    <w:rsid w:val="00AB108F"/>
    <w:rPr>
      <w:rFonts w:ascii="Times New Roman" w:eastAsia="Times New Roman" w:hAnsi="Times New Roman" w:cs="Times New Roman"/>
      <w:color w:val="000000"/>
      <w:sz w:val="24"/>
      <w:szCs w:val="20"/>
    </w:rPr>
  </w:style>
  <w:style w:type="paragraph" w:styleId="ListParagraph">
    <w:name w:val="List Paragraph"/>
    <w:basedOn w:val="Normal"/>
    <w:uiPriority w:val="34"/>
    <w:qFormat/>
    <w:rsid w:val="00D97989"/>
    <w:pPr>
      <w:ind w:left="720"/>
      <w:contextualSpacing/>
    </w:pPr>
  </w:style>
  <w:style w:type="character" w:customStyle="1" w:styleId="Heading1Char">
    <w:name w:val="Heading 1 Char"/>
    <w:basedOn w:val="DefaultParagraphFont"/>
    <w:link w:val="Heading1"/>
    <w:uiPriority w:val="9"/>
    <w:rsid w:val="00D97989"/>
    <w:rPr>
      <w:rFonts w:ascii="Times New Roman" w:eastAsia="Times New Roman" w:hAnsi="Times New Roman" w:cs="Times New Roman"/>
      <w:b/>
      <w:bCs/>
      <w:kern w:val="36"/>
      <w:sz w:val="48"/>
      <w:szCs w:val="48"/>
    </w:rPr>
  </w:style>
  <w:style w:type="character" w:customStyle="1" w:styleId="postal-code">
    <w:name w:val="postal-code"/>
    <w:basedOn w:val="DefaultParagraphFont"/>
    <w:rsid w:val="00D97989"/>
  </w:style>
  <w:style w:type="paragraph" w:styleId="BodyText">
    <w:name w:val="Body Text"/>
    <w:basedOn w:val="Normal"/>
    <w:link w:val="BodyTextChar"/>
    <w:semiHidden/>
    <w:rsid w:val="00FE1713"/>
    <w:pPr>
      <w:spacing w:after="0" w:line="240" w:lineRule="auto"/>
    </w:pPr>
    <w:rPr>
      <w:rFonts w:ascii="Times New Roman" w:eastAsia="Times New Roman" w:hAnsi="Times New Roman" w:cs="Times New Roman"/>
      <w:b/>
      <w:bCs/>
      <w:sz w:val="24"/>
      <w:szCs w:val="24"/>
      <w:lang w:val="en-GB"/>
    </w:rPr>
  </w:style>
  <w:style w:type="character" w:customStyle="1" w:styleId="BodyTextChar">
    <w:name w:val="Body Text Char"/>
    <w:basedOn w:val="DefaultParagraphFont"/>
    <w:link w:val="BodyText"/>
    <w:semiHidden/>
    <w:rsid w:val="00FE1713"/>
    <w:rPr>
      <w:rFonts w:ascii="Times New Roman" w:eastAsia="Times New Roman" w:hAnsi="Times New Roman" w:cs="Times New Roman"/>
      <w:b/>
      <w:bCs/>
      <w:sz w:val="24"/>
      <w:szCs w:val="24"/>
      <w:lang w:val="en-GB"/>
    </w:rPr>
  </w:style>
  <w:style w:type="paragraph" w:styleId="PlainText">
    <w:name w:val="Plain Text"/>
    <w:basedOn w:val="Normal"/>
    <w:link w:val="PlainTextChar"/>
    <w:uiPriority w:val="99"/>
    <w:unhideWhenUsed/>
    <w:rsid w:val="00B90A58"/>
    <w:pPr>
      <w:spacing w:after="0" w:line="240" w:lineRule="auto"/>
    </w:pPr>
    <w:rPr>
      <w:rFonts w:ascii="Consolas" w:hAnsi="Consolas" w:cs="Consolas"/>
      <w:color w:val="000000"/>
      <w:sz w:val="21"/>
      <w:szCs w:val="21"/>
    </w:rPr>
  </w:style>
  <w:style w:type="character" w:customStyle="1" w:styleId="PlainTextChar">
    <w:name w:val="Plain Text Char"/>
    <w:basedOn w:val="DefaultParagraphFont"/>
    <w:link w:val="PlainText"/>
    <w:uiPriority w:val="99"/>
    <w:rsid w:val="00B90A58"/>
    <w:rPr>
      <w:rFonts w:ascii="Consolas" w:hAnsi="Consolas" w:cs="Consolas"/>
      <w:color w:val="000000"/>
      <w:sz w:val="21"/>
      <w:szCs w:val="21"/>
    </w:rPr>
  </w:style>
  <w:style w:type="paragraph" w:styleId="Header">
    <w:name w:val="header"/>
    <w:basedOn w:val="Normal"/>
    <w:link w:val="HeaderChar"/>
    <w:uiPriority w:val="99"/>
    <w:unhideWhenUsed/>
    <w:rsid w:val="000D1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826"/>
  </w:style>
  <w:style w:type="paragraph" w:styleId="Footer">
    <w:name w:val="footer"/>
    <w:basedOn w:val="Normal"/>
    <w:link w:val="FooterChar"/>
    <w:uiPriority w:val="99"/>
    <w:unhideWhenUsed/>
    <w:rsid w:val="000D1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826"/>
  </w:style>
  <w:style w:type="character" w:styleId="LineNumber">
    <w:name w:val="line number"/>
    <w:basedOn w:val="DefaultParagraphFont"/>
    <w:uiPriority w:val="99"/>
    <w:semiHidden/>
    <w:unhideWhenUsed/>
    <w:rsid w:val="00B815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0EE"/>
  </w:style>
  <w:style w:type="paragraph" w:styleId="Heading1">
    <w:name w:val="heading 1"/>
    <w:basedOn w:val="Normal"/>
    <w:link w:val="Heading1Char"/>
    <w:uiPriority w:val="9"/>
    <w:qFormat/>
    <w:rsid w:val="00D979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670EE"/>
    <w:rPr>
      <w:sz w:val="16"/>
      <w:szCs w:val="16"/>
    </w:rPr>
  </w:style>
  <w:style w:type="paragraph" w:styleId="CommentText">
    <w:name w:val="annotation text"/>
    <w:basedOn w:val="Normal"/>
    <w:link w:val="CommentTextChar"/>
    <w:uiPriority w:val="99"/>
    <w:unhideWhenUsed/>
    <w:rsid w:val="00E670EE"/>
    <w:pPr>
      <w:spacing w:line="240" w:lineRule="auto"/>
    </w:pPr>
    <w:rPr>
      <w:sz w:val="20"/>
      <w:szCs w:val="20"/>
    </w:rPr>
  </w:style>
  <w:style w:type="character" w:customStyle="1" w:styleId="CommentTextChar">
    <w:name w:val="Comment Text Char"/>
    <w:basedOn w:val="DefaultParagraphFont"/>
    <w:link w:val="CommentText"/>
    <w:uiPriority w:val="99"/>
    <w:rsid w:val="00E670EE"/>
    <w:rPr>
      <w:sz w:val="20"/>
      <w:szCs w:val="20"/>
    </w:rPr>
  </w:style>
  <w:style w:type="paragraph" w:styleId="BalloonText">
    <w:name w:val="Balloon Text"/>
    <w:basedOn w:val="Normal"/>
    <w:link w:val="BalloonTextChar"/>
    <w:uiPriority w:val="99"/>
    <w:semiHidden/>
    <w:unhideWhenUsed/>
    <w:rsid w:val="00E67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0EE"/>
    <w:rPr>
      <w:rFonts w:ascii="Tahoma" w:hAnsi="Tahoma" w:cs="Tahoma"/>
      <w:sz w:val="16"/>
      <w:szCs w:val="16"/>
    </w:rPr>
  </w:style>
  <w:style w:type="character" w:styleId="Hyperlink">
    <w:name w:val="Hyperlink"/>
    <w:basedOn w:val="DefaultParagraphFont"/>
    <w:uiPriority w:val="99"/>
    <w:unhideWhenUsed/>
    <w:rsid w:val="00BE6C44"/>
    <w:rPr>
      <w:color w:val="0000FF" w:themeColor="hyperlink"/>
      <w:u w:val="single"/>
    </w:rPr>
  </w:style>
  <w:style w:type="table" w:styleId="TableGrid">
    <w:name w:val="Table Grid"/>
    <w:basedOn w:val="TableNormal"/>
    <w:uiPriority w:val="59"/>
    <w:rsid w:val="00BE6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D1791"/>
    <w:rPr>
      <w:b/>
      <w:bCs/>
    </w:rPr>
  </w:style>
  <w:style w:type="character" w:customStyle="1" w:styleId="CommentSubjectChar">
    <w:name w:val="Comment Subject Char"/>
    <w:basedOn w:val="CommentTextChar"/>
    <w:link w:val="CommentSubject"/>
    <w:uiPriority w:val="99"/>
    <w:semiHidden/>
    <w:rsid w:val="00ED1791"/>
    <w:rPr>
      <w:b/>
      <w:bCs/>
      <w:sz w:val="20"/>
      <w:szCs w:val="20"/>
    </w:rPr>
  </w:style>
  <w:style w:type="paragraph" w:styleId="NormalWeb">
    <w:name w:val="Normal (Web)"/>
    <w:basedOn w:val="Normal"/>
    <w:uiPriority w:val="99"/>
    <w:semiHidden/>
    <w:unhideWhenUsed/>
    <w:rsid w:val="002561CA"/>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link w:val="NoSpacingChar"/>
    <w:qFormat/>
    <w:rsid w:val="00AB108F"/>
    <w:pPr>
      <w:spacing w:after="0" w:line="240" w:lineRule="auto"/>
    </w:pPr>
    <w:rPr>
      <w:rFonts w:ascii="Times New Roman" w:eastAsia="Times New Roman" w:hAnsi="Times New Roman" w:cs="Times New Roman"/>
      <w:color w:val="000000"/>
      <w:sz w:val="24"/>
      <w:szCs w:val="20"/>
    </w:rPr>
  </w:style>
  <w:style w:type="character" w:customStyle="1" w:styleId="NoSpacingChar">
    <w:name w:val="No Spacing Char"/>
    <w:link w:val="NoSpacing"/>
    <w:rsid w:val="00AB108F"/>
    <w:rPr>
      <w:rFonts w:ascii="Times New Roman" w:eastAsia="Times New Roman" w:hAnsi="Times New Roman" w:cs="Times New Roman"/>
      <w:color w:val="000000"/>
      <w:sz w:val="24"/>
      <w:szCs w:val="20"/>
    </w:rPr>
  </w:style>
  <w:style w:type="paragraph" w:styleId="ListParagraph">
    <w:name w:val="List Paragraph"/>
    <w:basedOn w:val="Normal"/>
    <w:uiPriority w:val="34"/>
    <w:qFormat/>
    <w:rsid w:val="00D97989"/>
    <w:pPr>
      <w:ind w:left="720"/>
      <w:contextualSpacing/>
    </w:pPr>
  </w:style>
  <w:style w:type="character" w:customStyle="1" w:styleId="Heading1Char">
    <w:name w:val="Heading 1 Char"/>
    <w:basedOn w:val="DefaultParagraphFont"/>
    <w:link w:val="Heading1"/>
    <w:uiPriority w:val="9"/>
    <w:rsid w:val="00D97989"/>
    <w:rPr>
      <w:rFonts w:ascii="Times New Roman" w:eastAsia="Times New Roman" w:hAnsi="Times New Roman" w:cs="Times New Roman"/>
      <w:b/>
      <w:bCs/>
      <w:kern w:val="36"/>
      <w:sz w:val="48"/>
      <w:szCs w:val="48"/>
    </w:rPr>
  </w:style>
  <w:style w:type="character" w:customStyle="1" w:styleId="postal-code">
    <w:name w:val="postal-code"/>
    <w:basedOn w:val="DefaultParagraphFont"/>
    <w:rsid w:val="00D97989"/>
  </w:style>
  <w:style w:type="paragraph" w:styleId="BodyText">
    <w:name w:val="Body Text"/>
    <w:basedOn w:val="Normal"/>
    <w:link w:val="BodyTextChar"/>
    <w:semiHidden/>
    <w:rsid w:val="00FE1713"/>
    <w:pPr>
      <w:spacing w:after="0" w:line="240" w:lineRule="auto"/>
    </w:pPr>
    <w:rPr>
      <w:rFonts w:ascii="Times New Roman" w:eastAsia="Times New Roman" w:hAnsi="Times New Roman" w:cs="Times New Roman"/>
      <w:b/>
      <w:bCs/>
      <w:sz w:val="24"/>
      <w:szCs w:val="24"/>
      <w:lang w:val="en-GB"/>
    </w:rPr>
  </w:style>
  <w:style w:type="character" w:customStyle="1" w:styleId="BodyTextChar">
    <w:name w:val="Body Text Char"/>
    <w:basedOn w:val="DefaultParagraphFont"/>
    <w:link w:val="BodyText"/>
    <w:semiHidden/>
    <w:rsid w:val="00FE1713"/>
    <w:rPr>
      <w:rFonts w:ascii="Times New Roman" w:eastAsia="Times New Roman" w:hAnsi="Times New Roman" w:cs="Times New Roman"/>
      <w:b/>
      <w:bCs/>
      <w:sz w:val="24"/>
      <w:szCs w:val="24"/>
      <w:lang w:val="en-GB"/>
    </w:rPr>
  </w:style>
  <w:style w:type="paragraph" w:styleId="PlainText">
    <w:name w:val="Plain Text"/>
    <w:basedOn w:val="Normal"/>
    <w:link w:val="PlainTextChar"/>
    <w:uiPriority w:val="99"/>
    <w:unhideWhenUsed/>
    <w:rsid w:val="00B90A58"/>
    <w:pPr>
      <w:spacing w:after="0" w:line="240" w:lineRule="auto"/>
    </w:pPr>
    <w:rPr>
      <w:rFonts w:ascii="Consolas" w:hAnsi="Consolas" w:cs="Consolas"/>
      <w:color w:val="000000"/>
      <w:sz w:val="21"/>
      <w:szCs w:val="21"/>
    </w:rPr>
  </w:style>
  <w:style w:type="character" w:customStyle="1" w:styleId="PlainTextChar">
    <w:name w:val="Plain Text Char"/>
    <w:basedOn w:val="DefaultParagraphFont"/>
    <w:link w:val="PlainText"/>
    <w:uiPriority w:val="99"/>
    <w:rsid w:val="00B90A58"/>
    <w:rPr>
      <w:rFonts w:ascii="Consolas" w:hAnsi="Consolas" w:cs="Consolas"/>
      <w:color w:val="000000"/>
      <w:sz w:val="21"/>
      <w:szCs w:val="21"/>
    </w:rPr>
  </w:style>
  <w:style w:type="paragraph" w:styleId="Header">
    <w:name w:val="header"/>
    <w:basedOn w:val="Normal"/>
    <w:link w:val="HeaderChar"/>
    <w:uiPriority w:val="99"/>
    <w:unhideWhenUsed/>
    <w:rsid w:val="000D1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826"/>
  </w:style>
  <w:style w:type="paragraph" w:styleId="Footer">
    <w:name w:val="footer"/>
    <w:basedOn w:val="Normal"/>
    <w:link w:val="FooterChar"/>
    <w:uiPriority w:val="99"/>
    <w:unhideWhenUsed/>
    <w:rsid w:val="000D1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826"/>
  </w:style>
  <w:style w:type="character" w:styleId="LineNumber">
    <w:name w:val="line number"/>
    <w:basedOn w:val="DefaultParagraphFont"/>
    <w:uiPriority w:val="99"/>
    <w:semiHidden/>
    <w:unhideWhenUsed/>
    <w:rsid w:val="00B815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76561">
      <w:bodyDiv w:val="1"/>
      <w:marLeft w:val="0"/>
      <w:marRight w:val="0"/>
      <w:marTop w:val="0"/>
      <w:marBottom w:val="0"/>
      <w:divBdr>
        <w:top w:val="none" w:sz="0" w:space="0" w:color="auto"/>
        <w:left w:val="none" w:sz="0" w:space="0" w:color="auto"/>
        <w:bottom w:val="none" w:sz="0" w:space="0" w:color="auto"/>
        <w:right w:val="none" w:sz="0" w:space="0" w:color="auto"/>
      </w:divBdr>
    </w:div>
    <w:div w:id="70664379">
      <w:bodyDiv w:val="1"/>
      <w:marLeft w:val="0"/>
      <w:marRight w:val="0"/>
      <w:marTop w:val="0"/>
      <w:marBottom w:val="0"/>
      <w:divBdr>
        <w:top w:val="none" w:sz="0" w:space="0" w:color="auto"/>
        <w:left w:val="none" w:sz="0" w:space="0" w:color="auto"/>
        <w:bottom w:val="none" w:sz="0" w:space="0" w:color="auto"/>
        <w:right w:val="none" w:sz="0" w:space="0" w:color="auto"/>
      </w:divBdr>
    </w:div>
    <w:div w:id="199634335">
      <w:bodyDiv w:val="1"/>
      <w:marLeft w:val="0"/>
      <w:marRight w:val="0"/>
      <w:marTop w:val="0"/>
      <w:marBottom w:val="0"/>
      <w:divBdr>
        <w:top w:val="none" w:sz="0" w:space="0" w:color="auto"/>
        <w:left w:val="none" w:sz="0" w:space="0" w:color="auto"/>
        <w:bottom w:val="none" w:sz="0" w:space="0" w:color="auto"/>
        <w:right w:val="none" w:sz="0" w:space="0" w:color="auto"/>
      </w:divBdr>
    </w:div>
    <w:div w:id="318732158">
      <w:bodyDiv w:val="1"/>
      <w:marLeft w:val="0"/>
      <w:marRight w:val="0"/>
      <w:marTop w:val="0"/>
      <w:marBottom w:val="0"/>
      <w:divBdr>
        <w:top w:val="none" w:sz="0" w:space="0" w:color="auto"/>
        <w:left w:val="none" w:sz="0" w:space="0" w:color="auto"/>
        <w:bottom w:val="none" w:sz="0" w:space="0" w:color="auto"/>
        <w:right w:val="none" w:sz="0" w:space="0" w:color="auto"/>
      </w:divBdr>
    </w:div>
    <w:div w:id="362444656">
      <w:bodyDiv w:val="1"/>
      <w:marLeft w:val="0"/>
      <w:marRight w:val="0"/>
      <w:marTop w:val="0"/>
      <w:marBottom w:val="0"/>
      <w:divBdr>
        <w:top w:val="none" w:sz="0" w:space="0" w:color="auto"/>
        <w:left w:val="none" w:sz="0" w:space="0" w:color="auto"/>
        <w:bottom w:val="none" w:sz="0" w:space="0" w:color="auto"/>
        <w:right w:val="none" w:sz="0" w:space="0" w:color="auto"/>
      </w:divBdr>
    </w:div>
    <w:div w:id="431782834">
      <w:bodyDiv w:val="1"/>
      <w:marLeft w:val="0"/>
      <w:marRight w:val="0"/>
      <w:marTop w:val="0"/>
      <w:marBottom w:val="0"/>
      <w:divBdr>
        <w:top w:val="none" w:sz="0" w:space="0" w:color="auto"/>
        <w:left w:val="none" w:sz="0" w:space="0" w:color="auto"/>
        <w:bottom w:val="none" w:sz="0" w:space="0" w:color="auto"/>
        <w:right w:val="none" w:sz="0" w:space="0" w:color="auto"/>
      </w:divBdr>
    </w:div>
    <w:div w:id="436368935">
      <w:bodyDiv w:val="1"/>
      <w:marLeft w:val="0"/>
      <w:marRight w:val="0"/>
      <w:marTop w:val="0"/>
      <w:marBottom w:val="0"/>
      <w:divBdr>
        <w:top w:val="none" w:sz="0" w:space="0" w:color="auto"/>
        <w:left w:val="none" w:sz="0" w:space="0" w:color="auto"/>
        <w:bottom w:val="none" w:sz="0" w:space="0" w:color="auto"/>
        <w:right w:val="none" w:sz="0" w:space="0" w:color="auto"/>
      </w:divBdr>
    </w:div>
    <w:div w:id="436876632">
      <w:bodyDiv w:val="1"/>
      <w:marLeft w:val="0"/>
      <w:marRight w:val="0"/>
      <w:marTop w:val="0"/>
      <w:marBottom w:val="0"/>
      <w:divBdr>
        <w:top w:val="none" w:sz="0" w:space="0" w:color="auto"/>
        <w:left w:val="none" w:sz="0" w:space="0" w:color="auto"/>
        <w:bottom w:val="none" w:sz="0" w:space="0" w:color="auto"/>
        <w:right w:val="none" w:sz="0" w:space="0" w:color="auto"/>
      </w:divBdr>
    </w:div>
    <w:div w:id="472527765">
      <w:bodyDiv w:val="1"/>
      <w:marLeft w:val="0"/>
      <w:marRight w:val="0"/>
      <w:marTop w:val="0"/>
      <w:marBottom w:val="0"/>
      <w:divBdr>
        <w:top w:val="none" w:sz="0" w:space="0" w:color="auto"/>
        <w:left w:val="none" w:sz="0" w:space="0" w:color="auto"/>
        <w:bottom w:val="none" w:sz="0" w:space="0" w:color="auto"/>
        <w:right w:val="none" w:sz="0" w:space="0" w:color="auto"/>
      </w:divBdr>
    </w:div>
    <w:div w:id="506100440">
      <w:bodyDiv w:val="1"/>
      <w:marLeft w:val="0"/>
      <w:marRight w:val="0"/>
      <w:marTop w:val="0"/>
      <w:marBottom w:val="0"/>
      <w:divBdr>
        <w:top w:val="none" w:sz="0" w:space="0" w:color="auto"/>
        <w:left w:val="none" w:sz="0" w:space="0" w:color="auto"/>
        <w:bottom w:val="none" w:sz="0" w:space="0" w:color="auto"/>
        <w:right w:val="none" w:sz="0" w:space="0" w:color="auto"/>
      </w:divBdr>
    </w:div>
    <w:div w:id="560168291">
      <w:bodyDiv w:val="1"/>
      <w:marLeft w:val="0"/>
      <w:marRight w:val="0"/>
      <w:marTop w:val="0"/>
      <w:marBottom w:val="0"/>
      <w:divBdr>
        <w:top w:val="none" w:sz="0" w:space="0" w:color="auto"/>
        <w:left w:val="none" w:sz="0" w:space="0" w:color="auto"/>
        <w:bottom w:val="none" w:sz="0" w:space="0" w:color="auto"/>
        <w:right w:val="none" w:sz="0" w:space="0" w:color="auto"/>
      </w:divBdr>
    </w:div>
    <w:div w:id="581909300">
      <w:bodyDiv w:val="1"/>
      <w:marLeft w:val="0"/>
      <w:marRight w:val="0"/>
      <w:marTop w:val="0"/>
      <w:marBottom w:val="0"/>
      <w:divBdr>
        <w:top w:val="none" w:sz="0" w:space="0" w:color="auto"/>
        <w:left w:val="none" w:sz="0" w:space="0" w:color="auto"/>
        <w:bottom w:val="none" w:sz="0" w:space="0" w:color="auto"/>
        <w:right w:val="none" w:sz="0" w:space="0" w:color="auto"/>
      </w:divBdr>
    </w:div>
    <w:div w:id="709644541">
      <w:bodyDiv w:val="1"/>
      <w:marLeft w:val="0"/>
      <w:marRight w:val="0"/>
      <w:marTop w:val="0"/>
      <w:marBottom w:val="0"/>
      <w:divBdr>
        <w:top w:val="none" w:sz="0" w:space="0" w:color="auto"/>
        <w:left w:val="none" w:sz="0" w:space="0" w:color="auto"/>
        <w:bottom w:val="none" w:sz="0" w:space="0" w:color="auto"/>
        <w:right w:val="none" w:sz="0" w:space="0" w:color="auto"/>
      </w:divBdr>
    </w:div>
    <w:div w:id="899823332">
      <w:bodyDiv w:val="1"/>
      <w:marLeft w:val="0"/>
      <w:marRight w:val="0"/>
      <w:marTop w:val="0"/>
      <w:marBottom w:val="0"/>
      <w:divBdr>
        <w:top w:val="none" w:sz="0" w:space="0" w:color="auto"/>
        <w:left w:val="none" w:sz="0" w:space="0" w:color="auto"/>
        <w:bottom w:val="none" w:sz="0" w:space="0" w:color="auto"/>
        <w:right w:val="none" w:sz="0" w:space="0" w:color="auto"/>
      </w:divBdr>
    </w:div>
    <w:div w:id="974063606">
      <w:bodyDiv w:val="1"/>
      <w:marLeft w:val="0"/>
      <w:marRight w:val="0"/>
      <w:marTop w:val="0"/>
      <w:marBottom w:val="0"/>
      <w:divBdr>
        <w:top w:val="none" w:sz="0" w:space="0" w:color="auto"/>
        <w:left w:val="none" w:sz="0" w:space="0" w:color="auto"/>
        <w:bottom w:val="none" w:sz="0" w:space="0" w:color="auto"/>
        <w:right w:val="none" w:sz="0" w:space="0" w:color="auto"/>
      </w:divBdr>
    </w:div>
    <w:div w:id="1170951964">
      <w:bodyDiv w:val="1"/>
      <w:marLeft w:val="0"/>
      <w:marRight w:val="0"/>
      <w:marTop w:val="0"/>
      <w:marBottom w:val="0"/>
      <w:divBdr>
        <w:top w:val="none" w:sz="0" w:space="0" w:color="auto"/>
        <w:left w:val="none" w:sz="0" w:space="0" w:color="auto"/>
        <w:bottom w:val="none" w:sz="0" w:space="0" w:color="auto"/>
        <w:right w:val="none" w:sz="0" w:space="0" w:color="auto"/>
      </w:divBdr>
    </w:div>
    <w:div w:id="1243299614">
      <w:bodyDiv w:val="1"/>
      <w:marLeft w:val="0"/>
      <w:marRight w:val="0"/>
      <w:marTop w:val="0"/>
      <w:marBottom w:val="0"/>
      <w:divBdr>
        <w:top w:val="none" w:sz="0" w:space="0" w:color="auto"/>
        <w:left w:val="none" w:sz="0" w:space="0" w:color="auto"/>
        <w:bottom w:val="none" w:sz="0" w:space="0" w:color="auto"/>
        <w:right w:val="none" w:sz="0" w:space="0" w:color="auto"/>
      </w:divBdr>
    </w:div>
    <w:div w:id="1337074210">
      <w:bodyDiv w:val="1"/>
      <w:marLeft w:val="0"/>
      <w:marRight w:val="0"/>
      <w:marTop w:val="0"/>
      <w:marBottom w:val="0"/>
      <w:divBdr>
        <w:top w:val="none" w:sz="0" w:space="0" w:color="auto"/>
        <w:left w:val="none" w:sz="0" w:space="0" w:color="auto"/>
        <w:bottom w:val="none" w:sz="0" w:space="0" w:color="auto"/>
        <w:right w:val="none" w:sz="0" w:space="0" w:color="auto"/>
      </w:divBdr>
    </w:div>
    <w:div w:id="1444112945">
      <w:bodyDiv w:val="1"/>
      <w:marLeft w:val="0"/>
      <w:marRight w:val="0"/>
      <w:marTop w:val="0"/>
      <w:marBottom w:val="0"/>
      <w:divBdr>
        <w:top w:val="none" w:sz="0" w:space="0" w:color="auto"/>
        <w:left w:val="none" w:sz="0" w:space="0" w:color="auto"/>
        <w:bottom w:val="none" w:sz="0" w:space="0" w:color="auto"/>
        <w:right w:val="none" w:sz="0" w:space="0" w:color="auto"/>
      </w:divBdr>
    </w:div>
    <w:div w:id="1446971154">
      <w:bodyDiv w:val="1"/>
      <w:marLeft w:val="0"/>
      <w:marRight w:val="0"/>
      <w:marTop w:val="0"/>
      <w:marBottom w:val="0"/>
      <w:divBdr>
        <w:top w:val="none" w:sz="0" w:space="0" w:color="auto"/>
        <w:left w:val="none" w:sz="0" w:space="0" w:color="auto"/>
        <w:bottom w:val="none" w:sz="0" w:space="0" w:color="auto"/>
        <w:right w:val="none" w:sz="0" w:space="0" w:color="auto"/>
      </w:divBdr>
    </w:div>
    <w:div w:id="1551571490">
      <w:bodyDiv w:val="1"/>
      <w:marLeft w:val="0"/>
      <w:marRight w:val="0"/>
      <w:marTop w:val="0"/>
      <w:marBottom w:val="0"/>
      <w:divBdr>
        <w:top w:val="none" w:sz="0" w:space="0" w:color="auto"/>
        <w:left w:val="none" w:sz="0" w:space="0" w:color="auto"/>
        <w:bottom w:val="none" w:sz="0" w:space="0" w:color="auto"/>
        <w:right w:val="none" w:sz="0" w:space="0" w:color="auto"/>
      </w:divBdr>
    </w:div>
    <w:div w:id="1635065246">
      <w:bodyDiv w:val="1"/>
      <w:marLeft w:val="0"/>
      <w:marRight w:val="0"/>
      <w:marTop w:val="0"/>
      <w:marBottom w:val="0"/>
      <w:divBdr>
        <w:top w:val="none" w:sz="0" w:space="0" w:color="auto"/>
        <w:left w:val="none" w:sz="0" w:space="0" w:color="auto"/>
        <w:bottom w:val="none" w:sz="0" w:space="0" w:color="auto"/>
        <w:right w:val="none" w:sz="0" w:space="0" w:color="auto"/>
      </w:divBdr>
    </w:div>
    <w:div w:id="1654720980">
      <w:bodyDiv w:val="1"/>
      <w:marLeft w:val="0"/>
      <w:marRight w:val="0"/>
      <w:marTop w:val="0"/>
      <w:marBottom w:val="0"/>
      <w:divBdr>
        <w:top w:val="none" w:sz="0" w:space="0" w:color="auto"/>
        <w:left w:val="none" w:sz="0" w:space="0" w:color="auto"/>
        <w:bottom w:val="none" w:sz="0" w:space="0" w:color="auto"/>
        <w:right w:val="none" w:sz="0" w:space="0" w:color="auto"/>
      </w:divBdr>
    </w:div>
    <w:div w:id="197417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mooers@d.umn.edu" TargetMode="External"/><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www.unigis.ac.at/fernstudien/UNIGIS_professional/traun/spatial_interpolation/kriging3.ht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naei.defra.gov.uk/" TargetMode="External"/><Relationship Id="rId14" Type="http://schemas.openxmlformats.org/officeDocument/2006/relationships/image" Target="media/image4.png"/><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HowardBackups\Howard%20Class%20and%20Research\papers%20and%20projects%20leading%20to%20papers\Monument%20Corrosion\Michael%20Carlson\Paper%20for%20publication\Most%20up-to-date%20spreadsheet%20gravestone%20decay%20air%20qual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'SO2 Smoke'!$L$1</c:f>
              <c:strCache>
                <c:ptCount val="1"/>
                <c:pt idx="0">
                  <c:v>SO2 (µg/m3)</c:v>
                </c:pt>
              </c:strCache>
            </c:strRef>
          </c:tx>
          <c:spPr>
            <a:ln w="28575">
              <a:noFill/>
            </a:ln>
          </c:spPr>
          <c:xVal>
            <c:numRef>
              <c:f>'SO2 Smoke'!$J$2:$J$393</c:f>
              <c:numCache>
                <c:formatCode>General</c:formatCode>
                <c:ptCount val="392"/>
                <c:pt idx="0">
                  <c:v>1961</c:v>
                </c:pt>
                <c:pt idx="1">
                  <c:v>1961</c:v>
                </c:pt>
                <c:pt idx="2">
                  <c:v>1961</c:v>
                </c:pt>
                <c:pt idx="3">
                  <c:v>1961</c:v>
                </c:pt>
                <c:pt idx="4">
                  <c:v>1961</c:v>
                </c:pt>
                <c:pt idx="5">
                  <c:v>1961</c:v>
                </c:pt>
                <c:pt idx="6">
                  <c:v>1961</c:v>
                </c:pt>
                <c:pt idx="7">
                  <c:v>1961</c:v>
                </c:pt>
                <c:pt idx="8">
                  <c:v>1962</c:v>
                </c:pt>
                <c:pt idx="9">
                  <c:v>1962</c:v>
                </c:pt>
                <c:pt idx="10">
                  <c:v>1962</c:v>
                </c:pt>
                <c:pt idx="11">
                  <c:v>1962</c:v>
                </c:pt>
                <c:pt idx="12">
                  <c:v>1962</c:v>
                </c:pt>
                <c:pt idx="13">
                  <c:v>1962</c:v>
                </c:pt>
                <c:pt idx="14">
                  <c:v>1962</c:v>
                </c:pt>
                <c:pt idx="15">
                  <c:v>1962</c:v>
                </c:pt>
                <c:pt idx="16">
                  <c:v>1962</c:v>
                </c:pt>
                <c:pt idx="17">
                  <c:v>1962</c:v>
                </c:pt>
                <c:pt idx="18">
                  <c:v>1963</c:v>
                </c:pt>
                <c:pt idx="19">
                  <c:v>1963</c:v>
                </c:pt>
                <c:pt idx="20">
                  <c:v>1963</c:v>
                </c:pt>
                <c:pt idx="21">
                  <c:v>1963</c:v>
                </c:pt>
                <c:pt idx="22">
                  <c:v>1963</c:v>
                </c:pt>
                <c:pt idx="23">
                  <c:v>1963</c:v>
                </c:pt>
                <c:pt idx="24">
                  <c:v>1963</c:v>
                </c:pt>
                <c:pt idx="25">
                  <c:v>1963</c:v>
                </c:pt>
                <c:pt idx="26">
                  <c:v>1963</c:v>
                </c:pt>
                <c:pt idx="27">
                  <c:v>1963</c:v>
                </c:pt>
                <c:pt idx="28">
                  <c:v>1963</c:v>
                </c:pt>
                <c:pt idx="29">
                  <c:v>1964</c:v>
                </c:pt>
                <c:pt idx="30">
                  <c:v>1964</c:v>
                </c:pt>
                <c:pt idx="31">
                  <c:v>1964</c:v>
                </c:pt>
                <c:pt idx="32">
                  <c:v>1964</c:v>
                </c:pt>
                <c:pt idx="33">
                  <c:v>1964</c:v>
                </c:pt>
                <c:pt idx="34">
                  <c:v>1964</c:v>
                </c:pt>
                <c:pt idx="35">
                  <c:v>1964</c:v>
                </c:pt>
                <c:pt idx="36">
                  <c:v>1964</c:v>
                </c:pt>
                <c:pt idx="37">
                  <c:v>1964</c:v>
                </c:pt>
                <c:pt idx="38">
                  <c:v>1964</c:v>
                </c:pt>
                <c:pt idx="39">
                  <c:v>1964</c:v>
                </c:pt>
                <c:pt idx="40">
                  <c:v>1965</c:v>
                </c:pt>
                <c:pt idx="41">
                  <c:v>1965</c:v>
                </c:pt>
                <c:pt idx="42">
                  <c:v>1965</c:v>
                </c:pt>
                <c:pt idx="43">
                  <c:v>1965</c:v>
                </c:pt>
                <c:pt idx="44">
                  <c:v>1965</c:v>
                </c:pt>
                <c:pt idx="45">
                  <c:v>1965</c:v>
                </c:pt>
                <c:pt idx="46">
                  <c:v>1965</c:v>
                </c:pt>
                <c:pt idx="47">
                  <c:v>1965</c:v>
                </c:pt>
                <c:pt idx="48">
                  <c:v>1965</c:v>
                </c:pt>
                <c:pt idx="49">
                  <c:v>1965</c:v>
                </c:pt>
                <c:pt idx="50">
                  <c:v>1965</c:v>
                </c:pt>
                <c:pt idx="51">
                  <c:v>1966</c:v>
                </c:pt>
                <c:pt idx="52">
                  <c:v>1966</c:v>
                </c:pt>
                <c:pt idx="53">
                  <c:v>1966</c:v>
                </c:pt>
                <c:pt idx="54">
                  <c:v>1966</c:v>
                </c:pt>
                <c:pt idx="55">
                  <c:v>1966</c:v>
                </c:pt>
                <c:pt idx="56">
                  <c:v>1966</c:v>
                </c:pt>
                <c:pt idx="57">
                  <c:v>1966</c:v>
                </c:pt>
                <c:pt idx="58">
                  <c:v>1966</c:v>
                </c:pt>
                <c:pt idx="59">
                  <c:v>1966</c:v>
                </c:pt>
                <c:pt idx="60">
                  <c:v>1966</c:v>
                </c:pt>
                <c:pt idx="61">
                  <c:v>1966</c:v>
                </c:pt>
                <c:pt idx="62">
                  <c:v>1966</c:v>
                </c:pt>
                <c:pt idx="63">
                  <c:v>1967</c:v>
                </c:pt>
                <c:pt idx="64">
                  <c:v>1967</c:v>
                </c:pt>
                <c:pt idx="65">
                  <c:v>1967</c:v>
                </c:pt>
                <c:pt idx="66">
                  <c:v>1967</c:v>
                </c:pt>
                <c:pt idx="67">
                  <c:v>1967</c:v>
                </c:pt>
                <c:pt idx="68">
                  <c:v>1967</c:v>
                </c:pt>
                <c:pt idx="69">
                  <c:v>1967</c:v>
                </c:pt>
                <c:pt idx="70">
                  <c:v>1967</c:v>
                </c:pt>
                <c:pt idx="71">
                  <c:v>1967</c:v>
                </c:pt>
                <c:pt idx="72">
                  <c:v>1967</c:v>
                </c:pt>
                <c:pt idx="73">
                  <c:v>1967</c:v>
                </c:pt>
                <c:pt idx="74">
                  <c:v>1967</c:v>
                </c:pt>
                <c:pt idx="75">
                  <c:v>1967</c:v>
                </c:pt>
                <c:pt idx="76">
                  <c:v>1968</c:v>
                </c:pt>
                <c:pt idx="77">
                  <c:v>1968</c:v>
                </c:pt>
                <c:pt idx="78">
                  <c:v>1968</c:v>
                </c:pt>
                <c:pt idx="79">
                  <c:v>1968</c:v>
                </c:pt>
                <c:pt idx="80">
                  <c:v>1968</c:v>
                </c:pt>
                <c:pt idx="81">
                  <c:v>1968</c:v>
                </c:pt>
                <c:pt idx="82">
                  <c:v>1968</c:v>
                </c:pt>
                <c:pt idx="83">
                  <c:v>1968</c:v>
                </c:pt>
                <c:pt idx="84">
                  <c:v>1968</c:v>
                </c:pt>
                <c:pt idx="85">
                  <c:v>1968</c:v>
                </c:pt>
                <c:pt idx="86">
                  <c:v>1968</c:v>
                </c:pt>
                <c:pt idx="87">
                  <c:v>1968</c:v>
                </c:pt>
                <c:pt idx="88">
                  <c:v>1968</c:v>
                </c:pt>
                <c:pt idx="89">
                  <c:v>1969</c:v>
                </c:pt>
                <c:pt idx="90">
                  <c:v>1969</c:v>
                </c:pt>
                <c:pt idx="91">
                  <c:v>1969</c:v>
                </c:pt>
                <c:pt idx="92">
                  <c:v>1969</c:v>
                </c:pt>
                <c:pt idx="93">
                  <c:v>1969</c:v>
                </c:pt>
                <c:pt idx="94">
                  <c:v>1969</c:v>
                </c:pt>
                <c:pt idx="95">
                  <c:v>1969</c:v>
                </c:pt>
                <c:pt idx="96">
                  <c:v>1969</c:v>
                </c:pt>
                <c:pt idx="97">
                  <c:v>1969</c:v>
                </c:pt>
                <c:pt idx="98">
                  <c:v>1969</c:v>
                </c:pt>
                <c:pt idx="99">
                  <c:v>1969</c:v>
                </c:pt>
                <c:pt idx="100">
                  <c:v>1969</c:v>
                </c:pt>
                <c:pt idx="101">
                  <c:v>1969</c:v>
                </c:pt>
                <c:pt idx="102">
                  <c:v>1969</c:v>
                </c:pt>
                <c:pt idx="103">
                  <c:v>1970</c:v>
                </c:pt>
                <c:pt idx="104">
                  <c:v>1970</c:v>
                </c:pt>
                <c:pt idx="105">
                  <c:v>1970</c:v>
                </c:pt>
                <c:pt idx="106">
                  <c:v>1970</c:v>
                </c:pt>
                <c:pt idx="107">
                  <c:v>1970</c:v>
                </c:pt>
                <c:pt idx="108">
                  <c:v>1970</c:v>
                </c:pt>
                <c:pt idx="109">
                  <c:v>1970</c:v>
                </c:pt>
                <c:pt idx="110">
                  <c:v>1970</c:v>
                </c:pt>
                <c:pt idx="111">
                  <c:v>1970</c:v>
                </c:pt>
                <c:pt idx="112">
                  <c:v>1970</c:v>
                </c:pt>
                <c:pt idx="113">
                  <c:v>1970</c:v>
                </c:pt>
                <c:pt idx="114">
                  <c:v>1970</c:v>
                </c:pt>
                <c:pt idx="115">
                  <c:v>1971</c:v>
                </c:pt>
                <c:pt idx="116">
                  <c:v>1971</c:v>
                </c:pt>
                <c:pt idx="117">
                  <c:v>1971</c:v>
                </c:pt>
                <c:pt idx="118">
                  <c:v>1971</c:v>
                </c:pt>
                <c:pt idx="119">
                  <c:v>1971</c:v>
                </c:pt>
                <c:pt idx="120">
                  <c:v>1971</c:v>
                </c:pt>
                <c:pt idx="121">
                  <c:v>1971</c:v>
                </c:pt>
                <c:pt idx="122">
                  <c:v>1971</c:v>
                </c:pt>
                <c:pt idx="123">
                  <c:v>1971</c:v>
                </c:pt>
                <c:pt idx="124">
                  <c:v>1971</c:v>
                </c:pt>
                <c:pt idx="125">
                  <c:v>1972</c:v>
                </c:pt>
                <c:pt idx="126">
                  <c:v>1972</c:v>
                </c:pt>
                <c:pt idx="127">
                  <c:v>1972</c:v>
                </c:pt>
                <c:pt idx="128">
                  <c:v>1972</c:v>
                </c:pt>
                <c:pt idx="129">
                  <c:v>1972</c:v>
                </c:pt>
                <c:pt idx="130">
                  <c:v>1972</c:v>
                </c:pt>
                <c:pt idx="131">
                  <c:v>1972</c:v>
                </c:pt>
                <c:pt idx="132">
                  <c:v>1972</c:v>
                </c:pt>
                <c:pt idx="133">
                  <c:v>1972</c:v>
                </c:pt>
                <c:pt idx="134">
                  <c:v>1972</c:v>
                </c:pt>
                <c:pt idx="135">
                  <c:v>1972</c:v>
                </c:pt>
                <c:pt idx="136">
                  <c:v>1972</c:v>
                </c:pt>
                <c:pt idx="137">
                  <c:v>1973</c:v>
                </c:pt>
                <c:pt idx="138">
                  <c:v>1973</c:v>
                </c:pt>
                <c:pt idx="139">
                  <c:v>1973</c:v>
                </c:pt>
                <c:pt idx="140">
                  <c:v>1973</c:v>
                </c:pt>
                <c:pt idx="141">
                  <c:v>1973</c:v>
                </c:pt>
                <c:pt idx="142">
                  <c:v>1973</c:v>
                </c:pt>
                <c:pt idx="143">
                  <c:v>1973</c:v>
                </c:pt>
                <c:pt idx="144">
                  <c:v>1973</c:v>
                </c:pt>
                <c:pt idx="145">
                  <c:v>1973</c:v>
                </c:pt>
                <c:pt idx="146">
                  <c:v>1973</c:v>
                </c:pt>
                <c:pt idx="147">
                  <c:v>1973</c:v>
                </c:pt>
                <c:pt idx="148">
                  <c:v>1973</c:v>
                </c:pt>
                <c:pt idx="149">
                  <c:v>1974</c:v>
                </c:pt>
                <c:pt idx="150">
                  <c:v>1974</c:v>
                </c:pt>
                <c:pt idx="151">
                  <c:v>1974</c:v>
                </c:pt>
                <c:pt idx="152">
                  <c:v>1974</c:v>
                </c:pt>
                <c:pt idx="153">
                  <c:v>1974</c:v>
                </c:pt>
                <c:pt idx="154">
                  <c:v>1974</c:v>
                </c:pt>
                <c:pt idx="155">
                  <c:v>1974</c:v>
                </c:pt>
                <c:pt idx="156">
                  <c:v>1974</c:v>
                </c:pt>
                <c:pt idx="157">
                  <c:v>1974</c:v>
                </c:pt>
                <c:pt idx="158">
                  <c:v>1974</c:v>
                </c:pt>
                <c:pt idx="159">
                  <c:v>1974</c:v>
                </c:pt>
                <c:pt idx="160">
                  <c:v>1975</c:v>
                </c:pt>
                <c:pt idx="161">
                  <c:v>1975</c:v>
                </c:pt>
                <c:pt idx="162">
                  <c:v>1975</c:v>
                </c:pt>
                <c:pt idx="163">
                  <c:v>1975</c:v>
                </c:pt>
                <c:pt idx="164">
                  <c:v>1975</c:v>
                </c:pt>
                <c:pt idx="165">
                  <c:v>1975</c:v>
                </c:pt>
                <c:pt idx="166">
                  <c:v>1975</c:v>
                </c:pt>
                <c:pt idx="167">
                  <c:v>1975</c:v>
                </c:pt>
                <c:pt idx="168">
                  <c:v>1975</c:v>
                </c:pt>
                <c:pt idx="169">
                  <c:v>1975</c:v>
                </c:pt>
                <c:pt idx="170">
                  <c:v>1975</c:v>
                </c:pt>
                <c:pt idx="171">
                  <c:v>1975</c:v>
                </c:pt>
                <c:pt idx="172">
                  <c:v>1975</c:v>
                </c:pt>
                <c:pt idx="173">
                  <c:v>1976</c:v>
                </c:pt>
                <c:pt idx="174">
                  <c:v>1976</c:v>
                </c:pt>
                <c:pt idx="175">
                  <c:v>1976</c:v>
                </c:pt>
                <c:pt idx="176">
                  <c:v>1976</c:v>
                </c:pt>
                <c:pt idx="177">
                  <c:v>1976</c:v>
                </c:pt>
                <c:pt idx="178">
                  <c:v>1976</c:v>
                </c:pt>
                <c:pt idx="179">
                  <c:v>1976</c:v>
                </c:pt>
                <c:pt idx="180">
                  <c:v>1976</c:v>
                </c:pt>
                <c:pt idx="181">
                  <c:v>1976</c:v>
                </c:pt>
                <c:pt idx="182">
                  <c:v>1976</c:v>
                </c:pt>
                <c:pt idx="183">
                  <c:v>1976</c:v>
                </c:pt>
                <c:pt idx="184">
                  <c:v>1976</c:v>
                </c:pt>
                <c:pt idx="185">
                  <c:v>1976</c:v>
                </c:pt>
                <c:pt idx="186">
                  <c:v>1977</c:v>
                </c:pt>
                <c:pt idx="187">
                  <c:v>1977</c:v>
                </c:pt>
                <c:pt idx="188">
                  <c:v>1977</c:v>
                </c:pt>
                <c:pt idx="189">
                  <c:v>1977</c:v>
                </c:pt>
                <c:pt idx="190">
                  <c:v>1977</c:v>
                </c:pt>
                <c:pt idx="191">
                  <c:v>1977</c:v>
                </c:pt>
                <c:pt idx="192">
                  <c:v>1977</c:v>
                </c:pt>
                <c:pt idx="193">
                  <c:v>1977</c:v>
                </c:pt>
                <c:pt idx="194">
                  <c:v>1977</c:v>
                </c:pt>
                <c:pt idx="195">
                  <c:v>1977</c:v>
                </c:pt>
                <c:pt idx="196">
                  <c:v>1977</c:v>
                </c:pt>
                <c:pt idx="197">
                  <c:v>1977</c:v>
                </c:pt>
                <c:pt idx="198">
                  <c:v>1977</c:v>
                </c:pt>
                <c:pt idx="199">
                  <c:v>1978</c:v>
                </c:pt>
                <c:pt idx="200">
                  <c:v>1978</c:v>
                </c:pt>
                <c:pt idx="201">
                  <c:v>1978</c:v>
                </c:pt>
                <c:pt idx="202">
                  <c:v>1978</c:v>
                </c:pt>
                <c:pt idx="203">
                  <c:v>1978</c:v>
                </c:pt>
                <c:pt idx="204">
                  <c:v>1978</c:v>
                </c:pt>
                <c:pt idx="205">
                  <c:v>1978</c:v>
                </c:pt>
                <c:pt idx="206">
                  <c:v>1978</c:v>
                </c:pt>
                <c:pt idx="207">
                  <c:v>1978</c:v>
                </c:pt>
                <c:pt idx="208">
                  <c:v>1978</c:v>
                </c:pt>
                <c:pt idx="209">
                  <c:v>1978</c:v>
                </c:pt>
                <c:pt idx="210">
                  <c:v>1978</c:v>
                </c:pt>
                <c:pt idx="211">
                  <c:v>1978</c:v>
                </c:pt>
                <c:pt idx="212">
                  <c:v>1978</c:v>
                </c:pt>
                <c:pt idx="213">
                  <c:v>1979</c:v>
                </c:pt>
                <c:pt idx="214">
                  <c:v>1979</c:v>
                </c:pt>
                <c:pt idx="215">
                  <c:v>1979</c:v>
                </c:pt>
                <c:pt idx="216">
                  <c:v>1979</c:v>
                </c:pt>
                <c:pt idx="217">
                  <c:v>1979</c:v>
                </c:pt>
                <c:pt idx="218">
                  <c:v>1979</c:v>
                </c:pt>
                <c:pt idx="219">
                  <c:v>1979</c:v>
                </c:pt>
                <c:pt idx="220">
                  <c:v>1979</c:v>
                </c:pt>
                <c:pt idx="221">
                  <c:v>1979</c:v>
                </c:pt>
                <c:pt idx="222">
                  <c:v>1979</c:v>
                </c:pt>
                <c:pt idx="223">
                  <c:v>1979</c:v>
                </c:pt>
                <c:pt idx="224">
                  <c:v>1979</c:v>
                </c:pt>
                <c:pt idx="225">
                  <c:v>1979</c:v>
                </c:pt>
                <c:pt idx="226">
                  <c:v>1979</c:v>
                </c:pt>
                <c:pt idx="227">
                  <c:v>1979</c:v>
                </c:pt>
                <c:pt idx="228">
                  <c:v>1980</c:v>
                </c:pt>
                <c:pt idx="229">
                  <c:v>1980</c:v>
                </c:pt>
                <c:pt idx="230">
                  <c:v>1980</c:v>
                </c:pt>
                <c:pt idx="231">
                  <c:v>1980</c:v>
                </c:pt>
                <c:pt idx="232">
                  <c:v>1980</c:v>
                </c:pt>
                <c:pt idx="233">
                  <c:v>1980</c:v>
                </c:pt>
                <c:pt idx="234">
                  <c:v>1980</c:v>
                </c:pt>
                <c:pt idx="235">
                  <c:v>1980</c:v>
                </c:pt>
                <c:pt idx="236">
                  <c:v>1980</c:v>
                </c:pt>
                <c:pt idx="237">
                  <c:v>1980</c:v>
                </c:pt>
                <c:pt idx="238">
                  <c:v>1980</c:v>
                </c:pt>
                <c:pt idx="239">
                  <c:v>1980</c:v>
                </c:pt>
                <c:pt idx="240">
                  <c:v>1980</c:v>
                </c:pt>
                <c:pt idx="241">
                  <c:v>1980</c:v>
                </c:pt>
                <c:pt idx="242">
                  <c:v>1980</c:v>
                </c:pt>
                <c:pt idx="243">
                  <c:v>1981</c:v>
                </c:pt>
                <c:pt idx="244">
                  <c:v>1981</c:v>
                </c:pt>
                <c:pt idx="245">
                  <c:v>1981</c:v>
                </c:pt>
                <c:pt idx="246">
                  <c:v>1981</c:v>
                </c:pt>
                <c:pt idx="247">
                  <c:v>1981</c:v>
                </c:pt>
                <c:pt idx="248">
                  <c:v>1981</c:v>
                </c:pt>
                <c:pt idx="249">
                  <c:v>1981</c:v>
                </c:pt>
                <c:pt idx="250">
                  <c:v>1981</c:v>
                </c:pt>
                <c:pt idx="251">
                  <c:v>1981</c:v>
                </c:pt>
                <c:pt idx="252">
                  <c:v>1981</c:v>
                </c:pt>
                <c:pt idx="253">
                  <c:v>1981</c:v>
                </c:pt>
                <c:pt idx="254">
                  <c:v>1981</c:v>
                </c:pt>
                <c:pt idx="255">
                  <c:v>1981</c:v>
                </c:pt>
                <c:pt idx="256">
                  <c:v>1981</c:v>
                </c:pt>
                <c:pt idx="257">
                  <c:v>1982</c:v>
                </c:pt>
                <c:pt idx="258">
                  <c:v>1982</c:v>
                </c:pt>
                <c:pt idx="259">
                  <c:v>1982</c:v>
                </c:pt>
                <c:pt idx="260">
                  <c:v>1982</c:v>
                </c:pt>
                <c:pt idx="261">
                  <c:v>1982</c:v>
                </c:pt>
                <c:pt idx="262">
                  <c:v>1982</c:v>
                </c:pt>
                <c:pt idx="263">
                  <c:v>1982</c:v>
                </c:pt>
                <c:pt idx="264">
                  <c:v>1982</c:v>
                </c:pt>
                <c:pt idx="265">
                  <c:v>1982</c:v>
                </c:pt>
                <c:pt idx="266">
                  <c:v>1982</c:v>
                </c:pt>
                <c:pt idx="267">
                  <c:v>1982</c:v>
                </c:pt>
                <c:pt idx="268">
                  <c:v>1982</c:v>
                </c:pt>
                <c:pt idx="269">
                  <c:v>1982</c:v>
                </c:pt>
                <c:pt idx="270">
                  <c:v>1983</c:v>
                </c:pt>
                <c:pt idx="271">
                  <c:v>1983</c:v>
                </c:pt>
                <c:pt idx="272">
                  <c:v>1983</c:v>
                </c:pt>
                <c:pt idx="273">
                  <c:v>1983</c:v>
                </c:pt>
                <c:pt idx="274">
                  <c:v>1983</c:v>
                </c:pt>
                <c:pt idx="275">
                  <c:v>1983</c:v>
                </c:pt>
                <c:pt idx="276">
                  <c:v>1983</c:v>
                </c:pt>
                <c:pt idx="277">
                  <c:v>1983</c:v>
                </c:pt>
                <c:pt idx="278">
                  <c:v>1983</c:v>
                </c:pt>
                <c:pt idx="279">
                  <c:v>1983</c:v>
                </c:pt>
                <c:pt idx="280">
                  <c:v>1984</c:v>
                </c:pt>
                <c:pt idx="281">
                  <c:v>1984</c:v>
                </c:pt>
                <c:pt idx="282">
                  <c:v>1984</c:v>
                </c:pt>
                <c:pt idx="283">
                  <c:v>1984</c:v>
                </c:pt>
                <c:pt idx="284">
                  <c:v>1984</c:v>
                </c:pt>
                <c:pt idx="285">
                  <c:v>1984</c:v>
                </c:pt>
                <c:pt idx="286">
                  <c:v>1984</c:v>
                </c:pt>
                <c:pt idx="287">
                  <c:v>1984</c:v>
                </c:pt>
                <c:pt idx="288">
                  <c:v>1984</c:v>
                </c:pt>
                <c:pt idx="289">
                  <c:v>1984</c:v>
                </c:pt>
                <c:pt idx="290">
                  <c:v>1985</c:v>
                </c:pt>
                <c:pt idx="291">
                  <c:v>1985</c:v>
                </c:pt>
                <c:pt idx="292">
                  <c:v>1985</c:v>
                </c:pt>
                <c:pt idx="293">
                  <c:v>1985</c:v>
                </c:pt>
                <c:pt idx="294">
                  <c:v>1985</c:v>
                </c:pt>
                <c:pt idx="295">
                  <c:v>1985</c:v>
                </c:pt>
                <c:pt idx="296">
                  <c:v>1985</c:v>
                </c:pt>
                <c:pt idx="297">
                  <c:v>1985</c:v>
                </c:pt>
                <c:pt idx="298">
                  <c:v>1985</c:v>
                </c:pt>
                <c:pt idx="299">
                  <c:v>1986</c:v>
                </c:pt>
                <c:pt idx="300">
                  <c:v>1986</c:v>
                </c:pt>
                <c:pt idx="301">
                  <c:v>1986</c:v>
                </c:pt>
                <c:pt idx="302">
                  <c:v>1986</c:v>
                </c:pt>
                <c:pt idx="303">
                  <c:v>1986</c:v>
                </c:pt>
                <c:pt idx="304">
                  <c:v>1986</c:v>
                </c:pt>
                <c:pt idx="305">
                  <c:v>1986</c:v>
                </c:pt>
                <c:pt idx="306">
                  <c:v>1986</c:v>
                </c:pt>
                <c:pt idx="307">
                  <c:v>1986</c:v>
                </c:pt>
                <c:pt idx="308">
                  <c:v>1987</c:v>
                </c:pt>
                <c:pt idx="309">
                  <c:v>1987</c:v>
                </c:pt>
                <c:pt idx="310">
                  <c:v>1987</c:v>
                </c:pt>
                <c:pt idx="311">
                  <c:v>1987</c:v>
                </c:pt>
                <c:pt idx="312">
                  <c:v>1987</c:v>
                </c:pt>
                <c:pt idx="313">
                  <c:v>1987</c:v>
                </c:pt>
                <c:pt idx="314">
                  <c:v>1987</c:v>
                </c:pt>
                <c:pt idx="315">
                  <c:v>1987</c:v>
                </c:pt>
                <c:pt idx="316">
                  <c:v>1987</c:v>
                </c:pt>
                <c:pt idx="317">
                  <c:v>1988</c:v>
                </c:pt>
                <c:pt idx="318">
                  <c:v>1988</c:v>
                </c:pt>
                <c:pt idx="319">
                  <c:v>1988</c:v>
                </c:pt>
                <c:pt idx="320">
                  <c:v>1988</c:v>
                </c:pt>
                <c:pt idx="321">
                  <c:v>1988</c:v>
                </c:pt>
                <c:pt idx="322">
                  <c:v>1988</c:v>
                </c:pt>
                <c:pt idx="323">
                  <c:v>1988</c:v>
                </c:pt>
                <c:pt idx="324">
                  <c:v>1989</c:v>
                </c:pt>
                <c:pt idx="325">
                  <c:v>1989</c:v>
                </c:pt>
                <c:pt idx="326">
                  <c:v>1989</c:v>
                </c:pt>
                <c:pt idx="327">
                  <c:v>1989</c:v>
                </c:pt>
                <c:pt idx="328">
                  <c:v>1989</c:v>
                </c:pt>
                <c:pt idx="329">
                  <c:v>1990</c:v>
                </c:pt>
                <c:pt idx="330">
                  <c:v>1990</c:v>
                </c:pt>
                <c:pt idx="331">
                  <c:v>1990</c:v>
                </c:pt>
                <c:pt idx="332">
                  <c:v>1990</c:v>
                </c:pt>
                <c:pt idx="333">
                  <c:v>1990</c:v>
                </c:pt>
                <c:pt idx="334">
                  <c:v>1991</c:v>
                </c:pt>
                <c:pt idx="335">
                  <c:v>1991</c:v>
                </c:pt>
                <c:pt idx="336">
                  <c:v>1991</c:v>
                </c:pt>
                <c:pt idx="337">
                  <c:v>1991</c:v>
                </c:pt>
                <c:pt idx="338">
                  <c:v>1991</c:v>
                </c:pt>
                <c:pt idx="339">
                  <c:v>1992</c:v>
                </c:pt>
                <c:pt idx="340">
                  <c:v>1992</c:v>
                </c:pt>
                <c:pt idx="341">
                  <c:v>1992</c:v>
                </c:pt>
                <c:pt idx="342">
                  <c:v>1992</c:v>
                </c:pt>
                <c:pt idx="343">
                  <c:v>1992</c:v>
                </c:pt>
                <c:pt idx="344">
                  <c:v>1993</c:v>
                </c:pt>
                <c:pt idx="345">
                  <c:v>1993</c:v>
                </c:pt>
                <c:pt idx="346">
                  <c:v>1993</c:v>
                </c:pt>
                <c:pt idx="347">
                  <c:v>1993</c:v>
                </c:pt>
                <c:pt idx="348">
                  <c:v>1993</c:v>
                </c:pt>
                <c:pt idx="349">
                  <c:v>1994</c:v>
                </c:pt>
                <c:pt idx="350">
                  <c:v>1994</c:v>
                </c:pt>
                <c:pt idx="351">
                  <c:v>1994</c:v>
                </c:pt>
                <c:pt idx="352">
                  <c:v>1994</c:v>
                </c:pt>
                <c:pt idx="353">
                  <c:v>1994</c:v>
                </c:pt>
                <c:pt idx="354">
                  <c:v>1995</c:v>
                </c:pt>
                <c:pt idx="355">
                  <c:v>1995</c:v>
                </c:pt>
                <c:pt idx="356">
                  <c:v>1995</c:v>
                </c:pt>
                <c:pt idx="357">
                  <c:v>1995</c:v>
                </c:pt>
                <c:pt idx="358">
                  <c:v>1995</c:v>
                </c:pt>
                <c:pt idx="359">
                  <c:v>1996</c:v>
                </c:pt>
                <c:pt idx="360">
                  <c:v>1996</c:v>
                </c:pt>
                <c:pt idx="361">
                  <c:v>1996</c:v>
                </c:pt>
                <c:pt idx="362">
                  <c:v>1996</c:v>
                </c:pt>
                <c:pt idx="363">
                  <c:v>1997</c:v>
                </c:pt>
                <c:pt idx="364">
                  <c:v>1997</c:v>
                </c:pt>
                <c:pt idx="365">
                  <c:v>1997</c:v>
                </c:pt>
                <c:pt idx="366">
                  <c:v>1997</c:v>
                </c:pt>
                <c:pt idx="367">
                  <c:v>1998</c:v>
                </c:pt>
                <c:pt idx="368">
                  <c:v>1998</c:v>
                </c:pt>
                <c:pt idx="369">
                  <c:v>1998</c:v>
                </c:pt>
                <c:pt idx="370">
                  <c:v>1998</c:v>
                </c:pt>
                <c:pt idx="371">
                  <c:v>1998</c:v>
                </c:pt>
                <c:pt idx="372">
                  <c:v>1999</c:v>
                </c:pt>
                <c:pt idx="373">
                  <c:v>1999</c:v>
                </c:pt>
                <c:pt idx="374">
                  <c:v>1999</c:v>
                </c:pt>
                <c:pt idx="375">
                  <c:v>1999</c:v>
                </c:pt>
                <c:pt idx="376">
                  <c:v>2000</c:v>
                </c:pt>
                <c:pt idx="377">
                  <c:v>2000</c:v>
                </c:pt>
                <c:pt idx="378">
                  <c:v>2000</c:v>
                </c:pt>
                <c:pt idx="379">
                  <c:v>2001</c:v>
                </c:pt>
                <c:pt idx="380">
                  <c:v>2001</c:v>
                </c:pt>
                <c:pt idx="381">
                  <c:v>2001</c:v>
                </c:pt>
                <c:pt idx="382">
                  <c:v>2002</c:v>
                </c:pt>
                <c:pt idx="383">
                  <c:v>2002</c:v>
                </c:pt>
                <c:pt idx="384">
                  <c:v>2002</c:v>
                </c:pt>
                <c:pt idx="385">
                  <c:v>2003</c:v>
                </c:pt>
                <c:pt idx="386">
                  <c:v>2003</c:v>
                </c:pt>
                <c:pt idx="387">
                  <c:v>2003</c:v>
                </c:pt>
                <c:pt idx="388">
                  <c:v>2004</c:v>
                </c:pt>
                <c:pt idx="389">
                  <c:v>2004</c:v>
                </c:pt>
                <c:pt idx="390">
                  <c:v>2005</c:v>
                </c:pt>
                <c:pt idx="391">
                  <c:v>2005</c:v>
                </c:pt>
              </c:numCache>
            </c:numRef>
          </c:xVal>
          <c:yVal>
            <c:numRef>
              <c:f>'SO2 Smoke'!$L$2:$L$393</c:f>
              <c:numCache>
                <c:formatCode>General</c:formatCode>
                <c:ptCount val="392"/>
                <c:pt idx="8">
                  <c:v>96</c:v>
                </c:pt>
                <c:pt idx="9">
                  <c:v>282</c:v>
                </c:pt>
                <c:pt idx="12">
                  <c:v>144</c:v>
                </c:pt>
                <c:pt idx="14">
                  <c:v>169</c:v>
                </c:pt>
                <c:pt idx="19">
                  <c:v>326</c:v>
                </c:pt>
                <c:pt idx="20">
                  <c:v>226</c:v>
                </c:pt>
                <c:pt idx="22">
                  <c:v>147</c:v>
                </c:pt>
                <c:pt idx="24">
                  <c:v>214</c:v>
                </c:pt>
                <c:pt idx="26">
                  <c:v>183</c:v>
                </c:pt>
                <c:pt idx="27">
                  <c:v>186</c:v>
                </c:pt>
                <c:pt idx="29">
                  <c:v>104</c:v>
                </c:pt>
                <c:pt idx="30">
                  <c:v>289</c:v>
                </c:pt>
                <c:pt idx="31">
                  <c:v>204</c:v>
                </c:pt>
                <c:pt idx="32">
                  <c:v>180</c:v>
                </c:pt>
                <c:pt idx="34">
                  <c:v>120</c:v>
                </c:pt>
                <c:pt idx="35">
                  <c:v>190</c:v>
                </c:pt>
                <c:pt idx="37">
                  <c:v>185</c:v>
                </c:pt>
                <c:pt idx="38">
                  <c:v>126</c:v>
                </c:pt>
                <c:pt idx="39">
                  <c:v>113</c:v>
                </c:pt>
                <c:pt idx="40">
                  <c:v>97</c:v>
                </c:pt>
                <c:pt idx="41">
                  <c:v>302</c:v>
                </c:pt>
                <c:pt idx="42">
                  <c:v>210</c:v>
                </c:pt>
                <c:pt idx="43">
                  <c:v>153</c:v>
                </c:pt>
                <c:pt idx="44">
                  <c:v>150</c:v>
                </c:pt>
                <c:pt idx="45">
                  <c:v>137</c:v>
                </c:pt>
                <c:pt idx="46">
                  <c:v>152</c:v>
                </c:pt>
                <c:pt idx="49">
                  <c:v>46</c:v>
                </c:pt>
                <c:pt idx="50">
                  <c:v>108</c:v>
                </c:pt>
                <c:pt idx="52">
                  <c:v>246</c:v>
                </c:pt>
                <c:pt idx="53">
                  <c:v>173</c:v>
                </c:pt>
                <c:pt idx="54">
                  <c:v>101</c:v>
                </c:pt>
                <c:pt idx="55">
                  <c:v>169</c:v>
                </c:pt>
                <c:pt idx="56">
                  <c:v>98</c:v>
                </c:pt>
                <c:pt idx="57">
                  <c:v>105</c:v>
                </c:pt>
                <c:pt idx="58">
                  <c:v>129</c:v>
                </c:pt>
                <c:pt idx="61">
                  <c:v>102</c:v>
                </c:pt>
                <c:pt idx="62">
                  <c:v>87</c:v>
                </c:pt>
                <c:pt idx="64">
                  <c:v>219</c:v>
                </c:pt>
                <c:pt idx="66">
                  <c:v>99</c:v>
                </c:pt>
                <c:pt idx="68">
                  <c:v>111</c:v>
                </c:pt>
                <c:pt idx="69">
                  <c:v>120</c:v>
                </c:pt>
                <c:pt idx="70">
                  <c:v>101</c:v>
                </c:pt>
                <c:pt idx="71">
                  <c:v>117</c:v>
                </c:pt>
                <c:pt idx="72">
                  <c:v>124</c:v>
                </c:pt>
                <c:pt idx="73">
                  <c:v>111</c:v>
                </c:pt>
                <c:pt idx="74">
                  <c:v>110</c:v>
                </c:pt>
                <c:pt idx="79">
                  <c:v>109</c:v>
                </c:pt>
                <c:pt idx="81">
                  <c:v>105</c:v>
                </c:pt>
                <c:pt idx="82">
                  <c:v>134</c:v>
                </c:pt>
                <c:pt idx="83">
                  <c:v>111</c:v>
                </c:pt>
                <c:pt idx="84">
                  <c:v>125</c:v>
                </c:pt>
                <c:pt idx="85">
                  <c:v>111</c:v>
                </c:pt>
                <c:pt idx="87">
                  <c:v>129</c:v>
                </c:pt>
                <c:pt idx="91">
                  <c:v>199</c:v>
                </c:pt>
                <c:pt idx="92">
                  <c:v>105</c:v>
                </c:pt>
                <c:pt idx="93">
                  <c:v>60</c:v>
                </c:pt>
                <c:pt idx="94">
                  <c:v>139</c:v>
                </c:pt>
                <c:pt idx="95">
                  <c:v>125</c:v>
                </c:pt>
                <c:pt idx="96">
                  <c:v>118</c:v>
                </c:pt>
                <c:pt idx="97">
                  <c:v>148</c:v>
                </c:pt>
                <c:pt idx="101">
                  <c:v>132</c:v>
                </c:pt>
                <c:pt idx="106">
                  <c:v>123</c:v>
                </c:pt>
                <c:pt idx="107">
                  <c:v>107</c:v>
                </c:pt>
                <c:pt idx="108">
                  <c:v>91</c:v>
                </c:pt>
                <c:pt idx="109">
                  <c:v>118</c:v>
                </c:pt>
                <c:pt idx="110">
                  <c:v>95</c:v>
                </c:pt>
                <c:pt idx="112">
                  <c:v>144</c:v>
                </c:pt>
                <c:pt idx="113">
                  <c:v>118</c:v>
                </c:pt>
                <c:pt idx="115">
                  <c:v>101</c:v>
                </c:pt>
                <c:pt idx="116">
                  <c:v>31</c:v>
                </c:pt>
                <c:pt idx="117">
                  <c:v>108</c:v>
                </c:pt>
                <c:pt idx="118">
                  <c:v>91</c:v>
                </c:pt>
                <c:pt idx="119">
                  <c:v>95</c:v>
                </c:pt>
                <c:pt idx="120">
                  <c:v>104</c:v>
                </c:pt>
                <c:pt idx="121">
                  <c:v>80</c:v>
                </c:pt>
                <c:pt idx="122">
                  <c:v>139</c:v>
                </c:pt>
                <c:pt idx="123">
                  <c:v>112</c:v>
                </c:pt>
                <c:pt idx="129">
                  <c:v>115</c:v>
                </c:pt>
                <c:pt idx="130">
                  <c:v>89</c:v>
                </c:pt>
                <c:pt idx="131">
                  <c:v>82</c:v>
                </c:pt>
                <c:pt idx="132">
                  <c:v>89</c:v>
                </c:pt>
                <c:pt idx="133">
                  <c:v>82</c:v>
                </c:pt>
                <c:pt idx="134">
                  <c:v>120</c:v>
                </c:pt>
                <c:pt idx="135">
                  <c:v>104</c:v>
                </c:pt>
                <c:pt idx="137">
                  <c:v>115</c:v>
                </c:pt>
                <c:pt idx="139">
                  <c:v>94</c:v>
                </c:pt>
                <c:pt idx="140">
                  <c:v>42</c:v>
                </c:pt>
                <c:pt idx="141">
                  <c:v>116</c:v>
                </c:pt>
                <c:pt idx="142">
                  <c:v>76</c:v>
                </c:pt>
                <c:pt idx="143">
                  <c:v>71</c:v>
                </c:pt>
                <c:pt idx="144">
                  <c:v>64</c:v>
                </c:pt>
                <c:pt idx="145">
                  <c:v>92</c:v>
                </c:pt>
                <c:pt idx="146">
                  <c:v>113</c:v>
                </c:pt>
                <c:pt idx="147">
                  <c:v>101</c:v>
                </c:pt>
                <c:pt idx="149">
                  <c:v>94</c:v>
                </c:pt>
                <c:pt idx="150">
                  <c:v>90</c:v>
                </c:pt>
                <c:pt idx="152">
                  <c:v>85</c:v>
                </c:pt>
                <c:pt idx="153">
                  <c:v>71</c:v>
                </c:pt>
                <c:pt idx="154">
                  <c:v>65</c:v>
                </c:pt>
                <c:pt idx="155">
                  <c:v>71</c:v>
                </c:pt>
                <c:pt idx="156">
                  <c:v>72</c:v>
                </c:pt>
                <c:pt idx="157">
                  <c:v>107</c:v>
                </c:pt>
                <c:pt idx="158">
                  <c:v>74</c:v>
                </c:pt>
                <c:pt idx="159">
                  <c:v>34</c:v>
                </c:pt>
                <c:pt idx="160">
                  <c:v>110</c:v>
                </c:pt>
                <c:pt idx="161">
                  <c:v>106</c:v>
                </c:pt>
                <c:pt idx="163">
                  <c:v>62</c:v>
                </c:pt>
                <c:pt idx="164">
                  <c:v>107</c:v>
                </c:pt>
                <c:pt idx="166">
                  <c:v>54</c:v>
                </c:pt>
                <c:pt idx="167">
                  <c:v>76</c:v>
                </c:pt>
                <c:pt idx="168">
                  <c:v>68</c:v>
                </c:pt>
                <c:pt idx="169">
                  <c:v>56</c:v>
                </c:pt>
                <c:pt idx="170">
                  <c:v>111</c:v>
                </c:pt>
                <c:pt idx="171">
                  <c:v>64</c:v>
                </c:pt>
                <c:pt idx="172">
                  <c:v>63</c:v>
                </c:pt>
                <c:pt idx="173">
                  <c:v>106</c:v>
                </c:pt>
                <c:pt idx="174">
                  <c:v>109</c:v>
                </c:pt>
                <c:pt idx="175">
                  <c:v>76</c:v>
                </c:pt>
                <c:pt idx="176">
                  <c:v>58</c:v>
                </c:pt>
                <c:pt idx="177">
                  <c:v>104</c:v>
                </c:pt>
                <c:pt idx="178">
                  <c:v>70</c:v>
                </c:pt>
                <c:pt idx="179">
                  <c:v>85</c:v>
                </c:pt>
                <c:pt idx="180">
                  <c:v>74</c:v>
                </c:pt>
                <c:pt idx="182">
                  <c:v>88</c:v>
                </c:pt>
                <c:pt idx="183">
                  <c:v>112</c:v>
                </c:pt>
                <c:pt idx="184">
                  <c:v>86</c:v>
                </c:pt>
                <c:pt idx="185">
                  <c:v>73</c:v>
                </c:pt>
                <c:pt idx="186">
                  <c:v>99</c:v>
                </c:pt>
                <c:pt idx="187">
                  <c:v>99</c:v>
                </c:pt>
                <c:pt idx="188">
                  <c:v>84</c:v>
                </c:pt>
                <c:pt idx="189">
                  <c:v>47</c:v>
                </c:pt>
                <c:pt idx="190">
                  <c:v>103</c:v>
                </c:pt>
                <c:pt idx="191">
                  <c:v>58</c:v>
                </c:pt>
                <c:pt idx="192">
                  <c:v>92</c:v>
                </c:pt>
                <c:pt idx="193">
                  <c:v>68</c:v>
                </c:pt>
                <c:pt idx="194">
                  <c:v>77</c:v>
                </c:pt>
                <c:pt idx="195">
                  <c:v>87</c:v>
                </c:pt>
                <c:pt idx="196">
                  <c:v>95</c:v>
                </c:pt>
                <c:pt idx="197">
                  <c:v>84</c:v>
                </c:pt>
                <c:pt idx="198">
                  <c:v>68</c:v>
                </c:pt>
                <c:pt idx="199">
                  <c:v>74</c:v>
                </c:pt>
                <c:pt idx="200">
                  <c:v>97</c:v>
                </c:pt>
                <c:pt idx="201">
                  <c:v>93</c:v>
                </c:pt>
                <c:pt idx="202">
                  <c:v>89</c:v>
                </c:pt>
                <c:pt idx="203">
                  <c:v>36</c:v>
                </c:pt>
                <c:pt idx="204">
                  <c:v>85</c:v>
                </c:pt>
                <c:pt idx="205">
                  <c:v>58</c:v>
                </c:pt>
                <c:pt idx="207">
                  <c:v>58</c:v>
                </c:pt>
                <c:pt idx="208">
                  <c:v>82</c:v>
                </c:pt>
                <c:pt idx="209">
                  <c:v>79</c:v>
                </c:pt>
                <c:pt idx="210">
                  <c:v>97</c:v>
                </c:pt>
                <c:pt idx="211">
                  <c:v>64</c:v>
                </c:pt>
                <c:pt idx="212">
                  <c:v>52</c:v>
                </c:pt>
                <c:pt idx="213">
                  <c:v>55</c:v>
                </c:pt>
                <c:pt idx="214">
                  <c:v>92</c:v>
                </c:pt>
                <c:pt idx="215">
                  <c:v>93</c:v>
                </c:pt>
                <c:pt idx="216">
                  <c:v>97</c:v>
                </c:pt>
                <c:pt idx="217">
                  <c:v>54</c:v>
                </c:pt>
                <c:pt idx="218">
                  <c:v>72</c:v>
                </c:pt>
                <c:pt idx="219">
                  <c:v>141</c:v>
                </c:pt>
                <c:pt idx="220">
                  <c:v>54</c:v>
                </c:pt>
                <c:pt idx="222">
                  <c:v>72</c:v>
                </c:pt>
                <c:pt idx="223">
                  <c:v>85</c:v>
                </c:pt>
                <c:pt idx="224">
                  <c:v>59</c:v>
                </c:pt>
                <c:pt idx="225">
                  <c:v>96</c:v>
                </c:pt>
                <c:pt idx="226">
                  <c:v>48</c:v>
                </c:pt>
                <c:pt idx="227">
                  <c:v>39</c:v>
                </c:pt>
                <c:pt idx="228">
                  <c:v>41</c:v>
                </c:pt>
                <c:pt idx="229">
                  <c:v>75</c:v>
                </c:pt>
                <c:pt idx="230">
                  <c:v>72</c:v>
                </c:pt>
                <c:pt idx="234">
                  <c:v>234</c:v>
                </c:pt>
                <c:pt idx="235">
                  <c:v>58</c:v>
                </c:pt>
                <c:pt idx="236">
                  <c:v>50</c:v>
                </c:pt>
                <c:pt idx="237">
                  <c:v>69</c:v>
                </c:pt>
                <c:pt idx="238">
                  <c:v>66</c:v>
                </c:pt>
                <c:pt idx="239">
                  <c:v>110</c:v>
                </c:pt>
                <c:pt idx="240">
                  <c:v>79</c:v>
                </c:pt>
                <c:pt idx="242">
                  <c:v>98</c:v>
                </c:pt>
                <c:pt idx="243">
                  <c:v>39</c:v>
                </c:pt>
                <c:pt idx="244">
                  <c:v>60</c:v>
                </c:pt>
                <c:pt idx="245">
                  <c:v>61</c:v>
                </c:pt>
                <c:pt idx="247">
                  <c:v>74</c:v>
                </c:pt>
                <c:pt idx="249">
                  <c:v>44</c:v>
                </c:pt>
                <c:pt idx="250">
                  <c:v>58</c:v>
                </c:pt>
                <c:pt idx="251">
                  <c:v>53</c:v>
                </c:pt>
                <c:pt idx="252">
                  <c:v>54</c:v>
                </c:pt>
                <c:pt idx="253">
                  <c:v>52</c:v>
                </c:pt>
                <c:pt idx="254">
                  <c:v>56</c:v>
                </c:pt>
                <c:pt idx="255">
                  <c:v>58</c:v>
                </c:pt>
                <c:pt idx="256">
                  <c:v>36</c:v>
                </c:pt>
                <c:pt idx="257">
                  <c:v>42</c:v>
                </c:pt>
                <c:pt idx="258">
                  <c:v>90</c:v>
                </c:pt>
                <c:pt idx="259">
                  <c:v>53</c:v>
                </c:pt>
                <c:pt idx="260">
                  <c:v>79</c:v>
                </c:pt>
                <c:pt idx="261">
                  <c:v>70</c:v>
                </c:pt>
                <c:pt idx="262">
                  <c:v>74</c:v>
                </c:pt>
                <c:pt idx="263">
                  <c:v>95</c:v>
                </c:pt>
                <c:pt idx="264">
                  <c:v>52</c:v>
                </c:pt>
                <c:pt idx="265">
                  <c:v>55</c:v>
                </c:pt>
                <c:pt idx="266">
                  <c:v>77</c:v>
                </c:pt>
                <c:pt idx="267">
                  <c:v>64</c:v>
                </c:pt>
                <c:pt idx="268">
                  <c:v>62</c:v>
                </c:pt>
                <c:pt idx="269">
                  <c:v>39</c:v>
                </c:pt>
                <c:pt idx="272">
                  <c:v>41</c:v>
                </c:pt>
                <c:pt idx="273">
                  <c:v>71</c:v>
                </c:pt>
                <c:pt idx="275">
                  <c:v>46</c:v>
                </c:pt>
                <c:pt idx="276">
                  <c:v>49</c:v>
                </c:pt>
                <c:pt idx="277">
                  <c:v>46</c:v>
                </c:pt>
                <c:pt idx="278">
                  <c:v>51</c:v>
                </c:pt>
                <c:pt idx="279">
                  <c:v>45</c:v>
                </c:pt>
                <c:pt idx="281">
                  <c:v>51</c:v>
                </c:pt>
                <c:pt idx="282">
                  <c:v>42</c:v>
                </c:pt>
                <c:pt idx="283">
                  <c:v>52</c:v>
                </c:pt>
                <c:pt idx="285">
                  <c:v>43</c:v>
                </c:pt>
                <c:pt idx="286">
                  <c:v>41</c:v>
                </c:pt>
                <c:pt idx="287">
                  <c:v>41</c:v>
                </c:pt>
                <c:pt idx="288">
                  <c:v>40</c:v>
                </c:pt>
                <c:pt idx="289">
                  <c:v>38</c:v>
                </c:pt>
                <c:pt idx="290">
                  <c:v>49</c:v>
                </c:pt>
                <c:pt idx="291">
                  <c:v>39</c:v>
                </c:pt>
                <c:pt idx="292">
                  <c:v>42</c:v>
                </c:pt>
                <c:pt idx="294">
                  <c:v>39</c:v>
                </c:pt>
                <c:pt idx="295">
                  <c:v>38</c:v>
                </c:pt>
                <c:pt idx="296">
                  <c:v>47</c:v>
                </c:pt>
                <c:pt idx="297">
                  <c:v>38</c:v>
                </c:pt>
                <c:pt idx="298">
                  <c:v>48</c:v>
                </c:pt>
                <c:pt idx="299">
                  <c:v>38</c:v>
                </c:pt>
                <c:pt idx="300">
                  <c:v>32</c:v>
                </c:pt>
                <c:pt idx="301">
                  <c:v>43</c:v>
                </c:pt>
                <c:pt idx="303">
                  <c:v>34</c:v>
                </c:pt>
                <c:pt idx="304">
                  <c:v>37</c:v>
                </c:pt>
                <c:pt idx="305">
                  <c:v>37</c:v>
                </c:pt>
                <c:pt idx="306">
                  <c:v>32</c:v>
                </c:pt>
                <c:pt idx="307">
                  <c:v>41</c:v>
                </c:pt>
                <c:pt idx="308">
                  <c:v>49</c:v>
                </c:pt>
                <c:pt idx="309">
                  <c:v>36</c:v>
                </c:pt>
                <c:pt idx="312">
                  <c:v>41</c:v>
                </c:pt>
                <c:pt idx="313">
                  <c:v>47</c:v>
                </c:pt>
                <c:pt idx="314">
                  <c:v>60</c:v>
                </c:pt>
                <c:pt idx="315">
                  <c:v>60</c:v>
                </c:pt>
                <c:pt idx="316">
                  <c:v>76</c:v>
                </c:pt>
                <c:pt idx="317">
                  <c:v>26</c:v>
                </c:pt>
                <c:pt idx="318">
                  <c:v>50</c:v>
                </c:pt>
                <c:pt idx="319">
                  <c:v>36</c:v>
                </c:pt>
                <c:pt idx="321">
                  <c:v>20</c:v>
                </c:pt>
                <c:pt idx="323">
                  <c:v>30</c:v>
                </c:pt>
                <c:pt idx="324">
                  <c:v>39</c:v>
                </c:pt>
                <c:pt idx="325">
                  <c:v>36</c:v>
                </c:pt>
                <c:pt idx="327">
                  <c:v>33</c:v>
                </c:pt>
                <c:pt idx="328">
                  <c:v>33</c:v>
                </c:pt>
                <c:pt idx="329">
                  <c:v>36</c:v>
                </c:pt>
                <c:pt idx="332">
                  <c:v>23</c:v>
                </c:pt>
                <c:pt idx="333">
                  <c:v>27</c:v>
                </c:pt>
                <c:pt idx="334">
                  <c:v>33</c:v>
                </c:pt>
                <c:pt idx="335">
                  <c:v>47</c:v>
                </c:pt>
                <c:pt idx="338">
                  <c:v>31</c:v>
                </c:pt>
                <c:pt idx="339">
                  <c:v>35</c:v>
                </c:pt>
                <c:pt idx="340">
                  <c:v>44</c:v>
                </c:pt>
                <c:pt idx="341">
                  <c:v>29</c:v>
                </c:pt>
                <c:pt idx="343">
                  <c:v>34</c:v>
                </c:pt>
                <c:pt idx="344">
                  <c:v>27</c:v>
                </c:pt>
                <c:pt idx="345">
                  <c:v>38</c:v>
                </c:pt>
                <c:pt idx="347">
                  <c:v>21</c:v>
                </c:pt>
                <c:pt idx="348">
                  <c:v>34</c:v>
                </c:pt>
                <c:pt idx="350">
                  <c:v>23</c:v>
                </c:pt>
                <c:pt idx="352">
                  <c:v>18</c:v>
                </c:pt>
                <c:pt idx="355">
                  <c:v>18</c:v>
                </c:pt>
                <c:pt idx="357">
                  <c:v>17</c:v>
                </c:pt>
                <c:pt idx="358">
                  <c:v>21</c:v>
                </c:pt>
                <c:pt idx="359">
                  <c:v>18</c:v>
                </c:pt>
                <c:pt idx="360">
                  <c:v>22</c:v>
                </c:pt>
                <c:pt idx="361">
                  <c:v>16</c:v>
                </c:pt>
                <c:pt idx="362">
                  <c:v>21</c:v>
                </c:pt>
                <c:pt idx="363">
                  <c:v>13</c:v>
                </c:pt>
                <c:pt idx="364">
                  <c:v>16</c:v>
                </c:pt>
                <c:pt idx="365">
                  <c:v>12</c:v>
                </c:pt>
                <c:pt idx="366">
                  <c:v>19</c:v>
                </c:pt>
                <c:pt idx="370">
                  <c:v>12</c:v>
                </c:pt>
                <c:pt idx="371">
                  <c:v>25</c:v>
                </c:pt>
                <c:pt idx="373">
                  <c:v>12</c:v>
                </c:pt>
                <c:pt idx="374">
                  <c:v>6</c:v>
                </c:pt>
                <c:pt idx="376">
                  <c:v>15</c:v>
                </c:pt>
                <c:pt idx="377">
                  <c:v>6</c:v>
                </c:pt>
                <c:pt idx="378">
                  <c:v>13</c:v>
                </c:pt>
                <c:pt idx="379">
                  <c:v>13</c:v>
                </c:pt>
                <c:pt idx="380">
                  <c:v>6</c:v>
                </c:pt>
                <c:pt idx="381">
                  <c:v>8</c:v>
                </c:pt>
                <c:pt idx="382">
                  <c:v>12</c:v>
                </c:pt>
                <c:pt idx="383">
                  <c:v>4</c:v>
                </c:pt>
                <c:pt idx="384">
                  <c:v>10</c:v>
                </c:pt>
                <c:pt idx="387">
                  <c:v>6</c:v>
                </c:pt>
                <c:pt idx="388">
                  <c:v>7</c:v>
                </c:pt>
                <c:pt idx="389">
                  <c:v>2</c:v>
                </c:pt>
                <c:pt idx="391">
                  <c:v>2</c:v>
                </c:pt>
              </c:numCache>
            </c:numRef>
          </c:yVal>
          <c:smooth val="0"/>
        </c:ser>
        <c:ser>
          <c:idx val="1"/>
          <c:order val="1"/>
          <c:tx>
            <c:strRef>
              <c:f>'SO2 Smoke'!$M$1</c:f>
              <c:strCache>
                <c:ptCount val="1"/>
                <c:pt idx="0">
                  <c:v>Smoke (µg/m3)</c:v>
                </c:pt>
              </c:strCache>
            </c:strRef>
          </c:tx>
          <c:spPr>
            <a:ln w="28575">
              <a:noFill/>
            </a:ln>
          </c:spPr>
          <c:marker>
            <c:symbol val="x"/>
            <c:size val="7"/>
          </c:marker>
          <c:xVal>
            <c:numRef>
              <c:f>'SO2 Smoke'!$J$2:$J$393</c:f>
              <c:numCache>
                <c:formatCode>General</c:formatCode>
                <c:ptCount val="392"/>
                <c:pt idx="0">
                  <c:v>1961</c:v>
                </c:pt>
                <c:pt idx="1">
                  <c:v>1961</c:v>
                </c:pt>
                <c:pt idx="2">
                  <c:v>1961</c:v>
                </c:pt>
                <c:pt idx="3">
                  <c:v>1961</c:v>
                </c:pt>
                <c:pt idx="4">
                  <c:v>1961</c:v>
                </c:pt>
                <c:pt idx="5">
                  <c:v>1961</c:v>
                </c:pt>
                <c:pt idx="6">
                  <c:v>1961</c:v>
                </c:pt>
                <c:pt idx="7">
                  <c:v>1961</c:v>
                </c:pt>
                <c:pt idx="8">
                  <c:v>1962</c:v>
                </c:pt>
                <c:pt idx="9">
                  <c:v>1962</c:v>
                </c:pt>
                <c:pt idx="10">
                  <c:v>1962</c:v>
                </c:pt>
                <c:pt idx="11">
                  <c:v>1962</c:v>
                </c:pt>
                <c:pt idx="12">
                  <c:v>1962</c:v>
                </c:pt>
                <c:pt idx="13">
                  <c:v>1962</c:v>
                </c:pt>
                <c:pt idx="14">
                  <c:v>1962</c:v>
                </c:pt>
                <c:pt idx="15">
                  <c:v>1962</c:v>
                </c:pt>
                <c:pt idx="16">
                  <c:v>1962</c:v>
                </c:pt>
                <c:pt idx="17">
                  <c:v>1962</c:v>
                </c:pt>
                <c:pt idx="18">
                  <c:v>1963</c:v>
                </c:pt>
                <c:pt idx="19">
                  <c:v>1963</c:v>
                </c:pt>
                <c:pt idx="20">
                  <c:v>1963</c:v>
                </c:pt>
                <c:pt idx="21">
                  <c:v>1963</c:v>
                </c:pt>
                <c:pt idx="22">
                  <c:v>1963</c:v>
                </c:pt>
                <c:pt idx="23">
                  <c:v>1963</c:v>
                </c:pt>
                <c:pt idx="24">
                  <c:v>1963</c:v>
                </c:pt>
                <c:pt idx="25">
                  <c:v>1963</c:v>
                </c:pt>
                <c:pt idx="26">
                  <c:v>1963</c:v>
                </c:pt>
                <c:pt idx="27">
                  <c:v>1963</c:v>
                </c:pt>
                <c:pt idx="28">
                  <c:v>1963</c:v>
                </c:pt>
                <c:pt idx="29">
                  <c:v>1964</c:v>
                </c:pt>
                <c:pt idx="30">
                  <c:v>1964</c:v>
                </c:pt>
                <c:pt idx="31">
                  <c:v>1964</c:v>
                </c:pt>
                <c:pt idx="32">
                  <c:v>1964</c:v>
                </c:pt>
                <c:pt idx="33">
                  <c:v>1964</c:v>
                </c:pt>
                <c:pt idx="34">
                  <c:v>1964</c:v>
                </c:pt>
                <c:pt idx="35">
                  <c:v>1964</c:v>
                </c:pt>
                <c:pt idx="36">
                  <c:v>1964</c:v>
                </c:pt>
                <c:pt idx="37">
                  <c:v>1964</c:v>
                </c:pt>
                <c:pt idx="38">
                  <c:v>1964</c:v>
                </c:pt>
                <c:pt idx="39">
                  <c:v>1964</c:v>
                </c:pt>
                <c:pt idx="40">
                  <c:v>1965</c:v>
                </c:pt>
                <c:pt idx="41">
                  <c:v>1965</c:v>
                </c:pt>
                <c:pt idx="42">
                  <c:v>1965</c:v>
                </c:pt>
                <c:pt idx="43">
                  <c:v>1965</c:v>
                </c:pt>
                <c:pt idx="44">
                  <c:v>1965</c:v>
                </c:pt>
                <c:pt idx="45">
                  <c:v>1965</c:v>
                </c:pt>
                <c:pt idx="46">
                  <c:v>1965</c:v>
                </c:pt>
                <c:pt idx="47">
                  <c:v>1965</c:v>
                </c:pt>
                <c:pt idx="48">
                  <c:v>1965</c:v>
                </c:pt>
                <c:pt idx="49">
                  <c:v>1965</c:v>
                </c:pt>
                <c:pt idx="50">
                  <c:v>1965</c:v>
                </c:pt>
                <c:pt idx="51">
                  <c:v>1966</c:v>
                </c:pt>
                <c:pt idx="52">
                  <c:v>1966</c:v>
                </c:pt>
                <c:pt idx="53">
                  <c:v>1966</c:v>
                </c:pt>
                <c:pt idx="54">
                  <c:v>1966</c:v>
                </c:pt>
                <c:pt idx="55">
                  <c:v>1966</c:v>
                </c:pt>
                <c:pt idx="56">
                  <c:v>1966</c:v>
                </c:pt>
                <c:pt idx="57">
                  <c:v>1966</c:v>
                </c:pt>
                <c:pt idx="58">
                  <c:v>1966</c:v>
                </c:pt>
                <c:pt idx="59">
                  <c:v>1966</c:v>
                </c:pt>
                <c:pt idx="60">
                  <c:v>1966</c:v>
                </c:pt>
                <c:pt idx="61">
                  <c:v>1966</c:v>
                </c:pt>
                <c:pt idx="62">
                  <c:v>1966</c:v>
                </c:pt>
                <c:pt idx="63">
                  <c:v>1967</c:v>
                </c:pt>
                <c:pt idx="64">
                  <c:v>1967</c:v>
                </c:pt>
                <c:pt idx="65">
                  <c:v>1967</c:v>
                </c:pt>
                <c:pt idx="66">
                  <c:v>1967</c:v>
                </c:pt>
                <c:pt idx="67">
                  <c:v>1967</c:v>
                </c:pt>
                <c:pt idx="68">
                  <c:v>1967</c:v>
                </c:pt>
                <c:pt idx="69">
                  <c:v>1967</c:v>
                </c:pt>
                <c:pt idx="70">
                  <c:v>1967</c:v>
                </c:pt>
                <c:pt idx="71">
                  <c:v>1967</c:v>
                </c:pt>
                <c:pt idx="72">
                  <c:v>1967</c:v>
                </c:pt>
                <c:pt idx="73">
                  <c:v>1967</c:v>
                </c:pt>
                <c:pt idx="74">
                  <c:v>1967</c:v>
                </c:pt>
                <c:pt idx="75">
                  <c:v>1967</c:v>
                </c:pt>
                <c:pt idx="76">
                  <c:v>1968</c:v>
                </c:pt>
                <c:pt idx="77">
                  <c:v>1968</c:v>
                </c:pt>
                <c:pt idx="78">
                  <c:v>1968</c:v>
                </c:pt>
                <c:pt idx="79">
                  <c:v>1968</c:v>
                </c:pt>
                <c:pt idx="80">
                  <c:v>1968</c:v>
                </c:pt>
                <c:pt idx="81">
                  <c:v>1968</c:v>
                </c:pt>
                <c:pt idx="82">
                  <c:v>1968</c:v>
                </c:pt>
                <c:pt idx="83">
                  <c:v>1968</c:v>
                </c:pt>
                <c:pt idx="84">
                  <c:v>1968</c:v>
                </c:pt>
                <c:pt idx="85">
                  <c:v>1968</c:v>
                </c:pt>
                <c:pt idx="86">
                  <c:v>1968</c:v>
                </c:pt>
                <c:pt idx="87">
                  <c:v>1968</c:v>
                </c:pt>
                <c:pt idx="88">
                  <c:v>1968</c:v>
                </c:pt>
                <c:pt idx="89">
                  <c:v>1969</c:v>
                </c:pt>
                <c:pt idx="90">
                  <c:v>1969</c:v>
                </c:pt>
                <c:pt idx="91">
                  <c:v>1969</c:v>
                </c:pt>
                <c:pt idx="92">
                  <c:v>1969</c:v>
                </c:pt>
                <c:pt idx="93">
                  <c:v>1969</c:v>
                </c:pt>
                <c:pt idx="94">
                  <c:v>1969</c:v>
                </c:pt>
                <c:pt idx="95">
                  <c:v>1969</c:v>
                </c:pt>
                <c:pt idx="96">
                  <c:v>1969</c:v>
                </c:pt>
                <c:pt idx="97">
                  <c:v>1969</c:v>
                </c:pt>
                <c:pt idx="98">
                  <c:v>1969</c:v>
                </c:pt>
                <c:pt idx="99">
                  <c:v>1969</c:v>
                </c:pt>
                <c:pt idx="100">
                  <c:v>1969</c:v>
                </c:pt>
                <c:pt idx="101">
                  <c:v>1969</c:v>
                </c:pt>
                <c:pt idx="102">
                  <c:v>1969</c:v>
                </c:pt>
                <c:pt idx="103">
                  <c:v>1970</c:v>
                </c:pt>
                <c:pt idx="104">
                  <c:v>1970</c:v>
                </c:pt>
                <c:pt idx="105">
                  <c:v>1970</c:v>
                </c:pt>
                <c:pt idx="106">
                  <c:v>1970</c:v>
                </c:pt>
                <c:pt idx="107">
                  <c:v>1970</c:v>
                </c:pt>
                <c:pt idx="108">
                  <c:v>1970</c:v>
                </c:pt>
                <c:pt idx="109">
                  <c:v>1970</c:v>
                </c:pt>
                <c:pt idx="110">
                  <c:v>1970</c:v>
                </c:pt>
                <c:pt idx="111">
                  <c:v>1970</c:v>
                </c:pt>
                <c:pt idx="112">
                  <c:v>1970</c:v>
                </c:pt>
                <c:pt idx="113">
                  <c:v>1970</c:v>
                </c:pt>
                <c:pt idx="114">
                  <c:v>1970</c:v>
                </c:pt>
                <c:pt idx="115">
                  <c:v>1971</c:v>
                </c:pt>
                <c:pt idx="116">
                  <c:v>1971</c:v>
                </c:pt>
                <c:pt idx="117">
                  <c:v>1971</c:v>
                </c:pt>
                <c:pt idx="118">
                  <c:v>1971</c:v>
                </c:pt>
                <c:pt idx="119">
                  <c:v>1971</c:v>
                </c:pt>
                <c:pt idx="120">
                  <c:v>1971</c:v>
                </c:pt>
                <c:pt idx="121">
                  <c:v>1971</c:v>
                </c:pt>
                <c:pt idx="122">
                  <c:v>1971</c:v>
                </c:pt>
                <c:pt idx="123">
                  <c:v>1971</c:v>
                </c:pt>
                <c:pt idx="124">
                  <c:v>1971</c:v>
                </c:pt>
                <c:pt idx="125">
                  <c:v>1972</c:v>
                </c:pt>
                <c:pt idx="126">
                  <c:v>1972</c:v>
                </c:pt>
                <c:pt idx="127">
                  <c:v>1972</c:v>
                </c:pt>
                <c:pt idx="128">
                  <c:v>1972</c:v>
                </c:pt>
                <c:pt idx="129">
                  <c:v>1972</c:v>
                </c:pt>
                <c:pt idx="130">
                  <c:v>1972</c:v>
                </c:pt>
                <c:pt idx="131">
                  <c:v>1972</c:v>
                </c:pt>
                <c:pt idx="132">
                  <c:v>1972</c:v>
                </c:pt>
                <c:pt idx="133">
                  <c:v>1972</c:v>
                </c:pt>
                <c:pt idx="134">
                  <c:v>1972</c:v>
                </c:pt>
                <c:pt idx="135">
                  <c:v>1972</c:v>
                </c:pt>
                <c:pt idx="136">
                  <c:v>1972</c:v>
                </c:pt>
                <c:pt idx="137">
                  <c:v>1973</c:v>
                </c:pt>
                <c:pt idx="138">
                  <c:v>1973</c:v>
                </c:pt>
                <c:pt idx="139">
                  <c:v>1973</c:v>
                </c:pt>
                <c:pt idx="140">
                  <c:v>1973</c:v>
                </c:pt>
                <c:pt idx="141">
                  <c:v>1973</c:v>
                </c:pt>
                <c:pt idx="142">
                  <c:v>1973</c:v>
                </c:pt>
                <c:pt idx="143">
                  <c:v>1973</c:v>
                </c:pt>
                <c:pt idx="144">
                  <c:v>1973</c:v>
                </c:pt>
                <c:pt idx="145">
                  <c:v>1973</c:v>
                </c:pt>
                <c:pt idx="146">
                  <c:v>1973</c:v>
                </c:pt>
                <c:pt idx="147">
                  <c:v>1973</c:v>
                </c:pt>
                <c:pt idx="148">
                  <c:v>1973</c:v>
                </c:pt>
                <c:pt idx="149">
                  <c:v>1974</c:v>
                </c:pt>
                <c:pt idx="150">
                  <c:v>1974</c:v>
                </c:pt>
                <c:pt idx="151">
                  <c:v>1974</c:v>
                </c:pt>
                <c:pt idx="152">
                  <c:v>1974</c:v>
                </c:pt>
                <c:pt idx="153">
                  <c:v>1974</c:v>
                </c:pt>
                <c:pt idx="154">
                  <c:v>1974</c:v>
                </c:pt>
                <c:pt idx="155">
                  <c:v>1974</c:v>
                </c:pt>
                <c:pt idx="156">
                  <c:v>1974</c:v>
                </c:pt>
                <c:pt idx="157">
                  <c:v>1974</c:v>
                </c:pt>
                <c:pt idx="158">
                  <c:v>1974</c:v>
                </c:pt>
                <c:pt idx="159">
                  <c:v>1974</c:v>
                </c:pt>
                <c:pt idx="160">
                  <c:v>1975</c:v>
                </c:pt>
                <c:pt idx="161">
                  <c:v>1975</c:v>
                </c:pt>
                <c:pt idx="162">
                  <c:v>1975</c:v>
                </c:pt>
                <c:pt idx="163">
                  <c:v>1975</c:v>
                </c:pt>
                <c:pt idx="164">
                  <c:v>1975</c:v>
                </c:pt>
                <c:pt idx="165">
                  <c:v>1975</c:v>
                </c:pt>
                <c:pt idx="166">
                  <c:v>1975</c:v>
                </c:pt>
                <c:pt idx="167">
                  <c:v>1975</c:v>
                </c:pt>
                <c:pt idx="168">
                  <c:v>1975</c:v>
                </c:pt>
                <c:pt idx="169">
                  <c:v>1975</c:v>
                </c:pt>
                <c:pt idx="170">
                  <c:v>1975</c:v>
                </c:pt>
                <c:pt idx="171">
                  <c:v>1975</c:v>
                </c:pt>
                <c:pt idx="172">
                  <c:v>1975</c:v>
                </c:pt>
                <c:pt idx="173">
                  <c:v>1976</c:v>
                </c:pt>
                <c:pt idx="174">
                  <c:v>1976</c:v>
                </c:pt>
                <c:pt idx="175">
                  <c:v>1976</c:v>
                </c:pt>
                <c:pt idx="176">
                  <c:v>1976</c:v>
                </c:pt>
                <c:pt idx="177">
                  <c:v>1976</c:v>
                </c:pt>
                <c:pt idx="178">
                  <c:v>1976</c:v>
                </c:pt>
                <c:pt idx="179">
                  <c:v>1976</c:v>
                </c:pt>
                <c:pt idx="180">
                  <c:v>1976</c:v>
                </c:pt>
                <c:pt idx="181">
                  <c:v>1976</c:v>
                </c:pt>
                <c:pt idx="182">
                  <c:v>1976</c:v>
                </c:pt>
                <c:pt idx="183">
                  <c:v>1976</c:v>
                </c:pt>
                <c:pt idx="184">
                  <c:v>1976</c:v>
                </c:pt>
                <c:pt idx="185">
                  <c:v>1976</c:v>
                </c:pt>
                <c:pt idx="186">
                  <c:v>1977</c:v>
                </c:pt>
                <c:pt idx="187">
                  <c:v>1977</c:v>
                </c:pt>
                <c:pt idx="188">
                  <c:v>1977</c:v>
                </c:pt>
                <c:pt idx="189">
                  <c:v>1977</c:v>
                </c:pt>
                <c:pt idx="190">
                  <c:v>1977</c:v>
                </c:pt>
                <c:pt idx="191">
                  <c:v>1977</c:v>
                </c:pt>
                <c:pt idx="192">
                  <c:v>1977</c:v>
                </c:pt>
                <c:pt idx="193">
                  <c:v>1977</c:v>
                </c:pt>
                <c:pt idx="194">
                  <c:v>1977</c:v>
                </c:pt>
                <c:pt idx="195">
                  <c:v>1977</c:v>
                </c:pt>
                <c:pt idx="196">
                  <c:v>1977</c:v>
                </c:pt>
                <c:pt idx="197">
                  <c:v>1977</c:v>
                </c:pt>
                <c:pt idx="198">
                  <c:v>1977</c:v>
                </c:pt>
                <c:pt idx="199">
                  <c:v>1978</c:v>
                </c:pt>
                <c:pt idx="200">
                  <c:v>1978</c:v>
                </c:pt>
                <c:pt idx="201">
                  <c:v>1978</c:v>
                </c:pt>
                <c:pt idx="202">
                  <c:v>1978</c:v>
                </c:pt>
                <c:pt idx="203">
                  <c:v>1978</c:v>
                </c:pt>
                <c:pt idx="204">
                  <c:v>1978</c:v>
                </c:pt>
                <c:pt idx="205">
                  <c:v>1978</c:v>
                </c:pt>
                <c:pt idx="206">
                  <c:v>1978</c:v>
                </c:pt>
                <c:pt idx="207">
                  <c:v>1978</c:v>
                </c:pt>
                <c:pt idx="208">
                  <c:v>1978</c:v>
                </c:pt>
                <c:pt idx="209">
                  <c:v>1978</c:v>
                </c:pt>
                <c:pt idx="210">
                  <c:v>1978</c:v>
                </c:pt>
                <c:pt idx="211">
                  <c:v>1978</c:v>
                </c:pt>
                <c:pt idx="212">
                  <c:v>1978</c:v>
                </c:pt>
                <c:pt idx="213">
                  <c:v>1979</c:v>
                </c:pt>
                <c:pt idx="214">
                  <c:v>1979</c:v>
                </c:pt>
                <c:pt idx="215">
                  <c:v>1979</c:v>
                </c:pt>
                <c:pt idx="216">
                  <c:v>1979</c:v>
                </c:pt>
                <c:pt idx="217">
                  <c:v>1979</c:v>
                </c:pt>
                <c:pt idx="218">
                  <c:v>1979</c:v>
                </c:pt>
                <c:pt idx="219">
                  <c:v>1979</c:v>
                </c:pt>
                <c:pt idx="220">
                  <c:v>1979</c:v>
                </c:pt>
                <c:pt idx="221">
                  <c:v>1979</c:v>
                </c:pt>
                <c:pt idx="222">
                  <c:v>1979</c:v>
                </c:pt>
                <c:pt idx="223">
                  <c:v>1979</c:v>
                </c:pt>
                <c:pt idx="224">
                  <c:v>1979</c:v>
                </c:pt>
                <c:pt idx="225">
                  <c:v>1979</c:v>
                </c:pt>
                <c:pt idx="226">
                  <c:v>1979</c:v>
                </c:pt>
                <c:pt idx="227">
                  <c:v>1979</c:v>
                </c:pt>
                <c:pt idx="228">
                  <c:v>1980</c:v>
                </c:pt>
                <c:pt idx="229">
                  <c:v>1980</c:v>
                </c:pt>
                <c:pt idx="230">
                  <c:v>1980</c:v>
                </c:pt>
                <c:pt idx="231">
                  <c:v>1980</c:v>
                </c:pt>
                <c:pt idx="232">
                  <c:v>1980</c:v>
                </c:pt>
                <c:pt idx="233">
                  <c:v>1980</c:v>
                </c:pt>
                <c:pt idx="234">
                  <c:v>1980</c:v>
                </c:pt>
                <c:pt idx="235">
                  <c:v>1980</c:v>
                </c:pt>
                <c:pt idx="236">
                  <c:v>1980</c:v>
                </c:pt>
                <c:pt idx="237">
                  <c:v>1980</c:v>
                </c:pt>
                <c:pt idx="238">
                  <c:v>1980</c:v>
                </c:pt>
                <c:pt idx="239">
                  <c:v>1980</c:v>
                </c:pt>
                <c:pt idx="240">
                  <c:v>1980</c:v>
                </c:pt>
                <c:pt idx="241">
                  <c:v>1980</c:v>
                </c:pt>
                <c:pt idx="242">
                  <c:v>1980</c:v>
                </c:pt>
                <c:pt idx="243">
                  <c:v>1981</c:v>
                </c:pt>
                <c:pt idx="244">
                  <c:v>1981</c:v>
                </c:pt>
                <c:pt idx="245">
                  <c:v>1981</c:v>
                </c:pt>
                <c:pt idx="246">
                  <c:v>1981</c:v>
                </c:pt>
                <c:pt idx="247">
                  <c:v>1981</c:v>
                </c:pt>
                <c:pt idx="248">
                  <c:v>1981</c:v>
                </c:pt>
                <c:pt idx="249">
                  <c:v>1981</c:v>
                </c:pt>
                <c:pt idx="250">
                  <c:v>1981</c:v>
                </c:pt>
                <c:pt idx="251">
                  <c:v>1981</c:v>
                </c:pt>
                <c:pt idx="252">
                  <c:v>1981</c:v>
                </c:pt>
                <c:pt idx="253">
                  <c:v>1981</c:v>
                </c:pt>
                <c:pt idx="254">
                  <c:v>1981</c:v>
                </c:pt>
                <c:pt idx="255">
                  <c:v>1981</c:v>
                </c:pt>
                <c:pt idx="256">
                  <c:v>1981</c:v>
                </c:pt>
                <c:pt idx="257">
                  <c:v>1982</c:v>
                </c:pt>
                <c:pt idx="258">
                  <c:v>1982</c:v>
                </c:pt>
                <c:pt idx="259">
                  <c:v>1982</c:v>
                </c:pt>
                <c:pt idx="260">
                  <c:v>1982</c:v>
                </c:pt>
                <c:pt idx="261">
                  <c:v>1982</c:v>
                </c:pt>
                <c:pt idx="262">
                  <c:v>1982</c:v>
                </c:pt>
                <c:pt idx="263">
                  <c:v>1982</c:v>
                </c:pt>
                <c:pt idx="264">
                  <c:v>1982</c:v>
                </c:pt>
                <c:pt idx="265">
                  <c:v>1982</c:v>
                </c:pt>
                <c:pt idx="266">
                  <c:v>1982</c:v>
                </c:pt>
                <c:pt idx="267">
                  <c:v>1982</c:v>
                </c:pt>
                <c:pt idx="268">
                  <c:v>1982</c:v>
                </c:pt>
                <c:pt idx="269">
                  <c:v>1982</c:v>
                </c:pt>
                <c:pt idx="270">
                  <c:v>1983</c:v>
                </c:pt>
                <c:pt idx="271">
                  <c:v>1983</c:v>
                </c:pt>
                <c:pt idx="272">
                  <c:v>1983</c:v>
                </c:pt>
                <c:pt idx="273">
                  <c:v>1983</c:v>
                </c:pt>
                <c:pt idx="274">
                  <c:v>1983</c:v>
                </c:pt>
                <c:pt idx="275">
                  <c:v>1983</c:v>
                </c:pt>
                <c:pt idx="276">
                  <c:v>1983</c:v>
                </c:pt>
                <c:pt idx="277">
                  <c:v>1983</c:v>
                </c:pt>
                <c:pt idx="278">
                  <c:v>1983</c:v>
                </c:pt>
                <c:pt idx="279">
                  <c:v>1983</c:v>
                </c:pt>
                <c:pt idx="280">
                  <c:v>1984</c:v>
                </c:pt>
                <c:pt idx="281">
                  <c:v>1984</c:v>
                </c:pt>
                <c:pt idx="282">
                  <c:v>1984</c:v>
                </c:pt>
                <c:pt idx="283">
                  <c:v>1984</c:v>
                </c:pt>
                <c:pt idx="284">
                  <c:v>1984</c:v>
                </c:pt>
                <c:pt idx="285">
                  <c:v>1984</c:v>
                </c:pt>
                <c:pt idx="286">
                  <c:v>1984</c:v>
                </c:pt>
                <c:pt idx="287">
                  <c:v>1984</c:v>
                </c:pt>
                <c:pt idx="288">
                  <c:v>1984</c:v>
                </c:pt>
                <c:pt idx="289">
                  <c:v>1984</c:v>
                </c:pt>
                <c:pt idx="290">
                  <c:v>1985</c:v>
                </c:pt>
                <c:pt idx="291">
                  <c:v>1985</c:v>
                </c:pt>
                <c:pt idx="292">
                  <c:v>1985</c:v>
                </c:pt>
                <c:pt idx="293">
                  <c:v>1985</c:v>
                </c:pt>
                <c:pt idx="294">
                  <c:v>1985</c:v>
                </c:pt>
                <c:pt idx="295">
                  <c:v>1985</c:v>
                </c:pt>
                <c:pt idx="296">
                  <c:v>1985</c:v>
                </c:pt>
                <c:pt idx="297">
                  <c:v>1985</c:v>
                </c:pt>
                <c:pt idx="298">
                  <c:v>1985</c:v>
                </c:pt>
                <c:pt idx="299">
                  <c:v>1986</c:v>
                </c:pt>
                <c:pt idx="300">
                  <c:v>1986</c:v>
                </c:pt>
                <c:pt idx="301">
                  <c:v>1986</c:v>
                </c:pt>
                <c:pt idx="302">
                  <c:v>1986</c:v>
                </c:pt>
                <c:pt idx="303">
                  <c:v>1986</c:v>
                </c:pt>
                <c:pt idx="304">
                  <c:v>1986</c:v>
                </c:pt>
                <c:pt idx="305">
                  <c:v>1986</c:v>
                </c:pt>
                <c:pt idx="306">
                  <c:v>1986</c:v>
                </c:pt>
                <c:pt idx="307">
                  <c:v>1986</c:v>
                </c:pt>
                <c:pt idx="308">
                  <c:v>1987</c:v>
                </c:pt>
                <c:pt idx="309">
                  <c:v>1987</c:v>
                </c:pt>
                <c:pt idx="310">
                  <c:v>1987</c:v>
                </c:pt>
                <c:pt idx="311">
                  <c:v>1987</c:v>
                </c:pt>
                <c:pt idx="312">
                  <c:v>1987</c:v>
                </c:pt>
                <c:pt idx="313">
                  <c:v>1987</c:v>
                </c:pt>
                <c:pt idx="314">
                  <c:v>1987</c:v>
                </c:pt>
                <c:pt idx="315">
                  <c:v>1987</c:v>
                </c:pt>
                <c:pt idx="316">
                  <c:v>1987</c:v>
                </c:pt>
                <c:pt idx="317">
                  <c:v>1988</c:v>
                </c:pt>
                <c:pt idx="318">
                  <c:v>1988</c:v>
                </c:pt>
                <c:pt idx="319">
                  <c:v>1988</c:v>
                </c:pt>
                <c:pt idx="320">
                  <c:v>1988</c:v>
                </c:pt>
                <c:pt idx="321">
                  <c:v>1988</c:v>
                </c:pt>
                <c:pt idx="322">
                  <c:v>1988</c:v>
                </c:pt>
                <c:pt idx="323">
                  <c:v>1988</c:v>
                </c:pt>
                <c:pt idx="324">
                  <c:v>1989</c:v>
                </c:pt>
                <c:pt idx="325">
                  <c:v>1989</c:v>
                </c:pt>
                <c:pt idx="326">
                  <c:v>1989</c:v>
                </c:pt>
                <c:pt idx="327">
                  <c:v>1989</c:v>
                </c:pt>
                <c:pt idx="328">
                  <c:v>1989</c:v>
                </c:pt>
                <c:pt idx="329">
                  <c:v>1990</c:v>
                </c:pt>
                <c:pt idx="330">
                  <c:v>1990</c:v>
                </c:pt>
                <c:pt idx="331">
                  <c:v>1990</c:v>
                </c:pt>
                <c:pt idx="332">
                  <c:v>1990</c:v>
                </c:pt>
                <c:pt idx="333">
                  <c:v>1990</c:v>
                </c:pt>
                <c:pt idx="334">
                  <c:v>1991</c:v>
                </c:pt>
                <c:pt idx="335">
                  <c:v>1991</c:v>
                </c:pt>
                <c:pt idx="336">
                  <c:v>1991</c:v>
                </c:pt>
                <c:pt idx="337">
                  <c:v>1991</c:v>
                </c:pt>
                <c:pt idx="338">
                  <c:v>1991</c:v>
                </c:pt>
                <c:pt idx="339">
                  <c:v>1992</c:v>
                </c:pt>
                <c:pt idx="340">
                  <c:v>1992</c:v>
                </c:pt>
                <c:pt idx="341">
                  <c:v>1992</c:v>
                </c:pt>
                <c:pt idx="342">
                  <c:v>1992</c:v>
                </c:pt>
                <c:pt idx="343">
                  <c:v>1992</c:v>
                </c:pt>
                <c:pt idx="344">
                  <c:v>1993</c:v>
                </c:pt>
                <c:pt idx="345">
                  <c:v>1993</c:v>
                </c:pt>
                <c:pt idx="346">
                  <c:v>1993</c:v>
                </c:pt>
                <c:pt idx="347">
                  <c:v>1993</c:v>
                </c:pt>
                <c:pt idx="348">
                  <c:v>1993</c:v>
                </c:pt>
                <c:pt idx="349">
                  <c:v>1994</c:v>
                </c:pt>
                <c:pt idx="350">
                  <c:v>1994</c:v>
                </c:pt>
                <c:pt idx="351">
                  <c:v>1994</c:v>
                </c:pt>
                <c:pt idx="352">
                  <c:v>1994</c:v>
                </c:pt>
                <c:pt idx="353">
                  <c:v>1994</c:v>
                </c:pt>
                <c:pt idx="354">
                  <c:v>1995</c:v>
                </c:pt>
                <c:pt idx="355">
                  <c:v>1995</c:v>
                </c:pt>
                <c:pt idx="356">
                  <c:v>1995</c:v>
                </c:pt>
                <c:pt idx="357">
                  <c:v>1995</c:v>
                </c:pt>
                <c:pt idx="358">
                  <c:v>1995</c:v>
                </c:pt>
                <c:pt idx="359">
                  <c:v>1996</c:v>
                </c:pt>
                <c:pt idx="360">
                  <c:v>1996</c:v>
                </c:pt>
                <c:pt idx="361">
                  <c:v>1996</c:v>
                </c:pt>
                <c:pt idx="362">
                  <c:v>1996</c:v>
                </c:pt>
                <c:pt idx="363">
                  <c:v>1997</c:v>
                </c:pt>
                <c:pt idx="364">
                  <c:v>1997</c:v>
                </c:pt>
                <c:pt idx="365">
                  <c:v>1997</c:v>
                </c:pt>
                <c:pt idx="366">
                  <c:v>1997</c:v>
                </c:pt>
                <c:pt idx="367">
                  <c:v>1998</c:v>
                </c:pt>
                <c:pt idx="368">
                  <c:v>1998</c:v>
                </c:pt>
                <c:pt idx="369">
                  <c:v>1998</c:v>
                </c:pt>
                <c:pt idx="370">
                  <c:v>1998</c:v>
                </c:pt>
                <c:pt idx="371">
                  <c:v>1998</c:v>
                </c:pt>
                <c:pt idx="372">
                  <c:v>1999</c:v>
                </c:pt>
                <c:pt idx="373">
                  <c:v>1999</c:v>
                </c:pt>
                <c:pt idx="374">
                  <c:v>1999</c:v>
                </c:pt>
                <c:pt idx="375">
                  <c:v>1999</c:v>
                </c:pt>
                <c:pt idx="376">
                  <c:v>2000</c:v>
                </c:pt>
                <c:pt idx="377">
                  <c:v>2000</c:v>
                </c:pt>
                <c:pt idx="378">
                  <c:v>2000</c:v>
                </c:pt>
                <c:pt idx="379">
                  <c:v>2001</c:v>
                </c:pt>
                <c:pt idx="380">
                  <c:v>2001</c:v>
                </c:pt>
                <c:pt idx="381">
                  <c:v>2001</c:v>
                </c:pt>
                <c:pt idx="382">
                  <c:v>2002</c:v>
                </c:pt>
                <c:pt idx="383">
                  <c:v>2002</c:v>
                </c:pt>
                <c:pt idx="384">
                  <c:v>2002</c:v>
                </c:pt>
                <c:pt idx="385">
                  <c:v>2003</c:v>
                </c:pt>
                <c:pt idx="386">
                  <c:v>2003</c:v>
                </c:pt>
                <c:pt idx="387">
                  <c:v>2003</c:v>
                </c:pt>
                <c:pt idx="388">
                  <c:v>2004</c:v>
                </c:pt>
                <c:pt idx="389">
                  <c:v>2004</c:v>
                </c:pt>
                <c:pt idx="390">
                  <c:v>2005</c:v>
                </c:pt>
                <c:pt idx="391">
                  <c:v>2005</c:v>
                </c:pt>
              </c:numCache>
            </c:numRef>
          </c:xVal>
          <c:yVal>
            <c:numRef>
              <c:f>'SO2 Smoke'!$M$2:$M$393</c:f>
              <c:numCache>
                <c:formatCode>General</c:formatCode>
                <c:ptCount val="392"/>
                <c:pt idx="8">
                  <c:v>133</c:v>
                </c:pt>
                <c:pt idx="9">
                  <c:v>162</c:v>
                </c:pt>
                <c:pt idx="12">
                  <c:v>149</c:v>
                </c:pt>
                <c:pt idx="13">
                  <c:v>113</c:v>
                </c:pt>
                <c:pt idx="14">
                  <c:v>155</c:v>
                </c:pt>
                <c:pt idx="19">
                  <c:v>175</c:v>
                </c:pt>
                <c:pt idx="20">
                  <c:v>151</c:v>
                </c:pt>
                <c:pt idx="21">
                  <c:v>111</c:v>
                </c:pt>
                <c:pt idx="22">
                  <c:v>135</c:v>
                </c:pt>
                <c:pt idx="23">
                  <c:v>88</c:v>
                </c:pt>
                <c:pt idx="24">
                  <c:v>153</c:v>
                </c:pt>
                <c:pt idx="26">
                  <c:v>176</c:v>
                </c:pt>
                <c:pt idx="27">
                  <c:v>170</c:v>
                </c:pt>
                <c:pt idx="29">
                  <c:v>126</c:v>
                </c:pt>
                <c:pt idx="30">
                  <c:v>164</c:v>
                </c:pt>
                <c:pt idx="31">
                  <c:v>143</c:v>
                </c:pt>
                <c:pt idx="32">
                  <c:v>126</c:v>
                </c:pt>
                <c:pt idx="34">
                  <c:v>144</c:v>
                </c:pt>
                <c:pt idx="35">
                  <c:v>153</c:v>
                </c:pt>
                <c:pt idx="37">
                  <c:v>183</c:v>
                </c:pt>
                <c:pt idx="38">
                  <c:v>145</c:v>
                </c:pt>
                <c:pt idx="39">
                  <c:v>116</c:v>
                </c:pt>
                <c:pt idx="40">
                  <c:v>125</c:v>
                </c:pt>
                <c:pt idx="41">
                  <c:v>130</c:v>
                </c:pt>
                <c:pt idx="42">
                  <c:v>114</c:v>
                </c:pt>
                <c:pt idx="43">
                  <c:v>103</c:v>
                </c:pt>
                <c:pt idx="44">
                  <c:v>97</c:v>
                </c:pt>
                <c:pt idx="45">
                  <c:v>103</c:v>
                </c:pt>
                <c:pt idx="46">
                  <c:v>114</c:v>
                </c:pt>
                <c:pt idx="49">
                  <c:v>107</c:v>
                </c:pt>
                <c:pt idx="50">
                  <c:v>83</c:v>
                </c:pt>
                <c:pt idx="52">
                  <c:v>70</c:v>
                </c:pt>
                <c:pt idx="53">
                  <c:v>87</c:v>
                </c:pt>
                <c:pt idx="54">
                  <c:v>100</c:v>
                </c:pt>
                <c:pt idx="55">
                  <c:v>111</c:v>
                </c:pt>
                <c:pt idx="56">
                  <c:v>76</c:v>
                </c:pt>
                <c:pt idx="57">
                  <c:v>61</c:v>
                </c:pt>
                <c:pt idx="58">
                  <c:v>94</c:v>
                </c:pt>
                <c:pt idx="61">
                  <c:v>99</c:v>
                </c:pt>
                <c:pt idx="62">
                  <c:v>56</c:v>
                </c:pt>
                <c:pt idx="64">
                  <c:v>86</c:v>
                </c:pt>
                <c:pt idx="66">
                  <c:v>98</c:v>
                </c:pt>
                <c:pt idx="68">
                  <c:v>67</c:v>
                </c:pt>
                <c:pt idx="69">
                  <c:v>60</c:v>
                </c:pt>
                <c:pt idx="70">
                  <c:v>50</c:v>
                </c:pt>
                <c:pt idx="71">
                  <c:v>72</c:v>
                </c:pt>
                <c:pt idx="72">
                  <c:v>94</c:v>
                </c:pt>
                <c:pt idx="73">
                  <c:v>90</c:v>
                </c:pt>
                <c:pt idx="74">
                  <c:v>81</c:v>
                </c:pt>
                <c:pt idx="79">
                  <c:v>92</c:v>
                </c:pt>
                <c:pt idx="81">
                  <c:v>68</c:v>
                </c:pt>
                <c:pt idx="82">
                  <c:v>66</c:v>
                </c:pt>
                <c:pt idx="83">
                  <c:v>54</c:v>
                </c:pt>
                <c:pt idx="84">
                  <c:v>73</c:v>
                </c:pt>
                <c:pt idx="85">
                  <c:v>82</c:v>
                </c:pt>
                <c:pt idx="86">
                  <c:v>82</c:v>
                </c:pt>
                <c:pt idx="87">
                  <c:v>81</c:v>
                </c:pt>
                <c:pt idx="91">
                  <c:v>131</c:v>
                </c:pt>
                <c:pt idx="92">
                  <c:v>77</c:v>
                </c:pt>
                <c:pt idx="93">
                  <c:v>25</c:v>
                </c:pt>
                <c:pt idx="94">
                  <c:v>68</c:v>
                </c:pt>
                <c:pt idx="95">
                  <c:v>66</c:v>
                </c:pt>
                <c:pt idx="96">
                  <c:v>59</c:v>
                </c:pt>
                <c:pt idx="97">
                  <c:v>79</c:v>
                </c:pt>
                <c:pt idx="101">
                  <c:v>83</c:v>
                </c:pt>
                <c:pt idx="106">
                  <c:v>54</c:v>
                </c:pt>
                <c:pt idx="107">
                  <c:v>54</c:v>
                </c:pt>
                <c:pt idx="108">
                  <c:v>45</c:v>
                </c:pt>
                <c:pt idx="109">
                  <c:v>56</c:v>
                </c:pt>
                <c:pt idx="110">
                  <c:v>69</c:v>
                </c:pt>
                <c:pt idx="112">
                  <c:v>55</c:v>
                </c:pt>
                <c:pt idx="113">
                  <c:v>69</c:v>
                </c:pt>
                <c:pt idx="115">
                  <c:v>55</c:v>
                </c:pt>
                <c:pt idx="116">
                  <c:v>13</c:v>
                </c:pt>
                <c:pt idx="117">
                  <c:v>47</c:v>
                </c:pt>
                <c:pt idx="118">
                  <c:v>52</c:v>
                </c:pt>
                <c:pt idx="119">
                  <c:v>46</c:v>
                </c:pt>
                <c:pt idx="120">
                  <c:v>47</c:v>
                </c:pt>
                <c:pt idx="121">
                  <c:v>64</c:v>
                </c:pt>
                <c:pt idx="122">
                  <c:v>48</c:v>
                </c:pt>
                <c:pt idx="123">
                  <c:v>67</c:v>
                </c:pt>
                <c:pt idx="129">
                  <c:v>41</c:v>
                </c:pt>
                <c:pt idx="130">
                  <c:v>39</c:v>
                </c:pt>
                <c:pt idx="131">
                  <c:v>38</c:v>
                </c:pt>
                <c:pt idx="132">
                  <c:v>52</c:v>
                </c:pt>
                <c:pt idx="133">
                  <c:v>56</c:v>
                </c:pt>
                <c:pt idx="134">
                  <c:v>43</c:v>
                </c:pt>
                <c:pt idx="135">
                  <c:v>50</c:v>
                </c:pt>
                <c:pt idx="137">
                  <c:v>41</c:v>
                </c:pt>
                <c:pt idx="139">
                  <c:v>70</c:v>
                </c:pt>
                <c:pt idx="140">
                  <c:v>21</c:v>
                </c:pt>
                <c:pt idx="141">
                  <c:v>46</c:v>
                </c:pt>
                <c:pt idx="142">
                  <c:v>44</c:v>
                </c:pt>
                <c:pt idx="143">
                  <c:v>45</c:v>
                </c:pt>
                <c:pt idx="144">
                  <c:v>46</c:v>
                </c:pt>
                <c:pt idx="145">
                  <c:v>51</c:v>
                </c:pt>
                <c:pt idx="146">
                  <c:v>55</c:v>
                </c:pt>
                <c:pt idx="147">
                  <c:v>51</c:v>
                </c:pt>
                <c:pt idx="149">
                  <c:v>30</c:v>
                </c:pt>
                <c:pt idx="150">
                  <c:v>54</c:v>
                </c:pt>
                <c:pt idx="152">
                  <c:v>35</c:v>
                </c:pt>
                <c:pt idx="153">
                  <c:v>33</c:v>
                </c:pt>
                <c:pt idx="154">
                  <c:v>29</c:v>
                </c:pt>
                <c:pt idx="155">
                  <c:v>61</c:v>
                </c:pt>
                <c:pt idx="156">
                  <c:v>38</c:v>
                </c:pt>
                <c:pt idx="157">
                  <c:v>41</c:v>
                </c:pt>
                <c:pt idx="158">
                  <c:v>34</c:v>
                </c:pt>
                <c:pt idx="159">
                  <c:v>24</c:v>
                </c:pt>
                <c:pt idx="160">
                  <c:v>29</c:v>
                </c:pt>
                <c:pt idx="161">
                  <c:v>35</c:v>
                </c:pt>
                <c:pt idx="163">
                  <c:v>21</c:v>
                </c:pt>
                <c:pt idx="164">
                  <c:v>38</c:v>
                </c:pt>
                <c:pt idx="166">
                  <c:v>34</c:v>
                </c:pt>
                <c:pt idx="167">
                  <c:v>30</c:v>
                </c:pt>
                <c:pt idx="168">
                  <c:v>64</c:v>
                </c:pt>
                <c:pt idx="169">
                  <c:v>40</c:v>
                </c:pt>
                <c:pt idx="170">
                  <c:v>46</c:v>
                </c:pt>
                <c:pt idx="171">
                  <c:v>36</c:v>
                </c:pt>
                <c:pt idx="172">
                  <c:v>29</c:v>
                </c:pt>
                <c:pt idx="173">
                  <c:v>27</c:v>
                </c:pt>
                <c:pt idx="174">
                  <c:v>34</c:v>
                </c:pt>
                <c:pt idx="175">
                  <c:v>70</c:v>
                </c:pt>
                <c:pt idx="176">
                  <c:v>23</c:v>
                </c:pt>
                <c:pt idx="177">
                  <c:v>38</c:v>
                </c:pt>
                <c:pt idx="178">
                  <c:v>28</c:v>
                </c:pt>
                <c:pt idx="179">
                  <c:v>32</c:v>
                </c:pt>
                <c:pt idx="180">
                  <c:v>52</c:v>
                </c:pt>
                <c:pt idx="182">
                  <c:v>38</c:v>
                </c:pt>
                <c:pt idx="183">
                  <c:v>44</c:v>
                </c:pt>
                <c:pt idx="184">
                  <c:v>37</c:v>
                </c:pt>
                <c:pt idx="185">
                  <c:v>25</c:v>
                </c:pt>
                <c:pt idx="186">
                  <c:v>22</c:v>
                </c:pt>
                <c:pt idx="187">
                  <c:v>25</c:v>
                </c:pt>
                <c:pt idx="188">
                  <c:v>64</c:v>
                </c:pt>
                <c:pt idx="189">
                  <c:v>13</c:v>
                </c:pt>
                <c:pt idx="190">
                  <c:v>28</c:v>
                </c:pt>
                <c:pt idx="191">
                  <c:v>17</c:v>
                </c:pt>
                <c:pt idx="192">
                  <c:v>23</c:v>
                </c:pt>
                <c:pt idx="193">
                  <c:v>37</c:v>
                </c:pt>
                <c:pt idx="194">
                  <c:v>24</c:v>
                </c:pt>
                <c:pt idx="195">
                  <c:v>38</c:v>
                </c:pt>
                <c:pt idx="196">
                  <c:v>33</c:v>
                </c:pt>
                <c:pt idx="197">
                  <c:v>34</c:v>
                </c:pt>
                <c:pt idx="198">
                  <c:v>21</c:v>
                </c:pt>
                <c:pt idx="199">
                  <c:v>28</c:v>
                </c:pt>
                <c:pt idx="200">
                  <c:v>23</c:v>
                </c:pt>
                <c:pt idx="201">
                  <c:v>25</c:v>
                </c:pt>
                <c:pt idx="202">
                  <c:v>68</c:v>
                </c:pt>
                <c:pt idx="203">
                  <c:v>6</c:v>
                </c:pt>
                <c:pt idx="204">
                  <c:v>25</c:v>
                </c:pt>
                <c:pt idx="205">
                  <c:v>18</c:v>
                </c:pt>
                <c:pt idx="206">
                  <c:v>22</c:v>
                </c:pt>
                <c:pt idx="207">
                  <c:v>43</c:v>
                </c:pt>
                <c:pt idx="208">
                  <c:v>32</c:v>
                </c:pt>
                <c:pt idx="209">
                  <c:v>37</c:v>
                </c:pt>
                <c:pt idx="210">
                  <c:v>32</c:v>
                </c:pt>
                <c:pt idx="211">
                  <c:v>32</c:v>
                </c:pt>
                <c:pt idx="212">
                  <c:v>23</c:v>
                </c:pt>
                <c:pt idx="213">
                  <c:v>30</c:v>
                </c:pt>
                <c:pt idx="214">
                  <c:v>21</c:v>
                </c:pt>
                <c:pt idx="215">
                  <c:v>24</c:v>
                </c:pt>
                <c:pt idx="216">
                  <c:v>67</c:v>
                </c:pt>
                <c:pt idx="217">
                  <c:v>7</c:v>
                </c:pt>
                <c:pt idx="218">
                  <c:v>13</c:v>
                </c:pt>
                <c:pt idx="219">
                  <c:v>27</c:v>
                </c:pt>
                <c:pt idx="220">
                  <c:v>13</c:v>
                </c:pt>
                <c:pt idx="222">
                  <c:v>42</c:v>
                </c:pt>
                <c:pt idx="223">
                  <c:v>32</c:v>
                </c:pt>
                <c:pt idx="224">
                  <c:v>31</c:v>
                </c:pt>
                <c:pt idx="225">
                  <c:v>30</c:v>
                </c:pt>
                <c:pt idx="226">
                  <c:v>29</c:v>
                </c:pt>
                <c:pt idx="227">
                  <c:v>18</c:v>
                </c:pt>
                <c:pt idx="228">
                  <c:v>27</c:v>
                </c:pt>
                <c:pt idx="229">
                  <c:v>18</c:v>
                </c:pt>
                <c:pt idx="230">
                  <c:v>16</c:v>
                </c:pt>
                <c:pt idx="234">
                  <c:v>23</c:v>
                </c:pt>
                <c:pt idx="235">
                  <c:v>13</c:v>
                </c:pt>
                <c:pt idx="236">
                  <c:v>19</c:v>
                </c:pt>
                <c:pt idx="237">
                  <c:v>37</c:v>
                </c:pt>
                <c:pt idx="238">
                  <c:v>26</c:v>
                </c:pt>
                <c:pt idx="239">
                  <c:v>27</c:v>
                </c:pt>
                <c:pt idx="240">
                  <c:v>23</c:v>
                </c:pt>
                <c:pt idx="242">
                  <c:v>15</c:v>
                </c:pt>
                <c:pt idx="243">
                  <c:v>23</c:v>
                </c:pt>
                <c:pt idx="244">
                  <c:v>17</c:v>
                </c:pt>
                <c:pt idx="245">
                  <c:v>15</c:v>
                </c:pt>
                <c:pt idx="247">
                  <c:v>55</c:v>
                </c:pt>
                <c:pt idx="249">
                  <c:v>20</c:v>
                </c:pt>
                <c:pt idx="250">
                  <c:v>11</c:v>
                </c:pt>
                <c:pt idx="251">
                  <c:v>19</c:v>
                </c:pt>
                <c:pt idx="252">
                  <c:v>33</c:v>
                </c:pt>
                <c:pt idx="253">
                  <c:v>25</c:v>
                </c:pt>
                <c:pt idx="254">
                  <c:v>27</c:v>
                </c:pt>
                <c:pt idx="255">
                  <c:v>22</c:v>
                </c:pt>
                <c:pt idx="256">
                  <c:v>15</c:v>
                </c:pt>
                <c:pt idx="257">
                  <c:v>25</c:v>
                </c:pt>
                <c:pt idx="258">
                  <c:v>33</c:v>
                </c:pt>
                <c:pt idx="259">
                  <c:v>22</c:v>
                </c:pt>
                <c:pt idx="260">
                  <c:v>58</c:v>
                </c:pt>
                <c:pt idx="261">
                  <c:v>34</c:v>
                </c:pt>
                <c:pt idx="262">
                  <c:v>20</c:v>
                </c:pt>
                <c:pt idx="263">
                  <c:v>35</c:v>
                </c:pt>
                <c:pt idx="264">
                  <c:v>34</c:v>
                </c:pt>
                <c:pt idx="265">
                  <c:v>24</c:v>
                </c:pt>
                <c:pt idx="266">
                  <c:v>36</c:v>
                </c:pt>
                <c:pt idx="267">
                  <c:v>17</c:v>
                </c:pt>
                <c:pt idx="268">
                  <c:v>26</c:v>
                </c:pt>
                <c:pt idx="269">
                  <c:v>13</c:v>
                </c:pt>
                <c:pt idx="272">
                  <c:v>15</c:v>
                </c:pt>
                <c:pt idx="273">
                  <c:v>49</c:v>
                </c:pt>
                <c:pt idx="275">
                  <c:v>28</c:v>
                </c:pt>
                <c:pt idx="276">
                  <c:v>20</c:v>
                </c:pt>
                <c:pt idx="277">
                  <c:v>17</c:v>
                </c:pt>
                <c:pt idx="278">
                  <c:v>23</c:v>
                </c:pt>
                <c:pt idx="279">
                  <c:v>10</c:v>
                </c:pt>
                <c:pt idx="281">
                  <c:v>18</c:v>
                </c:pt>
                <c:pt idx="282">
                  <c:v>15</c:v>
                </c:pt>
                <c:pt idx="283">
                  <c:v>46</c:v>
                </c:pt>
                <c:pt idx="285">
                  <c:v>29</c:v>
                </c:pt>
                <c:pt idx="286">
                  <c:v>22</c:v>
                </c:pt>
                <c:pt idx="287">
                  <c:v>17</c:v>
                </c:pt>
                <c:pt idx="288">
                  <c:v>26</c:v>
                </c:pt>
                <c:pt idx="289">
                  <c:v>11</c:v>
                </c:pt>
                <c:pt idx="290">
                  <c:v>18</c:v>
                </c:pt>
                <c:pt idx="291">
                  <c:v>14</c:v>
                </c:pt>
                <c:pt idx="292">
                  <c:v>57</c:v>
                </c:pt>
                <c:pt idx="294">
                  <c:v>23</c:v>
                </c:pt>
                <c:pt idx="295">
                  <c:v>22</c:v>
                </c:pt>
                <c:pt idx="296">
                  <c:v>16</c:v>
                </c:pt>
                <c:pt idx="297">
                  <c:v>24</c:v>
                </c:pt>
                <c:pt idx="298">
                  <c:v>13</c:v>
                </c:pt>
                <c:pt idx="299">
                  <c:v>13</c:v>
                </c:pt>
                <c:pt idx="300">
                  <c:v>12</c:v>
                </c:pt>
                <c:pt idx="301">
                  <c:v>55</c:v>
                </c:pt>
                <c:pt idx="303">
                  <c:v>15</c:v>
                </c:pt>
                <c:pt idx="304">
                  <c:v>15</c:v>
                </c:pt>
                <c:pt idx="305">
                  <c:v>12</c:v>
                </c:pt>
                <c:pt idx="306">
                  <c:v>17</c:v>
                </c:pt>
                <c:pt idx="307">
                  <c:v>9</c:v>
                </c:pt>
                <c:pt idx="308">
                  <c:v>17</c:v>
                </c:pt>
                <c:pt idx="309">
                  <c:v>15</c:v>
                </c:pt>
                <c:pt idx="312">
                  <c:v>26</c:v>
                </c:pt>
                <c:pt idx="313">
                  <c:v>25</c:v>
                </c:pt>
                <c:pt idx="314">
                  <c:v>18</c:v>
                </c:pt>
                <c:pt idx="315">
                  <c:v>47</c:v>
                </c:pt>
                <c:pt idx="316">
                  <c:v>21</c:v>
                </c:pt>
                <c:pt idx="317">
                  <c:v>12</c:v>
                </c:pt>
                <c:pt idx="318">
                  <c:v>13</c:v>
                </c:pt>
                <c:pt idx="319">
                  <c:v>45</c:v>
                </c:pt>
                <c:pt idx="321">
                  <c:v>16</c:v>
                </c:pt>
                <c:pt idx="323">
                  <c:v>13</c:v>
                </c:pt>
                <c:pt idx="324">
                  <c:v>16</c:v>
                </c:pt>
                <c:pt idx="325">
                  <c:v>42</c:v>
                </c:pt>
                <c:pt idx="327">
                  <c:v>15</c:v>
                </c:pt>
                <c:pt idx="328">
                  <c:v>13</c:v>
                </c:pt>
                <c:pt idx="329">
                  <c:v>12</c:v>
                </c:pt>
                <c:pt idx="332">
                  <c:v>11</c:v>
                </c:pt>
                <c:pt idx="333">
                  <c:v>11</c:v>
                </c:pt>
                <c:pt idx="334">
                  <c:v>14</c:v>
                </c:pt>
                <c:pt idx="335">
                  <c:v>21</c:v>
                </c:pt>
                <c:pt idx="338">
                  <c:v>13</c:v>
                </c:pt>
                <c:pt idx="339">
                  <c:v>13</c:v>
                </c:pt>
                <c:pt idx="340">
                  <c:v>18</c:v>
                </c:pt>
                <c:pt idx="341">
                  <c:v>8</c:v>
                </c:pt>
                <c:pt idx="343">
                  <c:v>11</c:v>
                </c:pt>
                <c:pt idx="344">
                  <c:v>11</c:v>
                </c:pt>
                <c:pt idx="345">
                  <c:v>14</c:v>
                </c:pt>
                <c:pt idx="347">
                  <c:v>12</c:v>
                </c:pt>
                <c:pt idx="348">
                  <c:v>11</c:v>
                </c:pt>
                <c:pt idx="350">
                  <c:v>12</c:v>
                </c:pt>
                <c:pt idx="352">
                  <c:v>12</c:v>
                </c:pt>
                <c:pt idx="355">
                  <c:v>9</c:v>
                </c:pt>
                <c:pt idx="357">
                  <c:v>10</c:v>
                </c:pt>
                <c:pt idx="358">
                  <c:v>9</c:v>
                </c:pt>
                <c:pt idx="359">
                  <c:v>10</c:v>
                </c:pt>
                <c:pt idx="360">
                  <c:v>12</c:v>
                </c:pt>
                <c:pt idx="361">
                  <c:v>11</c:v>
                </c:pt>
                <c:pt idx="362">
                  <c:v>8</c:v>
                </c:pt>
                <c:pt idx="363">
                  <c:v>8</c:v>
                </c:pt>
                <c:pt idx="364">
                  <c:v>8</c:v>
                </c:pt>
                <c:pt idx="365">
                  <c:v>11</c:v>
                </c:pt>
                <c:pt idx="366">
                  <c:v>9</c:v>
                </c:pt>
                <c:pt idx="370">
                  <c:v>9</c:v>
                </c:pt>
                <c:pt idx="371">
                  <c:v>7</c:v>
                </c:pt>
                <c:pt idx="373">
                  <c:v>2</c:v>
                </c:pt>
                <c:pt idx="374">
                  <c:v>9</c:v>
                </c:pt>
                <c:pt idx="376">
                  <c:v>5</c:v>
                </c:pt>
                <c:pt idx="377">
                  <c:v>7</c:v>
                </c:pt>
                <c:pt idx="378">
                  <c:v>5</c:v>
                </c:pt>
                <c:pt idx="379">
                  <c:v>8</c:v>
                </c:pt>
                <c:pt idx="380">
                  <c:v>8</c:v>
                </c:pt>
                <c:pt idx="381">
                  <c:v>6</c:v>
                </c:pt>
                <c:pt idx="382">
                  <c:v>7</c:v>
                </c:pt>
                <c:pt idx="383">
                  <c:v>8</c:v>
                </c:pt>
                <c:pt idx="384">
                  <c:v>4</c:v>
                </c:pt>
                <c:pt idx="387">
                  <c:v>5</c:v>
                </c:pt>
                <c:pt idx="388">
                  <c:v>4</c:v>
                </c:pt>
                <c:pt idx="389">
                  <c:v>3</c:v>
                </c:pt>
                <c:pt idx="391">
                  <c:v>4</c:v>
                </c:pt>
              </c:numCache>
            </c:numRef>
          </c:yVal>
          <c:smooth val="0"/>
        </c:ser>
        <c:dLbls>
          <c:showLegendKey val="0"/>
          <c:showVal val="0"/>
          <c:showCatName val="0"/>
          <c:showSerName val="0"/>
          <c:showPercent val="0"/>
          <c:showBubbleSize val="0"/>
        </c:dLbls>
        <c:axId val="96184960"/>
        <c:axId val="96287744"/>
      </c:scatterChart>
      <c:valAx>
        <c:axId val="96184960"/>
        <c:scaling>
          <c:orientation val="minMax"/>
          <c:min val="1960"/>
        </c:scaling>
        <c:delete val="0"/>
        <c:axPos val="b"/>
        <c:numFmt formatCode="General" sourceLinked="1"/>
        <c:majorTickMark val="out"/>
        <c:minorTickMark val="none"/>
        <c:tickLblPos val="nextTo"/>
        <c:crossAx val="96287744"/>
        <c:crosses val="autoZero"/>
        <c:crossBetween val="midCat"/>
      </c:valAx>
      <c:valAx>
        <c:axId val="96287744"/>
        <c:scaling>
          <c:orientation val="minMax"/>
        </c:scaling>
        <c:delete val="0"/>
        <c:axPos val="l"/>
        <c:majorGridlines/>
        <c:title>
          <c:tx>
            <c:rich>
              <a:bodyPr rot="-5400000" vert="horz"/>
              <a:lstStyle/>
              <a:p>
                <a:pPr>
                  <a:defRPr sz="1200"/>
                </a:pPr>
                <a:r>
                  <a:rPr lang="en-US" sz="1200"/>
                  <a:t>Concentration (</a:t>
                </a:r>
                <a:r>
                  <a:rPr lang="en-US" sz="1200">
                    <a:sym typeface="Symbol"/>
                  </a:rPr>
                  <a:t></a:t>
                </a:r>
                <a:r>
                  <a:rPr lang="en-US" sz="1200"/>
                  <a:t>g m</a:t>
                </a:r>
                <a:r>
                  <a:rPr lang="en-US" sz="1200" baseline="30000"/>
                  <a:t>-3</a:t>
                </a:r>
                <a:r>
                  <a:rPr lang="en-US" sz="1200"/>
                  <a:t>)    </a:t>
                </a:r>
              </a:p>
            </c:rich>
          </c:tx>
          <c:overlay val="0"/>
        </c:title>
        <c:numFmt formatCode="General" sourceLinked="1"/>
        <c:majorTickMark val="out"/>
        <c:minorTickMark val="none"/>
        <c:tickLblPos val="nextTo"/>
        <c:crossAx val="96184960"/>
        <c:crosses val="autoZero"/>
        <c:crossBetween val="midCat"/>
      </c:valAx>
    </c:plotArea>
    <c:plotVisOnly val="1"/>
    <c:dispBlanksAs val="gap"/>
    <c:showDLblsOverMax val="0"/>
  </c:chart>
  <c:spPr>
    <a:ln>
      <a:noFill/>
    </a:ln>
  </c:spPr>
  <c:externalData r:id="rId1">
    <c:autoUpdate val="0"/>
  </c:externalData>
  <c:userShapes r:id="rId2"/>
</c:chartSpace>
</file>

<file path=word/drawing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0.70161</cdr:x>
      <cdr:y>0.31981</cdr:y>
    </cdr:from>
    <cdr:to>
      <cdr:x>0.72534</cdr:x>
      <cdr:y>0.35644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70067" y="1140487"/>
          <a:ext cx="141080" cy="130629"/>
        </a:xfrm>
        <a:prstGeom xmlns:a="http://schemas.openxmlformats.org/drawingml/2006/main" prst="rect">
          <a:avLst/>
        </a:prstGeom>
      </cdr:spPr>
    </cdr:pic>
  </cdr:relSizeAnchor>
  <cdr:relSizeAnchor xmlns:cdr="http://schemas.openxmlformats.org/drawingml/2006/chartDrawing">
    <cdr:from>
      <cdr:x>0.70499</cdr:x>
      <cdr:y>0.21274</cdr:y>
    </cdr:from>
    <cdr:to>
      <cdr:x>0.72872</cdr:x>
      <cdr:y>0.24937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190163" y="758650"/>
          <a:ext cx="141080" cy="130629"/>
        </a:xfrm>
        <a:prstGeom xmlns:a="http://schemas.openxmlformats.org/drawingml/2006/main" prst="rect">
          <a:avLst/>
        </a:prstGeom>
      </cdr:spPr>
    </cdr:pic>
  </cdr:relSizeAnchor>
  <cdr:relSizeAnchor xmlns:cdr="http://schemas.openxmlformats.org/drawingml/2006/chartDrawing">
    <cdr:from>
      <cdr:x>0.72612</cdr:x>
      <cdr:y>0.19724</cdr:y>
    </cdr:from>
    <cdr:to>
      <cdr:x>0.79544</cdr:x>
      <cdr:y>0.2705</cdr:y>
    </cdr:to>
    <cdr:sp macro="" textlink="">
      <cdr:nvSpPr>
        <cdr:cNvPr id="4" name="Text Box 3"/>
        <cdr:cNvSpPr txBox="1"/>
      </cdr:nvSpPr>
      <cdr:spPr>
        <a:xfrm xmlns:a="http://schemas.openxmlformats.org/drawingml/2006/main">
          <a:off x="4315767" y="703384"/>
          <a:ext cx="411982" cy="2612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SO</a:t>
          </a:r>
          <a:r>
            <a:rPr lang="en-US" sz="1100" baseline="-25000"/>
            <a:t>2</a:t>
          </a:r>
        </a:p>
      </cdr:txBody>
    </cdr:sp>
  </cdr:relSizeAnchor>
  <cdr:relSizeAnchor xmlns:cdr="http://schemas.openxmlformats.org/drawingml/2006/chartDrawing">
    <cdr:from>
      <cdr:x>0.64337</cdr:x>
      <cdr:y>0.28756</cdr:y>
    </cdr:from>
    <cdr:to>
      <cdr:x>0.71269</cdr:x>
      <cdr:y>0.36082</cdr:y>
    </cdr:to>
    <cdr:sp macro="" textlink="">
      <cdr:nvSpPr>
        <cdr:cNvPr id="5" name="Text Box 1"/>
        <cdr:cNvSpPr txBox="1"/>
      </cdr:nvSpPr>
      <cdr:spPr>
        <a:xfrm xmlns:a="http://schemas.openxmlformats.org/drawingml/2006/main">
          <a:off x="3823957" y="1025490"/>
          <a:ext cx="411982" cy="261257"/>
        </a:xfrm>
        <a:prstGeom xmlns:a="http://schemas.openxmlformats.org/drawingml/2006/main" prst="rect">
          <a:avLst/>
        </a:prstGeom>
      </cdr:spPr>
    </cdr:sp>
  </cdr:relSizeAnchor>
  <cdr:relSizeAnchor xmlns:cdr="http://schemas.openxmlformats.org/drawingml/2006/chartDrawing">
    <cdr:from>
      <cdr:x>0.72274</cdr:x>
      <cdr:y>0.30149</cdr:y>
    </cdr:from>
    <cdr:to>
      <cdr:x>0.93322</cdr:x>
      <cdr:y>0.37334</cdr:y>
    </cdr:to>
    <cdr:sp macro="" textlink="">
      <cdr:nvSpPr>
        <cdr:cNvPr id="6" name="Text Box 5"/>
        <cdr:cNvSpPr txBox="1"/>
      </cdr:nvSpPr>
      <cdr:spPr>
        <a:xfrm xmlns:a="http://schemas.openxmlformats.org/drawingml/2006/main">
          <a:off x="4295670" y="1075172"/>
          <a:ext cx="1251020" cy="2562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Smoke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8023</Words>
  <Characters>42125</Characters>
  <Application>Microsoft Office Word</Application>
  <DocSecurity>4</DocSecurity>
  <Lines>936</Lines>
  <Paragraphs>309</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49839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hmooers</dc:creator>
  <cp:lastModifiedBy>Roy Harrison</cp:lastModifiedBy>
  <cp:revision>2</cp:revision>
  <cp:lastPrinted>2017-01-04T10:09:00Z</cp:lastPrinted>
  <dcterms:created xsi:type="dcterms:W3CDTF">2017-01-04T10:09:00Z</dcterms:created>
  <dcterms:modified xsi:type="dcterms:W3CDTF">2017-01-04T10:09:00Z</dcterms:modified>
</cp:coreProperties>
</file>