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E7" w:rsidRPr="00D770A7" w:rsidRDefault="00917BE7">
      <w:pPr>
        <w:rPr>
          <w:b/>
        </w:rPr>
      </w:pPr>
      <w:r w:rsidRPr="00D770A7">
        <w:rPr>
          <w:b/>
        </w:rPr>
        <w:t>Commentary: Co-Producing Caribbean Geographies of In/Security</w:t>
      </w:r>
    </w:p>
    <w:p w:rsidR="00237254" w:rsidRDefault="00917BE7">
      <w:r>
        <w:t>Ahead of the 2012 RGS conference, Chris Philo</w:t>
      </w:r>
      <w:r w:rsidR="00FA5312">
        <w:t xml:space="preserve"> </w:t>
      </w:r>
      <w:r w:rsidR="001D7EF2">
        <w:fldChar w:fldCharType="begin"/>
      </w:r>
      <w:r w:rsidR="00FA5312">
        <w:instrText xml:space="preserve"> ADDIN EN.CITE &lt;EndNote&gt;&lt;Cite ExcludeAuth="1"&gt;&lt;Author&gt;Philo&lt;/Author&gt;&lt;Year&gt;2012&lt;/Year&gt;&lt;RecNum&gt;2433&lt;/RecNum&gt;&lt;DisplayText&gt;(2012)&lt;/DisplayText&gt;&lt;record&gt;&lt;rec-number&gt;2433&lt;/rec-number&gt;&lt;foreign-keys&gt;&lt;key app="EN" db-id="esafta2t3fvvrde5zra5vwwe0fzsfv5afasw"&gt;2433&lt;/key&gt;&lt;/foreign-keys&gt;&lt;ref-type name="Journal Article"&gt;17&lt;/ref-type&gt;&lt;contributors&gt;&lt;authors&gt;&lt;author&gt;Philo, Chris&lt;/author&gt;&lt;/authors&gt;&lt;/contributors&gt;&lt;titles&gt;&lt;title&gt;Security of geography⁄geography of security&lt;/title&gt;&lt;secondary-title&gt;Transactions of the Institute of British Geographers&lt;/secondary-title&gt;&lt;/titles&gt;&lt;periodical&gt;&lt;full-title&gt;Transactions of the Institute of British Geographers&lt;/full-title&gt;&lt;/periodical&gt;&lt;pages&gt;1-7&lt;/pages&gt;&lt;volume&gt;37&lt;/volume&gt;&lt;dates&gt;&lt;year&gt;2012&lt;/year&gt;&lt;/dates&gt;&lt;urls&gt;&lt;/urls&gt;&lt;/record&gt;&lt;/Cite&gt;&lt;/EndNote&gt;</w:instrText>
      </w:r>
      <w:r w:rsidR="001D7EF2">
        <w:fldChar w:fldCharType="separate"/>
      </w:r>
      <w:r w:rsidR="00FA5312">
        <w:rPr>
          <w:noProof/>
        </w:rPr>
        <w:t>(</w:t>
      </w:r>
      <w:hyperlink w:anchor="_ENREF_23" w:tooltip="Philo, 2012 #2433" w:history="1">
        <w:r w:rsidR="00943FD9">
          <w:rPr>
            <w:noProof/>
          </w:rPr>
          <w:t>2012</w:t>
        </w:r>
      </w:hyperlink>
      <w:r w:rsidR="00FA5312">
        <w:rPr>
          <w:noProof/>
        </w:rPr>
        <w:t>)</w:t>
      </w:r>
      <w:r w:rsidR="001D7EF2">
        <w:fldChar w:fldCharType="end"/>
      </w:r>
      <w:r>
        <w:t xml:space="preserve">, that year’s chair, used the Boundary Crossing format to set out the relevance of security as a theme for Geography.  </w:t>
      </w:r>
      <w:r w:rsidR="00F43BC1">
        <w:t>The article</w:t>
      </w:r>
      <w:r>
        <w:t xml:space="preserve"> did </w:t>
      </w:r>
      <w:r w:rsidR="00FD2964">
        <w:t>the</w:t>
      </w:r>
      <w:r>
        <w:t xml:space="preserve"> important preliminary work of unfixing the meanings of security to allow it to be used flexibly by a wide range of geographers</w:t>
      </w:r>
      <w:r w:rsidR="00F43BC1">
        <w:t xml:space="preserve"> during what was a very successful conference</w:t>
      </w:r>
      <w:r>
        <w:t xml:space="preserve">.  </w:t>
      </w:r>
      <w:r w:rsidR="00222A48">
        <w:t xml:space="preserve">In particular the article </w:t>
      </w:r>
      <w:r w:rsidR="00237254">
        <w:t xml:space="preserve">introduced a fertile </w:t>
      </w:r>
      <w:r w:rsidR="00222A48">
        <w:t xml:space="preserve">heuristic distinction within security, </w:t>
      </w:r>
      <w:r w:rsidR="00F43BC1">
        <w:t>a distinction</w:t>
      </w:r>
      <w:r w:rsidR="00222A48">
        <w:t xml:space="preserve"> </w:t>
      </w:r>
      <w:r w:rsidR="00F43BC1">
        <w:t>that</w:t>
      </w:r>
      <w:r w:rsidR="00222A48">
        <w:t xml:space="preserve"> nonetheless </w:t>
      </w:r>
      <w:r w:rsidR="00F43BC1">
        <w:t>assumes</w:t>
      </w:r>
      <w:r w:rsidR="00222A48">
        <w:t xml:space="preserve"> </w:t>
      </w:r>
      <w:r w:rsidR="00237254">
        <w:t xml:space="preserve">a range of </w:t>
      </w:r>
      <w:proofErr w:type="spellStart"/>
      <w:r w:rsidR="00222A48">
        <w:t>interlinkage</w:t>
      </w:r>
      <w:r w:rsidR="00237254">
        <w:t>s</w:t>
      </w:r>
      <w:proofErr w:type="spellEnd"/>
      <w:r w:rsidR="00222A48">
        <w:t xml:space="preserve">: the distinction between big-S and small-s security.  </w:t>
      </w:r>
      <w:r w:rsidR="001018C0">
        <w:t>Despite the fact</w:t>
      </w:r>
      <w:r w:rsidR="00F43BC1">
        <w:t xml:space="preserve"> that Philo </w:t>
      </w:r>
      <w:r w:rsidR="001D7EF2">
        <w:fldChar w:fldCharType="begin"/>
      </w:r>
      <w:r w:rsidR="00FA5312">
        <w:instrText xml:space="preserve"> ADDIN EN.CITE &lt;EndNote&gt;&lt;Cite ExcludeAuth="1"&gt;&lt;Author&gt;Philo&lt;/Author&gt;&lt;Year&gt;2012&lt;/Year&gt;&lt;RecNum&gt;2433&lt;/RecNum&gt;&lt;Suffix&gt;`, 2&lt;/Suffix&gt;&lt;DisplayText&gt;(2012, 2)&lt;/DisplayText&gt;&lt;record&gt;&lt;rec-number&gt;2433&lt;/rec-number&gt;&lt;foreign-keys&gt;&lt;key app="EN" db-id="esafta2t3fvvrde5zra5vwwe0fzsfv5afasw"&gt;2433&lt;/key&gt;&lt;/foreign-keys&gt;&lt;ref-type name="Journal Article"&gt;17&lt;/ref-type&gt;&lt;contributors&gt;&lt;authors&gt;&lt;author&gt;Philo, Chris&lt;/author&gt;&lt;/authors&gt;&lt;/contributors&gt;&lt;titles&gt;&lt;title&gt;Security of geography⁄geography of security&lt;/title&gt;&lt;secondary-title&gt;Transactions of the Institute of British Geographers&lt;/secondary-title&gt;&lt;/titles&gt;&lt;periodical&gt;&lt;full-title&gt;Transactions of the Institute of British Geographers&lt;/full-title&gt;&lt;/periodical&gt;&lt;pages&gt;1-7&lt;/pages&gt;&lt;volume&gt;37&lt;/volume&gt;&lt;dates&gt;&lt;year&gt;2012&lt;/year&gt;&lt;/dates&gt;&lt;urls&gt;&lt;/urls&gt;&lt;/record&gt;&lt;/Cite&gt;&lt;/EndNote&gt;</w:instrText>
      </w:r>
      <w:r w:rsidR="001D7EF2">
        <w:fldChar w:fldCharType="separate"/>
      </w:r>
      <w:r w:rsidR="00FA5312">
        <w:rPr>
          <w:noProof/>
        </w:rPr>
        <w:t>(</w:t>
      </w:r>
      <w:hyperlink w:anchor="_ENREF_23" w:tooltip="Philo, 2012 #2433" w:history="1">
        <w:r w:rsidR="00943FD9">
          <w:rPr>
            <w:noProof/>
          </w:rPr>
          <w:t>2012, 2</w:t>
        </w:r>
      </w:hyperlink>
      <w:r w:rsidR="00FA5312">
        <w:rPr>
          <w:noProof/>
        </w:rPr>
        <w:t>)</w:t>
      </w:r>
      <w:r w:rsidR="001D7EF2">
        <w:fldChar w:fldCharType="end"/>
      </w:r>
      <w:r w:rsidR="00F43BC1">
        <w:t xml:space="preserve"> introduces this</w:t>
      </w:r>
      <w:r w:rsidR="001018C0">
        <w:t xml:space="preserve"> as a distinction between the “human-scale</w:t>
      </w:r>
      <w:r w:rsidR="008307BB">
        <w:t xml:space="preserve">…[ and] </w:t>
      </w:r>
      <w:r w:rsidR="001018C0">
        <w:t xml:space="preserve">the scale of, say, nation-states waging war”, </w:t>
      </w:r>
      <w:r w:rsidR="00237254">
        <w:t xml:space="preserve">the S/s distinction need not be understood as simply scalar.  </w:t>
      </w:r>
      <w:r w:rsidR="008307BB">
        <w:t>Seen in relation to</w:t>
      </w:r>
      <w:r w:rsidR="00222A48">
        <w:t xml:space="preserve"> similar </w:t>
      </w:r>
      <w:r w:rsidR="001018C0">
        <w:t>interlinked distinctions within feminist geography</w:t>
      </w:r>
      <w:r w:rsidR="00222A48">
        <w:t xml:space="preserve"> and more specifica</w:t>
      </w:r>
      <w:r w:rsidR="001018C0">
        <w:t>lly within feminist geopolitics, such as</w:t>
      </w:r>
      <w:r w:rsidR="004611DA">
        <w:t xml:space="preserve"> </w:t>
      </w:r>
      <w:r w:rsidR="008307BB">
        <w:t>”</w:t>
      </w:r>
      <w:r w:rsidR="001018C0">
        <w:t>P/politics</w:t>
      </w:r>
      <w:r w:rsidR="008307BB">
        <w:t>”</w:t>
      </w:r>
      <w:r w:rsidR="001018C0">
        <w:t xml:space="preserve"> or “drones and the day to day” </w:t>
      </w:r>
      <w:r w:rsidR="001D7EF2">
        <w:fldChar w:fldCharType="begin"/>
      </w:r>
      <w:r w:rsidR="00924B66">
        <w:instrText xml:space="preserve"> ADDIN EN.CITE &lt;EndNote&gt;&lt;Cite&gt;&lt;Author&gt;Koopman&lt;/Author&gt;&lt;Year&gt;2011&lt;/Year&gt;&lt;RecNum&gt;2820&lt;/RecNum&gt;&lt;Suffix&gt;`, 275&lt;/Suffix&gt;&lt;DisplayText&gt;(Koopman 2011, 275)&lt;/DisplayText&gt;&lt;record&gt;&lt;rec-number&gt;2820&lt;/rec-number&gt;&lt;foreign-keys&gt;&lt;key app="EN" db-id="esafta2t3fvvrde5zra5vwwe0fzsfv5afasw"&gt;2820&lt;/key&gt;&lt;/foreign-keys&gt;&lt;ref-type name="Journal Article"&gt;17&lt;/ref-type&gt;&lt;contributors&gt;&lt;authors&gt;&lt;author&gt;Koopman, Sara&lt;/author&gt;&lt;/authors&gt;&lt;/contributors&gt;&lt;titles&gt;&lt;title&gt;Alter-geopolitics: Other securities are happening&lt;/title&gt;&lt;secondary-title&gt;Geoforum&lt;/secondary-title&gt;&lt;/titles&gt;&lt;periodical&gt;&lt;full-title&gt;Geoforum&lt;/full-title&gt;&lt;/periodical&gt;&lt;pages&gt;274-284&lt;/pages&gt;&lt;volume&gt;42&lt;/volume&gt;&lt;number&gt;3&lt;/number&gt;&lt;dates&gt;&lt;year&gt;2011&lt;/year&gt;&lt;/dates&gt;&lt;isbn&gt;00167185&lt;/isbn&gt;&lt;urls&gt;&lt;/urls&gt;&lt;electronic-resource-num&gt;10.1016/j.geoforum.2011.01.007&lt;/electronic-resource-num&gt;&lt;/record&gt;&lt;/Cite&gt;&lt;/EndNote&gt;</w:instrText>
      </w:r>
      <w:r w:rsidR="001D7EF2">
        <w:fldChar w:fldCharType="separate"/>
      </w:r>
      <w:r w:rsidR="00924B66">
        <w:rPr>
          <w:noProof/>
        </w:rPr>
        <w:t>(</w:t>
      </w:r>
      <w:hyperlink w:anchor="_ENREF_14" w:tooltip="Koopman, 2011 #2820" w:history="1">
        <w:r w:rsidR="00943FD9">
          <w:rPr>
            <w:noProof/>
          </w:rPr>
          <w:t>Koopman 2011, 275</w:t>
        </w:r>
      </w:hyperlink>
      <w:r w:rsidR="00924B66">
        <w:rPr>
          <w:noProof/>
        </w:rPr>
        <w:t>)</w:t>
      </w:r>
      <w:r w:rsidR="001D7EF2">
        <w:fldChar w:fldCharType="end"/>
      </w:r>
      <w:r w:rsidR="001018C0">
        <w:t xml:space="preserve">, </w:t>
      </w:r>
      <w:r w:rsidR="008307BB">
        <w:t xml:space="preserve">as well as in relation to </w:t>
      </w:r>
      <w:r w:rsidR="006D6125">
        <w:t xml:space="preserve">Philo’s </w:t>
      </w:r>
      <w:r w:rsidR="001D7EF2">
        <w:fldChar w:fldCharType="begin"/>
      </w:r>
      <w:r w:rsidR="00FA5312">
        <w:instrText xml:space="preserve"> ADDIN EN.CITE &lt;EndNote&gt;&lt;Cite ExcludeAuth="1"&gt;&lt;Author&gt;Philo&lt;/Author&gt;&lt;Year&gt;2012&lt;/Year&gt;&lt;RecNum&gt;2433&lt;/RecNum&gt;&lt;Suffix&gt;`, 3&lt;/Suffix&gt;&lt;DisplayText&gt;(2012, 3)&lt;/DisplayText&gt;&lt;record&gt;&lt;rec-number&gt;2433&lt;/rec-number&gt;&lt;foreign-keys&gt;&lt;key app="EN" db-id="esafta2t3fvvrde5zra5vwwe0fzsfv5afasw"&gt;2433&lt;/key&gt;&lt;/foreign-keys&gt;&lt;ref-type name="Journal Article"&gt;17&lt;/ref-type&gt;&lt;contributors&gt;&lt;authors&gt;&lt;author&gt;Philo, Chris&lt;/author&gt;&lt;/authors&gt;&lt;/contributors&gt;&lt;titles&gt;&lt;title&gt;Security of geography⁄geography of security&lt;/title&gt;&lt;secondary-title&gt;Transactions of the Institute of British Geographers&lt;/secondary-title&gt;&lt;/titles&gt;&lt;periodical&gt;&lt;full-title&gt;Transactions of the Institute of British Geographers&lt;/full-title&gt;&lt;/periodical&gt;&lt;pages&gt;1-7&lt;/pages&gt;&lt;volume&gt;37&lt;/volume&gt;&lt;dates&gt;&lt;year&gt;2012&lt;/year&gt;&lt;/dates&gt;&lt;urls&gt;&lt;/urls&gt;&lt;/record&gt;&lt;/Cite&gt;&lt;/EndNote&gt;</w:instrText>
      </w:r>
      <w:r w:rsidR="001D7EF2">
        <w:fldChar w:fldCharType="separate"/>
      </w:r>
      <w:r w:rsidR="00FA5312">
        <w:rPr>
          <w:noProof/>
        </w:rPr>
        <w:t>(</w:t>
      </w:r>
      <w:hyperlink w:anchor="_ENREF_23" w:tooltip="Philo, 2012 #2433" w:history="1">
        <w:r w:rsidR="00943FD9">
          <w:rPr>
            <w:noProof/>
          </w:rPr>
          <w:t>2012, 3</w:t>
        </w:r>
      </w:hyperlink>
      <w:r w:rsidR="00FA5312">
        <w:rPr>
          <w:noProof/>
        </w:rPr>
        <w:t>)</w:t>
      </w:r>
      <w:r w:rsidR="001D7EF2">
        <w:fldChar w:fldCharType="end"/>
      </w:r>
      <w:r w:rsidR="00170040">
        <w:t xml:space="preserve"> </w:t>
      </w:r>
      <w:r w:rsidR="006D6125">
        <w:t xml:space="preserve">parallel reference to the more familiar </w:t>
      </w:r>
      <w:r w:rsidR="00C25F1D">
        <w:t>Geography/geography</w:t>
      </w:r>
      <w:r w:rsidR="00170040">
        <w:t xml:space="preserve"> </w:t>
      </w:r>
      <w:r w:rsidR="00C25F1D">
        <w:t>distinction</w:t>
      </w:r>
      <w:r w:rsidR="008307BB">
        <w:t xml:space="preserve">, </w:t>
      </w:r>
      <w:r w:rsidR="006D6125">
        <w:t>the</w:t>
      </w:r>
      <w:r w:rsidR="00F30072">
        <w:t xml:space="preserve"> </w:t>
      </w:r>
      <w:r w:rsidR="001461B4">
        <w:t>big-</w:t>
      </w:r>
      <w:r w:rsidR="006D6125">
        <w:t>S/</w:t>
      </w:r>
      <w:r w:rsidR="001461B4">
        <w:t>small-</w:t>
      </w:r>
      <w:r w:rsidR="006D6125">
        <w:t xml:space="preserve">s security distinction </w:t>
      </w:r>
      <w:r w:rsidR="008307BB">
        <w:t xml:space="preserve">can be understood as a </w:t>
      </w:r>
      <w:r w:rsidR="00C25F1D">
        <w:t xml:space="preserve">blurred boundary line </w:t>
      </w:r>
      <w:r w:rsidR="00F30072">
        <w:t>separating more and less intense shades</w:t>
      </w:r>
      <w:r w:rsidR="001461B4">
        <w:t xml:space="preserve"> of </w:t>
      </w:r>
      <w:r w:rsidR="006D6125">
        <w:t>professionalism,</w:t>
      </w:r>
      <w:r w:rsidR="00BC1756">
        <w:t xml:space="preserve"> </w:t>
      </w:r>
      <w:r w:rsidR="006D6125">
        <w:t>formality</w:t>
      </w:r>
      <w:r w:rsidR="00BC1756">
        <w:t xml:space="preserve"> or </w:t>
      </w:r>
      <w:r w:rsidR="006D6125">
        <w:t>bureaucracy</w:t>
      </w:r>
      <w:r w:rsidR="00BC1756">
        <w:t xml:space="preserve"> from more and less intense shades of the private, the informal and the everyday</w:t>
      </w:r>
      <w:r w:rsidR="006D6125">
        <w:t xml:space="preserve">.  </w:t>
      </w:r>
      <w:r w:rsidR="006D6454">
        <w:t>To put it another way</w:t>
      </w:r>
      <w:r w:rsidR="00F30072">
        <w:t xml:space="preserve">, </w:t>
      </w:r>
      <w:r w:rsidR="008307BB">
        <w:t>the large-scale and small-scale activities of security professionals</w:t>
      </w:r>
      <w:r w:rsidR="00F43BC1">
        <w:t xml:space="preserve"> and institutions</w:t>
      </w:r>
      <w:r w:rsidR="00924B66">
        <w:t xml:space="preserve"> - </w:t>
      </w:r>
      <w:r w:rsidR="008307BB">
        <w:t xml:space="preserve">from </w:t>
      </w:r>
      <w:r w:rsidR="004611DA">
        <w:t xml:space="preserve">international </w:t>
      </w:r>
      <w:r w:rsidR="008307BB">
        <w:t xml:space="preserve">military </w:t>
      </w:r>
      <w:r w:rsidR="00F43BC1">
        <w:t>movements</w:t>
      </w:r>
      <w:r w:rsidR="008307BB">
        <w:t xml:space="preserve"> to </w:t>
      </w:r>
      <w:r w:rsidR="004611DA">
        <w:t>localised</w:t>
      </w:r>
      <w:r w:rsidR="00B714AC">
        <w:t xml:space="preserve"> </w:t>
      </w:r>
      <w:r w:rsidR="008307BB">
        <w:t>checkpoint</w:t>
      </w:r>
      <w:r w:rsidR="00EF594A">
        <w:t xml:space="preserve"> </w:t>
      </w:r>
      <w:r w:rsidR="008307BB">
        <w:t>s</w:t>
      </w:r>
      <w:r w:rsidR="00EF594A">
        <w:t>earches</w:t>
      </w:r>
      <w:r w:rsidR="006D6454">
        <w:t xml:space="preserve"> and biometric </w:t>
      </w:r>
      <w:r w:rsidR="00B714AC">
        <w:t>technologies</w:t>
      </w:r>
      <w:r w:rsidR="00924B66">
        <w:t xml:space="preserve"> </w:t>
      </w:r>
      <w:r w:rsidR="001D7EF2">
        <w:fldChar w:fldCharType="begin"/>
      </w:r>
      <w:r w:rsidR="00924B66">
        <w:instrText xml:space="preserve"> ADDIN EN.CITE &lt;EndNote&gt;&lt;Cite&gt;&lt;Author&gt;Adey&lt;/Author&gt;&lt;Year&gt;2009&lt;/Year&gt;&lt;RecNum&gt;2628&lt;/RecNum&gt;&lt;Prefix&gt;see for example &lt;/Prefix&gt;&lt;DisplayText&gt;(see for example Adey 2009, International Bank for Reconstruction and Development/World Bank 2011)&lt;/DisplayText&gt;&lt;record&gt;&lt;rec-number&gt;2628&lt;/rec-number&gt;&lt;foreign-keys&gt;&lt;key app="EN" db-id="esafta2t3fvvrde5zra5vwwe0fzsfv5afasw"&gt;2628&lt;/key&gt;&lt;/foreign-keys&gt;&lt;ref-type name="Journal Article"&gt;17&lt;/ref-type&gt;&lt;contributors&gt;&lt;authors&gt;&lt;author&gt;Adey, Peter&lt;/author&gt;&lt;/authors&gt;&lt;/contributors&gt;&lt;titles&gt;&lt;title&gt;Facing airport security: affect, biopolitics, and the preemptive securitisation of the mobile body&lt;/title&gt;&lt;secondary-title&gt;Environment and Planning D: Society and Space&lt;/secondary-title&gt;&lt;/titles&gt;&lt;periodical&gt;&lt;full-title&gt;Environment and Planning D: Society and Space&lt;/full-title&gt;&lt;/periodical&gt;&lt;pages&gt;274-295&lt;/pages&gt;&lt;volume&gt;27&lt;/volume&gt;&lt;dates&gt;&lt;year&gt;2009&lt;/year&gt;&lt;/dates&gt;&lt;urls&gt;&lt;/urls&gt;&lt;/record&gt;&lt;/Cite&gt;&lt;Cite&gt;&lt;Author&gt;International Bank for Reconstruction and Development/World Bank&lt;/Author&gt;&lt;Year&gt;2011&lt;/Year&gt;&lt;RecNum&gt;2581&lt;/RecNum&gt;&lt;record&gt;&lt;rec-number&gt;2581&lt;/rec-number&gt;&lt;foreign-keys&gt;&lt;key app="EN" db-id="esafta2t3fvvrde5zra5vwwe0fzsfv5afasw"&gt;2581&lt;/key&gt;&lt;/foreign-keys&gt;&lt;ref-type name="Book"&gt;6&lt;/ref-type&gt;&lt;contributors&gt;&lt;authors&gt;&lt;author&gt;International Bank for Reconstruction and Development/World Bank,&lt;/author&gt;&lt;/authors&gt;&lt;/contributors&gt;&lt;titles&gt;&lt;title&gt;World Development Report: Conflict, Security and Development&lt;/title&gt;&lt;/titles&gt;&lt;dates&gt;&lt;year&gt;2011&lt;/year&gt;&lt;/dates&gt;&lt;pub-location&gt;Washington&lt;/pub-location&gt;&lt;publisher&gt;World Bank&lt;/publisher&gt;&lt;urls&gt;&lt;/urls&gt;&lt;/record&gt;&lt;/Cite&gt;&lt;/EndNote&gt;</w:instrText>
      </w:r>
      <w:r w:rsidR="001D7EF2">
        <w:fldChar w:fldCharType="separate"/>
      </w:r>
      <w:r w:rsidR="00924B66">
        <w:rPr>
          <w:noProof/>
        </w:rPr>
        <w:t xml:space="preserve">(see for example </w:t>
      </w:r>
      <w:hyperlink w:anchor="_ENREF_1" w:tooltip="Adey, 2009 #2628" w:history="1">
        <w:r w:rsidR="00943FD9">
          <w:rPr>
            <w:noProof/>
          </w:rPr>
          <w:t>Adey 2009</w:t>
        </w:r>
      </w:hyperlink>
      <w:r w:rsidR="00924B66">
        <w:rPr>
          <w:noProof/>
        </w:rPr>
        <w:t xml:space="preserve">, </w:t>
      </w:r>
      <w:hyperlink w:anchor="_ENREF_9" w:tooltip="International Bank for Reconstruction and Development/World Bank, 2011 #2581" w:history="1">
        <w:r w:rsidR="00943FD9">
          <w:rPr>
            <w:noProof/>
          </w:rPr>
          <w:t>International Bank for Reconstruction and Development/World Bank 2011</w:t>
        </w:r>
      </w:hyperlink>
      <w:r w:rsidR="00924B66">
        <w:rPr>
          <w:noProof/>
        </w:rPr>
        <w:t>)</w:t>
      </w:r>
      <w:r w:rsidR="001D7EF2">
        <w:fldChar w:fldCharType="end"/>
      </w:r>
      <w:r w:rsidR="00924B66">
        <w:t xml:space="preserve"> -</w:t>
      </w:r>
      <w:r w:rsidR="008307BB">
        <w:t xml:space="preserve"> </w:t>
      </w:r>
      <w:r w:rsidR="00C71529">
        <w:t>need to be understood as</w:t>
      </w:r>
      <w:r w:rsidR="008307BB">
        <w:t xml:space="preserve"> both separate and interlinked with both large-scale and small-scale security concerns and activities of people in their everyday lives </w:t>
      </w:r>
      <w:r w:rsidR="007F3DD1">
        <w:t xml:space="preserve">- </w:t>
      </w:r>
      <w:r w:rsidR="008307BB">
        <w:t xml:space="preserve">from </w:t>
      </w:r>
      <w:r w:rsidR="00EF594A">
        <w:t xml:space="preserve">organised transnational anti-war movements to psychic and corporeal trauma </w:t>
      </w:r>
      <w:r w:rsidR="004611DA">
        <w:t xml:space="preserve">experienced by individuals in their homes and in their </w:t>
      </w:r>
      <w:r w:rsidR="00887D66">
        <w:t>neighbourhoods</w:t>
      </w:r>
      <w:r w:rsidR="007F3DD1">
        <w:t xml:space="preserve"> </w:t>
      </w:r>
      <w:r w:rsidR="001D7EF2">
        <w:fldChar w:fldCharType="begin"/>
      </w:r>
      <w:r w:rsidR="00881182">
        <w:instrText xml:space="preserve"> ADDIN EN.CITE &lt;EndNote&gt;&lt;Cite&gt;&lt;Author&gt;Fluri&lt;/Author&gt;&lt;Year&gt;2010&lt;/Year&gt;&lt;RecNum&gt;2583&lt;/RecNum&gt;&lt;DisplayText&gt;(Fluri 2010)&lt;/DisplayText&gt;&lt;record&gt;&lt;rec-number&gt;2583&lt;/rec-number&gt;&lt;foreign-keys&gt;&lt;key app="EN" db-id="esafta2t3fvvrde5zra5vwwe0fzsfv5afasw"&gt;2583&lt;/key&gt;&lt;/foreign-keys&gt;&lt;ref-type name="Journal Article"&gt;17&lt;/ref-type&gt;&lt;contributors&gt;&lt;authors&gt;&lt;author&gt;Fluri, Jennifer L &lt;/author&gt;&lt;/authors&gt;&lt;/contributors&gt;&lt;titles&gt;&lt;title&gt;Bodies, bombs and barricades: geographies of conflict and civilian (in)security&lt;/title&gt;&lt;secondary-title&gt;Transactions of the Institute of British Geographers&lt;/secondary-title&gt;&lt;/titles&gt;&lt;periodical&gt;&lt;full-title&gt;Transactions of the Institute of British Geographers&lt;/full-title&gt;&lt;/periodical&gt;&lt;pages&gt;280-296&lt;/pages&gt;&lt;volume&gt;36 &lt;/volume&gt;&lt;number&gt;2&lt;/number&gt;&lt;dates&gt;&lt;year&gt;2010&lt;/year&gt;&lt;/dates&gt;&lt;urls&gt;&lt;/urls&gt;&lt;/record&gt;&lt;/Cite&gt;&lt;/EndNote&gt;</w:instrText>
      </w:r>
      <w:r w:rsidR="001D7EF2">
        <w:fldChar w:fldCharType="separate"/>
      </w:r>
      <w:r w:rsidR="00881182">
        <w:rPr>
          <w:noProof/>
        </w:rPr>
        <w:t>(</w:t>
      </w:r>
      <w:hyperlink w:anchor="_ENREF_5" w:tooltip="Fluri, 2010 #2583" w:history="1">
        <w:r w:rsidR="00943FD9">
          <w:rPr>
            <w:noProof/>
          </w:rPr>
          <w:t>Fluri 2010</w:t>
        </w:r>
      </w:hyperlink>
      <w:r w:rsidR="00881182">
        <w:rPr>
          <w:noProof/>
        </w:rPr>
        <w:t>)</w:t>
      </w:r>
      <w:r w:rsidR="001D7EF2">
        <w:fldChar w:fldCharType="end"/>
      </w:r>
      <w:r w:rsidR="00EF594A">
        <w:t>.</w:t>
      </w:r>
      <w:r w:rsidR="008307BB">
        <w:t xml:space="preserve"> </w:t>
      </w:r>
      <w:r w:rsidR="00910ED1">
        <w:t xml:space="preserve"> </w:t>
      </w:r>
      <w:r w:rsidR="0036225C">
        <w:t>This</w:t>
      </w:r>
      <w:r w:rsidR="000D73D9">
        <w:t xml:space="preserve"> article seeks to </w:t>
      </w:r>
      <w:r w:rsidR="0020394A">
        <w:t>bring</w:t>
      </w:r>
      <w:r w:rsidR="000D73D9">
        <w:t xml:space="preserve"> this</w:t>
      </w:r>
      <w:r w:rsidR="00887D66">
        <w:t xml:space="preserve"> complex</w:t>
      </w:r>
      <w:r w:rsidR="0036225C">
        <w:t xml:space="preserve"> notion of </w:t>
      </w:r>
      <w:r w:rsidR="0010006B">
        <w:t>the big-S/small-S distinction</w:t>
      </w:r>
      <w:r w:rsidR="0036225C">
        <w:t xml:space="preserve"> </w:t>
      </w:r>
      <w:r w:rsidR="0020394A">
        <w:t xml:space="preserve">into relationship </w:t>
      </w:r>
      <w:r w:rsidR="00F43BC1">
        <w:t>with this</w:t>
      </w:r>
      <w:r w:rsidR="0036225C">
        <w:t xml:space="preserve"> year’</w:t>
      </w:r>
      <w:r w:rsidR="000825E3">
        <w:t xml:space="preserve">s (2014) </w:t>
      </w:r>
      <w:r w:rsidR="0036225C">
        <w:t>RGS conference theme, the co-production of knowledge</w:t>
      </w:r>
      <w:r w:rsidR="002A6DC9">
        <w:t xml:space="preserve">, </w:t>
      </w:r>
      <w:r w:rsidR="0020394A">
        <w:t>through a located</w:t>
      </w:r>
      <w:r w:rsidR="00F43BC1">
        <w:t xml:space="preserve"> focus</w:t>
      </w:r>
      <w:r w:rsidR="002A6DC9">
        <w:t xml:space="preserve"> on the co-production of Caribbean </w:t>
      </w:r>
      <w:r w:rsidR="0020394A">
        <w:t xml:space="preserve">big-S and small-s </w:t>
      </w:r>
      <w:r w:rsidR="00313982">
        <w:t>securities</w:t>
      </w:r>
      <w:r w:rsidR="0036225C">
        <w:t>.</w:t>
      </w:r>
      <w:r w:rsidR="000D73D9">
        <w:t xml:space="preserve">  </w:t>
      </w:r>
    </w:p>
    <w:p w:rsidR="003F327D" w:rsidRDefault="003F327D">
      <w:r>
        <w:t xml:space="preserve">The focus on Caribbean securities and insecurities comes out of an interdisciplinary and international network that has been developing for the past year.  Bringing together Caribbean and British academics in </w:t>
      </w:r>
      <w:bookmarkStart w:id="0" w:name="_GoBack"/>
      <w:r>
        <w:t>Geography, History, Dance Studies, Theology, Dispute Resolution and Literature</w:t>
      </w:r>
      <w:bookmarkEnd w:id="0"/>
      <w:r>
        <w:t xml:space="preserve">, the network explores the effects of relocating the centre of security </w:t>
      </w:r>
      <w:proofErr w:type="spellStart"/>
      <w:r>
        <w:t>knowledges</w:t>
      </w:r>
      <w:proofErr w:type="spellEnd"/>
      <w:r>
        <w:t xml:space="preserve"> to the Caribbean.  The network’s preliminary workshop, held at the University of Sheffield last year, found that</w:t>
      </w:r>
      <w:r w:rsidRPr="003F327D">
        <w:t xml:space="preserve"> a </w:t>
      </w:r>
      <w:r>
        <w:t xml:space="preserve">focus on security in the </w:t>
      </w:r>
      <w:r w:rsidRPr="003F327D">
        <w:t>Caribbean unsettles the new-millennial, US-centric quality of</w:t>
      </w:r>
      <w:r>
        <w:t xml:space="preserve"> post-9/11 security preoccupations</w:t>
      </w:r>
      <w:r w:rsidRPr="003F327D">
        <w:t>, and forces both a longer historical perspective and a wider global perspective</w:t>
      </w:r>
      <w:r w:rsidR="00E62F90">
        <w:t xml:space="preserve">.  This </w:t>
      </w:r>
      <w:r w:rsidR="002161AA">
        <w:t>commentary briefly</w:t>
      </w:r>
      <w:r w:rsidR="00E62F90">
        <w:t xml:space="preserve"> interrogates three areas of co-production that are highlighted by a focus on Cari</w:t>
      </w:r>
      <w:r w:rsidR="002161AA">
        <w:t>bbean in/securities</w:t>
      </w:r>
      <w:r w:rsidR="00E62F90">
        <w:t xml:space="preserve">: first, the historical co-production of the region </w:t>
      </w:r>
      <w:r w:rsidR="00210A7F" w:rsidRPr="00210A7F">
        <w:rPr>
          <w:i/>
        </w:rPr>
        <w:t>with</w:t>
      </w:r>
      <w:r w:rsidR="00E62F90">
        <w:t xml:space="preserve"> the profound insecurit</w:t>
      </w:r>
      <w:r w:rsidR="00206DEA">
        <w:t>ies</w:t>
      </w:r>
      <w:r w:rsidR="002161AA">
        <w:t xml:space="preserve"> of slavery</w:t>
      </w:r>
      <w:r w:rsidR="00206DEA">
        <w:t xml:space="preserve"> and colonialism</w:t>
      </w:r>
      <w:r w:rsidR="00E62F90">
        <w:t xml:space="preserve">; second, the banal </w:t>
      </w:r>
      <w:r w:rsidR="002161AA">
        <w:t>international</w:t>
      </w:r>
      <w:r w:rsidR="00E62F90">
        <w:t xml:space="preserve"> co-production</w:t>
      </w:r>
      <w:r w:rsidR="002161AA">
        <w:t xml:space="preserve"> of in/security</w:t>
      </w:r>
      <w:r w:rsidR="00E62F90">
        <w:t xml:space="preserve"> in the region as a crossroads of globalisation; and finally, the impl</w:t>
      </w:r>
      <w:r w:rsidR="002161AA">
        <w:t xml:space="preserve">ications of recent discursive </w:t>
      </w:r>
      <w:r w:rsidR="00E62F90">
        <w:t xml:space="preserve">constructions of co-production for the everyday in/security of the </w:t>
      </w:r>
      <w:r w:rsidR="002161AA">
        <w:t xml:space="preserve">region’s </w:t>
      </w:r>
      <w:proofErr w:type="spellStart"/>
      <w:r w:rsidR="00E62F90">
        <w:t>precariat</w:t>
      </w:r>
      <w:proofErr w:type="spellEnd"/>
      <w:r w:rsidR="002161AA">
        <w:t>.  Each of these co-productions in turn illustrates the co-production of big-S and small-S security, and the commentary ends with a plea for engagement with the concepts produced by Caribbean theorists</w:t>
      </w:r>
      <w:r w:rsidR="00637BAA">
        <w:t xml:space="preserve"> and other from the global South</w:t>
      </w:r>
      <w:r w:rsidR="002161AA">
        <w:t xml:space="preserve"> in relation to the insecurities of co-production.</w:t>
      </w:r>
    </w:p>
    <w:p w:rsidR="004A4361" w:rsidRPr="004A4361" w:rsidRDefault="004A4361">
      <w:pPr>
        <w:rPr>
          <w:b/>
        </w:rPr>
      </w:pPr>
      <w:r w:rsidRPr="004A4361">
        <w:rPr>
          <w:b/>
        </w:rPr>
        <w:t>Historical co-production of the Caribbean region: slavery as in/security</w:t>
      </w:r>
    </w:p>
    <w:p w:rsidR="00C0463A" w:rsidRDefault="00C51626">
      <w:r w:rsidRPr="00C51626">
        <w:t xml:space="preserve">To acknowledge </w:t>
      </w:r>
      <w:r>
        <w:t>a longer</w:t>
      </w:r>
      <w:r w:rsidRPr="00C51626">
        <w:t xml:space="preserve"> history</w:t>
      </w:r>
      <w:r>
        <w:t xml:space="preserve"> of in/security</w:t>
      </w:r>
      <w:r w:rsidRPr="00C51626">
        <w:t xml:space="preserve">, </w:t>
      </w:r>
      <w:r>
        <w:t>taking in the genocide,</w:t>
      </w:r>
      <w:r w:rsidRPr="00C51626">
        <w:t xml:space="preserve"> slavery</w:t>
      </w:r>
      <w:r>
        <w:t xml:space="preserve"> and colonialism that produced the Caribbean as a region</w:t>
      </w:r>
      <w:r w:rsidRPr="00C51626">
        <w:t xml:space="preserve">, is to </w:t>
      </w:r>
      <w:r>
        <w:t xml:space="preserve">move beyond discrete events of terror towards forms of </w:t>
      </w:r>
      <w:r>
        <w:lastRenderedPageBreak/>
        <w:t xml:space="preserve">systemic violence,  into which the everyday lives of thousands of embodied individuals </w:t>
      </w:r>
      <w:r w:rsidRPr="00C51626">
        <w:t xml:space="preserve"> </w:t>
      </w:r>
      <w:r w:rsidR="000C45CF">
        <w:t>were</w:t>
      </w:r>
      <w:r>
        <w:t xml:space="preserve"> structured </w:t>
      </w:r>
      <w:r w:rsidRPr="00C51626">
        <w:t xml:space="preserve">over </w:t>
      </w:r>
      <w:r>
        <w:t xml:space="preserve">five </w:t>
      </w:r>
      <w:r w:rsidRPr="00C51626">
        <w:t xml:space="preserve">centuries.  </w:t>
      </w:r>
      <w:r>
        <w:t xml:space="preserve">This recognises the violence of occupations, of plantation clearances, and of large-scale forced transatlantic movements of millions of bodies as both producing and produced by the intimate corporeal violence of murder, rape and disfigurement that went into disciplining enslaved people, as well as the psychological violence of </w:t>
      </w:r>
      <w:r w:rsidR="00542AA7">
        <w:t>voiding</w:t>
      </w:r>
      <w:r>
        <w:t xml:space="preserve"> and reinvestment</w:t>
      </w:r>
      <w:r w:rsidR="00CD6571">
        <w:t xml:space="preserve"> of those black bodies</w:t>
      </w:r>
      <w:r w:rsidR="00CD6571" w:rsidRPr="00CD6571">
        <w:t xml:space="preserve"> </w:t>
      </w:r>
      <w:r w:rsidR="00CD6571">
        <w:t xml:space="preserve">with </w:t>
      </w:r>
      <w:proofErr w:type="spellStart"/>
      <w:r w:rsidR="00CD6571">
        <w:t>racialised</w:t>
      </w:r>
      <w:proofErr w:type="spellEnd"/>
      <w:r w:rsidR="00CD6571">
        <w:t xml:space="preserve"> meaning, a process of literal denigration</w:t>
      </w:r>
      <w:r>
        <w:t xml:space="preserve">.  </w:t>
      </w:r>
      <w:r w:rsidR="000C45CF">
        <w:t>The legacies of both</w:t>
      </w:r>
      <w:r w:rsidR="00536628">
        <w:t xml:space="preserve"> of these co-produced in/securities,</w:t>
      </w:r>
      <w:r w:rsidR="000C45CF">
        <w:t xml:space="preserve"> big S and small s</w:t>
      </w:r>
      <w:r w:rsidR="00962D69">
        <w:t>,</w:t>
      </w:r>
      <w:r w:rsidR="000C45CF">
        <w:t xml:space="preserve"> are still experienced within the region</w:t>
      </w:r>
      <w:r w:rsidR="009D51FA">
        <w:t xml:space="preserve"> (cf. CARICOM reparations)</w:t>
      </w:r>
      <w:r w:rsidR="000C45CF">
        <w:t xml:space="preserve">. </w:t>
      </w:r>
    </w:p>
    <w:p w:rsidR="004A4361" w:rsidRDefault="00C51626">
      <w:r>
        <w:t xml:space="preserve">The concept of co-production </w:t>
      </w:r>
      <w:r w:rsidR="00C0463A">
        <w:t>is also helpful i</w:t>
      </w:r>
      <w:r w:rsidR="0075118B">
        <w:t xml:space="preserve">n understanding the </w:t>
      </w:r>
      <w:r w:rsidR="00210A7F">
        <w:t xml:space="preserve">securitised </w:t>
      </w:r>
      <w:r w:rsidR="0075118B">
        <w:t xml:space="preserve">politics </w:t>
      </w:r>
      <w:r w:rsidR="00D946A7">
        <w:t>of struggle within</w:t>
      </w:r>
      <w:r w:rsidR="0075118B">
        <w:t xml:space="preserve"> slavery.  Slavery was a system dominated by the logic of capital </w:t>
      </w:r>
      <w:r w:rsidR="00433E21">
        <w:fldChar w:fldCharType="begin"/>
      </w:r>
      <w:r w:rsidR="00433E21">
        <w:instrText xml:space="preserve"> ADDIN EN.CITE &lt;EndNote&gt;&lt;Cite&gt;&lt;Author&gt;Williams&lt;/Author&gt;&lt;Year&gt;1994&lt;/Year&gt;&lt;RecNum&gt;1177&lt;/RecNum&gt;&lt;DisplayText&gt;(Williams 1994)&lt;/DisplayText&gt;&lt;record&gt;&lt;rec-number&gt;1177&lt;/rec-number&gt;&lt;foreign-keys&gt;&lt;key app="EN" db-id="esafta2t3fvvrde5zra5vwwe0fzsfv5afasw"&gt;1177&lt;/key&gt;&lt;/foreign-keys&gt;&lt;ref-type name="Book"&gt;6&lt;/ref-type&gt;&lt;contributors&gt;&lt;authors&gt;&lt;author&gt;Williams, Eric&lt;/author&gt;&lt;/authors&gt;&lt;/contributors&gt;&lt;titles&gt;&lt;title&gt;British Historians and the West Indies&lt;/title&gt;&lt;/titles&gt;&lt;dates&gt;&lt;year&gt;1994&lt;/year&gt;&lt;/dates&gt;&lt;pub-location&gt;New York&lt;/pub-location&gt;&lt;publisher&gt;A and B Books&lt;/publisher&gt;&lt;urls&gt;&lt;/urls&gt;&lt;/record&gt;&lt;/Cite&gt;&lt;/EndNote&gt;</w:instrText>
      </w:r>
      <w:r w:rsidR="00433E21">
        <w:fldChar w:fldCharType="separate"/>
      </w:r>
      <w:r w:rsidR="00433E21">
        <w:rPr>
          <w:noProof/>
        </w:rPr>
        <w:t>(</w:t>
      </w:r>
      <w:hyperlink w:anchor="_ENREF_31" w:tooltip="Williams, 1994 #1177" w:history="1">
        <w:r w:rsidR="00943FD9">
          <w:rPr>
            <w:noProof/>
          </w:rPr>
          <w:t>Williams 1994</w:t>
        </w:r>
      </w:hyperlink>
      <w:r w:rsidR="00433E21">
        <w:rPr>
          <w:noProof/>
        </w:rPr>
        <w:t>)</w:t>
      </w:r>
      <w:r w:rsidR="00433E21">
        <w:fldChar w:fldCharType="end"/>
      </w:r>
      <w:r w:rsidR="0075118B">
        <w:t xml:space="preserve">, but in its everyday systems it was co-produced by the resistances of enslaved people, in terms of their use of their own skills to improve their own situation </w:t>
      </w:r>
      <w:r w:rsidR="00433E21">
        <w:fldChar w:fldCharType="begin"/>
      </w:r>
      <w:r w:rsidR="00433E21">
        <w:instrText xml:space="preserve"> ADDIN EN.CITE &lt;EndNote&gt;&lt;Cite&gt;&lt;Author&gt;Beckles&lt;/Author&gt;&lt;Year&gt;1989&lt;/Year&gt;&lt;RecNum&gt;206&lt;/RecNum&gt;&lt;DisplayText&gt;(Beckles 1989)&lt;/DisplayText&gt;&lt;record&gt;&lt;rec-number&gt;206&lt;/rec-number&gt;&lt;foreign-keys&gt;&lt;key app="EN" db-id="esafta2t3fvvrde5zra5vwwe0fzsfv5afasw"&gt;206&lt;/key&gt;&lt;/foreign-keys&gt;&lt;ref-type name="Book"&gt;6&lt;/ref-type&gt;&lt;contributors&gt;&lt;authors&gt;&lt;author&gt;Beckles, H. &lt;/author&gt;&lt;/authors&gt;&lt;/contributors&gt;&lt;titles&gt;&lt;title&gt;Natural Rebels: A Social History of Enslaved Black Women in Barbados&lt;/title&gt;&lt;/titles&gt;&lt;dates&gt;&lt;year&gt;1989&lt;/year&gt;&lt;/dates&gt;&lt;pub-location&gt;London&lt;/pub-location&gt;&lt;publisher&gt;Zed Books&lt;/publisher&gt;&lt;urls&gt;&lt;/urls&gt;&lt;/record&gt;&lt;/Cite&gt;&lt;/EndNote&gt;</w:instrText>
      </w:r>
      <w:r w:rsidR="00433E21">
        <w:fldChar w:fldCharType="separate"/>
      </w:r>
      <w:r w:rsidR="00433E21">
        <w:rPr>
          <w:noProof/>
        </w:rPr>
        <w:t>(</w:t>
      </w:r>
      <w:hyperlink w:anchor="_ENREF_2" w:tooltip="Beckles, 1989 #206" w:history="1">
        <w:r w:rsidR="00943FD9">
          <w:rPr>
            <w:noProof/>
          </w:rPr>
          <w:t>Beckles 1989</w:t>
        </w:r>
      </w:hyperlink>
      <w:r w:rsidR="00433E21">
        <w:rPr>
          <w:noProof/>
        </w:rPr>
        <w:t>)</w:t>
      </w:r>
      <w:r w:rsidR="00433E21">
        <w:fldChar w:fldCharType="end"/>
      </w:r>
      <w:r w:rsidR="0075118B">
        <w:t xml:space="preserve"> and in terms of their slow attrition of the system through struggle, including violent struggles that frequently induced terror amongst slave owners </w:t>
      </w:r>
      <w:r w:rsidR="00433E21">
        <w:fldChar w:fldCharType="begin"/>
      </w:r>
      <w:r w:rsidR="00433E21">
        <w:instrText xml:space="preserve"> ADDIN EN.CITE &lt;EndNote&gt;&lt;Cite&gt;&lt;Author&gt;Lambert&lt;/Author&gt;&lt;Year&gt;2005&lt;/Year&gt;&lt;RecNum&gt;740&lt;/RecNum&gt;&lt;DisplayText&gt;(Lambert 2005)&lt;/DisplayText&gt;&lt;record&gt;&lt;rec-number&gt;740&lt;/rec-number&gt;&lt;foreign-keys&gt;&lt;key app="EN" db-id="esafta2t3fvvrde5zra5vwwe0fzsfv5afasw"&gt;740&lt;/key&gt;&lt;/foreign-keys&gt;&lt;ref-type name="Journal Article"&gt;17&lt;/ref-type&gt;&lt;contributors&gt;&lt;authors&gt;&lt;author&gt;David Lambert&lt;/author&gt;&lt;/authors&gt;&lt;/contributors&gt;&lt;titles&gt;&lt;title&gt;Producing/contesting whiteness: rebellion, anti-slavery and enslavement in Barbados, 1816&lt;/title&gt;&lt;secondary-title&gt;Geoforum&lt;/secondary-title&gt;&lt;/titles&gt;&lt;periodical&gt;&lt;full-title&gt;Geoforum&lt;/full-title&gt;&lt;/periodical&gt;&lt;pages&gt;29-43&lt;/pages&gt;&lt;volume&gt;36&lt;/volume&gt;&lt;dates&gt;&lt;year&gt;2005&lt;/year&gt;&lt;/dates&gt;&lt;urls&gt;&lt;/urls&gt;&lt;/record&gt;&lt;/Cite&gt;&lt;/EndNote&gt;</w:instrText>
      </w:r>
      <w:r w:rsidR="00433E21">
        <w:fldChar w:fldCharType="separate"/>
      </w:r>
      <w:r w:rsidR="00433E21">
        <w:rPr>
          <w:noProof/>
        </w:rPr>
        <w:t>(</w:t>
      </w:r>
      <w:hyperlink w:anchor="_ENREF_15" w:tooltip="Lambert, 2005 #740" w:history="1">
        <w:r w:rsidR="00943FD9">
          <w:rPr>
            <w:noProof/>
          </w:rPr>
          <w:t>Lambert 2005</w:t>
        </w:r>
      </w:hyperlink>
      <w:r w:rsidR="00433E21">
        <w:rPr>
          <w:noProof/>
        </w:rPr>
        <w:t>)</w:t>
      </w:r>
      <w:r w:rsidR="00433E21">
        <w:fldChar w:fldCharType="end"/>
      </w:r>
      <w:r w:rsidR="0075118B">
        <w:t xml:space="preserve">.  </w:t>
      </w:r>
      <w:r w:rsidR="002F58F5">
        <w:t xml:space="preserve">Moreover, the mercantile systems within which slavery was lucrative </w:t>
      </w:r>
      <w:r w:rsidR="00210A7F">
        <w:t>were</w:t>
      </w:r>
      <w:r w:rsidR="002F58F5">
        <w:t xml:space="preserve"> also produced through and productive of assemblages and networks that were characterised as much by politicised struggle as they were by processes of exploitation and appropriation</w:t>
      </w:r>
      <w:r w:rsidR="00433E21">
        <w:t xml:space="preserve"> </w:t>
      </w:r>
      <w:r w:rsidR="00433E21">
        <w:fldChar w:fldCharType="begin"/>
      </w:r>
      <w:r w:rsidR="00433E21">
        <w:instrText xml:space="preserve"> ADDIN EN.CITE &lt;EndNote&gt;&lt;Cite&gt;&lt;Author&gt;Featherstone&lt;/Author&gt;&lt;Year&gt;2011&lt;/Year&gt;&lt;RecNum&gt;2650&lt;/RecNum&gt;&lt;DisplayText&gt;(Featherstone 2011)&lt;/DisplayText&gt;&lt;record&gt;&lt;rec-number&gt;2650&lt;/rec-number&gt;&lt;foreign-keys&gt;&lt;key app="EN" db-id="esafta2t3fvvrde5zra5vwwe0fzsfv5afasw"&gt;2650&lt;/key&gt;&lt;/foreign-keys&gt;&lt;ref-type name="Journal Article"&gt;17&lt;/ref-type&gt;&lt;contributors&gt;&lt;authors&gt;&lt;author&gt;Featherstone, David&lt;/author&gt;&lt;/authors&gt;&lt;/contributors&gt;&lt;titles&gt;&lt;title&gt;On assemblage and articulation&lt;/title&gt;&lt;secondary-title&gt;Area&lt;/secondary-title&gt;&lt;/titles&gt;&lt;periodical&gt;&lt;full-title&gt;Area&lt;/full-title&gt;&lt;/periodical&gt;&lt;pages&gt;139-142&lt;/pages&gt;&lt;volume&gt;43&lt;/volume&gt;&lt;number&gt;2&lt;/number&gt;&lt;dates&gt;&lt;year&gt;2011&lt;/year&gt;&lt;/dates&gt;&lt;isbn&gt;00040894&lt;/isbn&gt;&lt;urls&gt;&lt;/urls&gt;&lt;electronic-resource-num&gt;10.1111/j.1475-4762.2011.01007.x&lt;/electronic-resource-num&gt;&lt;/record&gt;&lt;/Cite&gt;&lt;/EndNote&gt;</w:instrText>
      </w:r>
      <w:r w:rsidR="00433E21">
        <w:fldChar w:fldCharType="separate"/>
      </w:r>
      <w:r w:rsidR="00433E21">
        <w:rPr>
          <w:noProof/>
        </w:rPr>
        <w:t>(</w:t>
      </w:r>
      <w:hyperlink w:anchor="_ENREF_4" w:tooltip="Featherstone, 2011 #2650" w:history="1">
        <w:r w:rsidR="00943FD9">
          <w:rPr>
            <w:noProof/>
          </w:rPr>
          <w:t>Featherstone 2011</w:t>
        </w:r>
      </w:hyperlink>
      <w:r w:rsidR="00433E21">
        <w:rPr>
          <w:noProof/>
        </w:rPr>
        <w:t>)</w:t>
      </w:r>
      <w:r w:rsidR="00433E21">
        <w:fldChar w:fldCharType="end"/>
      </w:r>
      <w:r w:rsidR="002F58F5">
        <w:t xml:space="preserve">.  </w:t>
      </w:r>
      <w:r w:rsidR="0075118B">
        <w:t>So slavery was</w:t>
      </w:r>
      <w:r w:rsidR="00210A7F">
        <w:t xml:space="preserve"> both</w:t>
      </w:r>
      <w:r w:rsidR="0075118B">
        <w:t xml:space="preserve"> produced </w:t>
      </w:r>
      <w:r w:rsidR="00210A7F">
        <w:t>by and productive</w:t>
      </w:r>
      <w:r w:rsidR="0075118B">
        <w:t xml:space="preserve"> </w:t>
      </w:r>
      <w:r w:rsidR="00210A7F">
        <w:t xml:space="preserve">of violence and insecurity </w:t>
      </w:r>
      <w:r w:rsidR="0075118B">
        <w:t>– slavery and insecurity co-produced each other</w:t>
      </w:r>
      <w:r w:rsidR="00A20C8D">
        <w:t xml:space="preserve"> in the</w:t>
      </w:r>
      <w:r w:rsidR="00210A7F">
        <w:t xml:space="preserve"> history of the</w:t>
      </w:r>
      <w:r w:rsidR="00A20C8D">
        <w:t xml:space="preserve"> Caribbean</w:t>
      </w:r>
      <w:r w:rsidR="0075118B">
        <w:t>.</w:t>
      </w:r>
      <w:r w:rsidR="00210A7F">
        <w:t xml:space="preserve">  </w:t>
      </w:r>
    </w:p>
    <w:p w:rsidR="00DF32C3" w:rsidRDefault="004A4361">
      <w:pPr>
        <w:rPr>
          <w:b/>
        </w:rPr>
      </w:pPr>
      <w:r w:rsidRPr="004A4361">
        <w:rPr>
          <w:b/>
        </w:rPr>
        <w:t xml:space="preserve">Living with </w:t>
      </w:r>
      <w:r w:rsidR="00C51626">
        <w:rPr>
          <w:b/>
        </w:rPr>
        <w:t xml:space="preserve">the </w:t>
      </w:r>
      <w:r w:rsidR="00105514">
        <w:rPr>
          <w:b/>
        </w:rPr>
        <w:t xml:space="preserve">international </w:t>
      </w:r>
      <w:r w:rsidRPr="004A4361">
        <w:rPr>
          <w:b/>
        </w:rPr>
        <w:t>co-production of in/security</w:t>
      </w:r>
    </w:p>
    <w:p w:rsidR="00105514" w:rsidRDefault="00DF32C3">
      <w:r>
        <w:t xml:space="preserve">In a time of global flows, the Caribbean has been produced as a region with a dense network of international connections – it is a global ‘crossroads’ </w:t>
      </w:r>
      <w:r>
        <w:fldChar w:fldCharType="begin"/>
      </w:r>
      <w:r>
        <w:instrText xml:space="preserve"> ADDIN EN.CITE &lt;EndNote&gt;&lt;Cite&gt;&lt;Author&gt;Nettleford&lt;/Author&gt;&lt;Year&gt;1994&lt;/Year&gt;&lt;RecNum&gt;1591&lt;/RecNum&gt;&lt;DisplayText&gt;(Nettleford 1994)&lt;/DisplayText&gt;&lt;record&gt;&lt;rec-number&gt;1591&lt;/rec-number&gt;&lt;foreign-keys&gt;&lt;key app="EN" db-id="esafta2t3fvvrde5zra5vwwe0fzsfv5afasw"&gt;1591&lt;/key&gt;&lt;/foreign-keys&gt;&lt;ref-type name="Book Section"&gt;5&lt;/ref-type&gt;&lt;contributors&gt;&lt;authors&gt;&lt;author&gt;Nettleford, Rex&lt;/author&gt;&lt;/authors&gt;&lt;secondary-authors&gt;&lt;author&gt;Cobley, A.&lt;/author&gt;&lt;/secondary-authors&gt;&lt;/contributors&gt;&lt;titles&gt;&lt;title&gt;The Caribbean: Crossroads of the Americas&lt;/title&gt;&lt;secondary-title&gt;Crossroads of Empire: the Europe-Caribbean Connection 1492-1992&lt;/secondary-title&gt;&lt;/titles&gt;&lt;dates&gt;&lt;year&gt;1994&lt;/year&gt;&lt;/dates&gt;&lt;pub-location&gt;Bridgetown&lt;/pub-location&gt;&lt;publisher&gt;University of the West Indies&lt;/publisher&gt;&lt;urls&gt;&lt;/urls&gt;&lt;/record&gt;&lt;/Cite&gt;&lt;/EndNote&gt;</w:instrText>
      </w:r>
      <w:r>
        <w:fldChar w:fldCharType="separate"/>
      </w:r>
      <w:r>
        <w:rPr>
          <w:noProof/>
        </w:rPr>
        <w:t>(</w:t>
      </w:r>
      <w:hyperlink w:anchor="_ENREF_20" w:tooltip="Nettleford, 1994 #1591" w:history="1">
        <w:r w:rsidR="00943FD9">
          <w:rPr>
            <w:noProof/>
          </w:rPr>
          <w:t>Nettleford 1994</w:t>
        </w:r>
      </w:hyperlink>
      <w:r>
        <w:rPr>
          <w:noProof/>
        </w:rPr>
        <w:t>)</w:t>
      </w:r>
      <w:r>
        <w:fldChar w:fldCharType="end"/>
      </w:r>
      <w:r w:rsidR="008D6207">
        <w:t xml:space="preserve">.  In fact, similar to war-torn central Africa, </w:t>
      </w:r>
      <w:r>
        <w:t xml:space="preserve">the region could be said to have an </w:t>
      </w:r>
      <w:r w:rsidR="008D6207">
        <w:t>‘</w:t>
      </w:r>
      <w:r>
        <w:t>excess</w:t>
      </w:r>
      <w:r w:rsidR="008D6207">
        <w:t>’</w:t>
      </w:r>
      <w:r>
        <w:t xml:space="preserve"> of global connections</w:t>
      </w:r>
      <w:r w:rsidR="008D6207">
        <w:t xml:space="preserve"> </w:t>
      </w:r>
      <w:r w:rsidR="008D6207">
        <w:fldChar w:fldCharType="begin"/>
      </w:r>
      <w:r w:rsidR="008D6207">
        <w:instrText xml:space="preserve"> ADDIN EN.CITE &lt;EndNote&gt;&lt;Cite&gt;&lt;Author&gt;Sidaway&lt;/Author&gt;&lt;Year&gt;2003&lt;/Year&gt;&lt;RecNum&gt;2040&lt;/RecNum&gt;&lt;DisplayText&gt;(Sidaway 2003)&lt;/DisplayText&gt;&lt;record&gt;&lt;rec-number&gt;2040&lt;/rec-number&gt;&lt;foreign-keys&gt;&lt;key app="EN" db-id="esafta2t3fvvrde5zra5vwwe0fzsfv5afasw"&gt;2040&lt;/key&gt;&lt;/foreign-keys&gt;&lt;ref-type name="Journal Article"&gt;17&lt;/ref-type&gt;&lt;contributors&gt;&lt;authors&gt;&lt;author&gt;Sidaway, James&lt;/author&gt;&lt;/authors&gt;&lt;/contributors&gt;&lt;titles&gt;&lt;title&gt;Sovereign excesses? Portraying postcolonial sovereigntyscapes&lt;/title&gt;&lt;secondary-title&gt;Political Geography&lt;/secondary-title&gt;&lt;/titles&gt;&lt;periodical&gt;&lt;full-title&gt;Political Geography&lt;/full-title&gt;&lt;/periodical&gt;&lt;pages&gt;157-178&lt;/pages&gt;&lt;volume&gt;22&lt;/volume&gt;&lt;number&gt;2&lt;/number&gt;&lt;dates&gt;&lt;year&gt;2003&lt;/year&gt;&lt;/dates&gt;&lt;urls&gt;&lt;/urls&gt;&lt;/record&gt;&lt;/Cite&gt;&lt;/EndNote&gt;</w:instrText>
      </w:r>
      <w:r w:rsidR="008D6207">
        <w:fldChar w:fldCharType="separate"/>
      </w:r>
      <w:r w:rsidR="008D6207">
        <w:rPr>
          <w:noProof/>
        </w:rPr>
        <w:t>(</w:t>
      </w:r>
      <w:hyperlink w:anchor="_ENREF_27" w:tooltip="Sidaway, 2003 #2040" w:history="1">
        <w:r w:rsidR="00943FD9">
          <w:rPr>
            <w:noProof/>
          </w:rPr>
          <w:t>Sidaway 2003</w:t>
        </w:r>
      </w:hyperlink>
      <w:r w:rsidR="008D6207">
        <w:rPr>
          <w:noProof/>
        </w:rPr>
        <w:t>)</w:t>
      </w:r>
      <w:r w:rsidR="008D6207">
        <w:fldChar w:fldCharType="end"/>
      </w:r>
      <w:r w:rsidR="008D6207">
        <w:t xml:space="preserve"> that co-produce its insecurities.  Most obviously,</w:t>
      </w:r>
      <w:r w:rsidR="00105514">
        <w:t xml:space="preserve"> the region’</w:t>
      </w:r>
      <w:r w:rsidR="008D6207">
        <w:t xml:space="preserve">s geopolitical significance as the US’s ‘backyard’ </w:t>
      </w:r>
      <w:r w:rsidR="004E7895">
        <w:t xml:space="preserve">has </w:t>
      </w:r>
      <w:r w:rsidR="008D6207">
        <w:t>made it a recurring focus for western anxieties (not only during Cold War conflicts such as the Cuban missile crisis but also in more current concerns about the detention camp at Guantanamo Bay)</w:t>
      </w:r>
      <w:r w:rsidR="004E7895">
        <w:t xml:space="preserve"> </w:t>
      </w:r>
      <w:r w:rsidR="00105514">
        <w:fldChar w:fldCharType="begin"/>
      </w:r>
      <w:r w:rsidR="00105514">
        <w:instrText xml:space="preserve"> ADDIN EN.CITE &lt;EndNote&gt;&lt;Cite&gt;&lt;Author&gt;Lievesley&lt;/Author&gt;&lt;Year&gt;2006&lt;/Year&gt;&lt;RecNum&gt;2830&lt;/RecNum&gt;&lt;DisplayText&gt;(Lievesley 2006)&lt;/DisplayText&gt;&lt;record&gt;&lt;rec-number&gt;2830&lt;/rec-number&gt;&lt;foreign-keys&gt;&lt;key app="EN" db-id="esafta2t3fvvrde5zra5vwwe0fzsfv5afasw"&gt;2830&lt;/key&gt;&lt;/foreign-keys&gt;&lt;ref-type name="Journal Article"&gt;17&lt;/ref-type&gt;&lt;contributors&gt;&lt;authors&gt;&lt;author&gt;Lievesley, Geraldine&lt;/author&gt;&lt;/authors&gt;&lt;/contributors&gt;&lt;titles&gt;&lt;title&gt;Cuba, the USA and Guantánamo Bay: the collision between national sovereignty and imperial ambition&lt;/title&gt;&lt;secondary-title&gt;Contemporary Politics&lt;/secondary-title&gt;&lt;/titles&gt;&lt;periodical&gt;&lt;full-title&gt;Contemporary Politics&lt;/full-title&gt;&lt;/periodical&gt;&lt;pages&gt;3-24&lt;/pages&gt;&lt;volume&gt;12&lt;/volume&gt;&lt;number&gt;1&lt;/number&gt;&lt;dates&gt;&lt;year&gt;2006&lt;/year&gt;&lt;/dates&gt;&lt;isbn&gt;1356-9775&amp;#xD;1469-3631&lt;/isbn&gt;&lt;urls&gt;&lt;/urls&gt;&lt;electronic-resource-num&gt;10.1080/13569770600704963&lt;/electronic-resource-num&gt;&lt;/record&gt;&lt;/Cite&gt;&lt;/EndNote&gt;</w:instrText>
      </w:r>
      <w:r w:rsidR="00105514">
        <w:fldChar w:fldCharType="separate"/>
      </w:r>
      <w:r w:rsidR="00105514">
        <w:rPr>
          <w:noProof/>
        </w:rPr>
        <w:t>(</w:t>
      </w:r>
      <w:hyperlink w:anchor="_ENREF_17" w:tooltip="Lievesley, 2006 #2830" w:history="1">
        <w:r w:rsidR="00943FD9">
          <w:rPr>
            <w:noProof/>
          </w:rPr>
          <w:t>Lievesley 2006</w:t>
        </w:r>
      </w:hyperlink>
      <w:r w:rsidR="00105514">
        <w:rPr>
          <w:noProof/>
        </w:rPr>
        <w:t>)</w:t>
      </w:r>
      <w:r w:rsidR="00105514">
        <w:fldChar w:fldCharType="end"/>
      </w:r>
      <w:r w:rsidR="008D6207">
        <w:t>.  Moreover the region is also vulnerable to environmental and climatic changes of global significance</w:t>
      </w:r>
      <w:r w:rsidR="00155C8E">
        <w:t xml:space="preserve"> </w:t>
      </w:r>
      <w:r w:rsidR="00155C8E">
        <w:fldChar w:fldCharType="begin"/>
      </w:r>
      <w:r w:rsidR="00155C8E">
        <w:instrText xml:space="preserve"> ADDIN EN.CITE &lt;EndNote&gt;&lt;Cite&gt;&lt;Author&gt;Rhiney&lt;/Author&gt;&lt;Year&gt;forthcoming&lt;/Year&gt;&lt;RecNum&gt;2829&lt;/RecNum&gt;&lt;DisplayText&gt;(Rhiney forthcoming)&lt;/DisplayText&gt;&lt;record&gt;&lt;rec-number&gt;2829&lt;/rec-number&gt;&lt;foreign-keys&gt;&lt;key app="EN" db-id="esafta2t3fvvrde5zra5vwwe0fzsfv5afasw"&gt;2829&lt;/key&gt;&lt;/foreign-keys&gt;&lt;ref-type name="Journal Article"&gt;17&lt;/ref-type&gt;&lt;contributors&gt;&lt;authors&gt;&lt;author&gt;Rhiney, Kevon&lt;/author&gt;&lt;/authors&gt;&lt;/contributors&gt;&lt;titles&gt;&lt;title&gt;Geographies of Vulnerability in a Changing Climate: Lessons from the Caribbean&lt;/title&gt;&lt;secondary-title&gt;Geography Compass&lt;/secondary-title&gt;&lt;/titles&gt;&lt;periodical&gt;&lt;full-title&gt;Geography Compass&lt;/full-title&gt;&lt;/periodical&gt;&lt;dates&gt;&lt;year&gt;forthcoming&lt;/year&gt;&lt;/dates&gt;&lt;urls&gt;&lt;/urls&gt;&lt;/record&gt;&lt;/Cite&gt;&lt;/EndNote&gt;</w:instrText>
      </w:r>
      <w:r w:rsidR="00155C8E">
        <w:fldChar w:fldCharType="separate"/>
      </w:r>
      <w:r w:rsidR="00155C8E">
        <w:rPr>
          <w:noProof/>
        </w:rPr>
        <w:t>(</w:t>
      </w:r>
      <w:hyperlink w:anchor="_ENREF_25" w:tooltip="Rhiney, forthcoming #2829" w:history="1">
        <w:r w:rsidR="00943FD9">
          <w:rPr>
            <w:noProof/>
          </w:rPr>
          <w:t>Rhiney forthcoming</w:t>
        </w:r>
      </w:hyperlink>
      <w:r w:rsidR="00155C8E">
        <w:rPr>
          <w:noProof/>
        </w:rPr>
        <w:t>)</w:t>
      </w:r>
      <w:r w:rsidR="00155C8E">
        <w:fldChar w:fldCharType="end"/>
      </w:r>
      <w:r w:rsidR="008D6207">
        <w:t xml:space="preserve">, and its exposure to </w:t>
      </w:r>
      <w:r w:rsidR="00155C8E">
        <w:t xml:space="preserve">global flows of illegal </w:t>
      </w:r>
      <w:r w:rsidR="008D6207">
        <w:t>drug</w:t>
      </w:r>
      <w:r w:rsidR="00155C8E">
        <w:t>s</w:t>
      </w:r>
      <w:r w:rsidR="008D6207">
        <w:t xml:space="preserve"> and illegal arms </w:t>
      </w:r>
      <w:r w:rsidR="00E67940">
        <w:t>exacerbate</w:t>
      </w:r>
      <w:r w:rsidR="008D6207">
        <w:t xml:space="preserve"> the region’s battles with </w:t>
      </w:r>
      <w:r w:rsidR="00105514">
        <w:t xml:space="preserve">violent </w:t>
      </w:r>
      <w:r w:rsidR="008D6207">
        <w:t xml:space="preserve">criminality </w:t>
      </w:r>
      <w:r w:rsidR="00105514">
        <w:fldChar w:fldCharType="begin"/>
      </w:r>
      <w:r w:rsidR="00105514">
        <w:instrText xml:space="preserve"> ADDIN EN.CITE &lt;EndNote&gt;&lt;Cite&gt;&lt;Author&gt;Griffith&lt;/Author&gt;&lt;Year&gt;2004&lt;/Year&gt;&lt;RecNum&gt;2828&lt;/RecNum&gt;&lt;DisplayText&gt;(Griffith 2004)&lt;/DisplayText&gt;&lt;record&gt;&lt;rec-number&gt;2828&lt;/rec-number&gt;&lt;foreign-keys&gt;&lt;key app="EN" db-id="esafta2t3fvvrde5zra5vwwe0fzsfv5afasw"&gt;2828&lt;/key&gt;&lt;/foreign-keys&gt;&lt;ref-type name="Edited Book"&gt;28&lt;/ref-type&gt;&lt;contributors&gt;&lt;authors&gt;&lt;author&gt;Griffith, Ivelaw Lloyd&lt;/author&gt;&lt;/authors&gt;&lt;/contributors&gt;&lt;titles&gt;&lt;title&gt;Caribbean Security in the Age of Terror: Challenge and Change&lt;/title&gt;&lt;/titles&gt;&lt;dates&gt;&lt;year&gt;2004&lt;/year&gt;&lt;/dates&gt;&lt;pub-location&gt;Kingston&lt;/pub-location&gt;&lt;publisher&gt;Ian Randle&lt;/publisher&gt;&lt;urls&gt;&lt;/urls&gt;&lt;/record&gt;&lt;/Cite&gt;&lt;/EndNote&gt;</w:instrText>
      </w:r>
      <w:r w:rsidR="00105514">
        <w:fldChar w:fldCharType="separate"/>
      </w:r>
      <w:r w:rsidR="00105514">
        <w:rPr>
          <w:noProof/>
        </w:rPr>
        <w:t>(</w:t>
      </w:r>
      <w:hyperlink w:anchor="_ENREF_7" w:tooltip="Griffith, 2004 #2828" w:history="1">
        <w:r w:rsidR="00943FD9">
          <w:rPr>
            <w:noProof/>
          </w:rPr>
          <w:t>Griffith 2004</w:t>
        </w:r>
      </w:hyperlink>
      <w:r w:rsidR="00105514">
        <w:rPr>
          <w:noProof/>
        </w:rPr>
        <w:t>)</w:t>
      </w:r>
      <w:r w:rsidR="00105514">
        <w:fldChar w:fldCharType="end"/>
      </w:r>
      <w:r w:rsidR="00105514">
        <w:t>.</w:t>
      </w:r>
    </w:p>
    <w:p w:rsidR="00EC709F" w:rsidRDefault="00EC709F">
      <w:r>
        <w:t>This</w:t>
      </w:r>
      <w:r w:rsidR="00105514">
        <w:t xml:space="preserve"> international co-production of Caribbean security, in which a range of international actors struggle to produce and reduce both big-S and small-s insecurities, </w:t>
      </w:r>
      <w:r>
        <w:t>is the background to a range of Caribbean actors</w:t>
      </w:r>
      <w:r w:rsidR="00E31F70">
        <w:t>’</w:t>
      </w:r>
      <w:r>
        <w:t xml:space="preserve"> everyday deployment and negotiation of a range of in/securities</w:t>
      </w:r>
      <w:r w:rsidR="00105514">
        <w:t>.  In the context of armed criminality in urban areas</w:t>
      </w:r>
      <w:r w:rsidR="00105514" w:rsidRPr="00105514">
        <w:t>, some groups have economic and political stakes in</w:t>
      </w:r>
      <w:r w:rsidR="00E121F7">
        <w:t xml:space="preserve"> strategically</w:t>
      </w:r>
      <w:r w:rsidR="00105514" w:rsidRPr="00105514">
        <w:t xml:space="preserve"> maintaining </w:t>
      </w:r>
      <w:r w:rsidR="00105514">
        <w:t xml:space="preserve">the </w:t>
      </w:r>
      <w:r w:rsidR="00105514" w:rsidRPr="00105514">
        <w:t xml:space="preserve">violence, contributing to the durability of </w:t>
      </w:r>
      <w:r w:rsidR="00105514">
        <w:t xml:space="preserve">disorder </w:t>
      </w:r>
      <w:r w:rsidR="00105514">
        <w:fldChar w:fldCharType="begin"/>
      </w:r>
      <w:r w:rsidR="00105514">
        <w:instrText xml:space="preserve"> ADDIN EN.CITE &lt;EndNote&gt;&lt;Cite&gt;&lt;Author&gt;Goodhand&lt;/Author&gt;&lt;Year&gt;2003&lt;/Year&gt;&lt;RecNum&gt;2565&lt;/RecNum&gt;&lt;DisplayText&gt;(Goodhand 2003, Clarke 2006)&lt;/DisplayText&gt;&lt;record&gt;&lt;rec-number&gt;2565&lt;/rec-number&gt;&lt;foreign-keys&gt;&lt;key app="EN" db-id="esafta2t3fvvrde5zra5vwwe0fzsfv5afasw"&gt;2565&lt;/key&gt;&lt;/foreign-keys&gt;&lt;ref-type name="Journal Article"&gt;17&lt;/ref-type&gt;&lt;contributors&gt;&lt;authors&gt;&lt;author&gt;Goodhand, Jonathan&lt;/author&gt;&lt;/authors&gt;&lt;/contributors&gt;&lt;titles&gt;&lt;title&gt;Enduring Disorder and Persistent Poverty: A Review of the Linkages Between War and Chronic Poverty&lt;/title&gt;&lt;secondary-title&gt;World Development&lt;/secondary-title&gt;&lt;/titles&gt;&lt;periodical&gt;&lt;full-title&gt;World Development&lt;/full-title&gt;&lt;/periodical&gt;&lt;pages&gt;629-646&lt;/pages&gt;&lt;volume&gt;31&lt;/volume&gt;&lt;number&gt;3&lt;/number&gt;&lt;dates&gt;&lt;year&gt;2003&lt;/year&gt;&lt;/dates&gt;&lt;isbn&gt;0305750X&lt;/isbn&gt;&lt;urls&gt;&lt;/urls&gt;&lt;electronic-resource-num&gt;10.1016/s0305-750x(03)00009-3&lt;/electronic-resource-num&gt;&lt;/record&gt;&lt;/Cite&gt;&lt;Cite&gt;&lt;Author&gt;Clarke&lt;/Author&gt;&lt;Year&gt;2006&lt;/Year&gt;&lt;RecNum&gt;2328&lt;/RecNum&gt;&lt;record&gt;&lt;rec-number&gt;2328&lt;/rec-number&gt;&lt;foreign-keys&gt;&lt;key app="EN" db-id="esafta2t3fvvrde5zra5vwwe0fzsfv5afasw"&gt;2328&lt;/key&gt;&lt;/foreign-keys&gt;&lt;ref-type name="Journal Article"&gt;17&lt;/ref-type&gt;&lt;contributors&gt;&lt;authors&gt;&lt;author&gt;Clarke, Colin&lt;/author&gt;&lt;/authors&gt;&lt;/contributors&gt;&lt;titles&gt;&lt;title&gt;Politics, violence and drugs in Kingston, Jamaica&lt;/title&gt;&lt;secondary-title&gt;Bulletin of Latin American Research&lt;/secondary-title&gt;&lt;/titles&gt;&lt;periodical&gt;&lt;full-title&gt;Bulletin of Latin American Research&lt;/full-title&gt;&lt;/periodical&gt;&lt;pages&gt;420-440&lt;/pages&gt;&lt;volume&gt;25&lt;/volume&gt;&lt;number&gt;3&lt;/number&gt;&lt;dates&gt;&lt;year&gt;2006&lt;/year&gt;&lt;/dates&gt;&lt;urls&gt;&lt;/urls&gt;&lt;/record&gt;&lt;/Cite&gt;&lt;/EndNote&gt;</w:instrText>
      </w:r>
      <w:r w:rsidR="00105514">
        <w:fldChar w:fldCharType="separate"/>
      </w:r>
      <w:r w:rsidR="00105514">
        <w:rPr>
          <w:noProof/>
        </w:rPr>
        <w:t>(</w:t>
      </w:r>
      <w:hyperlink w:anchor="_ENREF_6" w:tooltip="Goodhand, 2003 #2565" w:history="1">
        <w:r w:rsidR="00943FD9">
          <w:rPr>
            <w:noProof/>
          </w:rPr>
          <w:t>Goodhand 2003</w:t>
        </w:r>
      </w:hyperlink>
      <w:r w:rsidR="00105514">
        <w:rPr>
          <w:noProof/>
        </w:rPr>
        <w:t xml:space="preserve">, </w:t>
      </w:r>
      <w:hyperlink w:anchor="_ENREF_3" w:tooltip="Clarke, 2006 #2328" w:history="1">
        <w:r w:rsidR="00943FD9">
          <w:rPr>
            <w:noProof/>
          </w:rPr>
          <w:t>Clarke 2006</w:t>
        </w:r>
      </w:hyperlink>
      <w:r w:rsidR="00105514">
        <w:rPr>
          <w:noProof/>
        </w:rPr>
        <w:t>)</w:t>
      </w:r>
      <w:r w:rsidR="00105514">
        <w:fldChar w:fldCharType="end"/>
      </w:r>
      <w:r w:rsidR="00105514">
        <w:t>.</w:t>
      </w:r>
      <w:r w:rsidR="00E121F7">
        <w:t xml:space="preserve"> </w:t>
      </w:r>
      <w:r w:rsidR="00105514" w:rsidRPr="00105514">
        <w:t xml:space="preserve"> </w:t>
      </w:r>
      <w:r>
        <w:t>However, i</w:t>
      </w:r>
      <w:r w:rsidR="00E121F7" w:rsidRPr="00E121F7">
        <w:t>n creative arenas like dance, music, and literature,</w:t>
      </w:r>
      <w:r w:rsidR="00E121F7">
        <w:t xml:space="preserve"> the</w:t>
      </w:r>
      <w:r w:rsidR="00E121F7" w:rsidRPr="00E121F7">
        <w:t xml:space="preserve"> instability of meaning</w:t>
      </w:r>
      <w:r w:rsidR="00E121F7">
        <w:t xml:space="preserve"> produced by forms of chronic insecurity </w:t>
      </w:r>
      <w:r w:rsidR="00E121F7" w:rsidRPr="00E121F7">
        <w:t>can be productive of new insights or subversive messages</w:t>
      </w:r>
      <w:r w:rsidR="00E121F7">
        <w:t xml:space="preserve">.  </w:t>
      </w:r>
      <w:proofErr w:type="spellStart"/>
      <w:r w:rsidR="00E121F7">
        <w:t>Calypsonians</w:t>
      </w:r>
      <w:proofErr w:type="spellEnd"/>
      <w:r w:rsidR="00E121F7">
        <w:t xml:space="preserve"> can use the instability of word meanings to negotiate against violence </w:t>
      </w:r>
      <w:r w:rsidR="00E121F7">
        <w:fldChar w:fldCharType="begin"/>
      </w:r>
      <w:r w:rsidR="00E121F7">
        <w:instrText xml:space="preserve"> ADDIN EN.CITE &lt;EndNote&gt;&lt;Cite&gt;&lt;Author&gt;Phillips&lt;/Author&gt;&lt;Year&gt;2006&lt;/Year&gt;&lt;RecNum&gt;2649&lt;/RecNum&gt;&lt;DisplayText&gt;(Phillips 2006)&lt;/DisplayText&gt;&lt;record&gt;&lt;rec-number&gt;2649&lt;/rec-number&gt;&lt;foreign-keys&gt;&lt;key app="EN" db-id="esafta2t3fvvrde5zra5vwwe0fzsfv5afasw"&gt;2649&lt;/key&gt;&lt;/foreign-keys&gt;&lt;ref-type name="Journal Article"&gt;17&lt;/ref-type&gt;&lt;contributors&gt;&lt;authors&gt;&lt;author&gt;Phillips, Everard&lt;/author&gt;&lt;/authors&gt;&lt;/contributors&gt;&lt;titles&gt;&lt;title&gt;Recognising the language of calypso as &amp;apos;symbolic action&amp;apos; in resolving conflict in the Republic of Trinidad and Tobago&lt;/title&gt;&lt;secondary-title&gt;Caribbean Quarterly&lt;/secondary-title&gt;&lt;/titles&gt;&lt;periodical&gt;&lt;full-title&gt;Caribbean Quarterly&lt;/full-title&gt;&lt;/periodical&gt;&lt;pages&gt;53-73&lt;/pages&gt;&lt;volume&gt;52&lt;/volume&gt;&lt;number&gt;1&lt;/number&gt;&lt;dates&gt;&lt;year&gt;2006&lt;/year&gt;&lt;/dates&gt;&lt;urls&gt;&lt;/urls&gt;&lt;/record&gt;&lt;/Cite&gt;&lt;/EndNote&gt;</w:instrText>
      </w:r>
      <w:r w:rsidR="00E121F7">
        <w:fldChar w:fldCharType="separate"/>
      </w:r>
      <w:r w:rsidR="00E121F7">
        <w:rPr>
          <w:noProof/>
        </w:rPr>
        <w:t>(</w:t>
      </w:r>
      <w:hyperlink w:anchor="_ENREF_22" w:tooltip="Phillips, 2006 #2649" w:history="1">
        <w:r w:rsidR="00943FD9">
          <w:rPr>
            <w:noProof/>
          </w:rPr>
          <w:t>Phillips 2006</w:t>
        </w:r>
      </w:hyperlink>
      <w:r w:rsidR="00E121F7">
        <w:rPr>
          <w:noProof/>
        </w:rPr>
        <w:t>)</w:t>
      </w:r>
      <w:r w:rsidR="00E121F7">
        <w:fldChar w:fldCharType="end"/>
      </w:r>
      <w:r w:rsidR="00E121F7">
        <w:t>, whilst i</w:t>
      </w:r>
      <w:r w:rsidR="00E121F7" w:rsidRPr="00E121F7">
        <w:t xml:space="preserve">n Jamaican dancehall the unpredictable failure of female dancers’ clothing to avoid exposure </w:t>
      </w:r>
      <w:r w:rsidR="00587923">
        <w:t xml:space="preserve">and the instability of meaning attached to this exposure </w:t>
      </w:r>
      <w:r w:rsidR="00E121F7" w:rsidRPr="00E121F7">
        <w:t xml:space="preserve">is part of the element of </w:t>
      </w:r>
      <w:r w:rsidR="00587923">
        <w:t>risk that is consumed in dancehall spaces</w:t>
      </w:r>
      <w:r w:rsidR="00E121F7" w:rsidRPr="00E121F7">
        <w:t xml:space="preserve"> </w:t>
      </w:r>
      <w:r w:rsidR="00587923">
        <w:fldChar w:fldCharType="begin"/>
      </w:r>
      <w:r w:rsidR="00587923">
        <w:instrText xml:space="preserve"> ADDIN EN.CITE &lt;EndNote&gt;&lt;Cite&gt;&lt;Author&gt;Patten&lt;/Author&gt;&lt;Year&gt;2014&lt;/Year&gt;&lt;RecNum&gt;2831&lt;/RecNum&gt;&lt;DisplayText&gt;(Patten 2014)&lt;/DisplayText&gt;&lt;record&gt;&lt;rec-number&gt;2831&lt;/rec-number&gt;&lt;foreign-keys&gt;&lt;key app="EN" db-id="esafta2t3fvvrde5zra5vwwe0fzsfv5afasw"&gt;2831&lt;/key&gt;&lt;/foreign-keys&gt;&lt;ref-type name="Conference Paper"&gt;47&lt;/ref-type&gt;&lt;contributors&gt;&lt;authors&gt;&lt;author&gt;Patten, &amp;apos;H&amp;apos;&lt;/author&gt;&lt;/authors&gt;&lt;/contributors&gt;&lt;titles&gt;&lt;title&gt;Dancehall and its sartorial and social insecurities&lt;/title&gt;&lt;secondary-title&gt;38th Annual Conference of the Society for Caribbean Studies&lt;/secondary-title&gt;&lt;/titles&gt;&lt;dates&gt;&lt;year&gt;2014&lt;/year&gt;&lt;/dates&gt;&lt;pub-location&gt;University of Glasgow&lt;/pub-location&gt;&lt;urls&gt;&lt;/urls&gt;&lt;/record&gt;&lt;/Cite&gt;&lt;/EndNote&gt;</w:instrText>
      </w:r>
      <w:r w:rsidR="00587923">
        <w:fldChar w:fldCharType="separate"/>
      </w:r>
      <w:r w:rsidR="00587923">
        <w:rPr>
          <w:noProof/>
        </w:rPr>
        <w:t>(</w:t>
      </w:r>
      <w:hyperlink w:anchor="_ENREF_21" w:tooltip="Patten, 2014 #2831" w:history="1">
        <w:r w:rsidR="00943FD9">
          <w:rPr>
            <w:noProof/>
          </w:rPr>
          <w:t>Patten 2014</w:t>
        </w:r>
      </w:hyperlink>
      <w:r w:rsidR="00587923">
        <w:rPr>
          <w:noProof/>
        </w:rPr>
        <w:t>)</w:t>
      </w:r>
      <w:r w:rsidR="00587923">
        <w:fldChar w:fldCharType="end"/>
      </w:r>
      <w:r w:rsidR="00E121F7" w:rsidRPr="00E121F7">
        <w:t xml:space="preserve">.  </w:t>
      </w:r>
    </w:p>
    <w:p w:rsidR="00155C8E" w:rsidRPr="00DF32C3" w:rsidRDefault="00E6367F">
      <w:r>
        <w:t xml:space="preserve">The </w:t>
      </w:r>
      <w:r w:rsidR="00EC709F">
        <w:t xml:space="preserve">insecurity of meaning </w:t>
      </w:r>
      <w:r w:rsidR="00E31F70">
        <w:t>is often discussed in the region’s literature as a feature of the colonial and postcolonial co-production of Caribbean culture</w:t>
      </w:r>
      <w:r w:rsidR="00EC709F">
        <w:t xml:space="preserve">.  </w:t>
      </w:r>
      <w:r>
        <w:t xml:space="preserve">Many, like CLR James </w:t>
      </w:r>
      <w:r w:rsidR="00404131">
        <w:fldChar w:fldCharType="begin"/>
      </w:r>
      <w:r w:rsidR="00404131">
        <w:instrText xml:space="preserve"> ADDIN EN.CITE &lt;EndNote&gt;&lt;Cite&gt;&lt;Author&gt;Hogsbjerg&lt;/Author&gt;&lt;Year&gt;2012&lt;/Year&gt;&lt;RecNum&gt;2833&lt;/RecNum&gt;&lt;DisplayText&gt;(Hogsbjerg 2012)&lt;/DisplayText&gt;&lt;record&gt;&lt;rec-number&gt;2833&lt;/rec-number&gt;&lt;foreign-keys&gt;&lt;key app="EN" db-id="esafta2t3fvvrde5zra5vwwe0fzsfv5afasw"&gt;2833&lt;/key&gt;&lt;/foreign-keys&gt;&lt;ref-type name="Journal Article"&gt;17&lt;/ref-type&gt;&lt;contributors&gt;&lt;authors&gt;&lt;author&gt;Hogsbjerg, C.&lt;/author&gt;&lt;/authors&gt;&lt;/contributors&gt;&lt;titles&gt;&lt;title&gt;&amp;apos;We Lived According to the Tenets of Matthew Arnold&amp;apos;: Reflections on the &amp;apos;Colonial Victorianism&amp;apos; of the Young C. L. R. James&lt;/title&gt;&lt;secondary-title&gt;Twentieth Century British History&lt;/secondary-title&gt;&lt;/titles&gt;&lt;periodical&gt;&lt;full-title&gt;Twentieth Century British History&lt;/full-title&gt;&lt;/periodical&gt;&lt;pages&gt;201-223&lt;/pages&gt;&lt;volume&gt;24&lt;/volume&gt;&lt;number&gt;2&lt;/number&gt;&lt;dates&gt;&lt;year&gt;2012&lt;/year&gt;&lt;/dates&gt;&lt;isbn&gt;0955-2359&amp;#xD;1477-4674&lt;/isbn&gt;&lt;urls&gt;&lt;/urls&gt;&lt;electronic-resource-num&gt;10.1093/tcbh/hws010&lt;/electronic-resource-num&gt;&lt;/record&gt;&lt;/Cite&gt;&lt;/EndNote&gt;</w:instrText>
      </w:r>
      <w:r w:rsidR="00404131">
        <w:fldChar w:fldCharType="separate"/>
      </w:r>
      <w:r w:rsidR="00404131">
        <w:rPr>
          <w:noProof/>
        </w:rPr>
        <w:t>(</w:t>
      </w:r>
      <w:hyperlink w:anchor="_ENREF_8" w:tooltip="Hogsbjerg, 2012 #2833" w:history="1">
        <w:r w:rsidR="00943FD9">
          <w:rPr>
            <w:noProof/>
          </w:rPr>
          <w:t>Hogsbjerg 2012</w:t>
        </w:r>
      </w:hyperlink>
      <w:r w:rsidR="00404131">
        <w:rPr>
          <w:noProof/>
        </w:rPr>
        <w:t>)</w:t>
      </w:r>
      <w:r w:rsidR="00404131">
        <w:fldChar w:fldCharType="end"/>
      </w:r>
      <w:r>
        <w:t xml:space="preserve">and </w:t>
      </w:r>
      <w:r w:rsidR="00404131">
        <w:t xml:space="preserve">Patrick </w:t>
      </w:r>
      <w:proofErr w:type="spellStart"/>
      <w:r w:rsidR="00404131">
        <w:t>Chamoiseau</w:t>
      </w:r>
      <w:proofErr w:type="spellEnd"/>
      <w:r w:rsidR="00404131">
        <w:t xml:space="preserve"> </w:t>
      </w:r>
      <w:r w:rsidR="00404131">
        <w:fldChar w:fldCharType="begin"/>
      </w:r>
      <w:r w:rsidR="00404131">
        <w:instrText xml:space="preserve"> ADDIN EN.CITE &lt;EndNote&gt;&lt;Cite&gt;&lt;Author&gt;Johnson&lt;/Author&gt;&lt;Year&gt;2013&lt;/Year&gt;&lt;RecNum&gt;2834&lt;/RecNum&gt;&lt;DisplayText&gt;(Johnson 2013)&lt;/DisplayText&gt;&lt;record&gt;&lt;rec-number&gt;2834&lt;/rec-number&gt;&lt;foreign-keys&gt;&lt;key app="EN" db-id="esafta2t3fvvrde5zra5vwwe0fzsfv5afasw"&gt;2834&lt;/key&gt;&lt;/foreign-keys&gt;&lt;ref-type name="Journal Article"&gt;17&lt;/ref-type&gt;&lt;contributors&gt;&lt;authors&gt;&lt;author&gt;Johnson, Erica L.&lt;/author&gt;&lt;/authors&gt;&lt;/contributors&gt;&lt;titles&gt;&lt;title&gt;“Envie Et Survie”: The Paradox of Postcolonial Nostalgia in Patrick Chamoiseau’schemin-D’École&lt;/title&gt;&lt;secondary-title&gt;Contemporary French and Francophone Studies&lt;/secondary-title&gt;&lt;/titles&gt;&lt;periodical&gt;&lt;full-title&gt;Contemporary French and Francophone Studies&lt;/full-title&gt;&lt;/periodical&gt;&lt;pages&gt;396-404&lt;/pages&gt;&lt;volume&gt;17&lt;/volume&gt;&lt;number&gt;4&lt;/number&gt;&lt;dates&gt;&lt;year&gt;2013&lt;/year&gt;&lt;/dates&gt;&lt;isbn&gt;1740-9292&amp;#xD;1740-9306&lt;/isbn&gt;&lt;urls&gt;&lt;/urls&gt;&lt;electronic-resource-num&gt;10.1080/17409292.2013.817080&lt;/electronic-resource-num&gt;&lt;/record&gt;&lt;/Cite&gt;&lt;/EndNote&gt;</w:instrText>
      </w:r>
      <w:r w:rsidR="00404131">
        <w:fldChar w:fldCharType="separate"/>
      </w:r>
      <w:r w:rsidR="00404131">
        <w:rPr>
          <w:noProof/>
        </w:rPr>
        <w:t>(</w:t>
      </w:r>
      <w:hyperlink w:anchor="_ENREF_10" w:tooltip="Johnson, 2013 #2834" w:history="1">
        <w:r w:rsidR="00943FD9">
          <w:rPr>
            <w:noProof/>
          </w:rPr>
          <w:t>Johnson 2013</w:t>
        </w:r>
      </w:hyperlink>
      <w:r w:rsidR="00404131">
        <w:rPr>
          <w:noProof/>
        </w:rPr>
        <w:t>)</w:t>
      </w:r>
      <w:r w:rsidR="00404131">
        <w:fldChar w:fldCharType="end"/>
      </w:r>
      <w:r w:rsidR="00404131">
        <w:t>, express th</w:t>
      </w:r>
      <w:r w:rsidR="00AE5071">
        <w:t xml:space="preserve">e ambivalence that comes from the combination of a mature </w:t>
      </w:r>
      <w:r w:rsidR="00404131">
        <w:lastRenderedPageBreak/>
        <w:t xml:space="preserve">political recognition of the violence and insecurity of a colonial upbringing (in which one’s own ideas and experiences in the Caribbean are devalued in favour of those of the </w:t>
      </w:r>
      <w:r w:rsidR="00AE5071">
        <w:t xml:space="preserve">metropolis), with </w:t>
      </w:r>
      <w:r w:rsidR="00404131">
        <w:t>the affection and nostalgia that one</w:t>
      </w:r>
      <w:r w:rsidR="00AE5071">
        <w:t xml:space="preserve"> nonetheless</w:t>
      </w:r>
      <w:r w:rsidR="00404131">
        <w:t xml:space="preserve"> feels for concepts and experiences that are profoundly formative.</w:t>
      </w:r>
      <w:r w:rsidR="00825C49">
        <w:t xml:space="preserve">  The</w:t>
      </w:r>
      <w:r w:rsidR="0061480E">
        <w:t xml:space="preserve"> imposed, often violent, </w:t>
      </w:r>
      <w:r w:rsidR="00CA04E1">
        <w:t xml:space="preserve">but </w:t>
      </w:r>
      <w:r w:rsidR="0061480E">
        <w:t xml:space="preserve">nonetheless </w:t>
      </w:r>
      <w:r w:rsidR="00CA04E1">
        <w:t xml:space="preserve">longstanding and therefore profound </w:t>
      </w:r>
      <w:r w:rsidR="0061480E">
        <w:t>co-production</w:t>
      </w:r>
      <w:r w:rsidR="00825C49">
        <w:t xml:space="preserve"> of knowledge and culture</w:t>
      </w:r>
      <w:r w:rsidR="0061480E">
        <w:t xml:space="preserve"> can create potent mixtures of desire</w:t>
      </w:r>
      <w:r w:rsidR="00546E4B">
        <w:t xml:space="preserve"> and antipathy</w:t>
      </w:r>
      <w:r w:rsidR="0061480E">
        <w:t xml:space="preserve"> </w:t>
      </w:r>
      <w:r w:rsidR="00B7054C">
        <w:t>for psychically and physically damaging</w:t>
      </w:r>
      <w:r w:rsidR="00E31F70">
        <w:t xml:space="preserve"> colonial</w:t>
      </w:r>
      <w:r w:rsidR="00B7054C">
        <w:t xml:space="preserve"> experiences </w:t>
      </w:r>
      <w:r w:rsidR="00546E4B">
        <w:t xml:space="preserve">and educations that people </w:t>
      </w:r>
      <w:r w:rsidR="0061480E">
        <w:t xml:space="preserve">had to </w:t>
      </w:r>
      <w:r w:rsidR="00546E4B">
        <w:t xml:space="preserve">struggle </w:t>
      </w:r>
      <w:r w:rsidR="0061480E">
        <w:t>to survive</w:t>
      </w:r>
      <w:r w:rsidR="00B7054C">
        <w:t xml:space="preserve"> – what </w:t>
      </w:r>
      <w:proofErr w:type="spellStart"/>
      <w:r w:rsidR="00B7054C">
        <w:t>Chamoiseau</w:t>
      </w:r>
      <w:proofErr w:type="spellEnd"/>
      <w:r w:rsidR="00B7054C">
        <w:t xml:space="preserve"> describes as “</w:t>
      </w:r>
      <w:proofErr w:type="spellStart"/>
      <w:r w:rsidR="00B7054C">
        <w:t>envie</w:t>
      </w:r>
      <w:proofErr w:type="spellEnd"/>
      <w:r w:rsidR="00B7054C">
        <w:t xml:space="preserve"> et </w:t>
      </w:r>
      <w:proofErr w:type="spellStart"/>
      <w:r w:rsidR="00B7054C">
        <w:t>survie</w:t>
      </w:r>
      <w:proofErr w:type="spellEnd"/>
      <w:r w:rsidR="00B7054C">
        <w:t>” (desire and survival)</w:t>
      </w:r>
      <w:r w:rsidR="0061480E">
        <w:t xml:space="preserve"> </w:t>
      </w:r>
      <w:r w:rsidR="0061480E">
        <w:fldChar w:fldCharType="begin"/>
      </w:r>
      <w:r w:rsidR="0061480E">
        <w:instrText xml:space="preserve"> ADDIN EN.CITE &lt;EndNote&gt;&lt;Cite&gt;&lt;Author&gt;Johnson&lt;/Author&gt;&lt;Year&gt;2013&lt;/Year&gt;&lt;RecNum&gt;2834&lt;/RecNum&gt;&lt;DisplayText&gt;(Johnson 2013)&lt;/DisplayText&gt;&lt;record&gt;&lt;rec-number&gt;2834&lt;/rec-number&gt;&lt;foreign-keys&gt;&lt;key app="EN" db-id="esafta2t3fvvrde5zra5vwwe0fzsfv5afasw"&gt;2834&lt;/key&gt;&lt;/foreign-keys&gt;&lt;ref-type name="Journal Article"&gt;17&lt;/ref-type&gt;&lt;contributors&gt;&lt;authors&gt;&lt;author&gt;Johnson, Erica L.&lt;/author&gt;&lt;/authors&gt;&lt;/contributors&gt;&lt;titles&gt;&lt;title&gt;“Envie Et Survie”: The Paradox of Postcolonial Nostalgia in Patrick Chamoiseau’schemin-D’École&lt;/title&gt;&lt;secondary-title&gt;Contemporary French and Francophone Studies&lt;/secondary-title&gt;&lt;/titles&gt;&lt;periodical&gt;&lt;full-title&gt;Contemporary French and Francophone Studies&lt;/full-title&gt;&lt;/periodical&gt;&lt;pages&gt;396-404&lt;/pages&gt;&lt;volume&gt;17&lt;/volume&gt;&lt;number&gt;4&lt;/number&gt;&lt;dates&gt;&lt;year&gt;2013&lt;/year&gt;&lt;/dates&gt;&lt;isbn&gt;1740-9292&amp;#xD;1740-9306&lt;/isbn&gt;&lt;urls&gt;&lt;/urls&gt;&lt;electronic-resource-num&gt;10.1080/17409292.2013.817080&lt;/electronic-resource-num&gt;&lt;/record&gt;&lt;/Cite&gt;&lt;/EndNote&gt;</w:instrText>
      </w:r>
      <w:r w:rsidR="0061480E">
        <w:fldChar w:fldCharType="separate"/>
      </w:r>
      <w:r w:rsidR="0061480E">
        <w:rPr>
          <w:noProof/>
        </w:rPr>
        <w:t>(</w:t>
      </w:r>
      <w:hyperlink w:anchor="_ENREF_10" w:tooltip="Johnson, 2013 #2834" w:history="1">
        <w:r w:rsidR="00943FD9">
          <w:rPr>
            <w:noProof/>
          </w:rPr>
          <w:t>Johnson 2013</w:t>
        </w:r>
      </w:hyperlink>
      <w:r w:rsidR="0061480E">
        <w:rPr>
          <w:noProof/>
        </w:rPr>
        <w:t>)</w:t>
      </w:r>
      <w:r w:rsidR="0061480E">
        <w:fldChar w:fldCharType="end"/>
      </w:r>
      <w:r w:rsidR="0061480E">
        <w:t>.</w:t>
      </w:r>
      <w:r w:rsidR="00DC5CF3">
        <w:t xml:space="preserve"> </w:t>
      </w:r>
      <w:r w:rsidR="00DC5CF3" w:rsidRPr="00DC5CF3">
        <w:t xml:space="preserve"> </w:t>
      </w:r>
      <w:r w:rsidR="00DC5CF3">
        <w:t xml:space="preserve">Nobel prize-winning poet Derek Walcott </w:t>
      </w:r>
      <w:r w:rsidR="00DC5CF3">
        <w:fldChar w:fldCharType="begin"/>
      </w:r>
      <w:r w:rsidR="00DC5CF3">
        <w:instrText xml:space="preserve"> ADDIN EN.CITE &lt;EndNote&gt;&lt;Cite ExcludeAuth="1"&gt;&lt;Author&gt;Walcott&lt;/Author&gt;&lt;Year&gt;1998&lt;/Year&gt;&lt;RecNum&gt;2832&lt;/RecNum&gt;&lt;Suffix&gt;`, p. 24&lt;/Suffix&gt;&lt;DisplayText&gt;(1998, p. 24)&lt;/DisplayText&gt;&lt;record&gt;&lt;rec-number&gt;2832&lt;/rec-number&gt;&lt;foreign-keys&gt;&lt;key app="EN" db-id="esafta2t3fvvrde5zra5vwwe0fzsfv5afasw"&gt;2832&lt;/key&gt;&lt;/foreign-keys&gt;&lt;ref-type name="Book"&gt;6&lt;/ref-type&gt;&lt;contributors&gt;&lt;authors&gt;&lt;author&gt;Walcott, Derek&lt;/author&gt;&lt;/authors&gt;&lt;/contributors&gt;&lt;titles&gt;&lt;title&gt;What the Twilight Says: Essays&lt;/title&gt;&lt;/titles&gt;&lt;dates&gt;&lt;year&gt;1998&lt;/year&gt;&lt;/dates&gt;&lt;pub-location&gt;London&lt;/pub-location&gt;&lt;publisher&gt;Faber and Faber&lt;/publisher&gt;&lt;urls&gt;&lt;/urls&gt;&lt;/record&gt;&lt;/Cite&gt;&lt;/EndNote&gt;</w:instrText>
      </w:r>
      <w:r w:rsidR="00DC5CF3">
        <w:fldChar w:fldCharType="separate"/>
      </w:r>
      <w:r w:rsidR="00DC5CF3">
        <w:rPr>
          <w:noProof/>
        </w:rPr>
        <w:t>(</w:t>
      </w:r>
      <w:hyperlink w:anchor="_ENREF_30" w:tooltip="Walcott, 1998 #2832" w:history="1">
        <w:r w:rsidR="00943FD9">
          <w:rPr>
            <w:noProof/>
          </w:rPr>
          <w:t>1998, p. 24</w:t>
        </w:r>
      </w:hyperlink>
      <w:r w:rsidR="00DC5CF3">
        <w:rPr>
          <w:noProof/>
        </w:rPr>
        <w:t>)</w:t>
      </w:r>
      <w:r w:rsidR="00DC5CF3">
        <w:fldChar w:fldCharType="end"/>
      </w:r>
      <w:r w:rsidR="00DC5CF3">
        <w:t xml:space="preserve">has wryly </w:t>
      </w:r>
      <w:r w:rsidR="00E31F70">
        <w:t xml:space="preserve">expressed </w:t>
      </w:r>
      <w:r w:rsidR="00EF546A">
        <w:t xml:space="preserve">in the figure of a kind of echo, </w:t>
      </w:r>
      <w:r w:rsidR="00E31F70">
        <w:t>another aspect of the</w:t>
      </w:r>
      <w:r w:rsidR="00DC5CF3">
        <w:t xml:space="preserve"> difficult </w:t>
      </w:r>
      <w:r w:rsidR="0052372F">
        <w:t>co-production</w:t>
      </w:r>
      <w:r w:rsidR="00DC5CF3">
        <w:t xml:space="preserve"> of postcolonial culture</w:t>
      </w:r>
      <w:r w:rsidR="009A16B6">
        <w:t xml:space="preserve">, in which </w:t>
      </w:r>
      <w:r w:rsidR="00E31F70">
        <w:t>this co-produced</w:t>
      </w:r>
      <w:r w:rsidR="00EF546A">
        <w:t xml:space="preserve"> Caribbean</w:t>
      </w:r>
      <w:r w:rsidR="00E31F70">
        <w:t xml:space="preserve"> </w:t>
      </w:r>
      <w:r w:rsidR="009A16B6">
        <w:t>culture is i</w:t>
      </w:r>
      <w:r w:rsidR="00EF546A">
        <w:t>tself appropriated and returned</w:t>
      </w:r>
      <w:r w:rsidR="00DC5CF3">
        <w:t>: “</w:t>
      </w:r>
      <w:r w:rsidR="00DC5CF3" w:rsidRPr="00EC709F">
        <w:t>It was always the fate of the West Indian to meet himself coming back, and he would discover the power of simplicity, the graces of his open society, only after others h</w:t>
      </w:r>
      <w:r w:rsidR="00DC5CF3">
        <w:t xml:space="preserve">ad embraced it as a style.”  </w:t>
      </w:r>
      <w:r w:rsidR="00EF546A">
        <w:t xml:space="preserve">So in/security in the Caribbean is co-produced by a range of global flows and is re-negotiated creatively in the region, though not without an often painful ambivalence. </w:t>
      </w:r>
    </w:p>
    <w:p w:rsidR="004A4361" w:rsidRPr="004A4361" w:rsidRDefault="004A4361">
      <w:pPr>
        <w:rPr>
          <w:b/>
        </w:rPr>
      </w:pPr>
      <w:r w:rsidRPr="004A4361">
        <w:rPr>
          <w:b/>
        </w:rPr>
        <w:t>Constructions of co-production and t</w:t>
      </w:r>
      <w:r w:rsidR="00401D96">
        <w:rPr>
          <w:b/>
        </w:rPr>
        <w:t>he claims of precarious life</w:t>
      </w:r>
    </w:p>
    <w:p w:rsidR="004A4361" w:rsidRDefault="00962D69">
      <w:r>
        <w:t xml:space="preserve">Many of the poorest people in the Caribbean region are subject to transnational processes of </w:t>
      </w:r>
      <w:proofErr w:type="spellStart"/>
      <w:r>
        <w:t>precaritisation</w:t>
      </w:r>
      <w:proofErr w:type="spellEnd"/>
      <w:r>
        <w:t xml:space="preserve"> </w:t>
      </w:r>
      <w:r w:rsidR="00401D96">
        <w:fldChar w:fldCharType="begin"/>
      </w:r>
      <w:r w:rsidR="00EA6281">
        <w:instrText xml:space="preserve"> ADDIN EN.CITE &lt;EndNote&gt;&lt;Cite&gt;&lt;Author&gt;Puar&lt;/Author&gt;&lt;Year&gt;2012&lt;/Year&gt;&lt;RecNum&gt;2838&lt;/RecNum&gt;&lt;Prefix&gt;Butler`, in &lt;/Prefix&gt;&lt;Suffix&gt;`, 169&lt;/Suffix&gt;&lt;DisplayText&gt;(Butler, in Puar et al. 2012, 169)&lt;/DisplayText&gt;&lt;record&gt;&lt;rec-number&gt;2838&lt;/rec-number&gt;&lt;foreign-keys&gt;&lt;key app="EN" db-id="esafta2t3fvvrde5zra5vwwe0fzsfv5afasw"&gt;2838&lt;/key&gt;&lt;/foreign-keys&gt;&lt;ref-type name="Journal Article"&gt;17&lt;/ref-type&gt;&lt;contributors&gt;&lt;authors&gt;&lt;author&gt;Puar, Jasbir &lt;/author&gt;&lt;author&gt;Berlant, Lauren &lt;/author&gt;&lt;author&gt;Butler, Judith &lt;/author&gt;&lt;author&gt;Cvejic, Bojana&lt;/author&gt;&lt;author&gt;Lorey, Isabell &lt;/author&gt;&lt;author&gt;Vujanovic, Ana &lt;/author&gt;&lt;/authors&gt;&lt;/contributors&gt;&lt;titles&gt;&lt;title&gt;Precarity Talk: A Virtual Roundtable with Lauren Berlant, Judith Butler, Bojana Cveji</w:instrText>
      </w:r>
      <w:r w:rsidR="00EA6281">
        <w:rPr>
          <w:rFonts w:hint="eastAsia"/>
        </w:rPr>
        <w:instrText></w:instrText>
      </w:r>
      <w:r w:rsidR="00EA6281">
        <w:instrText>, Isabell Lorey, Jasbir Puar, and Ana Vujanovi</w:instrText>
      </w:r>
      <w:r w:rsidR="00EA6281">
        <w:rPr>
          <w:rFonts w:hint="eastAsia"/>
        </w:rPr>
        <w:instrText></w:instrText>
      </w:r>
      <w:r w:rsidR="00EA6281">
        <w:instrText>&lt;/title&gt;&lt;secondary-title&gt;TDR: The Drama Review&lt;/secondary-title&gt;&lt;/titles&gt;&lt;periodical&gt;&lt;full-title&gt;TDR: The Drama Review&lt;/full-title&gt;&lt;/periodical&gt;&lt;pages&gt;163-177&lt;/pages&gt;&lt;volume&gt;56&lt;/volume&gt;&lt;number&gt;4&lt;/number&gt;&lt;dates&gt;&lt;year&gt;2012&lt;/year&gt;&lt;/dates&gt;&lt;urls&gt;&lt;/urls&gt;&lt;/record&gt;&lt;/Cite&gt;&lt;/EndNote&gt;</w:instrText>
      </w:r>
      <w:r w:rsidR="00401D96">
        <w:fldChar w:fldCharType="separate"/>
      </w:r>
      <w:r w:rsidR="00EA6281">
        <w:rPr>
          <w:noProof/>
        </w:rPr>
        <w:t>(</w:t>
      </w:r>
      <w:hyperlink w:anchor="_ENREF_24" w:tooltip="Puar, 2012 #2838" w:history="1">
        <w:r w:rsidR="00943FD9">
          <w:rPr>
            <w:noProof/>
          </w:rPr>
          <w:t>Butler, in Puar et al. 2012, 169</w:t>
        </w:r>
      </w:hyperlink>
      <w:r w:rsidR="00EA6281">
        <w:rPr>
          <w:noProof/>
        </w:rPr>
        <w:t>)</w:t>
      </w:r>
      <w:r w:rsidR="00401D96">
        <w:fldChar w:fldCharType="end"/>
      </w:r>
      <w:r>
        <w:t>, making insecurity a condition that has characterised their livelihoods and living conditions</w:t>
      </w:r>
      <w:r w:rsidR="00894997">
        <w:t xml:space="preserve"> </w:t>
      </w:r>
      <w:r>
        <w:t xml:space="preserve"> since well before the word ‘</w:t>
      </w:r>
      <w:proofErr w:type="spellStart"/>
      <w:r>
        <w:t>precariat</w:t>
      </w:r>
      <w:proofErr w:type="spellEnd"/>
      <w:r>
        <w:t xml:space="preserve">’ was recently coined </w:t>
      </w:r>
      <w:r w:rsidR="00EA6281">
        <w:fldChar w:fldCharType="begin"/>
      </w:r>
      <w:r w:rsidR="00EA6281">
        <w:instrText xml:space="preserve"> ADDIN EN.CITE &lt;EndNote&gt;&lt;Cite&gt;&lt;Author&gt;Munck&lt;/Author&gt;&lt;Year&gt;2013&lt;/Year&gt;&lt;RecNum&gt;2839&lt;/RecNum&gt;&lt;DisplayText&gt;(Munck 2013)&lt;/DisplayText&gt;&lt;record&gt;&lt;rec-number&gt;2839&lt;/rec-number&gt;&lt;foreign-keys&gt;&lt;key app="EN" db-id="esafta2t3fvvrde5zra5vwwe0fzsfv5afasw"&gt;2839&lt;/key&gt;&lt;/foreign-keys&gt;&lt;ref-type name="Journal Article"&gt;17&lt;/ref-type&gt;&lt;contributors&gt;&lt;authors&gt;&lt;author&gt;Munck, Ronaldo&lt;/author&gt;&lt;/authors&gt;&lt;/contributors&gt;&lt;titles&gt;&lt;title&gt;The Precariat: a view from the South&lt;/title&gt;&lt;secondary-title&gt;Third World Quarterly&lt;/secondary-title&gt;&lt;/titles&gt;&lt;periodical&gt;&lt;full-title&gt;Third World Quarterly&lt;/full-title&gt;&lt;/periodical&gt;&lt;pages&gt;747-762&lt;/pages&gt;&lt;volume&gt;34&lt;/volume&gt;&lt;number&gt;5&lt;/number&gt;&lt;dates&gt;&lt;year&gt;2013&lt;/year&gt;&lt;/dates&gt;&lt;isbn&gt;0143-6597&amp;#xD;1360-2241&lt;/isbn&gt;&lt;urls&gt;&lt;/urls&gt;&lt;electronic-resource-num&gt;10.1080/01436597.2013.800751&lt;/electronic-resource-num&gt;&lt;/record&gt;&lt;/Cite&gt;&lt;/EndNote&gt;</w:instrText>
      </w:r>
      <w:r w:rsidR="00EA6281">
        <w:fldChar w:fldCharType="separate"/>
      </w:r>
      <w:r w:rsidR="00EA6281">
        <w:rPr>
          <w:noProof/>
        </w:rPr>
        <w:t>(</w:t>
      </w:r>
      <w:hyperlink w:anchor="_ENREF_19" w:tooltip="Munck, 2013 #2839" w:history="1">
        <w:r w:rsidR="00943FD9">
          <w:rPr>
            <w:noProof/>
          </w:rPr>
          <w:t>Munck 2013</w:t>
        </w:r>
      </w:hyperlink>
      <w:r w:rsidR="00EA6281">
        <w:rPr>
          <w:noProof/>
        </w:rPr>
        <w:t>)</w:t>
      </w:r>
      <w:r w:rsidR="00EA6281">
        <w:fldChar w:fldCharType="end"/>
      </w:r>
      <w:r>
        <w:t xml:space="preserve">.  </w:t>
      </w:r>
      <w:r w:rsidR="00EA6281">
        <w:t>These processes are themselves</w:t>
      </w:r>
      <w:r>
        <w:t xml:space="preserve"> co-produced internationally, as </w:t>
      </w:r>
      <w:r w:rsidR="00EA6281">
        <w:t>processes</w:t>
      </w:r>
      <w:r>
        <w:t xml:space="preserve"> of capital</w:t>
      </w:r>
      <w:r w:rsidR="00EA6281">
        <w:t xml:space="preserve"> formation that are produced</w:t>
      </w:r>
      <w:r>
        <w:t xml:space="preserve">: </w:t>
      </w:r>
      <w:r w:rsidRPr="00E76D1D">
        <w:t>“out of diverse projects, strategies and experiments which are co-constitutive, and through on-going encounters, engagements, contingencies, outcomes and the active working of agents”</w:t>
      </w:r>
      <w:r>
        <w:t xml:space="preserve"> </w:t>
      </w:r>
      <w:r>
        <w:fldChar w:fldCharType="begin"/>
      </w:r>
      <w:r>
        <w:instrText xml:space="preserve"> ADDIN EN.CITE &lt;EndNote&gt;&lt;Cite&gt;&lt;Author&gt;Lewis&lt;/Author&gt;&lt;Year&gt;2008&lt;/Year&gt;&lt;RecNum&gt;2827&lt;/RecNum&gt;&lt;Suffix&gt;`, p. 44&lt;/Suffix&gt;&lt;DisplayText&gt;(Lewis, Larner and Le Heron 2008, p. 44)&lt;/DisplayText&gt;&lt;record&gt;&lt;rec-number&gt;2827&lt;/rec-number&gt;&lt;foreign-keys&gt;&lt;key app="EN" db-id="esafta2t3fvvrde5zra5vwwe0fzsfv5afasw"&gt;2827&lt;/key&gt;&lt;/foreign-keys&gt;&lt;ref-type name="Journal Article"&gt;17&lt;/ref-type&gt;&lt;contributors&gt;&lt;authors&gt;&lt;author&gt;Lewis, Nick&lt;/author&gt;&lt;author&gt;Larner, Wendy&lt;/author&gt;&lt;author&gt;Le Heron, Richard&lt;/author&gt;&lt;/authors&gt;&lt;/contributors&gt;&lt;titles&gt;&lt;title&gt;The New Zealand designer fashion industry: making industries and co-constituting political projects&lt;/title&gt;&lt;secondary-title&gt;Transactions of the Institute of British Geographers&lt;/secondary-title&gt;&lt;/titles&gt;&lt;periodical&gt;&lt;full-title&gt;Transactions of the Institute of British Geographers&lt;/full-title&gt;&lt;/periodical&gt;&lt;pages&gt;42-59&lt;/pages&gt;&lt;volume&gt;33&lt;/volume&gt;&lt;dates&gt;&lt;year&gt;2008&lt;/year&gt;&lt;/dates&gt;&lt;urls&gt;&lt;/urls&gt;&lt;/record&gt;&lt;/Cite&gt;&lt;/EndNote&gt;</w:instrText>
      </w:r>
      <w:r>
        <w:fldChar w:fldCharType="separate"/>
      </w:r>
      <w:r>
        <w:rPr>
          <w:noProof/>
        </w:rPr>
        <w:t>(</w:t>
      </w:r>
      <w:hyperlink w:anchor="_ENREF_16" w:tooltip="Lewis, 2008 #2827" w:history="1">
        <w:r w:rsidR="00943FD9">
          <w:rPr>
            <w:noProof/>
          </w:rPr>
          <w:t>Lewis, Larner and Le Heron 2008, p. 44</w:t>
        </w:r>
      </w:hyperlink>
      <w:r>
        <w:rPr>
          <w:noProof/>
        </w:rPr>
        <w:t>)</w:t>
      </w:r>
      <w:r>
        <w:fldChar w:fldCharType="end"/>
      </w:r>
      <w:r>
        <w:t xml:space="preserve">.  </w:t>
      </w:r>
      <w:r w:rsidR="00401D96">
        <w:t>Co</w:t>
      </w:r>
      <w:r w:rsidR="00EA6281">
        <w:t>nseque</w:t>
      </w:r>
      <w:r w:rsidR="00401D96">
        <w:t xml:space="preserve">ntly, </w:t>
      </w:r>
      <w:r>
        <w:t xml:space="preserve">Wendy </w:t>
      </w:r>
      <w:proofErr w:type="spellStart"/>
      <w:r>
        <w:t>Knepper</w:t>
      </w:r>
      <w:proofErr w:type="spellEnd"/>
      <w:r>
        <w:t xml:space="preserve"> </w:t>
      </w:r>
      <w:r w:rsidR="00401D96">
        <w:fldChar w:fldCharType="begin"/>
      </w:r>
      <w:r w:rsidR="00401D96">
        <w:instrText xml:space="preserve"> ADDIN EN.CITE &lt;EndNote&gt;&lt;Cite ExcludeAuth="1"&gt;&lt;Author&gt;Knepper&lt;/Author&gt;&lt;Year&gt;2012&lt;/Year&gt;&lt;RecNum&gt;2836&lt;/RecNum&gt;&lt;DisplayText&gt;(2012)&lt;/DisplayText&gt;&lt;record&gt;&lt;rec-number&gt;2836&lt;/rec-number&gt;&lt;foreign-keys&gt;&lt;key app="EN" db-id="esafta2t3fvvrde5zra5vwwe0fzsfv5afasw"&gt;2836&lt;/key&gt;&lt;/foreign-keys&gt;&lt;ref-type name="Journal Article"&gt;17&lt;/ref-type&gt;&lt;contributors&gt;&lt;authors&gt;&lt;author&gt;Knepper, W.&lt;/author&gt;&lt;/authors&gt;&lt;/contributors&gt;&lt;titles&gt;&lt;title&gt;In/justice and necro-natality in Edwidge Danticat&amp;apos;s Brother, I&amp;apos;m Dying&lt;/title&gt;&lt;secondary-title&gt;The Journal of Commonwealth Literature&lt;/secondary-title&gt;&lt;/titles&gt;&lt;periodical&gt;&lt;full-title&gt;The Journal of Commonwealth Literature&lt;/full-title&gt;&lt;/periodical&gt;&lt;pages&gt;191-205&lt;/pages&gt;&lt;volume&gt;47&lt;/volume&gt;&lt;number&gt;2&lt;/number&gt;&lt;dates&gt;&lt;year&gt;2012&lt;/year&gt;&lt;/dates&gt;&lt;isbn&gt;0021-9894&amp;#xD;1741-6442&lt;/isbn&gt;&lt;urls&gt;&lt;/urls&gt;&lt;electronic-resource-num&gt;10.1177/0021989412447491&lt;/electronic-resource-num&gt;&lt;/record&gt;&lt;/Cite&gt;&lt;/EndNote&gt;</w:instrText>
      </w:r>
      <w:r w:rsidR="00401D96">
        <w:fldChar w:fldCharType="separate"/>
      </w:r>
      <w:r w:rsidR="00401D96">
        <w:rPr>
          <w:noProof/>
        </w:rPr>
        <w:t>(</w:t>
      </w:r>
      <w:hyperlink w:anchor="_ENREF_12" w:tooltip="Knepper, 2012 #2836" w:history="1">
        <w:r w:rsidR="00943FD9">
          <w:rPr>
            <w:noProof/>
          </w:rPr>
          <w:t>2012</w:t>
        </w:r>
      </w:hyperlink>
      <w:r w:rsidR="00401D96">
        <w:rPr>
          <w:noProof/>
        </w:rPr>
        <w:t>)</w:t>
      </w:r>
      <w:r w:rsidR="00401D96">
        <w:fldChar w:fldCharType="end"/>
      </w:r>
      <w:r w:rsidR="00401D96">
        <w:t xml:space="preserve"> marks</w:t>
      </w:r>
      <w:r>
        <w:t xml:space="preserve"> an awareness of this chronic </w:t>
      </w:r>
      <w:proofErr w:type="spellStart"/>
      <w:r>
        <w:t>precarity</w:t>
      </w:r>
      <w:proofErr w:type="spellEnd"/>
      <w:r>
        <w:t xml:space="preserve"> as an established </w:t>
      </w:r>
      <w:r w:rsidR="00401D96">
        <w:t>theme in</w:t>
      </w:r>
      <w:r>
        <w:t xml:space="preserve"> Caribbean literature, with an often explicit concern for “the claims of precarious </w:t>
      </w:r>
      <w:r w:rsidR="00401D96">
        <w:t>life</w:t>
      </w:r>
      <w:r>
        <w:t>”</w:t>
      </w:r>
      <w:r w:rsidR="00401D96">
        <w:t xml:space="preserve"> </w:t>
      </w:r>
      <w:r w:rsidR="00401D96">
        <w:fldChar w:fldCharType="begin"/>
      </w:r>
      <w:r w:rsidR="00401D96">
        <w:instrText xml:space="preserve"> ADDIN EN.CITE &lt;EndNote&gt;&lt;Cite&gt;&lt;Author&gt;Knepper&lt;/Author&gt;&lt;Year&gt;2013&lt;/Year&gt;&lt;RecNum&gt;2835&lt;/RecNum&gt;&lt;Suffix&gt;`, 170&lt;/Suffix&gt;&lt;DisplayText&gt;(Knepper 2013, 170)&lt;/DisplayText&gt;&lt;record&gt;&lt;rec-number&gt;2835&lt;/rec-number&gt;&lt;foreign-keys&gt;&lt;key app="EN" db-id="esafta2t3fvvrde5zra5vwwe0fzsfv5afasw"&gt;2835&lt;/key&gt;&lt;/foreign-keys&gt;&lt;ref-type name="Journal Article"&gt;17&lt;/ref-type&gt;&lt;contributors&gt;&lt;authors&gt;&lt;author&gt;Knepper, Wendy&lt;/author&gt;&lt;/authors&gt;&lt;/contributors&gt;&lt;titles&gt;&lt;title&gt;Cataclysmic life in Wilson Harris’sJonestown&lt;/title&gt;&lt;secondary-title&gt;Journal of Postcolonial Writing&lt;/secondary-title&gt;&lt;/titles&gt;&lt;periodical&gt;&lt;full-title&gt;Journal of Postcolonial Writing&lt;/full-title&gt;&lt;/periodical&gt;&lt;pages&gt;161-173&lt;/pages&gt;&lt;volume&gt;49&lt;/volume&gt;&lt;number&gt;2&lt;/number&gt;&lt;dates&gt;&lt;year&gt;2013&lt;/year&gt;&lt;/dates&gt;&lt;isbn&gt;1744-9855&amp;#xD;1744-9863&lt;/isbn&gt;&lt;urls&gt;&lt;/urls&gt;&lt;electronic-resource-num&gt;10.1080/17449855.2013.776376&lt;/electronic-resource-num&gt;&lt;/record&gt;&lt;/Cite&gt;&lt;/EndNote&gt;</w:instrText>
      </w:r>
      <w:r w:rsidR="00401D96">
        <w:fldChar w:fldCharType="separate"/>
      </w:r>
      <w:r w:rsidR="00401D96">
        <w:rPr>
          <w:noProof/>
        </w:rPr>
        <w:t>(</w:t>
      </w:r>
      <w:hyperlink w:anchor="_ENREF_13" w:tooltip="Knepper, 2013 #2835" w:history="1">
        <w:r w:rsidR="00943FD9">
          <w:rPr>
            <w:noProof/>
          </w:rPr>
          <w:t>Knepper 2013, 170</w:t>
        </w:r>
      </w:hyperlink>
      <w:r w:rsidR="00401D96">
        <w:rPr>
          <w:noProof/>
        </w:rPr>
        <w:t>)</w:t>
      </w:r>
      <w:r w:rsidR="00401D96">
        <w:fldChar w:fldCharType="end"/>
      </w:r>
      <w:r w:rsidR="00401D96">
        <w:t>.</w:t>
      </w:r>
    </w:p>
    <w:p w:rsidR="00EA6281" w:rsidRDefault="00894997">
      <w:r>
        <w:t>An area that highlights the co-production of insecure livelihoods is that of remittances from those who have migrated out of the Caribbean.  The region has well-documented patterns of out-migration, and many of the islands have substantial numbers of households who rely on flows of income from the diaspora</w:t>
      </w:r>
      <w:r w:rsidR="008514FF">
        <w:t xml:space="preserve"> </w:t>
      </w:r>
      <w:r w:rsidR="008514FF">
        <w:fldChar w:fldCharType="begin"/>
      </w:r>
      <w:r w:rsidR="008514FF">
        <w:instrText xml:space="preserve"> ADDIN EN.CITE &lt;EndNote&gt;&lt;Cite&gt;&lt;Author&gt;Thomas-Hope&lt;/Author&gt;&lt;Year&gt;2002&lt;/Year&gt;&lt;RecNum&gt;2056&lt;/RecNum&gt;&lt;DisplayText&gt;(Thomas-Hope 2002, Trotz and Mullings 2013)&lt;/DisplayText&gt;&lt;record&gt;&lt;rec-number&gt;2056&lt;/rec-number&gt;&lt;foreign-keys&gt;&lt;key app="EN" db-id="esafta2t3fvvrde5zra5vwwe0fzsfv5afasw"&gt;2056&lt;/key&gt;&lt;/foreign-keys&gt;&lt;ref-type name="Book"&gt;6&lt;/ref-type&gt;&lt;contributors&gt;&lt;authors&gt;&lt;author&gt;Thomas-Hope, Elizabeth&lt;/author&gt;&lt;/authors&gt;&lt;/contributors&gt;&lt;titles&gt;&lt;title&gt;Caribbean Migration&lt;/title&gt;&lt;/titles&gt;&lt;dates&gt;&lt;year&gt;2002&lt;/year&gt;&lt;/dates&gt;&lt;pub-location&gt;Kingston&lt;/pub-location&gt;&lt;publisher&gt;University of the West Indies Press&lt;/publisher&gt;&lt;urls&gt;&lt;/urls&gt;&lt;/record&gt;&lt;/Cite&gt;&lt;Cite&gt;&lt;Author&gt;Trotz&lt;/Author&gt;&lt;Year&gt;2013&lt;/Year&gt;&lt;RecNum&gt;2841&lt;/RecNum&gt;&lt;record&gt;&lt;rec-number&gt;2841&lt;/rec-number&gt;&lt;foreign-keys&gt;&lt;key app="EN" db-id="esafta2t3fvvrde5zra5vwwe0fzsfv5afasw"&gt;2841&lt;/key&gt;&lt;/foreign-keys&gt;&lt;ref-type name="Journal Article"&gt;17&lt;/ref-type&gt;&lt;contributors&gt;&lt;authors&gt;&lt;author&gt;Trotz, D. A.&lt;/author&gt;&lt;author&gt;Mullings, B.&lt;/author&gt;&lt;/authors&gt;&lt;/contributors&gt;&lt;titles&gt;&lt;title&gt;Transnational Migration, the State, and Development: Reflecting on the &amp;quot;Diaspora Option&amp;quot;&lt;/title&gt;&lt;secondary-title&gt;Small Axe: A Caribbean Journal of Criticism&lt;/secondary-title&gt;&lt;/titles&gt;&lt;periodical&gt;&lt;full-title&gt;Small Axe: a Caribbean Journal of Criticism&lt;/full-title&gt;&lt;/periodical&gt;&lt;pages&gt;154-171&lt;/pages&gt;&lt;volume&gt;17&lt;/volume&gt;&lt;number&gt;2 41&lt;/number&gt;&lt;dates&gt;&lt;year&gt;2013&lt;/year&gt;&lt;/dates&gt;&lt;isbn&gt;0799-0537&amp;#xD;1534-6714&lt;/isbn&gt;&lt;urls&gt;&lt;/urls&gt;&lt;electronic-resource-num&gt;10.1215/07990537-2323373&lt;/electronic-resource-num&gt;&lt;/record&gt;&lt;/Cite&gt;&lt;/EndNote&gt;</w:instrText>
      </w:r>
      <w:r w:rsidR="008514FF">
        <w:fldChar w:fldCharType="separate"/>
      </w:r>
      <w:r w:rsidR="008514FF">
        <w:rPr>
          <w:noProof/>
        </w:rPr>
        <w:t>(</w:t>
      </w:r>
      <w:hyperlink w:anchor="_ENREF_28" w:tooltip="Thomas-Hope, 2002 #2056" w:history="1">
        <w:r w:rsidR="00943FD9">
          <w:rPr>
            <w:noProof/>
          </w:rPr>
          <w:t>Thomas-Hope 2002</w:t>
        </w:r>
      </w:hyperlink>
      <w:r w:rsidR="008514FF">
        <w:rPr>
          <w:noProof/>
        </w:rPr>
        <w:t xml:space="preserve">, </w:t>
      </w:r>
      <w:hyperlink w:anchor="_ENREF_29" w:tooltip="Trotz, 2013 #2841" w:history="1">
        <w:r w:rsidR="00943FD9">
          <w:rPr>
            <w:noProof/>
          </w:rPr>
          <w:t>Trotz and Mullings 2013</w:t>
        </w:r>
      </w:hyperlink>
      <w:r w:rsidR="008514FF">
        <w:rPr>
          <w:noProof/>
        </w:rPr>
        <w:t>)</w:t>
      </w:r>
      <w:r w:rsidR="008514FF">
        <w:fldChar w:fldCharType="end"/>
      </w:r>
      <w:r>
        <w:t>.</w:t>
      </w:r>
      <w:r w:rsidR="00B33D83">
        <w:t xml:space="preserve">  Despite the risk of dependency, remittances can be an informal but reliable guard against social insecurity for the poorest households, guaranteed by familial bonds rather than state entitlements</w:t>
      </w:r>
      <w:r w:rsidR="00943FD9">
        <w:t xml:space="preserve"> </w:t>
      </w:r>
      <w:r w:rsidR="00943FD9">
        <w:fldChar w:fldCharType="begin"/>
      </w:r>
      <w:r w:rsidR="00943FD9">
        <w:instrText xml:space="preserve"> ADDIN EN.CITE &lt;EndNote&gt;&lt;Cite&gt;&lt;Author&gt;Joseph&lt;/Author&gt;&lt;Year&gt;2014&lt;/Year&gt;&lt;RecNum&gt;2842&lt;/RecNum&gt;&lt;DisplayText&gt;(Joseph and Hamilton 2014)&lt;/DisplayText&gt;&lt;record&gt;&lt;rec-number&gt;2842&lt;/rec-number&gt;&lt;foreign-keys&gt;&lt;key app="EN" db-id="esafta2t3fvvrde5zra5vwwe0fzsfv5afasw"&gt;2842&lt;/key&gt;&lt;/foreign-keys&gt;&lt;ref-type name="Journal Article"&gt;17&lt;/ref-type&gt;&lt;contributors&gt;&lt;authors&gt;&lt;author&gt;Joseph, Samarth&lt;/author&gt;&lt;author&gt;Hamilton, Trina&lt;/author&gt;&lt;/authors&gt;&lt;/contributors&gt;&lt;titles&gt;&lt;title&gt;Development and Dependence Along the New York–Haiti Remittance Corridor&lt;/title&gt;&lt;secondary-title&gt;The Professional Geographer&lt;/secondary-title&gt;&lt;/titles&gt;&lt;periodical&gt;&lt;full-title&gt;The Professional Geographer&lt;/full-title&gt;&lt;/periodical&gt;&lt;pages&gt;149-159&lt;/pages&gt;&lt;volume&gt;66&lt;/volume&gt;&lt;number&gt;1&lt;/number&gt;&lt;dates&gt;&lt;year&gt;2014&lt;/year&gt;&lt;/dates&gt;&lt;isbn&gt;0033-0124&amp;#xD;1467-9272&lt;/isbn&gt;&lt;urls&gt;&lt;/urls&gt;&lt;electronic-resource-num&gt;10.1080/00330124.2013.768136&lt;/electronic-resource-num&gt;&lt;/record&gt;&lt;/Cite&gt;&lt;/EndNote&gt;</w:instrText>
      </w:r>
      <w:r w:rsidR="00943FD9">
        <w:fldChar w:fldCharType="separate"/>
      </w:r>
      <w:r w:rsidR="00943FD9">
        <w:rPr>
          <w:noProof/>
        </w:rPr>
        <w:t>(</w:t>
      </w:r>
      <w:hyperlink w:anchor="_ENREF_11" w:tooltip="Joseph, 2014 #2842" w:history="1">
        <w:r w:rsidR="00943FD9">
          <w:rPr>
            <w:noProof/>
          </w:rPr>
          <w:t>Joseph and Hamilton 2014</w:t>
        </w:r>
      </w:hyperlink>
      <w:r w:rsidR="00943FD9">
        <w:rPr>
          <w:noProof/>
        </w:rPr>
        <w:t>)</w:t>
      </w:r>
      <w:r w:rsidR="00943FD9">
        <w:fldChar w:fldCharType="end"/>
      </w:r>
      <w:r w:rsidR="00B33D83">
        <w:t>.  However, when remittances come overwhelmingly from those whose immigration status is insecure</w:t>
      </w:r>
      <w:r w:rsidR="00943FD9">
        <w:t xml:space="preserve"> </w:t>
      </w:r>
      <w:r w:rsidR="00943FD9">
        <w:fldChar w:fldCharType="begin"/>
      </w:r>
      <w:r w:rsidR="00943FD9">
        <w:instrText xml:space="preserve"> ADDIN EN.CITE &lt;EndNote&gt;&lt;Cite&gt;&lt;Author&gt;Sampson&lt;/Author&gt;&lt;Year&gt;2013&lt;/Year&gt;&lt;RecNum&gt;2843&lt;/RecNum&gt;&lt;DisplayText&gt;(Sampson and Branch-Vital 2013)&lt;/DisplayText&gt;&lt;record&gt;&lt;rec-number&gt;2843&lt;/rec-number&gt;&lt;foreign-keys&gt;&lt;key app="EN" db-id="esafta2t3fvvrde5zra5vwwe0fzsfv5afasw"&gt;2843&lt;/key&gt;&lt;/foreign-keys&gt;&lt;ref-type name="Journal Article"&gt;17&lt;/ref-type&gt;&lt;contributors&gt;&lt;authors&gt;&lt;author&gt;Sampson, Samuel S.&lt;/author&gt;&lt;author&gt;Branch-Vital, Angela&lt;/author&gt;&lt;/authors&gt;&lt;/contributors&gt;&lt;titles&gt;&lt;title&gt;US Remittances to the Caribbean, Jamaica and Trinidad &amp;amp; Tobago&lt;/title&gt;&lt;secondary-title&gt;International Migration&lt;/secondary-title&gt;&lt;/titles&gt;&lt;periodical&gt;&lt;full-title&gt;International Migration&lt;/full-title&gt;&lt;/periodical&gt;&lt;pages&gt;e70-e83&lt;/pages&gt;&lt;volume&gt;51&lt;/volume&gt;&lt;dates&gt;&lt;year&gt;2013&lt;/year&gt;&lt;/dates&gt;&lt;isbn&gt;00207985&lt;/isbn&gt;&lt;urls&gt;&lt;/urls&gt;&lt;electronic-resource-num&gt;10.1111/imig.12018&lt;/electronic-resource-num&gt;&lt;/record&gt;&lt;/Cite&gt;&lt;/EndNote&gt;</w:instrText>
      </w:r>
      <w:r w:rsidR="00943FD9">
        <w:fldChar w:fldCharType="separate"/>
      </w:r>
      <w:r w:rsidR="00943FD9">
        <w:rPr>
          <w:noProof/>
        </w:rPr>
        <w:t>(</w:t>
      </w:r>
      <w:hyperlink w:anchor="_ENREF_26" w:tooltip="Sampson, 2013 #2843" w:history="1">
        <w:r w:rsidR="00943FD9">
          <w:rPr>
            <w:noProof/>
          </w:rPr>
          <w:t>Sampson and Branch-Vital 2013</w:t>
        </w:r>
      </w:hyperlink>
      <w:r w:rsidR="00943FD9">
        <w:rPr>
          <w:noProof/>
        </w:rPr>
        <w:t>)</w:t>
      </w:r>
      <w:r w:rsidR="00943FD9">
        <w:fldChar w:fldCharType="end"/>
      </w:r>
      <w:r w:rsidR="00B33D83">
        <w:t>, livelihood insecurity can be co-produced transnationally</w:t>
      </w:r>
      <w:r w:rsidR="0088759E">
        <w:t>, with no guarantees either for sender or for recipient.</w:t>
      </w:r>
    </w:p>
    <w:p w:rsidR="0088759E" w:rsidRDefault="0088759E">
      <w:r>
        <w:t xml:space="preserve">Allison </w:t>
      </w:r>
      <w:proofErr w:type="spellStart"/>
      <w:r>
        <w:t>Trotz</w:t>
      </w:r>
      <w:proofErr w:type="spellEnd"/>
      <w:r>
        <w:t xml:space="preserve"> and Beverley Mullings’ </w:t>
      </w:r>
      <w:r w:rsidR="00A25096">
        <w:fldChar w:fldCharType="begin"/>
      </w:r>
      <w:r w:rsidR="00A25096">
        <w:instrText xml:space="preserve"> ADDIN EN.CITE &lt;EndNote&gt;&lt;Cite ExcludeAuth="1"&gt;&lt;Author&gt;Trotz&lt;/Author&gt;&lt;Year&gt;2013&lt;/Year&gt;&lt;RecNum&gt;2841&lt;/RecNum&gt;&lt;DisplayText&gt;(2013)&lt;/DisplayText&gt;&lt;record&gt;&lt;rec-number&gt;2841&lt;/rec-number&gt;&lt;foreign-keys&gt;&lt;key app="EN" db-id="esafta2t3fvvrde5zra5vwwe0fzsfv5afasw"&gt;2841&lt;/key&gt;&lt;/foreign-keys&gt;&lt;ref-type name="Journal Article"&gt;17&lt;/ref-type&gt;&lt;contributors&gt;&lt;authors&gt;&lt;author&gt;Trotz, D. A.&lt;/author&gt;&lt;author&gt;Mullings, B.&lt;/author&gt;&lt;/authors&gt;&lt;/contributors&gt;&lt;titles&gt;&lt;title&gt;Transnational Migration, the State, and Development: Reflecting on the &amp;quot;Diaspora Option&amp;quot;&lt;/title&gt;&lt;secondary-title&gt;Small Axe: A Caribbean Journal of Criticism&lt;/secondary-title&gt;&lt;/titles&gt;&lt;periodical&gt;&lt;full-title&gt;Small Axe: a Caribbean Journal of Criticism&lt;/full-title&gt;&lt;/periodical&gt;&lt;pages&gt;154-171&lt;/pages&gt;&lt;volume&gt;17&lt;/volume&gt;&lt;number&gt;2 41&lt;/number&gt;&lt;dates&gt;&lt;year&gt;2013&lt;/year&gt;&lt;/dates&gt;&lt;isbn&gt;0799-0537&amp;#xD;1534-6714&lt;/isbn&gt;&lt;urls&gt;&lt;/urls&gt;&lt;electronic-resource-num&gt;10.1215/07990537-2323373&lt;/electronic-resource-num&gt;&lt;/record&gt;&lt;/Cite&gt;&lt;/EndNote&gt;</w:instrText>
      </w:r>
      <w:r w:rsidR="00A25096">
        <w:fldChar w:fldCharType="separate"/>
      </w:r>
      <w:r w:rsidR="00A25096">
        <w:rPr>
          <w:noProof/>
        </w:rPr>
        <w:t>(</w:t>
      </w:r>
      <w:hyperlink w:anchor="_ENREF_29" w:tooltip="Trotz, 2013 #2841" w:history="1">
        <w:r w:rsidR="00943FD9">
          <w:rPr>
            <w:noProof/>
          </w:rPr>
          <w:t>2013</w:t>
        </w:r>
      </w:hyperlink>
      <w:r w:rsidR="00A25096">
        <w:rPr>
          <w:noProof/>
        </w:rPr>
        <w:t>)</w:t>
      </w:r>
      <w:r w:rsidR="00A25096">
        <w:fldChar w:fldCharType="end"/>
      </w:r>
      <w:r w:rsidR="00A25096">
        <w:t xml:space="preserve"> </w:t>
      </w:r>
      <w:r>
        <w:t xml:space="preserve">recent critiques of attempts by Caribbean governments to encourage increased investment from diaspora groups point to neoliberal constructions of co-production as potential sources of increased </w:t>
      </w:r>
      <w:proofErr w:type="spellStart"/>
      <w:r>
        <w:t>precarity</w:t>
      </w:r>
      <w:proofErr w:type="spellEnd"/>
      <w:r>
        <w:t xml:space="preserve"> for the poorest in the region.  Mullings’ </w:t>
      </w:r>
      <w:r w:rsidR="00A25096">
        <w:fldChar w:fldCharType="begin"/>
      </w:r>
      <w:r w:rsidR="00A25096">
        <w:instrText xml:space="preserve"> ADDIN EN.CITE &lt;EndNote&gt;&lt;Cite ExcludeAuth="1"&gt;&lt;Author&gt;Mullings&lt;/Author&gt;&lt;Year&gt;2012&lt;/Year&gt;&lt;RecNum&gt;2840&lt;/RecNum&gt;&lt;Suffix&gt;`, 420-1&lt;/Suffix&gt;&lt;DisplayText&gt;(2012, 420-1)&lt;/DisplayText&gt;&lt;record&gt;&lt;rec-number&gt;2840&lt;/rec-number&gt;&lt;foreign-keys&gt;&lt;key app="EN" db-id="esafta2t3fvvrde5zra5vwwe0fzsfv5afasw"&gt;2840&lt;/key&gt;&lt;/foreign-keys&gt;&lt;ref-type name="Journal Article"&gt;17&lt;/ref-type&gt;&lt;contributors&gt;&lt;authors&gt;&lt;author&gt;Mullings, Beverley&lt;/author&gt;&lt;/authors&gt;&lt;/contributors&gt;&lt;titles&gt;&lt;title&gt;Governmentality, Diaspora Assemblages and the Ongoing Challenge of “Development”&lt;/title&gt;&lt;secondary-title&gt;Antipode&lt;/secondary-title&gt;&lt;/titles&gt;&lt;periodical&gt;&lt;full-title&gt;Antipode&lt;/full-title&gt;&lt;/periodical&gt;&lt;pages&gt;406-427&lt;/pages&gt;&lt;volume&gt;44&lt;/volume&gt;&lt;number&gt;2&lt;/number&gt;&lt;dates&gt;&lt;year&gt;2012&lt;/year&gt;&lt;/dates&gt;&lt;isbn&gt;00664812&lt;/isbn&gt;&lt;urls&gt;&lt;/urls&gt;&lt;electronic-resource-num&gt;10.1111/j.1467-8330.2010.00857.x&lt;/electronic-resource-num&gt;&lt;/record&gt;&lt;/Cite&gt;&lt;/EndNote&gt;</w:instrText>
      </w:r>
      <w:r w:rsidR="00A25096">
        <w:fldChar w:fldCharType="separate"/>
      </w:r>
      <w:r w:rsidR="00A25096">
        <w:rPr>
          <w:noProof/>
        </w:rPr>
        <w:t>(</w:t>
      </w:r>
      <w:hyperlink w:anchor="_ENREF_18" w:tooltip="Mullings, 2012 #2840" w:history="1">
        <w:r w:rsidR="00943FD9">
          <w:rPr>
            <w:noProof/>
          </w:rPr>
          <w:t>2012, 420-1</w:t>
        </w:r>
      </w:hyperlink>
      <w:r w:rsidR="00A25096">
        <w:rPr>
          <w:noProof/>
        </w:rPr>
        <w:t>)</w:t>
      </w:r>
      <w:r w:rsidR="00A25096">
        <w:fldChar w:fldCharType="end"/>
      </w:r>
      <w:r w:rsidR="00A25096">
        <w:t xml:space="preserve"> </w:t>
      </w:r>
      <w:r>
        <w:t xml:space="preserve">analysis of a diaspora conference organised by the Jamaican government demonstrates that </w:t>
      </w:r>
      <w:proofErr w:type="spellStart"/>
      <w:r>
        <w:t>diasporic</w:t>
      </w:r>
      <w:proofErr w:type="spellEnd"/>
      <w:r>
        <w:t xml:space="preserve"> groups can fail to challenge the market priorities of invitations to invest and, more particularly, can fail to address the human rights abuses and narrow punitive focus of official security forces’ responses to criminality</w:t>
      </w:r>
      <w:r w:rsidR="00A25096">
        <w:t>, whilst ignoring the structural inequalities and transnational flows that produce it</w:t>
      </w:r>
      <w:r>
        <w:t>.</w:t>
      </w:r>
      <w:r w:rsidR="00A25096">
        <w:t xml:space="preserve">  Where co-production is constructed mainly to serve the market, it can ignore the claims of precarious lives, and increase their insecurities.</w:t>
      </w:r>
    </w:p>
    <w:p w:rsidR="00E76D1D" w:rsidRPr="00E76D1D" w:rsidRDefault="00E76D1D">
      <w:pPr>
        <w:rPr>
          <w:b/>
        </w:rPr>
      </w:pPr>
      <w:r w:rsidRPr="00E76D1D">
        <w:rPr>
          <w:b/>
        </w:rPr>
        <w:t>Conclusion</w:t>
      </w:r>
    </w:p>
    <w:p w:rsidR="00210A7F" w:rsidRDefault="00210A7F">
      <w:r>
        <w:t xml:space="preserve">Each of these three aspects of the co-production of insecurity highlights aspects of co-production.  First, the histories of co-production of slavery and insecurity in the </w:t>
      </w:r>
      <w:proofErr w:type="gramStart"/>
      <w:r>
        <w:t>region,</w:t>
      </w:r>
      <w:proofErr w:type="gramEnd"/>
      <w:r>
        <w:t xml:space="preserve"> highlight that, </w:t>
      </w:r>
      <w:r w:rsidRPr="00210A7F">
        <w:t>to use a well-worn phrase, place matters in co-production</w:t>
      </w:r>
      <w:r>
        <w:t>:</w:t>
      </w:r>
      <w:r w:rsidRPr="00210A7F">
        <w:t xml:space="preserve"> histories of places provide the contexts and relationships out of which co-produced knowledge arises. </w:t>
      </w:r>
      <w:r w:rsidR="0061480E">
        <w:t xml:space="preserve"> Second, the constant negotiation of the international co-production of insecurity, both in terms of </w:t>
      </w:r>
      <w:r w:rsidR="00962D69">
        <w:t xml:space="preserve">its </w:t>
      </w:r>
      <w:r w:rsidR="0061480E">
        <w:t xml:space="preserve">violence and in terms of postcolonial culture, highlight the fact that co-production is a contested terrain that has to be negotiated, not just celebrated. </w:t>
      </w:r>
      <w:r w:rsidR="00962D69">
        <w:t xml:space="preserve"> </w:t>
      </w:r>
      <w:r w:rsidR="00943FD9">
        <w:t xml:space="preserve">Finally, neoliberal constructions of co-production can increase insecurity for the most precarious lives.  </w:t>
      </w:r>
    </w:p>
    <w:p w:rsidR="00943FD9" w:rsidRDefault="00637BAA">
      <w:r>
        <w:t xml:space="preserve">This last point leads to our final plea.  Co-production is a fertile concept, promising the kind of listening and recognition of mutuality of knowledge production that postcolonial theorists have been demanding for many years.  However it is a concept that is itself insecure – it is by no means fixed in its construction and demands critique as much as celebration.  The wide range of concepts and theories produced by Caribbean intellectuals and other postcolonial theorists to describe co-production as a lived postcolonial condition would be an excellent </w:t>
      </w:r>
      <w:r w:rsidR="002A44C7">
        <w:t xml:space="preserve">critical </w:t>
      </w:r>
      <w:r w:rsidR="008271D1">
        <w:t>starting point for discussions in the 2014 conference</w:t>
      </w:r>
      <w:r>
        <w:t xml:space="preserve">. </w:t>
      </w:r>
    </w:p>
    <w:p w:rsidR="00FA5312" w:rsidRPr="003E502A" w:rsidRDefault="003E502A">
      <w:pPr>
        <w:rPr>
          <w:b/>
        </w:rPr>
      </w:pPr>
      <w:r w:rsidRPr="003E502A">
        <w:rPr>
          <w:b/>
        </w:rPr>
        <w:t>References</w:t>
      </w:r>
    </w:p>
    <w:p w:rsidR="00943FD9" w:rsidRPr="00943FD9" w:rsidRDefault="001D7EF2" w:rsidP="00943FD9">
      <w:pPr>
        <w:spacing w:after="0" w:line="240" w:lineRule="auto"/>
        <w:ind w:left="720" w:hanging="720"/>
        <w:rPr>
          <w:rFonts w:ascii="Calibri" w:hAnsi="Calibri" w:cs="Calibri"/>
          <w:noProof/>
        </w:rPr>
      </w:pPr>
      <w:r>
        <w:fldChar w:fldCharType="begin"/>
      </w:r>
      <w:r w:rsidR="00FA5312">
        <w:instrText xml:space="preserve"> ADDIN EN.REFLIST </w:instrText>
      </w:r>
      <w:r>
        <w:fldChar w:fldCharType="separate"/>
      </w:r>
      <w:bookmarkStart w:id="1" w:name="_ENREF_1"/>
      <w:r w:rsidR="00943FD9" w:rsidRPr="00943FD9">
        <w:rPr>
          <w:rFonts w:ascii="Calibri" w:hAnsi="Calibri" w:cs="Calibri"/>
          <w:noProof/>
        </w:rPr>
        <w:t xml:space="preserve">Adey, P. (2009) Facing airport security: affect, biopolitics, and the preemptive securitisation of the mobile body. </w:t>
      </w:r>
      <w:r w:rsidR="00943FD9" w:rsidRPr="00943FD9">
        <w:rPr>
          <w:rFonts w:ascii="Calibri" w:hAnsi="Calibri" w:cs="Calibri"/>
          <w:i/>
          <w:noProof/>
        </w:rPr>
        <w:t>Environment and Planning D: Society and Space,</w:t>
      </w:r>
      <w:r w:rsidR="00943FD9" w:rsidRPr="00943FD9">
        <w:rPr>
          <w:rFonts w:ascii="Calibri" w:hAnsi="Calibri" w:cs="Calibri"/>
          <w:noProof/>
        </w:rPr>
        <w:t xml:space="preserve"> 27</w:t>
      </w:r>
      <w:r w:rsidR="00943FD9" w:rsidRPr="00943FD9">
        <w:rPr>
          <w:rFonts w:ascii="Calibri" w:hAnsi="Calibri" w:cs="Calibri"/>
          <w:b/>
          <w:noProof/>
        </w:rPr>
        <w:t>,</w:t>
      </w:r>
      <w:r w:rsidR="00943FD9" w:rsidRPr="00943FD9">
        <w:rPr>
          <w:rFonts w:ascii="Calibri" w:hAnsi="Calibri" w:cs="Calibri"/>
          <w:noProof/>
        </w:rPr>
        <w:t xml:space="preserve"> 274-295.</w:t>
      </w:r>
      <w:bookmarkEnd w:id="1"/>
    </w:p>
    <w:p w:rsidR="00943FD9" w:rsidRPr="00943FD9" w:rsidRDefault="00943FD9" w:rsidP="00943FD9">
      <w:pPr>
        <w:spacing w:after="0" w:line="240" w:lineRule="auto"/>
        <w:ind w:left="720" w:hanging="720"/>
        <w:rPr>
          <w:rFonts w:ascii="Calibri" w:hAnsi="Calibri" w:cs="Calibri"/>
          <w:noProof/>
        </w:rPr>
      </w:pPr>
      <w:bookmarkStart w:id="2" w:name="_ENREF_2"/>
      <w:r w:rsidRPr="00943FD9">
        <w:rPr>
          <w:rFonts w:ascii="Calibri" w:hAnsi="Calibri" w:cs="Calibri"/>
          <w:noProof/>
        </w:rPr>
        <w:t xml:space="preserve">Beckles, H. 1989. </w:t>
      </w:r>
      <w:r w:rsidRPr="00943FD9">
        <w:rPr>
          <w:rFonts w:ascii="Calibri" w:hAnsi="Calibri" w:cs="Calibri"/>
          <w:i/>
          <w:noProof/>
        </w:rPr>
        <w:t>Natural Rebels: A Social History of Enslaved Black Women in Barbados</w:t>
      </w:r>
      <w:r w:rsidRPr="00943FD9">
        <w:rPr>
          <w:rFonts w:ascii="Calibri" w:hAnsi="Calibri" w:cs="Calibri"/>
          <w:noProof/>
        </w:rPr>
        <w:t>.</w:t>
      </w:r>
      <w:r w:rsidRPr="00943FD9">
        <w:rPr>
          <w:rFonts w:ascii="Calibri" w:hAnsi="Calibri" w:cs="Calibri"/>
          <w:i/>
          <w:noProof/>
        </w:rPr>
        <w:t xml:space="preserve"> </w:t>
      </w:r>
      <w:r w:rsidRPr="00943FD9">
        <w:rPr>
          <w:rFonts w:ascii="Calibri" w:hAnsi="Calibri" w:cs="Calibri"/>
          <w:noProof/>
        </w:rPr>
        <w:t>London: Zed Books.</w:t>
      </w:r>
      <w:bookmarkEnd w:id="2"/>
    </w:p>
    <w:p w:rsidR="00943FD9" w:rsidRPr="00943FD9" w:rsidRDefault="00943FD9" w:rsidP="00943FD9">
      <w:pPr>
        <w:spacing w:after="0" w:line="240" w:lineRule="auto"/>
        <w:ind w:left="720" w:hanging="720"/>
        <w:rPr>
          <w:rFonts w:ascii="Calibri" w:hAnsi="Calibri" w:cs="Calibri"/>
          <w:noProof/>
        </w:rPr>
      </w:pPr>
      <w:bookmarkStart w:id="3" w:name="_ENREF_3"/>
      <w:r w:rsidRPr="00943FD9">
        <w:rPr>
          <w:rFonts w:ascii="Calibri" w:hAnsi="Calibri" w:cs="Calibri"/>
          <w:noProof/>
        </w:rPr>
        <w:t xml:space="preserve">Clarke, C. (2006) Politics, violence and drugs in Kingston, Jamaica. </w:t>
      </w:r>
      <w:r w:rsidRPr="00943FD9">
        <w:rPr>
          <w:rFonts w:ascii="Calibri" w:hAnsi="Calibri" w:cs="Calibri"/>
          <w:i/>
          <w:noProof/>
        </w:rPr>
        <w:t>Bulletin of Latin American Research,</w:t>
      </w:r>
      <w:r w:rsidRPr="00943FD9">
        <w:rPr>
          <w:rFonts w:ascii="Calibri" w:hAnsi="Calibri" w:cs="Calibri"/>
          <w:noProof/>
        </w:rPr>
        <w:t xml:space="preserve"> 25</w:t>
      </w:r>
      <w:r w:rsidRPr="00943FD9">
        <w:rPr>
          <w:rFonts w:ascii="Calibri" w:hAnsi="Calibri" w:cs="Calibri"/>
          <w:b/>
          <w:noProof/>
        </w:rPr>
        <w:t>,</w:t>
      </w:r>
      <w:r w:rsidRPr="00943FD9">
        <w:rPr>
          <w:rFonts w:ascii="Calibri" w:hAnsi="Calibri" w:cs="Calibri"/>
          <w:noProof/>
        </w:rPr>
        <w:t xml:space="preserve"> 420-440.</w:t>
      </w:r>
      <w:bookmarkEnd w:id="3"/>
    </w:p>
    <w:p w:rsidR="00943FD9" w:rsidRPr="00943FD9" w:rsidRDefault="00943FD9" w:rsidP="00943FD9">
      <w:pPr>
        <w:spacing w:after="0" w:line="240" w:lineRule="auto"/>
        <w:ind w:left="720" w:hanging="720"/>
        <w:rPr>
          <w:rFonts w:ascii="Calibri" w:hAnsi="Calibri" w:cs="Calibri"/>
          <w:noProof/>
        </w:rPr>
      </w:pPr>
      <w:bookmarkStart w:id="4" w:name="_ENREF_4"/>
      <w:r w:rsidRPr="00943FD9">
        <w:rPr>
          <w:rFonts w:ascii="Calibri" w:hAnsi="Calibri" w:cs="Calibri"/>
          <w:noProof/>
        </w:rPr>
        <w:t xml:space="preserve">Featherstone, D. (2011) On assemblage and articulation. </w:t>
      </w:r>
      <w:r w:rsidRPr="00943FD9">
        <w:rPr>
          <w:rFonts w:ascii="Calibri" w:hAnsi="Calibri" w:cs="Calibri"/>
          <w:i/>
          <w:noProof/>
        </w:rPr>
        <w:t>Area,</w:t>
      </w:r>
      <w:r w:rsidRPr="00943FD9">
        <w:rPr>
          <w:rFonts w:ascii="Calibri" w:hAnsi="Calibri" w:cs="Calibri"/>
          <w:noProof/>
        </w:rPr>
        <w:t xml:space="preserve"> 43</w:t>
      </w:r>
      <w:r w:rsidRPr="00943FD9">
        <w:rPr>
          <w:rFonts w:ascii="Calibri" w:hAnsi="Calibri" w:cs="Calibri"/>
          <w:b/>
          <w:noProof/>
        </w:rPr>
        <w:t>,</w:t>
      </w:r>
      <w:r w:rsidRPr="00943FD9">
        <w:rPr>
          <w:rFonts w:ascii="Calibri" w:hAnsi="Calibri" w:cs="Calibri"/>
          <w:noProof/>
        </w:rPr>
        <w:t xml:space="preserve"> 139-142.</w:t>
      </w:r>
      <w:bookmarkEnd w:id="4"/>
    </w:p>
    <w:p w:rsidR="00943FD9" w:rsidRPr="00943FD9" w:rsidRDefault="00943FD9" w:rsidP="00943FD9">
      <w:pPr>
        <w:spacing w:after="0" w:line="240" w:lineRule="auto"/>
        <w:ind w:left="720" w:hanging="720"/>
        <w:rPr>
          <w:rFonts w:ascii="Calibri" w:hAnsi="Calibri" w:cs="Calibri"/>
          <w:noProof/>
        </w:rPr>
      </w:pPr>
      <w:bookmarkStart w:id="5" w:name="_ENREF_5"/>
      <w:r w:rsidRPr="00943FD9">
        <w:rPr>
          <w:rFonts w:ascii="Calibri" w:hAnsi="Calibri" w:cs="Calibri"/>
          <w:noProof/>
        </w:rPr>
        <w:t xml:space="preserve">Fluri, J. L. (2010) Bodies, bombs and barricades: geographies of conflict and civilian (in)security. </w:t>
      </w:r>
      <w:r w:rsidRPr="00943FD9">
        <w:rPr>
          <w:rFonts w:ascii="Calibri" w:hAnsi="Calibri" w:cs="Calibri"/>
          <w:i/>
          <w:noProof/>
        </w:rPr>
        <w:t>Transactions of the Institute of British Geographers,</w:t>
      </w:r>
      <w:r w:rsidRPr="00943FD9">
        <w:rPr>
          <w:rFonts w:ascii="Calibri" w:hAnsi="Calibri" w:cs="Calibri"/>
          <w:noProof/>
        </w:rPr>
        <w:t xml:space="preserve"> 36 280-296.</w:t>
      </w:r>
      <w:bookmarkEnd w:id="5"/>
    </w:p>
    <w:p w:rsidR="00943FD9" w:rsidRPr="00943FD9" w:rsidRDefault="00943FD9" w:rsidP="00943FD9">
      <w:pPr>
        <w:spacing w:after="0" w:line="240" w:lineRule="auto"/>
        <w:ind w:left="720" w:hanging="720"/>
        <w:rPr>
          <w:rFonts w:ascii="Calibri" w:hAnsi="Calibri" w:cs="Calibri"/>
          <w:noProof/>
        </w:rPr>
      </w:pPr>
      <w:bookmarkStart w:id="6" w:name="_ENREF_6"/>
      <w:r w:rsidRPr="00943FD9">
        <w:rPr>
          <w:rFonts w:ascii="Calibri" w:hAnsi="Calibri" w:cs="Calibri"/>
          <w:noProof/>
        </w:rPr>
        <w:t xml:space="preserve">Goodhand, J. (2003) Enduring Disorder and Persistent Poverty: A Review of the Linkages Between War and Chronic Poverty. </w:t>
      </w:r>
      <w:r w:rsidRPr="00943FD9">
        <w:rPr>
          <w:rFonts w:ascii="Calibri" w:hAnsi="Calibri" w:cs="Calibri"/>
          <w:i/>
          <w:noProof/>
        </w:rPr>
        <w:t>World Development,</w:t>
      </w:r>
      <w:r w:rsidRPr="00943FD9">
        <w:rPr>
          <w:rFonts w:ascii="Calibri" w:hAnsi="Calibri" w:cs="Calibri"/>
          <w:noProof/>
        </w:rPr>
        <w:t xml:space="preserve"> 31</w:t>
      </w:r>
      <w:r w:rsidRPr="00943FD9">
        <w:rPr>
          <w:rFonts w:ascii="Calibri" w:hAnsi="Calibri" w:cs="Calibri"/>
          <w:b/>
          <w:noProof/>
        </w:rPr>
        <w:t>,</w:t>
      </w:r>
      <w:r w:rsidRPr="00943FD9">
        <w:rPr>
          <w:rFonts w:ascii="Calibri" w:hAnsi="Calibri" w:cs="Calibri"/>
          <w:noProof/>
        </w:rPr>
        <w:t xml:space="preserve"> 629-646.</w:t>
      </w:r>
      <w:bookmarkEnd w:id="6"/>
    </w:p>
    <w:p w:rsidR="00943FD9" w:rsidRPr="00943FD9" w:rsidRDefault="00943FD9" w:rsidP="00943FD9">
      <w:pPr>
        <w:spacing w:after="0" w:line="240" w:lineRule="auto"/>
        <w:ind w:left="720" w:hanging="720"/>
        <w:rPr>
          <w:rFonts w:ascii="Calibri" w:hAnsi="Calibri" w:cs="Calibri"/>
          <w:noProof/>
        </w:rPr>
      </w:pPr>
      <w:bookmarkStart w:id="7" w:name="_ENREF_7"/>
      <w:r w:rsidRPr="00943FD9">
        <w:rPr>
          <w:rFonts w:ascii="Calibri" w:hAnsi="Calibri" w:cs="Calibri"/>
          <w:noProof/>
        </w:rPr>
        <w:t>Griffith, I. L. 2004. Caribbean Security in the Age of Terror: Challenge and Change. Kingston: Ian Randle.</w:t>
      </w:r>
      <w:bookmarkEnd w:id="7"/>
    </w:p>
    <w:p w:rsidR="00943FD9" w:rsidRPr="00943FD9" w:rsidRDefault="00943FD9" w:rsidP="00943FD9">
      <w:pPr>
        <w:spacing w:after="0" w:line="240" w:lineRule="auto"/>
        <w:ind w:left="720" w:hanging="720"/>
        <w:rPr>
          <w:rFonts w:ascii="Calibri" w:hAnsi="Calibri" w:cs="Calibri"/>
          <w:noProof/>
        </w:rPr>
      </w:pPr>
      <w:bookmarkStart w:id="8" w:name="_ENREF_8"/>
      <w:r w:rsidRPr="00943FD9">
        <w:rPr>
          <w:rFonts w:ascii="Calibri" w:hAnsi="Calibri" w:cs="Calibri"/>
          <w:noProof/>
        </w:rPr>
        <w:t xml:space="preserve">Hogsbjerg, C. (2012) 'We Lived According to the Tenets of Matthew Arnold': Reflections on the 'Colonial Victorianism' of the Young C. L. R. James. </w:t>
      </w:r>
      <w:r w:rsidRPr="00943FD9">
        <w:rPr>
          <w:rFonts w:ascii="Calibri" w:hAnsi="Calibri" w:cs="Calibri"/>
          <w:i/>
          <w:noProof/>
        </w:rPr>
        <w:t>Twentieth Century British History,</w:t>
      </w:r>
      <w:r w:rsidRPr="00943FD9">
        <w:rPr>
          <w:rFonts w:ascii="Calibri" w:hAnsi="Calibri" w:cs="Calibri"/>
          <w:noProof/>
        </w:rPr>
        <w:t xml:space="preserve"> 24</w:t>
      </w:r>
      <w:r w:rsidRPr="00943FD9">
        <w:rPr>
          <w:rFonts w:ascii="Calibri" w:hAnsi="Calibri" w:cs="Calibri"/>
          <w:b/>
          <w:noProof/>
        </w:rPr>
        <w:t>,</w:t>
      </w:r>
      <w:r w:rsidRPr="00943FD9">
        <w:rPr>
          <w:rFonts w:ascii="Calibri" w:hAnsi="Calibri" w:cs="Calibri"/>
          <w:noProof/>
        </w:rPr>
        <w:t xml:space="preserve"> 201-223.</w:t>
      </w:r>
      <w:bookmarkEnd w:id="8"/>
    </w:p>
    <w:p w:rsidR="00943FD9" w:rsidRPr="00943FD9" w:rsidRDefault="00943FD9" w:rsidP="00943FD9">
      <w:pPr>
        <w:spacing w:after="0" w:line="240" w:lineRule="auto"/>
        <w:ind w:left="720" w:hanging="720"/>
        <w:rPr>
          <w:rFonts w:ascii="Calibri" w:hAnsi="Calibri" w:cs="Calibri"/>
          <w:noProof/>
        </w:rPr>
      </w:pPr>
      <w:bookmarkStart w:id="9" w:name="_ENREF_9"/>
      <w:r w:rsidRPr="00943FD9">
        <w:rPr>
          <w:rFonts w:ascii="Calibri" w:hAnsi="Calibri" w:cs="Calibri"/>
          <w:noProof/>
        </w:rPr>
        <w:t xml:space="preserve">International Bank for Reconstruction and Development/World Bank. 2011. </w:t>
      </w:r>
      <w:r w:rsidRPr="00943FD9">
        <w:rPr>
          <w:rFonts w:ascii="Calibri" w:hAnsi="Calibri" w:cs="Calibri"/>
          <w:i/>
          <w:noProof/>
        </w:rPr>
        <w:t>World Development Report: Conflict, Security and Development</w:t>
      </w:r>
      <w:r w:rsidRPr="00943FD9">
        <w:rPr>
          <w:rFonts w:ascii="Calibri" w:hAnsi="Calibri" w:cs="Calibri"/>
          <w:noProof/>
        </w:rPr>
        <w:t>.</w:t>
      </w:r>
      <w:r w:rsidRPr="00943FD9">
        <w:rPr>
          <w:rFonts w:ascii="Calibri" w:hAnsi="Calibri" w:cs="Calibri"/>
          <w:i/>
          <w:noProof/>
        </w:rPr>
        <w:t xml:space="preserve"> </w:t>
      </w:r>
      <w:r w:rsidRPr="00943FD9">
        <w:rPr>
          <w:rFonts w:ascii="Calibri" w:hAnsi="Calibri" w:cs="Calibri"/>
          <w:noProof/>
        </w:rPr>
        <w:t>Washington: World Bank.</w:t>
      </w:r>
      <w:bookmarkEnd w:id="9"/>
    </w:p>
    <w:p w:rsidR="00943FD9" w:rsidRPr="00943FD9" w:rsidRDefault="00943FD9" w:rsidP="00943FD9">
      <w:pPr>
        <w:spacing w:after="0" w:line="240" w:lineRule="auto"/>
        <w:ind w:left="720" w:hanging="720"/>
        <w:rPr>
          <w:rFonts w:ascii="Calibri" w:hAnsi="Calibri" w:cs="Calibri"/>
          <w:noProof/>
        </w:rPr>
      </w:pPr>
      <w:bookmarkStart w:id="10" w:name="_ENREF_10"/>
      <w:r w:rsidRPr="00943FD9">
        <w:rPr>
          <w:rFonts w:ascii="Calibri" w:hAnsi="Calibri" w:cs="Calibri"/>
          <w:noProof/>
        </w:rPr>
        <w:t xml:space="preserve">Johnson, E. L. (2013) “Envie Et Survie”: The Paradox of Postcolonial Nostalgia in Patrick Chamoiseau’schemin-D’École. </w:t>
      </w:r>
      <w:r w:rsidRPr="00943FD9">
        <w:rPr>
          <w:rFonts w:ascii="Calibri" w:hAnsi="Calibri" w:cs="Calibri"/>
          <w:i/>
          <w:noProof/>
        </w:rPr>
        <w:t>Contemporary French and Francophone Studies,</w:t>
      </w:r>
      <w:r w:rsidRPr="00943FD9">
        <w:rPr>
          <w:rFonts w:ascii="Calibri" w:hAnsi="Calibri" w:cs="Calibri"/>
          <w:noProof/>
        </w:rPr>
        <w:t xml:space="preserve"> 17</w:t>
      </w:r>
      <w:r w:rsidRPr="00943FD9">
        <w:rPr>
          <w:rFonts w:ascii="Calibri" w:hAnsi="Calibri" w:cs="Calibri"/>
          <w:b/>
          <w:noProof/>
        </w:rPr>
        <w:t>,</w:t>
      </w:r>
      <w:r w:rsidRPr="00943FD9">
        <w:rPr>
          <w:rFonts w:ascii="Calibri" w:hAnsi="Calibri" w:cs="Calibri"/>
          <w:noProof/>
        </w:rPr>
        <w:t xml:space="preserve"> 396-404.</w:t>
      </w:r>
      <w:bookmarkEnd w:id="10"/>
    </w:p>
    <w:p w:rsidR="00943FD9" w:rsidRPr="00943FD9" w:rsidRDefault="00943FD9" w:rsidP="00943FD9">
      <w:pPr>
        <w:spacing w:after="0" w:line="240" w:lineRule="auto"/>
        <w:ind w:left="720" w:hanging="720"/>
        <w:rPr>
          <w:rFonts w:ascii="Calibri" w:hAnsi="Calibri" w:cs="Calibri"/>
          <w:noProof/>
        </w:rPr>
      </w:pPr>
      <w:bookmarkStart w:id="11" w:name="_ENREF_11"/>
      <w:r w:rsidRPr="00943FD9">
        <w:rPr>
          <w:rFonts w:ascii="Calibri" w:hAnsi="Calibri" w:cs="Calibri"/>
          <w:noProof/>
        </w:rPr>
        <w:t xml:space="preserve">Joseph, S. &amp; T. Hamilton (2014) Development and Dependence Along the New York–Haiti Remittance Corridor. </w:t>
      </w:r>
      <w:r w:rsidRPr="00943FD9">
        <w:rPr>
          <w:rFonts w:ascii="Calibri" w:hAnsi="Calibri" w:cs="Calibri"/>
          <w:i/>
          <w:noProof/>
        </w:rPr>
        <w:t>The Professional Geographer,</w:t>
      </w:r>
      <w:r w:rsidRPr="00943FD9">
        <w:rPr>
          <w:rFonts w:ascii="Calibri" w:hAnsi="Calibri" w:cs="Calibri"/>
          <w:noProof/>
        </w:rPr>
        <w:t xml:space="preserve"> 66</w:t>
      </w:r>
      <w:r w:rsidRPr="00943FD9">
        <w:rPr>
          <w:rFonts w:ascii="Calibri" w:hAnsi="Calibri" w:cs="Calibri"/>
          <w:b/>
          <w:noProof/>
        </w:rPr>
        <w:t>,</w:t>
      </w:r>
      <w:r w:rsidRPr="00943FD9">
        <w:rPr>
          <w:rFonts w:ascii="Calibri" w:hAnsi="Calibri" w:cs="Calibri"/>
          <w:noProof/>
        </w:rPr>
        <w:t xml:space="preserve"> 149-159.</w:t>
      </w:r>
      <w:bookmarkEnd w:id="11"/>
    </w:p>
    <w:p w:rsidR="00943FD9" w:rsidRPr="00943FD9" w:rsidRDefault="00943FD9" w:rsidP="00943FD9">
      <w:pPr>
        <w:spacing w:after="0" w:line="240" w:lineRule="auto"/>
        <w:ind w:left="720" w:hanging="720"/>
        <w:rPr>
          <w:rFonts w:ascii="Calibri" w:hAnsi="Calibri" w:cs="Calibri"/>
          <w:noProof/>
        </w:rPr>
      </w:pPr>
      <w:bookmarkStart w:id="12" w:name="_ENREF_12"/>
      <w:r w:rsidRPr="00943FD9">
        <w:rPr>
          <w:rFonts w:ascii="Calibri" w:hAnsi="Calibri" w:cs="Calibri"/>
          <w:noProof/>
        </w:rPr>
        <w:t xml:space="preserve">Knepper, W. (2012) In/justice and necro-natality in Edwidge Danticat's Brother, I'm Dying. </w:t>
      </w:r>
      <w:r w:rsidRPr="00943FD9">
        <w:rPr>
          <w:rFonts w:ascii="Calibri" w:hAnsi="Calibri" w:cs="Calibri"/>
          <w:i/>
          <w:noProof/>
        </w:rPr>
        <w:t>The Journal of Commonwealth Literature,</w:t>
      </w:r>
      <w:r w:rsidRPr="00943FD9">
        <w:rPr>
          <w:rFonts w:ascii="Calibri" w:hAnsi="Calibri" w:cs="Calibri"/>
          <w:noProof/>
        </w:rPr>
        <w:t xml:space="preserve"> 47</w:t>
      </w:r>
      <w:r w:rsidRPr="00943FD9">
        <w:rPr>
          <w:rFonts w:ascii="Calibri" w:hAnsi="Calibri" w:cs="Calibri"/>
          <w:b/>
          <w:noProof/>
        </w:rPr>
        <w:t>,</w:t>
      </w:r>
      <w:r w:rsidRPr="00943FD9">
        <w:rPr>
          <w:rFonts w:ascii="Calibri" w:hAnsi="Calibri" w:cs="Calibri"/>
          <w:noProof/>
        </w:rPr>
        <w:t xml:space="preserve"> 191-205.</w:t>
      </w:r>
      <w:bookmarkEnd w:id="12"/>
    </w:p>
    <w:p w:rsidR="00943FD9" w:rsidRPr="00943FD9" w:rsidRDefault="00943FD9" w:rsidP="00943FD9">
      <w:pPr>
        <w:spacing w:after="0" w:line="240" w:lineRule="auto"/>
        <w:ind w:left="720" w:hanging="720"/>
        <w:rPr>
          <w:rFonts w:ascii="Calibri" w:hAnsi="Calibri" w:cs="Calibri"/>
          <w:noProof/>
        </w:rPr>
      </w:pPr>
      <w:bookmarkStart w:id="13" w:name="_ENREF_13"/>
      <w:r w:rsidRPr="00943FD9">
        <w:rPr>
          <w:rFonts w:ascii="Calibri" w:hAnsi="Calibri" w:cs="Calibri"/>
          <w:noProof/>
        </w:rPr>
        <w:t xml:space="preserve">Knepper, W. (2013) Cataclysmic life in Wilson Harris’sJonestown. </w:t>
      </w:r>
      <w:r w:rsidRPr="00943FD9">
        <w:rPr>
          <w:rFonts w:ascii="Calibri" w:hAnsi="Calibri" w:cs="Calibri"/>
          <w:i/>
          <w:noProof/>
        </w:rPr>
        <w:t>Journal of Postcolonial Writing,</w:t>
      </w:r>
      <w:r w:rsidRPr="00943FD9">
        <w:rPr>
          <w:rFonts w:ascii="Calibri" w:hAnsi="Calibri" w:cs="Calibri"/>
          <w:noProof/>
        </w:rPr>
        <w:t xml:space="preserve"> 49</w:t>
      </w:r>
      <w:r w:rsidRPr="00943FD9">
        <w:rPr>
          <w:rFonts w:ascii="Calibri" w:hAnsi="Calibri" w:cs="Calibri"/>
          <w:b/>
          <w:noProof/>
        </w:rPr>
        <w:t>,</w:t>
      </w:r>
      <w:r w:rsidRPr="00943FD9">
        <w:rPr>
          <w:rFonts w:ascii="Calibri" w:hAnsi="Calibri" w:cs="Calibri"/>
          <w:noProof/>
        </w:rPr>
        <w:t xml:space="preserve"> 161-173.</w:t>
      </w:r>
      <w:bookmarkEnd w:id="13"/>
    </w:p>
    <w:p w:rsidR="00943FD9" w:rsidRPr="00943FD9" w:rsidRDefault="00943FD9" w:rsidP="00943FD9">
      <w:pPr>
        <w:spacing w:after="0" w:line="240" w:lineRule="auto"/>
        <w:ind w:left="720" w:hanging="720"/>
        <w:rPr>
          <w:rFonts w:ascii="Calibri" w:hAnsi="Calibri" w:cs="Calibri"/>
          <w:noProof/>
        </w:rPr>
      </w:pPr>
      <w:bookmarkStart w:id="14" w:name="_ENREF_14"/>
      <w:r w:rsidRPr="00943FD9">
        <w:rPr>
          <w:rFonts w:ascii="Calibri" w:hAnsi="Calibri" w:cs="Calibri"/>
          <w:noProof/>
        </w:rPr>
        <w:t xml:space="preserve">Koopman, S. (2011) Alter-geopolitics: Other securities are happening. </w:t>
      </w:r>
      <w:r w:rsidRPr="00943FD9">
        <w:rPr>
          <w:rFonts w:ascii="Calibri" w:hAnsi="Calibri" w:cs="Calibri"/>
          <w:i/>
          <w:noProof/>
        </w:rPr>
        <w:t>Geoforum,</w:t>
      </w:r>
      <w:r w:rsidRPr="00943FD9">
        <w:rPr>
          <w:rFonts w:ascii="Calibri" w:hAnsi="Calibri" w:cs="Calibri"/>
          <w:noProof/>
        </w:rPr>
        <w:t xml:space="preserve"> 42</w:t>
      </w:r>
      <w:r w:rsidRPr="00943FD9">
        <w:rPr>
          <w:rFonts w:ascii="Calibri" w:hAnsi="Calibri" w:cs="Calibri"/>
          <w:b/>
          <w:noProof/>
        </w:rPr>
        <w:t>,</w:t>
      </w:r>
      <w:r w:rsidRPr="00943FD9">
        <w:rPr>
          <w:rFonts w:ascii="Calibri" w:hAnsi="Calibri" w:cs="Calibri"/>
          <w:noProof/>
        </w:rPr>
        <w:t xml:space="preserve"> 274-284.</w:t>
      </w:r>
      <w:bookmarkEnd w:id="14"/>
    </w:p>
    <w:p w:rsidR="00943FD9" w:rsidRPr="00943FD9" w:rsidRDefault="00943FD9" w:rsidP="00943FD9">
      <w:pPr>
        <w:spacing w:after="0" w:line="240" w:lineRule="auto"/>
        <w:ind w:left="720" w:hanging="720"/>
        <w:rPr>
          <w:rFonts w:ascii="Calibri" w:hAnsi="Calibri" w:cs="Calibri"/>
          <w:noProof/>
        </w:rPr>
      </w:pPr>
      <w:bookmarkStart w:id="15" w:name="_ENREF_15"/>
      <w:r w:rsidRPr="00943FD9">
        <w:rPr>
          <w:rFonts w:ascii="Calibri" w:hAnsi="Calibri" w:cs="Calibri"/>
          <w:noProof/>
        </w:rPr>
        <w:t xml:space="preserve">Lambert, D. (2005) Producing/contesting whiteness: rebellion, anti-slavery and enslavement in Barbados, 1816. </w:t>
      </w:r>
      <w:r w:rsidRPr="00943FD9">
        <w:rPr>
          <w:rFonts w:ascii="Calibri" w:hAnsi="Calibri" w:cs="Calibri"/>
          <w:i/>
          <w:noProof/>
        </w:rPr>
        <w:t>Geoforum,</w:t>
      </w:r>
      <w:r w:rsidRPr="00943FD9">
        <w:rPr>
          <w:rFonts w:ascii="Calibri" w:hAnsi="Calibri" w:cs="Calibri"/>
          <w:noProof/>
        </w:rPr>
        <w:t xml:space="preserve"> 36</w:t>
      </w:r>
      <w:r w:rsidRPr="00943FD9">
        <w:rPr>
          <w:rFonts w:ascii="Calibri" w:hAnsi="Calibri" w:cs="Calibri"/>
          <w:b/>
          <w:noProof/>
        </w:rPr>
        <w:t>,</w:t>
      </w:r>
      <w:r w:rsidRPr="00943FD9">
        <w:rPr>
          <w:rFonts w:ascii="Calibri" w:hAnsi="Calibri" w:cs="Calibri"/>
          <w:noProof/>
        </w:rPr>
        <w:t xml:space="preserve"> 29-43.</w:t>
      </w:r>
      <w:bookmarkEnd w:id="15"/>
    </w:p>
    <w:p w:rsidR="00943FD9" w:rsidRPr="00943FD9" w:rsidRDefault="00943FD9" w:rsidP="00943FD9">
      <w:pPr>
        <w:spacing w:after="0" w:line="240" w:lineRule="auto"/>
        <w:ind w:left="720" w:hanging="720"/>
        <w:rPr>
          <w:rFonts w:ascii="Calibri" w:hAnsi="Calibri" w:cs="Calibri"/>
          <w:noProof/>
        </w:rPr>
      </w:pPr>
      <w:bookmarkStart w:id="16" w:name="_ENREF_16"/>
      <w:r w:rsidRPr="00943FD9">
        <w:rPr>
          <w:rFonts w:ascii="Calibri" w:hAnsi="Calibri" w:cs="Calibri"/>
          <w:noProof/>
        </w:rPr>
        <w:t xml:space="preserve">Lewis, N., W. Larner &amp; R. Le Heron (2008) The New Zealand designer fashion industry: making industries and co-constituting political projects. </w:t>
      </w:r>
      <w:r w:rsidRPr="00943FD9">
        <w:rPr>
          <w:rFonts w:ascii="Calibri" w:hAnsi="Calibri" w:cs="Calibri"/>
          <w:i/>
          <w:noProof/>
        </w:rPr>
        <w:t>Transactions of the Institute of British Geographers,</w:t>
      </w:r>
      <w:r w:rsidRPr="00943FD9">
        <w:rPr>
          <w:rFonts w:ascii="Calibri" w:hAnsi="Calibri" w:cs="Calibri"/>
          <w:noProof/>
        </w:rPr>
        <w:t xml:space="preserve"> 33</w:t>
      </w:r>
      <w:r w:rsidRPr="00943FD9">
        <w:rPr>
          <w:rFonts w:ascii="Calibri" w:hAnsi="Calibri" w:cs="Calibri"/>
          <w:b/>
          <w:noProof/>
        </w:rPr>
        <w:t>,</w:t>
      </w:r>
      <w:r w:rsidRPr="00943FD9">
        <w:rPr>
          <w:rFonts w:ascii="Calibri" w:hAnsi="Calibri" w:cs="Calibri"/>
          <w:noProof/>
        </w:rPr>
        <w:t xml:space="preserve"> 42-59.</w:t>
      </w:r>
      <w:bookmarkEnd w:id="16"/>
    </w:p>
    <w:p w:rsidR="00943FD9" w:rsidRPr="00943FD9" w:rsidRDefault="00943FD9" w:rsidP="00943FD9">
      <w:pPr>
        <w:spacing w:after="0" w:line="240" w:lineRule="auto"/>
        <w:ind w:left="720" w:hanging="720"/>
        <w:rPr>
          <w:rFonts w:ascii="Calibri" w:hAnsi="Calibri" w:cs="Calibri"/>
          <w:noProof/>
        </w:rPr>
      </w:pPr>
      <w:bookmarkStart w:id="17" w:name="_ENREF_17"/>
      <w:r w:rsidRPr="00943FD9">
        <w:rPr>
          <w:rFonts w:ascii="Calibri" w:hAnsi="Calibri" w:cs="Calibri"/>
          <w:noProof/>
        </w:rPr>
        <w:t xml:space="preserve">Lievesley, G. (2006) Cuba, the USA and Guantánamo Bay: the collision between national sovereignty and imperial ambition. </w:t>
      </w:r>
      <w:r w:rsidRPr="00943FD9">
        <w:rPr>
          <w:rFonts w:ascii="Calibri" w:hAnsi="Calibri" w:cs="Calibri"/>
          <w:i/>
          <w:noProof/>
        </w:rPr>
        <w:t>Contemporary Politics,</w:t>
      </w:r>
      <w:r w:rsidRPr="00943FD9">
        <w:rPr>
          <w:rFonts w:ascii="Calibri" w:hAnsi="Calibri" w:cs="Calibri"/>
          <w:noProof/>
        </w:rPr>
        <w:t xml:space="preserve"> 12</w:t>
      </w:r>
      <w:r w:rsidRPr="00943FD9">
        <w:rPr>
          <w:rFonts w:ascii="Calibri" w:hAnsi="Calibri" w:cs="Calibri"/>
          <w:b/>
          <w:noProof/>
        </w:rPr>
        <w:t>,</w:t>
      </w:r>
      <w:r w:rsidRPr="00943FD9">
        <w:rPr>
          <w:rFonts w:ascii="Calibri" w:hAnsi="Calibri" w:cs="Calibri"/>
          <w:noProof/>
        </w:rPr>
        <w:t xml:space="preserve"> 3-24.</w:t>
      </w:r>
      <w:bookmarkEnd w:id="17"/>
    </w:p>
    <w:p w:rsidR="00943FD9" w:rsidRPr="00943FD9" w:rsidRDefault="00943FD9" w:rsidP="00943FD9">
      <w:pPr>
        <w:spacing w:after="0" w:line="240" w:lineRule="auto"/>
        <w:ind w:left="720" w:hanging="720"/>
        <w:rPr>
          <w:rFonts w:ascii="Calibri" w:hAnsi="Calibri" w:cs="Calibri"/>
          <w:noProof/>
        </w:rPr>
      </w:pPr>
      <w:bookmarkStart w:id="18" w:name="_ENREF_18"/>
      <w:r w:rsidRPr="00943FD9">
        <w:rPr>
          <w:rFonts w:ascii="Calibri" w:hAnsi="Calibri" w:cs="Calibri"/>
          <w:noProof/>
        </w:rPr>
        <w:t xml:space="preserve">Mullings, B. (2012) Governmentality, Diaspora Assemblages and the Ongoing Challenge of “Development”. </w:t>
      </w:r>
      <w:r w:rsidRPr="00943FD9">
        <w:rPr>
          <w:rFonts w:ascii="Calibri" w:hAnsi="Calibri" w:cs="Calibri"/>
          <w:i/>
          <w:noProof/>
        </w:rPr>
        <w:t>Antipode,</w:t>
      </w:r>
      <w:r w:rsidRPr="00943FD9">
        <w:rPr>
          <w:rFonts w:ascii="Calibri" w:hAnsi="Calibri" w:cs="Calibri"/>
          <w:noProof/>
        </w:rPr>
        <w:t xml:space="preserve"> 44</w:t>
      </w:r>
      <w:r w:rsidRPr="00943FD9">
        <w:rPr>
          <w:rFonts w:ascii="Calibri" w:hAnsi="Calibri" w:cs="Calibri"/>
          <w:b/>
          <w:noProof/>
        </w:rPr>
        <w:t>,</w:t>
      </w:r>
      <w:r w:rsidRPr="00943FD9">
        <w:rPr>
          <w:rFonts w:ascii="Calibri" w:hAnsi="Calibri" w:cs="Calibri"/>
          <w:noProof/>
        </w:rPr>
        <w:t xml:space="preserve"> 406-427.</w:t>
      </w:r>
      <w:bookmarkEnd w:id="18"/>
    </w:p>
    <w:p w:rsidR="00943FD9" w:rsidRPr="00943FD9" w:rsidRDefault="00943FD9" w:rsidP="00943FD9">
      <w:pPr>
        <w:spacing w:after="0" w:line="240" w:lineRule="auto"/>
        <w:ind w:left="720" w:hanging="720"/>
        <w:rPr>
          <w:rFonts w:ascii="Calibri" w:hAnsi="Calibri" w:cs="Calibri"/>
          <w:noProof/>
        </w:rPr>
      </w:pPr>
      <w:bookmarkStart w:id="19" w:name="_ENREF_19"/>
      <w:r w:rsidRPr="00943FD9">
        <w:rPr>
          <w:rFonts w:ascii="Calibri" w:hAnsi="Calibri" w:cs="Calibri"/>
          <w:noProof/>
        </w:rPr>
        <w:t xml:space="preserve">Munck, R. (2013) The Precariat: a view from the South. </w:t>
      </w:r>
      <w:r w:rsidRPr="00943FD9">
        <w:rPr>
          <w:rFonts w:ascii="Calibri" w:hAnsi="Calibri" w:cs="Calibri"/>
          <w:i/>
          <w:noProof/>
        </w:rPr>
        <w:t>Third World Quarterly,</w:t>
      </w:r>
      <w:r w:rsidRPr="00943FD9">
        <w:rPr>
          <w:rFonts w:ascii="Calibri" w:hAnsi="Calibri" w:cs="Calibri"/>
          <w:noProof/>
        </w:rPr>
        <w:t xml:space="preserve"> 34</w:t>
      </w:r>
      <w:r w:rsidRPr="00943FD9">
        <w:rPr>
          <w:rFonts w:ascii="Calibri" w:hAnsi="Calibri" w:cs="Calibri"/>
          <w:b/>
          <w:noProof/>
        </w:rPr>
        <w:t>,</w:t>
      </w:r>
      <w:r w:rsidRPr="00943FD9">
        <w:rPr>
          <w:rFonts w:ascii="Calibri" w:hAnsi="Calibri" w:cs="Calibri"/>
          <w:noProof/>
        </w:rPr>
        <w:t xml:space="preserve"> 747-762.</w:t>
      </w:r>
      <w:bookmarkEnd w:id="19"/>
    </w:p>
    <w:p w:rsidR="00943FD9" w:rsidRPr="00943FD9" w:rsidRDefault="00943FD9" w:rsidP="00943FD9">
      <w:pPr>
        <w:spacing w:after="0" w:line="240" w:lineRule="auto"/>
        <w:ind w:left="720" w:hanging="720"/>
        <w:rPr>
          <w:rFonts w:ascii="Calibri" w:hAnsi="Calibri" w:cs="Calibri"/>
          <w:noProof/>
        </w:rPr>
      </w:pPr>
      <w:bookmarkStart w:id="20" w:name="_ENREF_20"/>
      <w:r w:rsidRPr="00943FD9">
        <w:rPr>
          <w:rFonts w:ascii="Calibri" w:hAnsi="Calibri" w:cs="Calibri"/>
          <w:noProof/>
        </w:rPr>
        <w:t xml:space="preserve">Nettleford, R. 1994. The Caribbean: Crossroads of the Americas. In </w:t>
      </w:r>
      <w:r w:rsidRPr="00943FD9">
        <w:rPr>
          <w:rFonts w:ascii="Calibri" w:hAnsi="Calibri" w:cs="Calibri"/>
          <w:i/>
          <w:noProof/>
        </w:rPr>
        <w:t xml:space="preserve">Crossroads of Empire: the Europe-Caribbean Connection 1492-1992, </w:t>
      </w:r>
      <w:r w:rsidRPr="00943FD9">
        <w:rPr>
          <w:rFonts w:ascii="Calibri" w:hAnsi="Calibri" w:cs="Calibri"/>
          <w:noProof/>
        </w:rPr>
        <w:t>ed. A. Cobley. Bridgetown: University of the West Indies.</w:t>
      </w:r>
      <w:bookmarkEnd w:id="20"/>
    </w:p>
    <w:p w:rsidR="00943FD9" w:rsidRPr="00943FD9" w:rsidRDefault="00943FD9" w:rsidP="00943FD9">
      <w:pPr>
        <w:spacing w:after="0" w:line="240" w:lineRule="auto"/>
        <w:ind w:left="720" w:hanging="720"/>
        <w:rPr>
          <w:rFonts w:ascii="Calibri" w:hAnsi="Calibri" w:cs="Calibri"/>
          <w:noProof/>
        </w:rPr>
      </w:pPr>
      <w:bookmarkStart w:id="21" w:name="_ENREF_21"/>
      <w:r w:rsidRPr="00943FD9">
        <w:rPr>
          <w:rFonts w:ascii="Calibri" w:hAnsi="Calibri" w:cs="Calibri"/>
          <w:noProof/>
        </w:rPr>
        <w:t xml:space="preserve">Patten, H. 2014. Dancehall and its sartorial and social insecurities. In </w:t>
      </w:r>
      <w:r w:rsidRPr="00943FD9">
        <w:rPr>
          <w:rFonts w:ascii="Calibri" w:hAnsi="Calibri" w:cs="Calibri"/>
          <w:i/>
          <w:noProof/>
        </w:rPr>
        <w:t>38th Annual Conference of the Society for Caribbean Studies</w:t>
      </w:r>
      <w:r w:rsidRPr="00943FD9">
        <w:rPr>
          <w:rFonts w:ascii="Calibri" w:hAnsi="Calibri" w:cs="Calibri"/>
          <w:noProof/>
        </w:rPr>
        <w:t>. University of Glasgow.</w:t>
      </w:r>
      <w:bookmarkEnd w:id="21"/>
    </w:p>
    <w:p w:rsidR="00943FD9" w:rsidRPr="00943FD9" w:rsidRDefault="00943FD9" w:rsidP="00943FD9">
      <w:pPr>
        <w:spacing w:after="0" w:line="240" w:lineRule="auto"/>
        <w:ind w:left="720" w:hanging="720"/>
        <w:rPr>
          <w:rFonts w:ascii="Calibri" w:hAnsi="Calibri" w:cs="Calibri"/>
          <w:noProof/>
        </w:rPr>
      </w:pPr>
      <w:bookmarkStart w:id="22" w:name="_ENREF_22"/>
      <w:r w:rsidRPr="00943FD9">
        <w:rPr>
          <w:rFonts w:ascii="Calibri" w:hAnsi="Calibri" w:cs="Calibri"/>
          <w:noProof/>
        </w:rPr>
        <w:t xml:space="preserve">Phillips, E. (2006) Recognising the language of calypso as 'symbolic action' in resolving conflict in the Republic of Trinidad and Tobago. </w:t>
      </w:r>
      <w:r w:rsidRPr="00943FD9">
        <w:rPr>
          <w:rFonts w:ascii="Calibri" w:hAnsi="Calibri" w:cs="Calibri"/>
          <w:i/>
          <w:noProof/>
        </w:rPr>
        <w:t>Caribbean Quarterly,</w:t>
      </w:r>
      <w:r w:rsidRPr="00943FD9">
        <w:rPr>
          <w:rFonts w:ascii="Calibri" w:hAnsi="Calibri" w:cs="Calibri"/>
          <w:noProof/>
        </w:rPr>
        <w:t xml:space="preserve"> 52</w:t>
      </w:r>
      <w:r w:rsidRPr="00943FD9">
        <w:rPr>
          <w:rFonts w:ascii="Calibri" w:hAnsi="Calibri" w:cs="Calibri"/>
          <w:b/>
          <w:noProof/>
        </w:rPr>
        <w:t>,</w:t>
      </w:r>
      <w:r w:rsidRPr="00943FD9">
        <w:rPr>
          <w:rFonts w:ascii="Calibri" w:hAnsi="Calibri" w:cs="Calibri"/>
          <w:noProof/>
        </w:rPr>
        <w:t xml:space="preserve"> 53-73.</w:t>
      </w:r>
      <w:bookmarkEnd w:id="22"/>
    </w:p>
    <w:p w:rsidR="00943FD9" w:rsidRPr="00943FD9" w:rsidRDefault="00943FD9" w:rsidP="00943FD9">
      <w:pPr>
        <w:spacing w:after="0" w:line="240" w:lineRule="auto"/>
        <w:ind w:left="720" w:hanging="720"/>
        <w:rPr>
          <w:rFonts w:ascii="Calibri" w:hAnsi="Calibri" w:cs="Calibri"/>
          <w:noProof/>
        </w:rPr>
      </w:pPr>
      <w:bookmarkStart w:id="23" w:name="_ENREF_23"/>
      <w:r w:rsidRPr="00943FD9">
        <w:rPr>
          <w:rFonts w:ascii="Calibri" w:hAnsi="Calibri" w:cs="Calibri"/>
          <w:noProof/>
        </w:rPr>
        <w:t xml:space="preserve">Philo, C. (2012) Security of geography⁄geography of security. </w:t>
      </w:r>
      <w:r w:rsidRPr="00943FD9">
        <w:rPr>
          <w:rFonts w:ascii="Calibri" w:hAnsi="Calibri" w:cs="Calibri"/>
          <w:i/>
          <w:noProof/>
        </w:rPr>
        <w:t>Transactions of the Institute of British Geographers,</w:t>
      </w:r>
      <w:r w:rsidRPr="00943FD9">
        <w:rPr>
          <w:rFonts w:ascii="Calibri" w:hAnsi="Calibri" w:cs="Calibri"/>
          <w:noProof/>
        </w:rPr>
        <w:t xml:space="preserve"> 37</w:t>
      </w:r>
      <w:r w:rsidRPr="00943FD9">
        <w:rPr>
          <w:rFonts w:ascii="Calibri" w:hAnsi="Calibri" w:cs="Calibri"/>
          <w:b/>
          <w:noProof/>
        </w:rPr>
        <w:t>,</w:t>
      </w:r>
      <w:r w:rsidRPr="00943FD9">
        <w:rPr>
          <w:rFonts w:ascii="Calibri" w:hAnsi="Calibri" w:cs="Calibri"/>
          <w:noProof/>
        </w:rPr>
        <w:t xml:space="preserve"> 1-7.</w:t>
      </w:r>
      <w:bookmarkEnd w:id="23"/>
    </w:p>
    <w:p w:rsidR="00943FD9" w:rsidRPr="00943FD9" w:rsidRDefault="00943FD9" w:rsidP="00943FD9">
      <w:pPr>
        <w:spacing w:after="0" w:line="240" w:lineRule="auto"/>
        <w:ind w:left="720" w:hanging="720"/>
        <w:rPr>
          <w:rFonts w:ascii="Calibri" w:hAnsi="Calibri" w:cs="Calibri"/>
          <w:noProof/>
        </w:rPr>
      </w:pPr>
      <w:bookmarkStart w:id="24" w:name="_ENREF_24"/>
      <w:r w:rsidRPr="00943FD9">
        <w:rPr>
          <w:rFonts w:ascii="Calibri" w:hAnsi="Calibri" w:cs="Calibri"/>
          <w:noProof/>
        </w:rPr>
        <w:t>Puar, J., L. Berlant, J. Butler, B. Cvejic, I. Lorey &amp; A. Vujanovic (2012) Precarity Talk: A Virtual Roundtable with Lauren Berlant, Judith Butler, Bojana Cveji</w:t>
      </w:r>
      <w:r w:rsidRPr="00943FD9">
        <w:rPr>
          <w:rFonts w:ascii="Calibri" w:hAnsi="Calibri" w:cs="Calibri" w:hint="eastAsia"/>
          <w:noProof/>
        </w:rPr>
        <w:t></w:t>
      </w:r>
      <w:r w:rsidRPr="00943FD9">
        <w:rPr>
          <w:rFonts w:ascii="Calibri" w:hAnsi="Calibri" w:cs="Calibri"/>
          <w:noProof/>
        </w:rPr>
        <w:t>, Isabell Lorey, Jasbir Puar, and Ana Vujanovi</w:t>
      </w:r>
      <w:r w:rsidRPr="00943FD9">
        <w:rPr>
          <w:rFonts w:ascii="Calibri" w:hAnsi="Calibri" w:cs="Calibri" w:hint="eastAsia"/>
          <w:noProof/>
        </w:rPr>
        <w:t></w:t>
      </w:r>
      <w:r w:rsidRPr="00943FD9">
        <w:rPr>
          <w:rFonts w:ascii="Calibri" w:hAnsi="Calibri" w:cs="Calibri"/>
          <w:noProof/>
        </w:rPr>
        <w:t xml:space="preserve">. </w:t>
      </w:r>
      <w:r w:rsidRPr="00943FD9">
        <w:rPr>
          <w:rFonts w:ascii="Calibri" w:hAnsi="Calibri" w:cs="Calibri"/>
          <w:i/>
          <w:noProof/>
        </w:rPr>
        <w:t>TDR: The Drama Review,</w:t>
      </w:r>
      <w:r w:rsidRPr="00943FD9">
        <w:rPr>
          <w:rFonts w:ascii="Calibri" w:hAnsi="Calibri" w:cs="Calibri"/>
          <w:noProof/>
        </w:rPr>
        <w:t xml:space="preserve"> 56</w:t>
      </w:r>
      <w:r w:rsidRPr="00943FD9">
        <w:rPr>
          <w:rFonts w:ascii="Calibri" w:hAnsi="Calibri" w:cs="Calibri"/>
          <w:b/>
          <w:noProof/>
        </w:rPr>
        <w:t>,</w:t>
      </w:r>
      <w:r w:rsidRPr="00943FD9">
        <w:rPr>
          <w:rFonts w:ascii="Calibri" w:hAnsi="Calibri" w:cs="Calibri"/>
          <w:noProof/>
        </w:rPr>
        <w:t xml:space="preserve"> 163-177.</w:t>
      </w:r>
      <w:bookmarkEnd w:id="24"/>
    </w:p>
    <w:p w:rsidR="00943FD9" w:rsidRPr="00943FD9" w:rsidRDefault="00943FD9" w:rsidP="00943FD9">
      <w:pPr>
        <w:spacing w:after="0" w:line="240" w:lineRule="auto"/>
        <w:ind w:left="720" w:hanging="720"/>
        <w:rPr>
          <w:rFonts w:ascii="Calibri" w:hAnsi="Calibri" w:cs="Calibri"/>
          <w:noProof/>
        </w:rPr>
      </w:pPr>
      <w:bookmarkStart w:id="25" w:name="_ENREF_25"/>
      <w:r w:rsidRPr="00943FD9">
        <w:rPr>
          <w:rFonts w:ascii="Calibri" w:hAnsi="Calibri" w:cs="Calibri"/>
          <w:noProof/>
        </w:rPr>
        <w:t xml:space="preserve">Rhiney, K. (forthcoming) Geographies of Vulnerability in a Changing Climate: Lessons from the Caribbean. </w:t>
      </w:r>
      <w:r w:rsidRPr="00943FD9">
        <w:rPr>
          <w:rFonts w:ascii="Calibri" w:hAnsi="Calibri" w:cs="Calibri"/>
          <w:i/>
          <w:noProof/>
        </w:rPr>
        <w:t>Geography Compass</w:t>
      </w:r>
      <w:r w:rsidRPr="00943FD9">
        <w:rPr>
          <w:rFonts w:ascii="Calibri" w:hAnsi="Calibri" w:cs="Calibri"/>
          <w:noProof/>
        </w:rPr>
        <w:t>.</w:t>
      </w:r>
      <w:bookmarkEnd w:id="25"/>
    </w:p>
    <w:p w:rsidR="00943FD9" w:rsidRPr="00943FD9" w:rsidRDefault="00943FD9" w:rsidP="00943FD9">
      <w:pPr>
        <w:spacing w:after="0" w:line="240" w:lineRule="auto"/>
        <w:ind w:left="720" w:hanging="720"/>
        <w:rPr>
          <w:rFonts w:ascii="Calibri" w:hAnsi="Calibri" w:cs="Calibri"/>
          <w:noProof/>
        </w:rPr>
      </w:pPr>
      <w:bookmarkStart w:id="26" w:name="_ENREF_26"/>
      <w:r w:rsidRPr="00943FD9">
        <w:rPr>
          <w:rFonts w:ascii="Calibri" w:hAnsi="Calibri" w:cs="Calibri"/>
          <w:noProof/>
        </w:rPr>
        <w:t xml:space="preserve">Sampson, S. S. &amp; A. Branch-Vital (2013) US Remittances to the Caribbean, Jamaica and Trinidad &amp; Tobago. </w:t>
      </w:r>
      <w:r w:rsidRPr="00943FD9">
        <w:rPr>
          <w:rFonts w:ascii="Calibri" w:hAnsi="Calibri" w:cs="Calibri"/>
          <w:i/>
          <w:noProof/>
        </w:rPr>
        <w:t>International Migration,</w:t>
      </w:r>
      <w:r w:rsidRPr="00943FD9">
        <w:rPr>
          <w:rFonts w:ascii="Calibri" w:hAnsi="Calibri" w:cs="Calibri"/>
          <w:noProof/>
        </w:rPr>
        <w:t xml:space="preserve"> 51</w:t>
      </w:r>
      <w:r w:rsidRPr="00943FD9">
        <w:rPr>
          <w:rFonts w:ascii="Calibri" w:hAnsi="Calibri" w:cs="Calibri"/>
          <w:b/>
          <w:noProof/>
        </w:rPr>
        <w:t>,</w:t>
      </w:r>
      <w:r w:rsidRPr="00943FD9">
        <w:rPr>
          <w:rFonts w:ascii="Calibri" w:hAnsi="Calibri" w:cs="Calibri"/>
          <w:noProof/>
        </w:rPr>
        <w:t xml:space="preserve"> e70-e83.</w:t>
      </w:r>
      <w:bookmarkEnd w:id="26"/>
    </w:p>
    <w:p w:rsidR="00943FD9" w:rsidRPr="00943FD9" w:rsidRDefault="00943FD9" w:rsidP="00943FD9">
      <w:pPr>
        <w:spacing w:after="0" w:line="240" w:lineRule="auto"/>
        <w:ind w:left="720" w:hanging="720"/>
        <w:rPr>
          <w:rFonts w:ascii="Calibri" w:hAnsi="Calibri" w:cs="Calibri"/>
          <w:noProof/>
        </w:rPr>
      </w:pPr>
      <w:bookmarkStart w:id="27" w:name="_ENREF_27"/>
      <w:r w:rsidRPr="00943FD9">
        <w:rPr>
          <w:rFonts w:ascii="Calibri" w:hAnsi="Calibri" w:cs="Calibri"/>
          <w:noProof/>
        </w:rPr>
        <w:t xml:space="preserve">Sidaway, J. (2003) Sovereign excesses? Portraying postcolonial sovereigntyscapes. </w:t>
      </w:r>
      <w:r w:rsidRPr="00943FD9">
        <w:rPr>
          <w:rFonts w:ascii="Calibri" w:hAnsi="Calibri" w:cs="Calibri"/>
          <w:i/>
          <w:noProof/>
        </w:rPr>
        <w:t>Political Geography,</w:t>
      </w:r>
      <w:r w:rsidRPr="00943FD9">
        <w:rPr>
          <w:rFonts w:ascii="Calibri" w:hAnsi="Calibri" w:cs="Calibri"/>
          <w:noProof/>
        </w:rPr>
        <w:t xml:space="preserve"> 22</w:t>
      </w:r>
      <w:r w:rsidRPr="00943FD9">
        <w:rPr>
          <w:rFonts w:ascii="Calibri" w:hAnsi="Calibri" w:cs="Calibri"/>
          <w:b/>
          <w:noProof/>
        </w:rPr>
        <w:t>,</w:t>
      </w:r>
      <w:r w:rsidRPr="00943FD9">
        <w:rPr>
          <w:rFonts w:ascii="Calibri" w:hAnsi="Calibri" w:cs="Calibri"/>
          <w:noProof/>
        </w:rPr>
        <w:t xml:space="preserve"> 157-178.</w:t>
      </w:r>
      <w:bookmarkEnd w:id="27"/>
    </w:p>
    <w:p w:rsidR="00943FD9" w:rsidRPr="00943FD9" w:rsidRDefault="00943FD9" w:rsidP="00943FD9">
      <w:pPr>
        <w:spacing w:after="0" w:line="240" w:lineRule="auto"/>
        <w:ind w:left="720" w:hanging="720"/>
        <w:rPr>
          <w:rFonts w:ascii="Calibri" w:hAnsi="Calibri" w:cs="Calibri"/>
          <w:noProof/>
        </w:rPr>
      </w:pPr>
      <w:bookmarkStart w:id="28" w:name="_ENREF_28"/>
      <w:r w:rsidRPr="00943FD9">
        <w:rPr>
          <w:rFonts w:ascii="Calibri" w:hAnsi="Calibri" w:cs="Calibri"/>
          <w:noProof/>
        </w:rPr>
        <w:t xml:space="preserve">Thomas-Hope, E. 2002. </w:t>
      </w:r>
      <w:r w:rsidRPr="00943FD9">
        <w:rPr>
          <w:rFonts w:ascii="Calibri" w:hAnsi="Calibri" w:cs="Calibri"/>
          <w:i/>
          <w:noProof/>
        </w:rPr>
        <w:t>Caribbean Migration</w:t>
      </w:r>
      <w:r w:rsidRPr="00943FD9">
        <w:rPr>
          <w:rFonts w:ascii="Calibri" w:hAnsi="Calibri" w:cs="Calibri"/>
          <w:noProof/>
        </w:rPr>
        <w:t>.</w:t>
      </w:r>
      <w:r w:rsidRPr="00943FD9">
        <w:rPr>
          <w:rFonts w:ascii="Calibri" w:hAnsi="Calibri" w:cs="Calibri"/>
          <w:i/>
          <w:noProof/>
        </w:rPr>
        <w:t xml:space="preserve"> </w:t>
      </w:r>
      <w:r w:rsidRPr="00943FD9">
        <w:rPr>
          <w:rFonts w:ascii="Calibri" w:hAnsi="Calibri" w:cs="Calibri"/>
          <w:noProof/>
        </w:rPr>
        <w:t>Kingston: University of the West Indies Press.</w:t>
      </w:r>
      <w:bookmarkEnd w:id="28"/>
    </w:p>
    <w:p w:rsidR="00943FD9" w:rsidRPr="00943FD9" w:rsidRDefault="00943FD9" w:rsidP="00943FD9">
      <w:pPr>
        <w:spacing w:after="0" w:line="240" w:lineRule="auto"/>
        <w:ind w:left="720" w:hanging="720"/>
        <w:rPr>
          <w:rFonts w:ascii="Calibri" w:hAnsi="Calibri" w:cs="Calibri"/>
          <w:noProof/>
        </w:rPr>
      </w:pPr>
      <w:bookmarkStart w:id="29" w:name="_ENREF_29"/>
      <w:r w:rsidRPr="00943FD9">
        <w:rPr>
          <w:rFonts w:ascii="Calibri" w:hAnsi="Calibri" w:cs="Calibri"/>
          <w:noProof/>
        </w:rPr>
        <w:t xml:space="preserve">Trotz, D. A. &amp; B. Mullings (2013) Transnational Migration, the State, and Development: Reflecting on the "Diaspora Option". </w:t>
      </w:r>
      <w:r w:rsidRPr="00943FD9">
        <w:rPr>
          <w:rFonts w:ascii="Calibri" w:hAnsi="Calibri" w:cs="Calibri"/>
          <w:i/>
          <w:noProof/>
        </w:rPr>
        <w:t>Small Axe: A Caribbean Journal of Criticism,</w:t>
      </w:r>
      <w:r w:rsidRPr="00943FD9">
        <w:rPr>
          <w:rFonts w:ascii="Calibri" w:hAnsi="Calibri" w:cs="Calibri"/>
          <w:noProof/>
        </w:rPr>
        <w:t xml:space="preserve"> 17</w:t>
      </w:r>
      <w:r w:rsidRPr="00943FD9">
        <w:rPr>
          <w:rFonts w:ascii="Calibri" w:hAnsi="Calibri" w:cs="Calibri"/>
          <w:b/>
          <w:noProof/>
        </w:rPr>
        <w:t>,</w:t>
      </w:r>
      <w:r w:rsidRPr="00943FD9">
        <w:rPr>
          <w:rFonts w:ascii="Calibri" w:hAnsi="Calibri" w:cs="Calibri"/>
          <w:noProof/>
        </w:rPr>
        <w:t xml:space="preserve"> 154-171.</w:t>
      </w:r>
      <w:bookmarkEnd w:id="29"/>
    </w:p>
    <w:p w:rsidR="00943FD9" w:rsidRPr="00943FD9" w:rsidRDefault="00943FD9" w:rsidP="00943FD9">
      <w:pPr>
        <w:spacing w:after="0" w:line="240" w:lineRule="auto"/>
        <w:ind w:left="720" w:hanging="720"/>
        <w:rPr>
          <w:rFonts w:ascii="Calibri" w:hAnsi="Calibri" w:cs="Calibri"/>
          <w:noProof/>
        </w:rPr>
      </w:pPr>
      <w:bookmarkStart w:id="30" w:name="_ENREF_30"/>
      <w:r w:rsidRPr="00943FD9">
        <w:rPr>
          <w:rFonts w:ascii="Calibri" w:hAnsi="Calibri" w:cs="Calibri"/>
          <w:noProof/>
        </w:rPr>
        <w:t xml:space="preserve">Walcott, D. 1998. </w:t>
      </w:r>
      <w:r w:rsidRPr="00943FD9">
        <w:rPr>
          <w:rFonts w:ascii="Calibri" w:hAnsi="Calibri" w:cs="Calibri"/>
          <w:i/>
          <w:noProof/>
        </w:rPr>
        <w:t>What the Twilight Says: Essays</w:t>
      </w:r>
      <w:r w:rsidRPr="00943FD9">
        <w:rPr>
          <w:rFonts w:ascii="Calibri" w:hAnsi="Calibri" w:cs="Calibri"/>
          <w:noProof/>
        </w:rPr>
        <w:t>.</w:t>
      </w:r>
      <w:r w:rsidRPr="00943FD9">
        <w:rPr>
          <w:rFonts w:ascii="Calibri" w:hAnsi="Calibri" w:cs="Calibri"/>
          <w:i/>
          <w:noProof/>
        </w:rPr>
        <w:t xml:space="preserve"> </w:t>
      </w:r>
      <w:r w:rsidRPr="00943FD9">
        <w:rPr>
          <w:rFonts w:ascii="Calibri" w:hAnsi="Calibri" w:cs="Calibri"/>
          <w:noProof/>
        </w:rPr>
        <w:t>London: Faber and Faber.</w:t>
      </w:r>
      <w:bookmarkEnd w:id="30"/>
    </w:p>
    <w:p w:rsidR="00943FD9" w:rsidRPr="00943FD9" w:rsidRDefault="00943FD9" w:rsidP="00943FD9">
      <w:pPr>
        <w:spacing w:line="240" w:lineRule="auto"/>
        <w:ind w:left="720" w:hanging="720"/>
        <w:rPr>
          <w:rFonts w:ascii="Calibri" w:hAnsi="Calibri" w:cs="Calibri"/>
          <w:noProof/>
        </w:rPr>
      </w:pPr>
      <w:bookmarkStart w:id="31" w:name="_ENREF_31"/>
      <w:r w:rsidRPr="00943FD9">
        <w:rPr>
          <w:rFonts w:ascii="Calibri" w:hAnsi="Calibri" w:cs="Calibri"/>
          <w:noProof/>
        </w:rPr>
        <w:t xml:space="preserve">Williams, E. 1994. </w:t>
      </w:r>
      <w:r w:rsidRPr="00943FD9">
        <w:rPr>
          <w:rFonts w:ascii="Calibri" w:hAnsi="Calibri" w:cs="Calibri"/>
          <w:i/>
          <w:noProof/>
        </w:rPr>
        <w:t>British Historians and the West Indies</w:t>
      </w:r>
      <w:r w:rsidRPr="00943FD9">
        <w:rPr>
          <w:rFonts w:ascii="Calibri" w:hAnsi="Calibri" w:cs="Calibri"/>
          <w:noProof/>
        </w:rPr>
        <w:t>.</w:t>
      </w:r>
      <w:r w:rsidRPr="00943FD9">
        <w:rPr>
          <w:rFonts w:ascii="Calibri" w:hAnsi="Calibri" w:cs="Calibri"/>
          <w:i/>
          <w:noProof/>
        </w:rPr>
        <w:t xml:space="preserve"> </w:t>
      </w:r>
      <w:r w:rsidRPr="00943FD9">
        <w:rPr>
          <w:rFonts w:ascii="Calibri" w:hAnsi="Calibri" w:cs="Calibri"/>
          <w:noProof/>
        </w:rPr>
        <w:t>New York: A and B Books.</w:t>
      </w:r>
      <w:bookmarkEnd w:id="31"/>
    </w:p>
    <w:p w:rsidR="00943FD9" w:rsidRDefault="00943FD9" w:rsidP="00943FD9">
      <w:pPr>
        <w:spacing w:line="240" w:lineRule="auto"/>
        <w:rPr>
          <w:rFonts w:ascii="Calibri" w:hAnsi="Calibri" w:cs="Calibri"/>
          <w:noProof/>
        </w:rPr>
      </w:pPr>
    </w:p>
    <w:p w:rsidR="00313982" w:rsidRDefault="001D7EF2">
      <w:r>
        <w:fldChar w:fldCharType="end"/>
      </w:r>
    </w:p>
    <w:sectPr w:rsidR="00313982" w:rsidSect="001D7E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83" w:rsidRDefault="00B33D83" w:rsidP="00F43BC1">
      <w:pPr>
        <w:spacing w:after="0" w:line="240" w:lineRule="auto"/>
      </w:pPr>
      <w:r>
        <w:separator/>
      </w:r>
    </w:p>
  </w:endnote>
  <w:endnote w:type="continuationSeparator" w:id="0">
    <w:p w:rsidR="00B33D83" w:rsidRDefault="00B33D83" w:rsidP="00F4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83" w:rsidRDefault="00B33D83" w:rsidP="00F43BC1">
      <w:pPr>
        <w:spacing w:after="0" w:line="240" w:lineRule="auto"/>
      </w:pPr>
      <w:r>
        <w:separator/>
      </w:r>
    </w:p>
  </w:footnote>
  <w:footnote w:type="continuationSeparator" w:id="0">
    <w:p w:rsidR="00B33D83" w:rsidRDefault="00B33D83" w:rsidP="00F43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21780"/>
    <w:multiLevelType w:val="hybridMultilevel"/>
    <w:tmpl w:val="E18A0788"/>
    <w:lvl w:ilvl="0" w:tplc="F446CF7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AG Style Gui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safta2t3fvvrde5zra5vwwe0fzsfv5afasw&quot;&gt;main library jan 2013&lt;record-ids&gt;&lt;item&gt;206&lt;/item&gt;&lt;item&gt;740&lt;/item&gt;&lt;item&gt;1177&lt;/item&gt;&lt;item&gt;1591&lt;/item&gt;&lt;item&gt;2040&lt;/item&gt;&lt;item&gt;2056&lt;/item&gt;&lt;item&gt;2328&lt;/item&gt;&lt;item&gt;2433&lt;/item&gt;&lt;item&gt;2565&lt;/item&gt;&lt;item&gt;2581&lt;/item&gt;&lt;item&gt;2583&lt;/item&gt;&lt;item&gt;2628&lt;/item&gt;&lt;item&gt;2649&lt;/item&gt;&lt;item&gt;2650&lt;/item&gt;&lt;item&gt;2820&lt;/item&gt;&lt;item&gt;2827&lt;/item&gt;&lt;item&gt;2828&lt;/item&gt;&lt;item&gt;2829&lt;/item&gt;&lt;item&gt;2830&lt;/item&gt;&lt;item&gt;2831&lt;/item&gt;&lt;item&gt;2832&lt;/item&gt;&lt;item&gt;2833&lt;/item&gt;&lt;item&gt;2834&lt;/item&gt;&lt;item&gt;2835&lt;/item&gt;&lt;item&gt;2836&lt;/item&gt;&lt;item&gt;2838&lt;/item&gt;&lt;item&gt;2839&lt;/item&gt;&lt;item&gt;2840&lt;/item&gt;&lt;item&gt;2841&lt;/item&gt;&lt;item&gt;2842&lt;/item&gt;&lt;item&gt;2843&lt;/item&gt;&lt;/record-ids&gt;&lt;/item&gt;&lt;/Libraries&gt;"/>
  </w:docVars>
  <w:rsids>
    <w:rsidRoot w:val="00917BE7"/>
    <w:rsid w:val="0000032F"/>
    <w:rsid w:val="00005BCB"/>
    <w:rsid w:val="000109EA"/>
    <w:rsid w:val="00012E45"/>
    <w:rsid w:val="00012F5A"/>
    <w:rsid w:val="00015D9F"/>
    <w:rsid w:val="00016DEC"/>
    <w:rsid w:val="0002031C"/>
    <w:rsid w:val="00020C1B"/>
    <w:rsid w:val="00020FBB"/>
    <w:rsid w:val="000228BB"/>
    <w:rsid w:val="00023DBA"/>
    <w:rsid w:val="00024631"/>
    <w:rsid w:val="00034B60"/>
    <w:rsid w:val="0003559A"/>
    <w:rsid w:val="000449FF"/>
    <w:rsid w:val="0005039E"/>
    <w:rsid w:val="00050A95"/>
    <w:rsid w:val="00051C72"/>
    <w:rsid w:val="00057247"/>
    <w:rsid w:val="00063FBF"/>
    <w:rsid w:val="00066426"/>
    <w:rsid w:val="00066C22"/>
    <w:rsid w:val="0006758C"/>
    <w:rsid w:val="00070FD6"/>
    <w:rsid w:val="00076BD4"/>
    <w:rsid w:val="00077BFC"/>
    <w:rsid w:val="00080B53"/>
    <w:rsid w:val="000825E3"/>
    <w:rsid w:val="00082D58"/>
    <w:rsid w:val="00083CCE"/>
    <w:rsid w:val="00083E7C"/>
    <w:rsid w:val="000875CF"/>
    <w:rsid w:val="000876A0"/>
    <w:rsid w:val="00091D20"/>
    <w:rsid w:val="00092004"/>
    <w:rsid w:val="000958DF"/>
    <w:rsid w:val="000A0C81"/>
    <w:rsid w:val="000A1D0A"/>
    <w:rsid w:val="000A2DAB"/>
    <w:rsid w:val="000A354F"/>
    <w:rsid w:val="000A3D23"/>
    <w:rsid w:val="000A472B"/>
    <w:rsid w:val="000A64AA"/>
    <w:rsid w:val="000A73B2"/>
    <w:rsid w:val="000B0AEC"/>
    <w:rsid w:val="000B3DC4"/>
    <w:rsid w:val="000B4FA1"/>
    <w:rsid w:val="000B6414"/>
    <w:rsid w:val="000C2AC5"/>
    <w:rsid w:val="000C45CF"/>
    <w:rsid w:val="000C4FC3"/>
    <w:rsid w:val="000C519E"/>
    <w:rsid w:val="000D0605"/>
    <w:rsid w:val="000D2BB5"/>
    <w:rsid w:val="000D4075"/>
    <w:rsid w:val="000D56D6"/>
    <w:rsid w:val="000D5973"/>
    <w:rsid w:val="000D73D9"/>
    <w:rsid w:val="000E2694"/>
    <w:rsid w:val="000E7623"/>
    <w:rsid w:val="000E7906"/>
    <w:rsid w:val="000F1A10"/>
    <w:rsid w:val="000F1C13"/>
    <w:rsid w:val="000F3585"/>
    <w:rsid w:val="000F715F"/>
    <w:rsid w:val="0010006B"/>
    <w:rsid w:val="00101178"/>
    <w:rsid w:val="0010118C"/>
    <w:rsid w:val="001018C0"/>
    <w:rsid w:val="00101CD1"/>
    <w:rsid w:val="00105514"/>
    <w:rsid w:val="0011019D"/>
    <w:rsid w:val="00110EE5"/>
    <w:rsid w:val="00115B4A"/>
    <w:rsid w:val="00116090"/>
    <w:rsid w:val="00117669"/>
    <w:rsid w:val="0012087C"/>
    <w:rsid w:val="001209AD"/>
    <w:rsid w:val="00121252"/>
    <w:rsid w:val="00121769"/>
    <w:rsid w:val="0012195E"/>
    <w:rsid w:val="00121C66"/>
    <w:rsid w:val="00122202"/>
    <w:rsid w:val="00122727"/>
    <w:rsid w:val="00123445"/>
    <w:rsid w:val="001249B5"/>
    <w:rsid w:val="001251E3"/>
    <w:rsid w:val="00125BD8"/>
    <w:rsid w:val="00125C55"/>
    <w:rsid w:val="001274EA"/>
    <w:rsid w:val="0013170C"/>
    <w:rsid w:val="001320C2"/>
    <w:rsid w:val="001340DD"/>
    <w:rsid w:val="00137064"/>
    <w:rsid w:val="00137F7E"/>
    <w:rsid w:val="00140F44"/>
    <w:rsid w:val="001439CE"/>
    <w:rsid w:val="001461B4"/>
    <w:rsid w:val="0014772F"/>
    <w:rsid w:val="0014798A"/>
    <w:rsid w:val="001505C0"/>
    <w:rsid w:val="00152B29"/>
    <w:rsid w:val="00155C8E"/>
    <w:rsid w:val="0015689F"/>
    <w:rsid w:val="001618E4"/>
    <w:rsid w:val="001641A3"/>
    <w:rsid w:val="001645E7"/>
    <w:rsid w:val="001652D7"/>
    <w:rsid w:val="00170040"/>
    <w:rsid w:val="00170463"/>
    <w:rsid w:val="001748E8"/>
    <w:rsid w:val="001809E7"/>
    <w:rsid w:val="0018319F"/>
    <w:rsid w:val="00183BDD"/>
    <w:rsid w:val="0019001A"/>
    <w:rsid w:val="0019020E"/>
    <w:rsid w:val="0019029A"/>
    <w:rsid w:val="00192ECB"/>
    <w:rsid w:val="00193295"/>
    <w:rsid w:val="001948A5"/>
    <w:rsid w:val="001949DD"/>
    <w:rsid w:val="00194F16"/>
    <w:rsid w:val="0019500A"/>
    <w:rsid w:val="00195C7D"/>
    <w:rsid w:val="00196F82"/>
    <w:rsid w:val="0019761B"/>
    <w:rsid w:val="001A2E0F"/>
    <w:rsid w:val="001A32EF"/>
    <w:rsid w:val="001A3441"/>
    <w:rsid w:val="001A5A3B"/>
    <w:rsid w:val="001B0645"/>
    <w:rsid w:val="001B0938"/>
    <w:rsid w:val="001B3102"/>
    <w:rsid w:val="001B4A56"/>
    <w:rsid w:val="001B4B4B"/>
    <w:rsid w:val="001B6DA8"/>
    <w:rsid w:val="001C497E"/>
    <w:rsid w:val="001C4D27"/>
    <w:rsid w:val="001C5A57"/>
    <w:rsid w:val="001C739A"/>
    <w:rsid w:val="001C7768"/>
    <w:rsid w:val="001C7BFC"/>
    <w:rsid w:val="001D0E8F"/>
    <w:rsid w:val="001D4984"/>
    <w:rsid w:val="001D6BA4"/>
    <w:rsid w:val="001D767D"/>
    <w:rsid w:val="001D7EF2"/>
    <w:rsid w:val="001E39DA"/>
    <w:rsid w:val="001E4386"/>
    <w:rsid w:val="001E56AE"/>
    <w:rsid w:val="001E7635"/>
    <w:rsid w:val="001E7E47"/>
    <w:rsid w:val="001F19BB"/>
    <w:rsid w:val="001F2183"/>
    <w:rsid w:val="001F6BC6"/>
    <w:rsid w:val="001F7E73"/>
    <w:rsid w:val="00201CEA"/>
    <w:rsid w:val="00202430"/>
    <w:rsid w:val="002025AC"/>
    <w:rsid w:val="002035C6"/>
    <w:rsid w:val="0020394A"/>
    <w:rsid w:val="00204E0A"/>
    <w:rsid w:val="00206DEA"/>
    <w:rsid w:val="002070E4"/>
    <w:rsid w:val="00210A7F"/>
    <w:rsid w:val="002119A2"/>
    <w:rsid w:val="00215362"/>
    <w:rsid w:val="002161AA"/>
    <w:rsid w:val="00216303"/>
    <w:rsid w:val="002167C4"/>
    <w:rsid w:val="0022061C"/>
    <w:rsid w:val="0022074D"/>
    <w:rsid w:val="002210C8"/>
    <w:rsid w:val="002210CA"/>
    <w:rsid w:val="00221EE5"/>
    <w:rsid w:val="00222A48"/>
    <w:rsid w:val="0022541F"/>
    <w:rsid w:val="002314CF"/>
    <w:rsid w:val="002327C0"/>
    <w:rsid w:val="00233C72"/>
    <w:rsid w:val="00234AFA"/>
    <w:rsid w:val="00234CBF"/>
    <w:rsid w:val="00237254"/>
    <w:rsid w:val="002405E9"/>
    <w:rsid w:val="00243A19"/>
    <w:rsid w:val="0024492A"/>
    <w:rsid w:val="00244F5C"/>
    <w:rsid w:val="00245221"/>
    <w:rsid w:val="00245E04"/>
    <w:rsid w:val="002468E0"/>
    <w:rsid w:val="0025287F"/>
    <w:rsid w:val="00253249"/>
    <w:rsid w:val="002556A3"/>
    <w:rsid w:val="002563B3"/>
    <w:rsid w:val="002577B9"/>
    <w:rsid w:val="00263E2C"/>
    <w:rsid w:val="0026465F"/>
    <w:rsid w:val="0026521E"/>
    <w:rsid w:val="00265DF0"/>
    <w:rsid w:val="002666E2"/>
    <w:rsid w:val="002674C9"/>
    <w:rsid w:val="00271629"/>
    <w:rsid w:val="0027277E"/>
    <w:rsid w:val="00280C8F"/>
    <w:rsid w:val="00283F20"/>
    <w:rsid w:val="00286126"/>
    <w:rsid w:val="00294A42"/>
    <w:rsid w:val="002A0776"/>
    <w:rsid w:val="002A1A2F"/>
    <w:rsid w:val="002A1F55"/>
    <w:rsid w:val="002A3BB4"/>
    <w:rsid w:val="002A44C7"/>
    <w:rsid w:val="002A6DC9"/>
    <w:rsid w:val="002A6E69"/>
    <w:rsid w:val="002A7CCE"/>
    <w:rsid w:val="002B067C"/>
    <w:rsid w:val="002B3AC2"/>
    <w:rsid w:val="002B4238"/>
    <w:rsid w:val="002B44F2"/>
    <w:rsid w:val="002B7B2F"/>
    <w:rsid w:val="002C0687"/>
    <w:rsid w:val="002C4B17"/>
    <w:rsid w:val="002C6127"/>
    <w:rsid w:val="002C6C25"/>
    <w:rsid w:val="002C6C8F"/>
    <w:rsid w:val="002C7132"/>
    <w:rsid w:val="002C7FBF"/>
    <w:rsid w:val="002D0706"/>
    <w:rsid w:val="002D3465"/>
    <w:rsid w:val="002D439F"/>
    <w:rsid w:val="002D440C"/>
    <w:rsid w:val="002D4ADD"/>
    <w:rsid w:val="002D6C8B"/>
    <w:rsid w:val="002D7CB9"/>
    <w:rsid w:val="002E2D70"/>
    <w:rsid w:val="002E331F"/>
    <w:rsid w:val="002E3BB9"/>
    <w:rsid w:val="002E57BE"/>
    <w:rsid w:val="002F1366"/>
    <w:rsid w:val="002F16B4"/>
    <w:rsid w:val="002F2D22"/>
    <w:rsid w:val="002F3B37"/>
    <w:rsid w:val="002F4666"/>
    <w:rsid w:val="002F58F5"/>
    <w:rsid w:val="002F6CDC"/>
    <w:rsid w:val="002F79BA"/>
    <w:rsid w:val="00300FEA"/>
    <w:rsid w:val="003023F7"/>
    <w:rsid w:val="00305AD8"/>
    <w:rsid w:val="00305CAE"/>
    <w:rsid w:val="00305E70"/>
    <w:rsid w:val="00307D72"/>
    <w:rsid w:val="00312ECC"/>
    <w:rsid w:val="0031351B"/>
    <w:rsid w:val="0031366B"/>
    <w:rsid w:val="00313982"/>
    <w:rsid w:val="00313B42"/>
    <w:rsid w:val="00314014"/>
    <w:rsid w:val="00314DFE"/>
    <w:rsid w:val="00315193"/>
    <w:rsid w:val="0031565B"/>
    <w:rsid w:val="00315DD2"/>
    <w:rsid w:val="00321842"/>
    <w:rsid w:val="00321A10"/>
    <w:rsid w:val="0032267A"/>
    <w:rsid w:val="00323806"/>
    <w:rsid w:val="003238DC"/>
    <w:rsid w:val="00325553"/>
    <w:rsid w:val="00327739"/>
    <w:rsid w:val="0033525E"/>
    <w:rsid w:val="003376CA"/>
    <w:rsid w:val="00340AAA"/>
    <w:rsid w:val="00341EFC"/>
    <w:rsid w:val="003448FB"/>
    <w:rsid w:val="003469E3"/>
    <w:rsid w:val="003505F5"/>
    <w:rsid w:val="00350633"/>
    <w:rsid w:val="00350D4F"/>
    <w:rsid w:val="0035130F"/>
    <w:rsid w:val="0035219B"/>
    <w:rsid w:val="00352895"/>
    <w:rsid w:val="00354D72"/>
    <w:rsid w:val="0035542E"/>
    <w:rsid w:val="00355638"/>
    <w:rsid w:val="0035697C"/>
    <w:rsid w:val="0036225C"/>
    <w:rsid w:val="003625BC"/>
    <w:rsid w:val="00364EE2"/>
    <w:rsid w:val="0036513B"/>
    <w:rsid w:val="00365885"/>
    <w:rsid w:val="00371D44"/>
    <w:rsid w:val="003754F2"/>
    <w:rsid w:val="00375AFA"/>
    <w:rsid w:val="003765FF"/>
    <w:rsid w:val="003774DD"/>
    <w:rsid w:val="00382015"/>
    <w:rsid w:val="0038251E"/>
    <w:rsid w:val="003833DC"/>
    <w:rsid w:val="0038538F"/>
    <w:rsid w:val="003878E8"/>
    <w:rsid w:val="003911C4"/>
    <w:rsid w:val="003950F8"/>
    <w:rsid w:val="00396FD4"/>
    <w:rsid w:val="003A375E"/>
    <w:rsid w:val="003A5187"/>
    <w:rsid w:val="003B05D4"/>
    <w:rsid w:val="003B05E8"/>
    <w:rsid w:val="003B15FC"/>
    <w:rsid w:val="003B39C1"/>
    <w:rsid w:val="003B504A"/>
    <w:rsid w:val="003B6C7A"/>
    <w:rsid w:val="003C085D"/>
    <w:rsid w:val="003C0FDB"/>
    <w:rsid w:val="003C2CAA"/>
    <w:rsid w:val="003C34F6"/>
    <w:rsid w:val="003C4358"/>
    <w:rsid w:val="003D0650"/>
    <w:rsid w:val="003D1BC0"/>
    <w:rsid w:val="003D249D"/>
    <w:rsid w:val="003D3136"/>
    <w:rsid w:val="003D3E2B"/>
    <w:rsid w:val="003D59AB"/>
    <w:rsid w:val="003D6FB2"/>
    <w:rsid w:val="003E0544"/>
    <w:rsid w:val="003E297E"/>
    <w:rsid w:val="003E502A"/>
    <w:rsid w:val="003E557A"/>
    <w:rsid w:val="003E7E1C"/>
    <w:rsid w:val="003F327D"/>
    <w:rsid w:val="003F3C0A"/>
    <w:rsid w:val="003F50B2"/>
    <w:rsid w:val="003F7A39"/>
    <w:rsid w:val="00400573"/>
    <w:rsid w:val="00401D96"/>
    <w:rsid w:val="00402BD1"/>
    <w:rsid w:val="00403755"/>
    <w:rsid w:val="00404131"/>
    <w:rsid w:val="0040416B"/>
    <w:rsid w:val="00405A0F"/>
    <w:rsid w:val="004062CE"/>
    <w:rsid w:val="00417CA9"/>
    <w:rsid w:val="00422523"/>
    <w:rsid w:val="00423098"/>
    <w:rsid w:val="00423E70"/>
    <w:rsid w:val="00425089"/>
    <w:rsid w:val="004279BE"/>
    <w:rsid w:val="00427E96"/>
    <w:rsid w:val="00430C65"/>
    <w:rsid w:val="0043152C"/>
    <w:rsid w:val="00431C0F"/>
    <w:rsid w:val="00433E21"/>
    <w:rsid w:val="004344FE"/>
    <w:rsid w:val="00434889"/>
    <w:rsid w:val="00436683"/>
    <w:rsid w:val="00436804"/>
    <w:rsid w:val="00436C33"/>
    <w:rsid w:val="004408D0"/>
    <w:rsid w:val="00441215"/>
    <w:rsid w:val="004420F5"/>
    <w:rsid w:val="004433F6"/>
    <w:rsid w:val="0044590E"/>
    <w:rsid w:val="00445CBE"/>
    <w:rsid w:val="00452307"/>
    <w:rsid w:val="004531EC"/>
    <w:rsid w:val="00453972"/>
    <w:rsid w:val="00455719"/>
    <w:rsid w:val="004611DA"/>
    <w:rsid w:val="00466431"/>
    <w:rsid w:val="004674BA"/>
    <w:rsid w:val="004701D7"/>
    <w:rsid w:val="00471004"/>
    <w:rsid w:val="0047132B"/>
    <w:rsid w:val="004737A4"/>
    <w:rsid w:val="00473DFF"/>
    <w:rsid w:val="0047499B"/>
    <w:rsid w:val="00476FFC"/>
    <w:rsid w:val="0048096C"/>
    <w:rsid w:val="004870D5"/>
    <w:rsid w:val="00487907"/>
    <w:rsid w:val="00487F0E"/>
    <w:rsid w:val="00490074"/>
    <w:rsid w:val="00494689"/>
    <w:rsid w:val="004A0B70"/>
    <w:rsid w:val="004A11F2"/>
    <w:rsid w:val="004A19AA"/>
    <w:rsid w:val="004A27B4"/>
    <w:rsid w:val="004A2CC1"/>
    <w:rsid w:val="004A4361"/>
    <w:rsid w:val="004A4525"/>
    <w:rsid w:val="004A6C69"/>
    <w:rsid w:val="004A6E94"/>
    <w:rsid w:val="004A7FAC"/>
    <w:rsid w:val="004B1DD3"/>
    <w:rsid w:val="004B2B36"/>
    <w:rsid w:val="004B51C2"/>
    <w:rsid w:val="004B6A77"/>
    <w:rsid w:val="004C0AF3"/>
    <w:rsid w:val="004C16F9"/>
    <w:rsid w:val="004C20E1"/>
    <w:rsid w:val="004C2EED"/>
    <w:rsid w:val="004C419A"/>
    <w:rsid w:val="004C66AB"/>
    <w:rsid w:val="004C66CB"/>
    <w:rsid w:val="004D0218"/>
    <w:rsid w:val="004D2ABE"/>
    <w:rsid w:val="004D4A9F"/>
    <w:rsid w:val="004D6420"/>
    <w:rsid w:val="004D68E1"/>
    <w:rsid w:val="004E0FB0"/>
    <w:rsid w:val="004E1587"/>
    <w:rsid w:val="004E2142"/>
    <w:rsid w:val="004E33CD"/>
    <w:rsid w:val="004E4342"/>
    <w:rsid w:val="004E7485"/>
    <w:rsid w:val="004E7895"/>
    <w:rsid w:val="004F10FC"/>
    <w:rsid w:val="004F1EC4"/>
    <w:rsid w:val="004F5FAC"/>
    <w:rsid w:val="004F67EF"/>
    <w:rsid w:val="00500BA1"/>
    <w:rsid w:val="005052F8"/>
    <w:rsid w:val="00505C0A"/>
    <w:rsid w:val="00505F7E"/>
    <w:rsid w:val="005062BF"/>
    <w:rsid w:val="00506550"/>
    <w:rsid w:val="005067FB"/>
    <w:rsid w:val="00510722"/>
    <w:rsid w:val="005111E1"/>
    <w:rsid w:val="00514437"/>
    <w:rsid w:val="00520B37"/>
    <w:rsid w:val="00520BE0"/>
    <w:rsid w:val="005217F0"/>
    <w:rsid w:val="0052372F"/>
    <w:rsid w:val="00524902"/>
    <w:rsid w:val="00526FE0"/>
    <w:rsid w:val="0052744C"/>
    <w:rsid w:val="0052748E"/>
    <w:rsid w:val="0052751B"/>
    <w:rsid w:val="005319C5"/>
    <w:rsid w:val="00532334"/>
    <w:rsid w:val="00532BD6"/>
    <w:rsid w:val="00534D63"/>
    <w:rsid w:val="00536628"/>
    <w:rsid w:val="00542AA7"/>
    <w:rsid w:val="00545439"/>
    <w:rsid w:val="00546E4B"/>
    <w:rsid w:val="00547A4D"/>
    <w:rsid w:val="00547E6A"/>
    <w:rsid w:val="00550A5B"/>
    <w:rsid w:val="0055352C"/>
    <w:rsid w:val="00563EC5"/>
    <w:rsid w:val="00564913"/>
    <w:rsid w:val="00565137"/>
    <w:rsid w:val="0056520D"/>
    <w:rsid w:val="0056743F"/>
    <w:rsid w:val="00570464"/>
    <w:rsid w:val="00570580"/>
    <w:rsid w:val="005717B3"/>
    <w:rsid w:val="0057670F"/>
    <w:rsid w:val="00576CF5"/>
    <w:rsid w:val="00577345"/>
    <w:rsid w:val="00580566"/>
    <w:rsid w:val="00580FEA"/>
    <w:rsid w:val="005818D8"/>
    <w:rsid w:val="0058216B"/>
    <w:rsid w:val="00582876"/>
    <w:rsid w:val="00582983"/>
    <w:rsid w:val="00583899"/>
    <w:rsid w:val="005842FC"/>
    <w:rsid w:val="00587923"/>
    <w:rsid w:val="005879D4"/>
    <w:rsid w:val="0059039B"/>
    <w:rsid w:val="005A3163"/>
    <w:rsid w:val="005A3669"/>
    <w:rsid w:val="005A51FB"/>
    <w:rsid w:val="005A5CE2"/>
    <w:rsid w:val="005A7A63"/>
    <w:rsid w:val="005B6E76"/>
    <w:rsid w:val="005B7774"/>
    <w:rsid w:val="005C318F"/>
    <w:rsid w:val="005C31C9"/>
    <w:rsid w:val="005C5188"/>
    <w:rsid w:val="005C59C1"/>
    <w:rsid w:val="005C6267"/>
    <w:rsid w:val="005C6613"/>
    <w:rsid w:val="005C7E29"/>
    <w:rsid w:val="005D0DEC"/>
    <w:rsid w:val="005D4CAB"/>
    <w:rsid w:val="005D4F8B"/>
    <w:rsid w:val="005D6C8A"/>
    <w:rsid w:val="005D6EA7"/>
    <w:rsid w:val="005D72D5"/>
    <w:rsid w:val="005E37D5"/>
    <w:rsid w:val="005E602C"/>
    <w:rsid w:val="005E6A6B"/>
    <w:rsid w:val="005E708D"/>
    <w:rsid w:val="005F2947"/>
    <w:rsid w:val="005F50C3"/>
    <w:rsid w:val="005F5652"/>
    <w:rsid w:val="005F6751"/>
    <w:rsid w:val="00601DAC"/>
    <w:rsid w:val="006028B7"/>
    <w:rsid w:val="006028CB"/>
    <w:rsid w:val="00603BD1"/>
    <w:rsid w:val="00605C12"/>
    <w:rsid w:val="00610396"/>
    <w:rsid w:val="00610B9D"/>
    <w:rsid w:val="00611D6D"/>
    <w:rsid w:val="006122E0"/>
    <w:rsid w:val="0061274D"/>
    <w:rsid w:val="0061480E"/>
    <w:rsid w:val="00614E96"/>
    <w:rsid w:val="00617FD0"/>
    <w:rsid w:val="006205E6"/>
    <w:rsid w:val="00620A98"/>
    <w:rsid w:val="00623A2E"/>
    <w:rsid w:val="00626D09"/>
    <w:rsid w:val="0063178D"/>
    <w:rsid w:val="0063362C"/>
    <w:rsid w:val="0063468B"/>
    <w:rsid w:val="00635A96"/>
    <w:rsid w:val="00637964"/>
    <w:rsid w:val="00637BAA"/>
    <w:rsid w:val="0064147A"/>
    <w:rsid w:val="00641DD8"/>
    <w:rsid w:val="00642597"/>
    <w:rsid w:val="0064333F"/>
    <w:rsid w:val="0064453C"/>
    <w:rsid w:val="00645476"/>
    <w:rsid w:val="006473B7"/>
    <w:rsid w:val="00650D9E"/>
    <w:rsid w:val="00652DA1"/>
    <w:rsid w:val="0065559D"/>
    <w:rsid w:val="00657295"/>
    <w:rsid w:val="00660F54"/>
    <w:rsid w:val="006612D7"/>
    <w:rsid w:val="0066367A"/>
    <w:rsid w:val="0066479B"/>
    <w:rsid w:val="006649BB"/>
    <w:rsid w:val="006660FF"/>
    <w:rsid w:val="00670187"/>
    <w:rsid w:val="006723FA"/>
    <w:rsid w:val="006727C5"/>
    <w:rsid w:val="00674CA3"/>
    <w:rsid w:val="00675394"/>
    <w:rsid w:val="006757DA"/>
    <w:rsid w:val="006762C1"/>
    <w:rsid w:val="00677C6F"/>
    <w:rsid w:val="00684DA1"/>
    <w:rsid w:val="006857C3"/>
    <w:rsid w:val="0068738C"/>
    <w:rsid w:val="00687CE5"/>
    <w:rsid w:val="006909A5"/>
    <w:rsid w:val="00691ED6"/>
    <w:rsid w:val="00691F2F"/>
    <w:rsid w:val="00693656"/>
    <w:rsid w:val="00693CD5"/>
    <w:rsid w:val="0069403A"/>
    <w:rsid w:val="00694324"/>
    <w:rsid w:val="00694B7B"/>
    <w:rsid w:val="00695478"/>
    <w:rsid w:val="00696012"/>
    <w:rsid w:val="00696BB4"/>
    <w:rsid w:val="006A218E"/>
    <w:rsid w:val="006A2475"/>
    <w:rsid w:val="006A27D8"/>
    <w:rsid w:val="006A3D6D"/>
    <w:rsid w:val="006A565A"/>
    <w:rsid w:val="006A6037"/>
    <w:rsid w:val="006A7858"/>
    <w:rsid w:val="006A7AE3"/>
    <w:rsid w:val="006B5B8D"/>
    <w:rsid w:val="006C0532"/>
    <w:rsid w:val="006C3F39"/>
    <w:rsid w:val="006C56B2"/>
    <w:rsid w:val="006D6059"/>
    <w:rsid w:val="006D6125"/>
    <w:rsid w:val="006D633A"/>
    <w:rsid w:val="006D63B9"/>
    <w:rsid w:val="006D6454"/>
    <w:rsid w:val="006D6E76"/>
    <w:rsid w:val="006D72DE"/>
    <w:rsid w:val="006E03A1"/>
    <w:rsid w:val="006E2987"/>
    <w:rsid w:val="006E7BE8"/>
    <w:rsid w:val="006F058A"/>
    <w:rsid w:val="006F1A29"/>
    <w:rsid w:val="006F1CD3"/>
    <w:rsid w:val="006F1E5B"/>
    <w:rsid w:val="006F27E4"/>
    <w:rsid w:val="006F5204"/>
    <w:rsid w:val="006F66C4"/>
    <w:rsid w:val="006F710B"/>
    <w:rsid w:val="00701346"/>
    <w:rsid w:val="007050FB"/>
    <w:rsid w:val="00705566"/>
    <w:rsid w:val="007068F6"/>
    <w:rsid w:val="00710B81"/>
    <w:rsid w:val="0071215F"/>
    <w:rsid w:val="007125B2"/>
    <w:rsid w:val="00715C9A"/>
    <w:rsid w:val="00716C20"/>
    <w:rsid w:val="00716F42"/>
    <w:rsid w:val="007172D1"/>
    <w:rsid w:val="00720B3C"/>
    <w:rsid w:val="00720F14"/>
    <w:rsid w:val="00721E75"/>
    <w:rsid w:val="007247AB"/>
    <w:rsid w:val="00725966"/>
    <w:rsid w:val="007279B1"/>
    <w:rsid w:val="00731275"/>
    <w:rsid w:val="00732BD4"/>
    <w:rsid w:val="00733226"/>
    <w:rsid w:val="0073326D"/>
    <w:rsid w:val="00734422"/>
    <w:rsid w:val="00734DA2"/>
    <w:rsid w:val="00736B0C"/>
    <w:rsid w:val="00745EE1"/>
    <w:rsid w:val="007461AC"/>
    <w:rsid w:val="0075118B"/>
    <w:rsid w:val="00751789"/>
    <w:rsid w:val="00753370"/>
    <w:rsid w:val="00761A43"/>
    <w:rsid w:val="007624BA"/>
    <w:rsid w:val="00764066"/>
    <w:rsid w:val="00764D5C"/>
    <w:rsid w:val="00765E89"/>
    <w:rsid w:val="007662E9"/>
    <w:rsid w:val="0076656C"/>
    <w:rsid w:val="007667AA"/>
    <w:rsid w:val="0076752B"/>
    <w:rsid w:val="00771D93"/>
    <w:rsid w:val="00773DF9"/>
    <w:rsid w:val="007760E5"/>
    <w:rsid w:val="0078540E"/>
    <w:rsid w:val="00785522"/>
    <w:rsid w:val="00786AB2"/>
    <w:rsid w:val="00787B53"/>
    <w:rsid w:val="0079082F"/>
    <w:rsid w:val="007914C8"/>
    <w:rsid w:val="00794600"/>
    <w:rsid w:val="007948E6"/>
    <w:rsid w:val="007949D4"/>
    <w:rsid w:val="00794C24"/>
    <w:rsid w:val="0079541A"/>
    <w:rsid w:val="007963CB"/>
    <w:rsid w:val="007A00AF"/>
    <w:rsid w:val="007A050C"/>
    <w:rsid w:val="007A0A65"/>
    <w:rsid w:val="007A21D9"/>
    <w:rsid w:val="007B092E"/>
    <w:rsid w:val="007B3997"/>
    <w:rsid w:val="007B423F"/>
    <w:rsid w:val="007B61A4"/>
    <w:rsid w:val="007C7840"/>
    <w:rsid w:val="007D1502"/>
    <w:rsid w:val="007D1A07"/>
    <w:rsid w:val="007D33C7"/>
    <w:rsid w:val="007D4F9B"/>
    <w:rsid w:val="007D54A9"/>
    <w:rsid w:val="007D76B0"/>
    <w:rsid w:val="007E4237"/>
    <w:rsid w:val="007E53DB"/>
    <w:rsid w:val="007E5E76"/>
    <w:rsid w:val="007E7122"/>
    <w:rsid w:val="007E78FE"/>
    <w:rsid w:val="007F0E1F"/>
    <w:rsid w:val="007F12F9"/>
    <w:rsid w:val="007F3DD1"/>
    <w:rsid w:val="007F619F"/>
    <w:rsid w:val="007F773D"/>
    <w:rsid w:val="008026E5"/>
    <w:rsid w:val="0080729F"/>
    <w:rsid w:val="008109C6"/>
    <w:rsid w:val="008112B9"/>
    <w:rsid w:val="00811C39"/>
    <w:rsid w:val="00813802"/>
    <w:rsid w:val="008141F0"/>
    <w:rsid w:val="00814214"/>
    <w:rsid w:val="008142F3"/>
    <w:rsid w:val="00814C2A"/>
    <w:rsid w:val="00816F86"/>
    <w:rsid w:val="0081799C"/>
    <w:rsid w:val="00824DF3"/>
    <w:rsid w:val="00824EA7"/>
    <w:rsid w:val="00825C49"/>
    <w:rsid w:val="008271D1"/>
    <w:rsid w:val="00827B7F"/>
    <w:rsid w:val="00830566"/>
    <w:rsid w:val="008307BB"/>
    <w:rsid w:val="00836E90"/>
    <w:rsid w:val="00837592"/>
    <w:rsid w:val="0084101A"/>
    <w:rsid w:val="00841BAA"/>
    <w:rsid w:val="00844CEC"/>
    <w:rsid w:val="00845A7B"/>
    <w:rsid w:val="00847000"/>
    <w:rsid w:val="00847CE1"/>
    <w:rsid w:val="008514FF"/>
    <w:rsid w:val="00857005"/>
    <w:rsid w:val="0086009A"/>
    <w:rsid w:val="00862306"/>
    <w:rsid w:val="00863299"/>
    <w:rsid w:val="0086610D"/>
    <w:rsid w:val="008668EF"/>
    <w:rsid w:val="00866B9C"/>
    <w:rsid w:val="00867914"/>
    <w:rsid w:val="00870640"/>
    <w:rsid w:val="00870DD5"/>
    <w:rsid w:val="0087438C"/>
    <w:rsid w:val="008766E4"/>
    <w:rsid w:val="00880CA7"/>
    <w:rsid w:val="00881182"/>
    <w:rsid w:val="00882845"/>
    <w:rsid w:val="00886D58"/>
    <w:rsid w:val="0088759E"/>
    <w:rsid w:val="00887D66"/>
    <w:rsid w:val="008915A7"/>
    <w:rsid w:val="008918B7"/>
    <w:rsid w:val="00893A18"/>
    <w:rsid w:val="00894997"/>
    <w:rsid w:val="00895229"/>
    <w:rsid w:val="00895A30"/>
    <w:rsid w:val="008971DC"/>
    <w:rsid w:val="008A444B"/>
    <w:rsid w:val="008B5EB5"/>
    <w:rsid w:val="008B6D17"/>
    <w:rsid w:val="008B7E8D"/>
    <w:rsid w:val="008C0689"/>
    <w:rsid w:val="008C326B"/>
    <w:rsid w:val="008C3520"/>
    <w:rsid w:val="008C3C9E"/>
    <w:rsid w:val="008C6579"/>
    <w:rsid w:val="008C74BB"/>
    <w:rsid w:val="008C760D"/>
    <w:rsid w:val="008D0920"/>
    <w:rsid w:val="008D4605"/>
    <w:rsid w:val="008D6207"/>
    <w:rsid w:val="008D633F"/>
    <w:rsid w:val="008E12D9"/>
    <w:rsid w:val="008E2F92"/>
    <w:rsid w:val="008E338F"/>
    <w:rsid w:val="008E4FE2"/>
    <w:rsid w:val="008F1192"/>
    <w:rsid w:val="008F2E5F"/>
    <w:rsid w:val="008F4BAE"/>
    <w:rsid w:val="008F5B42"/>
    <w:rsid w:val="008F7831"/>
    <w:rsid w:val="008F7BB7"/>
    <w:rsid w:val="00901CA3"/>
    <w:rsid w:val="00904BAD"/>
    <w:rsid w:val="00907350"/>
    <w:rsid w:val="00910ED1"/>
    <w:rsid w:val="0091123A"/>
    <w:rsid w:val="00911AC6"/>
    <w:rsid w:val="009137A1"/>
    <w:rsid w:val="00917BE7"/>
    <w:rsid w:val="00921304"/>
    <w:rsid w:val="00922661"/>
    <w:rsid w:val="00922CFA"/>
    <w:rsid w:val="00924B66"/>
    <w:rsid w:val="009255FC"/>
    <w:rsid w:val="00926770"/>
    <w:rsid w:val="00931722"/>
    <w:rsid w:val="00932B78"/>
    <w:rsid w:val="00932C24"/>
    <w:rsid w:val="00935B1B"/>
    <w:rsid w:val="00935FAE"/>
    <w:rsid w:val="00943FD9"/>
    <w:rsid w:val="00945F29"/>
    <w:rsid w:val="00945F54"/>
    <w:rsid w:val="00947933"/>
    <w:rsid w:val="00950315"/>
    <w:rsid w:val="009517EA"/>
    <w:rsid w:val="0095182A"/>
    <w:rsid w:val="00953AD0"/>
    <w:rsid w:val="0095443E"/>
    <w:rsid w:val="009609C9"/>
    <w:rsid w:val="0096161C"/>
    <w:rsid w:val="009616B1"/>
    <w:rsid w:val="009618B9"/>
    <w:rsid w:val="0096241F"/>
    <w:rsid w:val="00962D69"/>
    <w:rsid w:val="009650BB"/>
    <w:rsid w:val="00967689"/>
    <w:rsid w:val="009719A0"/>
    <w:rsid w:val="009725E7"/>
    <w:rsid w:val="00972BF4"/>
    <w:rsid w:val="009760D9"/>
    <w:rsid w:val="00976D70"/>
    <w:rsid w:val="0097718E"/>
    <w:rsid w:val="009863E9"/>
    <w:rsid w:val="00991EB8"/>
    <w:rsid w:val="00997853"/>
    <w:rsid w:val="009A16B6"/>
    <w:rsid w:val="009A3D91"/>
    <w:rsid w:val="009A6963"/>
    <w:rsid w:val="009B1CAF"/>
    <w:rsid w:val="009B3370"/>
    <w:rsid w:val="009C24B1"/>
    <w:rsid w:val="009C50C8"/>
    <w:rsid w:val="009C5F69"/>
    <w:rsid w:val="009D1CD9"/>
    <w:rsid w:val="009D4921"/>
    <w:rsid w:val="009D51FA"/>
    <w:rsid w:val="009D6D8F"/>
    <w:rsid w:val="009E40F8"/>
    <w:rsid w:val="009E4423"/>
    <w:rsid w:val="009E47D6"/>
    <w:rsid w:val="009E4BE4"/>
    <w:rsid w:val="009E5CB0"/>
    <w:rsid w:val="009E5DE4"/>
    <w:rsid w:val="009F1E7F"/>
    <w:rsid w:val="009F4410"/>
    <w:rsid w:val="009F6B41"/>
    <w:rsid w:val="009F72C6"/>
    <w:rsid w:val="009F78F9"/>
    <w:rsid w:val="00A01A34"/>
    <w:rsid w:val="00A0295F"/>
    <w:rsid w:val="00A046D7"/>
    <w:rsid w:val="00A0653B"/>
    <w:rsid w:val="00A079E7"/>
    <w:rsid w:val="00A1211D"/>
    <w:rsid w:val="00A121BA"/>
    <w:rsid w:val="00A13B8B"/>
    <w:rsid w:val="00A163B8"/>
    <w:rsid w:val="00A170AF"/>
    <w:rsid w:val="00A174AA"/>
    <w:rsid w:val="00A20C8D"/>
    <w:rsid w:val="00A25096"/>
    <w:rsid w:val="00A26108"/>
    <w:rsid w:val="00A26C49"/>
    <w:rsid w:val="00A2706F"/>
    <w:rsid w:val="00A33FA6"/>
    <w:rsid w:val="00A41AE9"/>
    <w:rsid w:val="00A43ABF"/>
    <w:rsid w:val="00A5037A"/>
    <w:rsid w:val="00A511AA"/>
    <w:rsid w:val="00A55356"/>
    <w:rsid w:val="00A55BEB"/>
    <w:rsid w:val="00A6025E"/>
    <w:rsid w:val="00A60401"/>
    <w:rsid w:val="00A60E99"/>
    <w:rsid w:val="00A62FA4"/>
    <w:rsid w:val="00A639D0"/>
    <w:rsid w:val="00A66B08"/>
    <w:rsid w:val="00A66D5B"/>
    <w:rsid w:val="00A7311C"/>
    <w:rsid w:val="00A73253"/>
    <w:rsid w:val="00A7726B"/>
    <w:rsid w:val="00A81DA3"/>
    <w:rsid w:val="00A8214F"/>
    <w:rsid w:val="00A82283"/>
    <w:rsid w:val="00A8330D"/>
    <w:rsid w:val="00A85B11"/>
    <w:rsid w:val="00A90199"/>
    <w:rsid w:val="00A903FE"/>
    <w:rsid w:val="00A9404B"/>
    <w:rsid w:val="00A9650A"/>
    <w:rsid w:val="00A97703"/>
    <w:rsid w:val="00AA0477"/>
    <w:rsid w:val="00AA270E"/>
    <w:rsid w:val="00AA30F0"/>
    <w:rsid w:val="00AA33E5"/>
    <w:rsid w:val="00AA4716"/>
    <w:rsid w:val="00AA4808"/>
    <w:rsid w:val="00AB3141"/>
    <w:rsid w:val="00AB4642"/>
    <w:rsid w:val="00AB4B2F"/>
    <w:rsid w:val="00AB6B47"/>
    <w:rsid w:val="00AB7B10"/>
    <w:rsid w:val="00AC1C75"/>
    <w:rsid w:val="00AC5B19"/>
    <w:rsid w:val="00AC6271"/>
    <w:rsid w:val="00AD16EB"/>
    <w:rsid w:val="00AD1B7C"/>
    <w:rsid w:val="00AD1BED"/>
    <w:rsid w:val="00AD204E"/>
    <w:rsid w:val="00AD3219"/>
    <w:rsid w:val="00AD5628"/>
    <w:rsid w:val="00AD7713"/>
    <w:rsid w:val="00AD7BD8"/>
    <w:rsid w:val="00AD7EB2"/>
    <w:rsid w:val="00AE0872"/>
    <w:rsid w:val="00AE0CAE"/>
    <w:rsid w:val="00AE14B4"/>
    <w:rsid w:val="00AE2057"/>
    <w:rsid w:val="00AE2549"/>
    <w:rsid w:val="00AE4A7A"/>
    <w:rsid w:val="00AE5071"/>
    <w:rsid w:val="00AE5E1E"/>
    <w:rsid w:val="00AE61FC"/>
    <w:rsid w:val="00AF40D2"/>
    <w:rsid w:val="00AF5675"/>
    <w:rsid w:val="00AF573F"/>
    <w:rsid w:val="00AF6B19"/>
    <w:rsid w:val="00AF7A9B"/>
    <w:rsid w:val="00B05F8E"/>
    <w:rsid w:val="00B06479"/>
    <w:rsid w:val="00B11207"/>
    <w:rsid w:val="00B14F27"/>
    <w:rsid w:val="00B14FCD"/>
    <w:rsid w:val="00B15F0E"/>
    <w:rsid w:val="00B16163"/>
    <w:rsid w:val="00B206C8"/>
    <w:rsid w:val="00B214B4"/>
    <w:rsid w:val="00B2279A"/>
    <w:rsid w:val="00B23C6B"/>
    <w:rsid w:val="00B24339"/>
    <w:rsid w:val="00B25A96"/>
    <w:rsid w:val="00B31FE7"/>
    <w:rsid w:val="00B3334A"/>
    <w:rsid w:val="00B33D83"/>
    <w:rsid w:val="00B36E0F"/>
    <w:rsid w:val="00B36F69"/>
    <w:rsid w:val="00B425B2"/>
    <w:rsid w:val="00B43AF0"/>
    <w:rsid w:val="00B43FDB"/>
    <w:rsid w:val="00B45691"/>
    <w:rsid w:val="00B4672C"/>
    <w:rsid w:val="00B47B8D"/>
    <w:rsid w:val="00B47EDF"/>
    <w:rsid w:val="00B55F82"/>
    <w:rsid w:val="00B6389F"/>
    <w:rsid w:val="00B63C6B"/>
    <w:rsid w:val="00B66784"/>
    <w:rsid w:val="00B70067"/>
    <w:rsid w:val="00B7054C"/>
    <w:rsid w:val="00B714AC"/>
    <w:rsid w:val="00B75153"/>
    <w:rsid w:val="00B77A37"/>
    <w:rsid w:val="00B8228A"/>
    <w:rsid w:val="00B94205"/>
    <w:rsid w:val="00BA004D"/>
    <w:rsid w:val="00BA1AF1"/>
    <w:rsid w:val="00BA28E6"/>
    <w:rsid w:val="00BA2CB1"/>
    <w:rsid w:val="00BA50E7"/>
    <w:rsid w:val="00BA60B2"/>
    <w:rsid w:val="00BA6F43"/>
    <w:rsid w:val="00BB0094"/>
    <w:rsid w:val="00BB06EA"/>
    <w:rsid w:val="00BB0F73"/>
    <w:rsid w:val="00BB291E"/>
    <w:rsid w:val="00BB2967"/>
    <w:rsid w:val="00BB36F3"/>
    <w:rsid w:val="00BB451D"/>
    <w:rsid w:val="00BB6875"/>
    <w:rsid w:val="00BB719F"/>
    <w:rsid w:val="00BC11AD"/>
    <w:rsid w:val="00BC1756"/>
    <w:rsid w:val="00BC38C8"/>
    <w:rsid w:val="00BC62E0"/>
    <w:rsid w:val="00BC795A"/>
    <w:rsid w:val="00BD1332"/>
    <w:rsid w:val="00BD1D3C"/>
    <w:rsid w:val="00BD6DC8"/>
    <w:rsid w:val="00BD7157"/>
    <w:rsid w:val="00BE06E9"/>
    <w:rsid w:val="00BE1BA0"/>
    <w:rsid w:val="00BE21D4"/>
    <w:rsid w:val="00BE4EC2"/>
    <w:rsid w:val="00BE633B"/>
    <w:rsid w:val="00BE6683"/>
    <w:rsid w:val="00BE6E25"/>
    <w:rsid w:val="00BE7136"/>
    <w:rsid w:val="00BE74AD"/>
    <w:rsid w:val="00BF160A"/>
    <w:rsid w:val="00BF3E0C"/>
    <w:rsid w:val="00BF6FEC"/>
    <w:rsid w:val="00C0463A"/>
    <w:rsid w:val="00C05B85"/>
    <w:rsid w:val="00C06710"/>
    <w:rsid w:val="00C1004B"/>
    <w:rsid w:val="00C124B1"/>
    <w:rsid w:val="00C13D24"/>
    <w:rsid w:val="00C20996"/>
    <w:rsid w:val="00C211BE"/>
    <w:rsid w:val="00C212EE"/>
    <w:rsid w:val="00C256C5"/>
    <w:rsid w:val="00C25F1D"/>
    <w:rsid w:val="00C2770A"/>
    <w:rsid w:val="00C31896"/>
    <w:rsid w:val="00C344F8"/>
    <w:rsid w:val="00C34530"/>
    <w:rsid w:val="00C4033E"/>
    <w:rsid w:val="00C40A9C"/>
    <w:rsid w:val="00C47E83"/>
    <w:rsid w:val="00C5009D"/>
    <w:rsid w:val="00C50B00"/>
    <w:rsid w:val="00C50B98"/>
    <w:rsid w:val="00C51221"/>
    <w:rsid w:val="00C51626"/>
    <w:rsid w:val="00C51DCD"/>
    <w:rsid w:val="00C53B71"/>
    <w:rsid w:val="00C53EE5"/>
    <w:rsid w:val="00C543FF"/>
    <w:rsid w:val="00C55D3E"/>
    <w:rsid w:val="00C576D6"/>
    <w:rsid w:val="00C57D29"/>
    <w:rsid w:val="00C608BC"/>
    <w:rsid w:val="00C61243"/>
    <w:rsid w:val="00C64A10"/>
    <w:rsid w:val="00C64CB1"/>
    <w:rsid w:val="00C65651"/>
    <w:rsid w:val="00C66536"/>
    <w:rsid w:val="00C71529"/>
    <w:rsid w:val="00C71799"/>
    <w:rsid w:val="00C71944"/>
    <w:rsid w:val="00C72A21"/>
    <w:rsid w:val="00C77625"/>
    <w:rsid w:val="00C7795F"/>
    <w:rsid w:val="00C82E18"/>
    <w:rsid w:val="00C8386D"/>
    <w:rsid w:val="00C86623"/>
    <w:rsid w:val="00C90A8F"/>
    <w:rsid w:val="00C96F6E"/>
    <w:rsid w:val="00C97064"/>
    <w:rsid w:val="00CA04E1"/>
    <w:rsid w:val="00CA0CB2"/>
    <w:rsid w:val="00CA121B"/>
    <w:rsid w:val="00CA1C6E"/>
    <w:rsid w:val="00CA25F1"/>
    <w:rsid w:val="00CA4ED0"/>
    <w:rsid w:val="00CA61B5"/>
    <w:rsid w:val="00CB085A"/>
    <w:rsid w:val="00CB13F1"/>
    <w:rsid w:val="00CB2C63"/>
    <w:rsid w:val="00CB4117"/>
    <w:rsid w:val="00CC0215"/>
    <w:rsid w:val="00CC31A2"/>
    <w:rsid w:val="00CC37F9"/>
    <w:rsid w:val="00CC48B9"/>
    <w:rsid w:val="00CD0881"/>
    <w:rsid w:val="00CD2313"/>
    <w:rsid w:val="00CD40AE"/>
    <w:rsid w:val="00CD48F4"/>
    <w:rsid w:val="00CD4ED4"/>
    <w:rsid w:val="00CD6571"/>
    <w:rsid w:val="00CE02BD"/>
    <w:rsid w:val="00CE129A"/>
    <w:rsid w:val="00CE22E8"/>
    <w:rsid w:val="00CE6715"/>
    <w:rsid w:val="00CF177C"/>
    <w:rsid w:val="00CF3EA3"/>
    <w:rsid w:val="00CF3F19"/>
    <w:rsid w:val="00D01ACA"/>
    <w:rsid w:val="00D04F3E"/>
    <w:rsid w:val="00D06238"/>
    <w:rsid w:val="00D069EB"/>
    <w:rsid w:val="00D06D66"/>
    <w:rsid w:val="00D07105"/>
    <w:rsid w:val="00D10256"/>
    <w:rsid w:val="00D115BC"/>
    <w:rsid w:val="00D1498A"/>
    <w:rsid w:val="00D14A7B"/>
    <w:rsid w:val="00D14B5B"/>
    <w:rsid w:val="00D1515D"/>
    <w:rsid w:val="00D17DC8"/>
    <w:rsid w:val="00D219B6"/>
    <w:rsid w:val="00D21C86"/>
    <w:rsid w:val="00D22331"/>
    <w:rsid w:val="00D2615C"/>
    <w:rsid w:val="00D27226"/>
    <w:rsid w:val="00D30C32"/>
    <w:rsid w:val="00D35558"/>
    <w:rsid w:val="00D41D8E"/>
    <w:rsid w:val="00D42018"/>
    <w:rsid w:val="00D42866"/>
    <w:rsid w:val="00D43BF8"/>
    <w:rsid w:val="00D44C6B"/>
    <w:rsid w:val="00D451E1"/>
    <w:rsid w:val="00D45776"/>
    <w:rsid w:val="00D46BD2"/>
    <w:rsid w:val="00D47545"/>
    <w:rsid w:val="00D47921"/>
    <w:rsid w:val="00D516BB"/>
    <w:rsid w:val="00D53295"/>
    <w:rsid w:val="00D553B1"/>
    <w:rsid w:val="00D55D49"/>
    <w:rsid w:val="00D57361"/>
    <w:rsid w:val="00D578F0"/>
    <w:rsid w:val="00D61831"/>
    <w:rsid w:val="00D63DE6"/>
    <w:rsid w:val="00D71599"/>
    <w:rsid w:val="00D71907"/>
    <w:rsid w:val="00D723D0"/>
    <w:rsid w:val="00D738E1"/>
    <w:rsid w:val="00D76CFB"/>
    <w:rsid w:val="00D770A7"/>
    <w:rsid w:val="00D77391"/>
    <w:rsid w:val="00D80757"/>
    <w:rsid w:val="00D81F4C"/>
    <w:rsid w:val="00D8306D"/>
    <w:rsid w:val="00D848CC"/>
    <w:rsid w:val="00D85757"/>
    <w:rsid w:val="00D8669D"/>
    <w:rsid w:val="00D87B9F"/>
    <w:rsid w:val="00D90264"/>
    <w:rsid w:val="00D91B5A"/>
    <w:rsid w:val="00D93523"/>
    <w:rsid w:val="00D93F22"/>
    <w:rsid w:val="00D94359"/>
    <w:rsid w:val="00D946A7"/>
    <w:rsid w:val="00D95533"/>
    <w:rsid w:val="00D95EB8"/>
    <w:rsid w:val="00DA009C"/>
    <w:rsid w:val="00DA1F6E"/>
    <w:rsid w:val="00DA23B9"/>
    <w:rsid w:val="00DA3B9F"/>
    <w:rsid w:val="00DA418A"/>
    <w:rsid w:val="00DA4933"/>
    <w:rsid w:val="00DA7ACA"/>
    <w:rsid w:val="00DB1B53"/>
    <w:rsid w:val="00DC009E"/>
    <w:rsid w:val="00DC15D9"/>
    <w:rsid w:val="00DC3494"/>
    <w:rsid w:val="00DC5CF3"/>
    <w:rsid w:val="00DC5D9B"/>
    <w:rsid w:val="00DC62D9"/>
    <w:rsid w:val="00DD017C"/>
    <w:rsid w:val="00DD071E"/>
    <w:rsid w:val="00DD27AC"/>
    <w:rsid w:val="00DD5345"/>
    <w:rsid w:val="00DD58E3"/>
    <w:rsid w:val="00DD7D5D"/>
    <w:rsid w:val="00DD7ED0"/>
    <w:rsid w:val="00DD7F40"/>
    <w:rsid w:val="00DE0922"/>
    <w:rsid w:val="00DE0F79"/>
    <w:rsid w:val="00DE314B"/>
    <w:rsid w:val="00DE40D6"/>
    <w:rsid w:val="00DE4479"/>
    <w:rsid w:val="00DE6A8C"/>
    <w:rsid w:val="00DF031F"/>
    <w:rsid w:val="00DF2D98"/>
    <w:rsid w:val="00DF32C3"/>
    <w:rsid w:val="00E004D3"/>
    <w:rsid w:val="00E01FF4"/>
    <w:rsid w:val="00E03F57"/>
    <w:rsid w:val="00E11B0C"/>
    <w:rsid w:val="00E121F7"/>
    <w:rsid w:val="00E133FF"/>
    <w:rsid w:val="00E166E3"/>
    <w:rsid w:val="00E168C5"/>
    <w:rsid w:val="00E21294"/>
    <w:rsid w:val="00E23908"/>
    <w:rsid w:val="00E24FD8"/>
    <w:rsid w:val="00E25241"/>
    <w:rsid w:val="00E25536"/>
    <w:rsid w:val="00E2699F"/>
    <w:rsid w:val="00E26D7D"/>
    <w:rsid w:val="00E27D41"/>
    <w:rsid w:val="00E31834"/>
    <w:rsid w:val="00E31F70"/>
    <w:rsid w:val="00E33538"/>
    <w:rsid w:val="00E33B49"/>
    <w:rsid w:val="00E35D06"/>
    <w:rsid w:val="00E3637F"/>
    <w:rsid w:val="00E37E42"/>
    <w:rsid w:val="00E413BB"/>
    <w:rsid w:val="00E42631"/>
    <w:rsid w:val="00E4274C"/>
    <w:rsid w:val="00E434C0"/>
    <w:rsid w:val="00E457CA"/>
    <w:rsid w:val="00E47024"/>
    <w:rsid w:val="00E476C0"/>
    <w:rsid w:val="00E5001C"/>
    <w:rsid w:val="00E5198E"/>
    <w:rsid w:val="00E52ED0"/>
    <w:rsid w:val="00E53AA5"/>
    <w:rsid w:val="00E558F1"/>
    <w:rsid w:val="00E55F08"/>
    <w:rsid w:val="00E56628"/>
    <w:rsid w:val="00E57C86"/>
    <w:rsid w:val="00E606E7"/>
    <w:rsid w:val="00E6100C"/>
    <w:rsid w:val="00E61273"/>
    <w:rsid w:val="00E62F90"/>
    <w:rsid w:val="00E6367F"/>
    <w:rsid w:val="00E63DCB"/>
    <w:rsid w:val="00E65E45"/>
    <w:rsid w:val="00E67940"/>
    <w:rsid w:val="00E701CB"/>
    <w:rsid w:val="00E7118E"/>
    <w:rsid w:val="00E716D7"/>
    <w:rsid w:val="00E720AF"/>
    <w:rsid w:val="00E7224B"/>
    <w:rsid w:val="00E724E3"/>
    <w:rsid w:val="00E737A3"/>
    <w:rsid w:val="00E73FF0"/>
    <w:rsid w:val="00E7427C"/>
    <w:rsid w:val="00E753B0"/>
    <w:rsid w:val="00E762BD"/>
    <w:rsid w:val="00E76D1D"/>
    <w:rsid w:val="00E82864"/>
    <w:rsid w:val="00E83959"/>
    <w:rsid w:val="00E85E1E"/>
    <w:rsid w:val="00E87762"/>
    <w:rsid w:val="00E90395"/>
    <w:rsid w:val="00E903E1"/>
    <w:rsid w:val="00E97570"/>
    <w:rsid w:val="00EA01F8"/>
    <w:rsid w:val="00EA0234"/>
    <w:rsid w:val="00EA272E"/>
    <w:rsid w:val="00EA295E"/>
    <w:rsid w:val="00EA6281"/>
    <w:rsid w:val="00EA6766"/>
    <w:rsid w:val="00EA7F64"/>
    <w:rsid w:val="00EB15F8"/>
    <w:rsid w:val="00EB375E"/>
    <w:rsid w:val="00EB6C34"/>
    <w:rsid w:val="00EC420A"/>
    <w:rsid w:val="00EC4A24"/>
    <w:rsid w:val="00EC6731"/>
    <w:rsid w:val="00EC709F"/>
    <w:rsid w:val="00ED4B51"/>
    <w:rsid w:val="00ED65C9"/>
    <w:rsid w:val="00EE02DB"/>
    <w:rsid w:val="00EE1838"/>
    <w:rsid w:val="00EE18A0"/>
    <w:rsid w:val="00EE249D"/>
    <w:rsid w:val="00EE2FD1"/>
    <w:rsid w:val="00EE5972"/>
    <w:rsid w:val="00EE6957"/>
    <w:rsid w:val="00EF02E9"/>
    <w:rsid w:val="00EF4DAE"/>
    <w:rsid w:val="00EF546A"/>
    <w:rsid w:val="00EF55BC"/>
    <w:rsid w:val="00EF594A"/>
    <w:rsid w:val="00F04E1B"/>
    <w:rsid w:val="00F05271"/>
    <w:rsid w:val="00F05E30"/>
    <w:rsid w:val="00F0783C"/>
    <w:rsid w:val="00F109EE"/>
    <w:rsid w:val="00F11B23"/>
    <w:rsid w:val="00F12D3F"/>
    <w:rsid w:val="00F13EA5"/>
    <w:rsid w:val="00F17320"/>
    <w:rsid w:val="00F219D1"/>
    <w:rsid w:val="00F23784"/>
    <w:rsid w:val="00F243D6"/>
    <w:rsid w:val="00F30072"/>
    <w:rsid w:val="00F3274E"/>
    <w:rsid w:val="00F33356"/>
    <w:rsid w:val="00F3515C"/>
    <w:rsid w:val="00F353DA"/>
    <w:rsid w:val="00F40B15"/>
    <w:rsid w:val="00F426B2"/>
    <w:rsid w:val="00F43BC1"/>
    <w:rsid w:val="00F43F6C"/>
    <w:rsid w:val="00F465B5"/>
    <w:rsid w:val="00F549F6"/>
    <w:rsid w:val="00F5571E"/>
    <w:rsid w:val="00F624FB"/>
    <w:rsid w:val="00F665B4"/>
    <w:rsid w:val="00F67318"/>
    <w:rsid w:val="00F7092E"/>
    <w:rsid w:val="00F70C41"/>
    <w:rsid w:val="00F7353A"/>
    <w:rsid w:val="00F736AC"/>
    <w:rsid w:val="00F74269"/>
    <w:rsid w:val="00F743F2"/>
    <w:rsid w:val="00F760AA"/>
    <w:rsid w:val="00F76219"/>
    <w:rsid w:val="00F77CF5"/>
    <w:rsid w:val="00F83ED9"/>
    <w:rsid w:val="00F84B5D"/>
    <w:rsid w:val="00F86FDD"/>
    <w:rsid w:val="00F87097"/>
    <w:rsid w:val="00F919BD"/>
    <w:rsid w:val="00FA062E"/>
    <w:rsid w:val="00FA18B6"/>
    <w:rsid w:val="00FA5312"/>
    <w:rsid w:val="00FA7866"/>
    <w:rsid w:val="00FA78D6"/>
    <w:rsid w:val="00FB0B8B"/>
    <w:rsid w:val="00FB2274"/>
    <w:rsid w:val="00FB755C"/>
    <w:rsid w:val="00FB7B1D"/>
    <w:rsid w:val="00FC4132"/>
    <w:rsid w:val="00FC5340"/>
    <w:rsid w:val="00FC5719"/>
    <w:rsid w:val="00FC5EDD"/>
    <w:rsid w:val="00FD12AC"/>
    <w:rsid w:val="00FD1CEC"/>
    <w:rsid w:val="00FD2964"/>
    <w:rsid w:val="00FD3167"/>
    <w:rsid w:val="00FD7B46"/>
    <w:rsid w:val="00FE0898"/>
    <w:rsid w:val="00FE0E5D"/>
    <w:rsid w:val="00FE1056"/>
    <w:rsid w:val="00FE2B6A"/>
    <w:rsid w:val="00FE447D"/>
    <w:rsid w:val="00FE5375"/>
    <w:rsid w:val="00FF05D4"/>
    <w:rsid w:val="00FF0A7E"/>
    <w:rsid w:val="00FF34F8"/>
    <w:rsid w:val="00FF4A39"/>
    <w:rsid w:val="00FF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3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BC1"/>
    <w:rPr>
      <w:sz w:val="20"/>
      <w:szCs w:val="20"/>
    </w:rPr>
  </w:style>
  <w:style w:type="character" w:styleId="FootnoteReference">
    <w:name w:val="footnote reference"/>
    <w:basedOn w:val="DefaultParagraphFont"/>
    <w:uiPriority w:val="99"/>
    <w:semiHidden/>
    <w:unhideWhenUsed/>
    <w:rsid w:val="00F43BC1"/>
    <w:rPr>
      <w:vertAlign w:val="superscript"/>
    </w:rPr>
  </w:style>
  <w:style w:type="character" w:styleId="Hyperlink">
    <w:name w:val="Hyperlink"/>
    <w:basedOn w:val="DefaultParagraphFont"/>
    <w:uiPriority w:val="99"/>
    <w:unhideWhenUsed/>
    <w:rsid w:val="00FA5312"/>
    <w:rPr>
      <w:color w:val="0000FF" w:themeColor="hyperlink"/>
      <w:u w:val="single"/>
    </w:rPr>
  </w:style>
  <w:style w:type="paragraph" w:styleId="ListParagraph">
    <w:name w:val="List Paragraph"/>
    <w:basedOn w:val="Normal"/>
    <w:uiPriority w:val="34"/>
    <w:qFormat/>
    <w:rsid w:val="001F2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3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BC1"/>
    <w:rPr>
      <w:sz w:val="20"/>
      <w:szCs w:val="20"/>
    </w:rPr>
  </w:style>
  <w:style w:type="character" w:styleId="FootnoteReference">
    <w:name w:val="footnote reference"/>
    <w:basedOn w:val="DefaultParagraphFont"/>
    <w:uiPriority w:val="99"/>
    <w:semiHidden/>
    <w:unhideWhenUsed/>
    <w:rsid w:val="00F43BC1"/>
    <w:rPr>
      <w:vertAlign w:val="superscript"/>
    </w:rPr>
  </w:style>
  <w:style w:type="character" w:styleId="Hyperlink">
    <w:name w:val="Hyperlink"/>
    <w:basedOn w:val="DefaultParagraphFont"/>
    <w:uiPriority w:val="99"/>
    <w:unhideWhenUsed/>
    <w:rsid w:val="00FA5312"/>
    <w:rPr>
      <w:color w:val="0000FF" w:themeColor="hyperlink"/>
      <w:u w:val="single"/>
    </w:rPr>
  </w:style>
  <w:style w:type="paragraph" w:styleId="ListParagraph">
    <w:name w:val="List Paragraph"/>
    <w:basedOn w:val="Normal"/>
    <w:uiPriority w:val="34"/>
    <w:qFormat/>
    <w:rsid w:val="001F2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7179</Words>
  <Characters>40921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Noxolo</dc:creator>
  <cp:lastModifiedBy>Noxolo</cp:lastModifiedBy>
  <cp:revision>46</cp:revision>
  <dcterms:created xsi:type="dcterms:W3CDTF">2014-04-01T15:04:00Z</dcterms:created>
  <dcterms:modified xsi:type="dcterms:W3CDTF">2014-09-24T11:55:00Z</dcterms:modified>
</cp:coreProperties>
</file>