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9A258" w14:textId="77777777" w:rsidR="005421DD" w:rsidRPr="002A091D" w:rsidRDefault="00CB46B7" w:rsidP="00586CCE">
      <w:pPr>
        <w:spacing w:line="480" w:lineRule="auto"/>
        <w:jc w:val="center"/>
        <w:rPr>
          <w:b/>
          <w:bCs/>
          <w:sz w:val="20"/>
          <w:szCs w:val="20"/>
        </w:rPr>
      </w:pPr>
      <w:r w:rsidRPr="002A091D">
        <w:rPr>
          <w:b/>
          <w:bCs/>
          <w:sz w:val="20"/>
          <w:szCs w:val="20"/>
        </w:rPr>
        <w:t xml:space="preserve">The </w:t>
      </w:r>
      <w:r w:rsidR="00586CCE" w:rsidRPr="002A091D">
        <w:rPr>
          <w:b/>
          <w:bCs/>
          <w:sz w:val="20"/>
          <w:szCs w:val="20"/>
        </w:rPr>
        <w:t>Implications</w:t>
      </w:r>
      <w:r w:rsidRPr="002A091D">
        <w:rPr>
          <w:b/>
          <w:bCs/>
          <w:sz w:val="20"/>
          <w:szCs w:val="20"/>
        </w:rPr>
        <w:t xml:space="preserve"> of</w:t>
      </w:r>
      <w:r w:rsidR="005421DD" w:rsidRPr="002A091D">
        <w:rPr>
          <w:b/>
          <w:bCs/>
          <w:sz w:val="20"/>
          <w:szCs w:val="20"/>
        </w:rPr>
        <w:t xml:space="preserve"> </w:t>
      </w:r>
      <w:r w:rsidR="00B14CB4" w:rsidRPr="002A091D">
        <w:rPr>
          <w:b/>
          <w:bCs/>
          <w:sz w:val="20"/>
          <w:szCs w:val="20"/>
        </w:rPr>
        <w:t>Liquidity</w:t>
      </w:r>
      <w:r w:rsidR="005421DD" w:rsidRPr="002A091D">
        <w:rPr>
          <w:b/>
          <w:bCs/>
          <w:sz w:val="20"/>
          <w:szCs w:val="20"/>
        </w:rPr>
        <w:t xml:space="preserve"> Ratios</w:t>
      </w:r>
      <w:r w:rsidR="00B14CB4" w:rsidRPr="002A091D">
        <w:rPr>
          <w:b/>
          <w:bCs/>
          <w:sz w:val="20"/>
          <w:szCs w:val="20"/>
        </w:rPr>
        <w:t>: Evidence from Pakistan Stock Exchange Limited</w:t>
      </w:r>
    </w:p>
    <w:p w14:paraId="0865CA43" w14:textId="77777777" w:rsidR="00DD4033" w:rsidRPr="002A091D" w:rsidRDefault="00DD4033" w:rsidP="00DD4033">
      <w:pPr>
        <w:spacing w:line="480" w:lineRule="auto"/>
        <w:jc w:val="both"/>
      </w:pPr>
    </w:p>
    <w:p w14:paraId="440D19F9" w14:textId="77777777" w:rsidR="00DD4033" w:rsidRPr="002A091D" w:rsidRDefault="00DD4033" w:rsidP="00DD4033">
      <w:pPr>
        <w:spacing w:line="480" w:lineRule="auto"/>
        <w:jc w:val="center"/>
        <w:rPr>
          <w:b/>
          <w:bCs/>
        </w:rPr>
      </w:pPr>
      <w:r w:rsidRPr="002A091D">
        <w:rPr>
          <w:b/>
          <w:bCs/>
        </w:rPr>
        <w:t>Abstract</w:t>
      </w:r>
    </w:p>
    <w:p w14:paraId="45AA30AF" w14:textId="77777777" w:rsidR="00DD4033" w:rsidRPr="002A091D" w:rsidRDefault="00DD4033" w:rsidP="00DD4033">
      <w:pPr>
        <w:spacing w:line="480" w:lineRule="auto"/>
        <w:jc w:val="both"/>
      </w:pPr>
    </w:p>
    <w:p w14:paraId="2D1A9180" w14:textId="77777777" w:rsidR="00DD4033" w:rsidRPr="002A091D" w:rsidRDefault="008329F6" w:rsidP="38AC33BA">
      <w:pPr>
        <w:spacing w:line="480" w:lineRule="auto"/>
        <w:jc w:val="both"/>
      </w:pPr>
      <w:r w:rsidRPr="002A091D">
        <w:t>In this paper w</w:t>
      </w:r>
      <w:r w:rsidR="002B74D9" w:rsidRPr="002A091D">
        <w:t xml:space="preserve">e test </w:t>
      </w:r>
      <w:r w:rsidR="00E8204F" w:rsidRPr="002A091D">
        <w:t>two</w:t>
      </w:r>
      <w:r w:rsidR="002B74D9" w:rsidRPr="002A091D">
        <w:t xml:space="preserve"> recently developed</w:t>
      </w:r>
      <w:r w:rsidR="00DD4033" w:rsidRPr="002A091D">
        <w:t xml:space="preserve"> liquidity measures</w:t>
      </w:r>
      <w:r w:rsidRPr="002A091D">
        <w:t xml:space="preserve"> the</w:t>
      </w:r>
      <w:r w:rsidR="00DD4033" w:rsidRPr="002A091D">
        <w:t xml:space="preserve"> </w:t>
      </w:r>
      <w:r w:rsidR="002B74D9" w:rsidRPr="002A091D">
        <w:t xml:space="preserve">Return-to-Turnover (hereafter RtoTR) </w:t>
      </w:r>
      <w:r w:rsidR="00CA2BCB" w:rsidRPr="002A091D">
        <w:t>propose</w:t>
      </w:r>
      <w:r w:rsidR="008525B5" w:rsidRPr="002A091D">
        <w:t>d</w:t>
      </w:r>
      <w:r w:rsidR="00CA2BCB" w:rsidRPr="002A091D">
        <w:t xml:space="preserve"> by Florackis et al</w:t>
      </w:r>
      <w:bookmarkStart w:id="0" w:name="_GoBack"/>
      <w:bookmarkEnd w:id="0"/>
      <w:r w:rsidR="00CA2BCB" w:rsidRPr="002A091D">
        <w:t xml:space="preserve">. (2011) </w:t>
      </w:r>
      <w:r w:rsidR="002B74D9" w:rsidRPr="002A091D">
        <w:t>and Return-to-Volume (hereafter RtoV)</w:t>
      </w:r>
      <w:r w:rsidR="00CA2BCB" w:rsidRPr="002A091D">
        <w:t xml:space="preserve"> recommended by Amihud (2002)</w:t>
      </w:r>
      <w:r w:rsidR="007F7ED6" w:rsidRPr="002A091D">
        <w:t>, for</w:t>
      </w:r>
      <w:r w:rsidRPr="002A091D">
        <w:t xml:space="preserve"> 386 companies listed on the Pakistan</w:t>
      </w:r>
      <w:r w:rsidR="008525B5" w:rsidRPr="002A091D">
        <w:t>i</w:t>
      </w:r>
      <w:r w:rsidRPr="002A091D">
        <w:t xml:space="preserve"> Stock Exchange</w:t>
      </w:r>
      <w:r w:rsidR="0039414D" w:rsidRPr="002A091D">
        <w:t xml:space="preserve"> (PSX)</w:t>
      </w:r>
      <w:r w:rsidR="008A356D" w:rsidRPr="002A091D">
        <w:t xml:space="preserve">. Our data </w:t>
      </w:r>
      <w:r w:rsidR="008525B5" w:rsidRPr="002A091D">
        <w:t>is obtained</w:t>
      </w:r>
      <w:r w:rsidR="008A356D" w:rsidRPr="002A091D">
        <w:t xml:space="preserve"> from </w:t>
      </w:r>
      <w:r w:rsidR="00CA2BCB" w:rsidRPr="002A091D">
        <w:t>January 2005 to December 2019</w:t>
      </w:r>
      <w:r w:rsidRPr="002A091D">
        <w:t>.</w:t>
      </w:r>
      <w:r w:rsidR="00BC5DA5" w:rsidRPr="002A091D">
        <w:t xml:space="preserve"> </w:t>
      </w:r>
      <w:r w:rsidR="41BA2986" w:rsidRPr="002A091D">
        <w:t>We firstly show the Amihud (2002) ratio has limited ability to distinguish illiquidity from size effects in asset pricing. Second, the Florackis et al. (2011) measure has distinct features to overcome the limitations of the Amihud (2002) ratio in the PSX.  Our</w:t>
      </w:r>
      <w:r w:rsidRPr="002A091D">
        <w:t xml:space="preserve"> results show that t</w:t>
      </w:r>
      <w:r w:rsidR="002D3CED" w:rsidRPr="002A091D">
        <w:t xml:space="preserve">he </w:t>
      </w:r>
      <w:r w:rsidRPr="002A091D">
        <w:t>Capital Asset Pricing Model</w:t>
      </w:r>
      <w:r w:rsidR="00EB29F2" w:rsidRPr="002A091D">
        <w:t xml:space="preserve"> cannot completely account for the significant Rto</w:t>
      </w:r>
      <w:r w:rsidR="2BC06DB4" w:rsidRPr="002A091D">
        <w:t>V</w:t>
      </w:r>
      <w:r w:rsidR="00EB29F2" w:rsidRPr="002A091D">
        <w:t xml:space="preserve"> premium. However, this weak evidence for the existence of this premium disappear</w:t>
      </w:r>
      <w:r w:rsidR="002D3CED" w:rsidRPr="002A091D">
        <w:t>s</w:t>
      </w:r>
      <w:r w:rsidR="00EB29F2" w:rsidRPr="002A091D">
        <w:t xml:space="preserve"> when Fama–French or Carhart alphas are considered as measures of risk-adjusted performance. </w:t>
      </w:r>
      <w:r w:rsidR="002D3CED" w:rsidRPr="002A091D">
        <w:t>This</w:t>
      </w:r>
      <w:r w:rsidR="00EB29F2" w:rsidRPr="002A091D">
        <w:t xml:space="preserve"> </w:t>
      </w:r>
      <w:r w:rsidRPr="002A091D">
        <w:t>suggests</w:t>
      </w:r>
      <w:r w:rsidR="00EB29F2" w:rsidRPr="002A091D">
        <w:t xml:space="preserve"> that </w:t>
      </w:r>
      <w:r w:rsidR="002D3CED" w:rsidRPr="002A091D">
        <w:t xml:space="preserve">the </w:t>
      </w:r>
      <w:r w:rsidRPr="002A091D">
        <w:t>RtoTR</w:t>
      </w:r>
      <w:r w:rsidR="00EB29F2" w:rsidRPr="002A091D">
        <w:t xml:space="preserve"> price impact ratio </w:t>
      </w:r>
      <w:r w:rsidR="002D3CED" w:rsidRPr="002A091D">
        <w:t xml:space="preserve">is more </w:t>
      </w:r>
      <w:r w:rsidR="00EB29F2" w:rsidRPr="002A091D">
        <w:t>effect</w:t>
      </w:r>
      <w:r w:rsidR="002D3CED" w:rsidRPr="002A091D">
        <w:t>ive</w:t>
      </w:r>
      <w:r w:rsidR="00EB29F2" w:rsidRPr="002A091D">
        <w:t xml:space="preserve"> </w:t>
      </w:r>
      <w:r w:rsidR="002D3CED" w:rsidRPr="002A091D">
        <w:t>in the</w:t>
      </w:r>
      <w:r w:rsidR="003F6664" w:rsidRPr="002A091D">
        <w:t xml:space="preserve"> PSX</w:t>
      </w:r>
      <w:r w:rsidR="00EB29F2" w:rsidRPr="002A091D">
        <w:t xml:space="preserve"> </w:t>
      </w:r>
      <w:r w:rsidR="002D3CED" w:rsidRPr="002A091D">
        <w:t>compared to the</w:t>
      </w:r>
      <w:r w:rsidR="00EB29F2" w:rsidRPr="002A091D">
        <w:t xml:space="preserve"> RtoV ratio</w:t>
      </w:r>
      <w:r w:rsidR="004D3A74" w:rsidRPr="002A091D">
        <w:t xml:space="preserve">. </w:t>
      </w:r>
      <w:r w:rsidR="58A6A489" w:rsidRPr="002A091D">
        <w:t>Our</w:t>
      </w:r>
      <w:r w:rsidR="00A93A11" w:rsidRPr="002A091D">
        <w:t xml:space="preserve"> findings</w:t>
      </w:r>
      <w:r w:rsidR="00DD4033" w:rsidRPr="002A091D">
        <w:t xml:space="preserve"> </w:t>
      </w:r>
      <w:r w:rsidRPr="002A091D">
        <w:t>suggest</w:t>
      </w:r>
      <w:r w:rsidR="00A93A11" w:rsidRPr="002A091D">
        <w:t xml:space="preserve"> </w:t>
      </w:r>
      <w:r w:rsidR="00DD4033" w:rsidRPr="002A091D">
        <w:t xml:space="preserve">that </w:t>
      </w:r>
      <w:r w:rsidR="00E8204F" w:rsidRPr="002A091D">
        <w:t>both</w:t>
      </w:r>
      <w:r w:rsidR="00DD4033" w:rsidRPr="002A091D">
        <w:t xml:space="preserve"> trading frequency and trading cost are significant factors in examining the returns. The RtoV ratio </w:t>
      </w:r>
      <w:r w:rsidR="00E8204F" w:rsidRPr="002A091D">
        <w:t>has</w:t>
      </w:r>
      <w:r w:rsidR="00DD4033" w:rsidRPr="002A091D">
        <w:t xml:space="preserve"> a negative correlation with the market </w:t>
      </w:r>
      <w:r w:rsidR="00BC5DA5" w:rsidRPr="002A091D">
        <w:t>capitalization, which</w:t>
      </w:r>
      <w:r w:rsidR="00DD4033" w:rsidRPr="002A091D">
        <w:t xml:space="preserve"> </w:t>
      </w:r>
      <w:r w:rsidR="00A93A11" w:rsidRPr="002A091D">
        <w:t xml:space="preserve">suggests </w:t>
      </w:r>
      <w:r w:rsidR="00DD4033" w:rsidRPr="002A091D">
        <w:t xml:space="preserve">that small stocks are </w:t>
      </w:r>
      <w:r w:rsidR="00A93A11" w:rsidRPr="002A091D">
        <w:t xml:space="preserve">inherently </w:t>
      </w:r>
      <w:r w:rsidR="00DD4033" w:rsidRPr="002A091D">
        <w:t>illiquid</w:t>
      </w:r>
      <w:r w:rsidR="00FF5373" w:rsidRPr="002A091D">
        <w:t>.</w:t>
      </w:r>
    </w:p>
    <w:p w14:paraId="6F4CB2DD" w14:textId="77777777" w:rsidR="00B04BF5" w:rsidRPr="002A091D" w:rsidRDefault="00B04BF5" w:rsidP="00DD4033">
      <w:pPr>
        <w:jc w:val="both"/>
        <w:rPr>
          <w:rFonts w:asciiTheme="majorBidi" w:hAnsiTheme="majorBidi" w:cstheme="majorBidi"/>
          <w:i/>
          <w:iCs/>
        </w:rPr>
      </w:pPr>
    </w:p>
    <w:p w14:paraId="6C76C08B" w14:textId="77777777" w:rsidR="00DD4033" w:rsidRPr="002A091D" w:rsidRDefault="0014172B" w:rsidP="00DD4033">
      <w:pPr>
        <w:jc w:val="both"/>
        <w:rPr>
          <w:rFonts w:asciiTheme="majorBidi" w:hAnsiTheme="majorBidi" w:cstheme="majorBidi"/>
        </w:rPr>
      </w:pPr>
      <w:r w:rsidRPr="002A091D">
        <w:rPr>
          <w:rFonts w:asciiTheme="majorBidi" w:hAnsiTheme="majorBidi" w:cstheme="majorBidi"/>
          <w:i/>
          <w:iCs/>
        </w:rPr>
        <w:t>Key words</w:t>
      </w:r>
      <w:r w:rsidRPr="002A091D">
        <w:rPr>
          <w:rFonts w:asciiTheme="majorBidi" w:hAnsiTheme="majorBidi" w:cstheme="majorBidi"/>
        </w:rPr>
        <w:t>: Asset pricing, Illiquidity, Price impact ratio</w:t>
      </w:r>
      <w:r w:rsidR="00BC5DA5" w:rsidRPr="002A091D">
        <w:rPr>
          <w:rFonts w:asciiTheme="majorBidi" w:hAnsiTheme="majorBidi" w:cstheme="majorBidi"/>
        </w:rPr>
        <w:t xml:space="preserve"> and</w:t>
      </w:r>
      <w:r w:rsidR="00C425F7" w:rsidRPr="002A091D">
        <w:rPr>
          <w:rFonts w:asciiTheme="majorBidi" w:hAnsiTheme="majorBidi" w:cstheme="majorBidi"/>
        </w:rPr>
        <w:t xml:space="preserve"> </w:t>
      </w:r>
      <w:r w:rsidR="00BC5DA5" w:rsidRPr="002A091D">
        <w:rPr>
          <w:rFonts w:asciiTheme="majorBidi" w:hAnsiTheme="majorBidi" w:cstheme="majorBidi"/>
        </w:rPr>
        <w:t>Emerging</w:t>
      </w:r>
      <w:r w:rsidR="00C425F7" w:rsidRPr="002A091D">
        <w:rPr>
          <w:rFonts w:asciiTheme="majorBidi" w:hAnsiTheme="majorBidi" w:cstheme="majorBidi"/>
        </w:rPr>
        <w:t xml:space="preserve"> markets</w:t>
      </w:r>
      <w:r w:rsidRPr="002A091D">
        <w:rPr>
          <w:rFonts w:asciiTheme="majorBidi" w:hAnsiTheme="majorBidi" w:cstheme="majorBidi"/>
        </w:rPr>
        <w:t xml:space="preserve">  </w:t>
      </w:r>
    </w:p>
    <w:p w14:paraId="22C582DE" w14:textId="77777777" w:rsidR="0087501A" w:rsidRPr="002A091D" w:rsidRDefault="0087501A" w:rsidP="00DD4033">
      <w:pPr>
        <w:jc w:val="both"/>
        <w:rPr>
          <w:rFonts w:asciiTheme="majorBidi" w:hAnsiTheme="majorBidi" w:cstheme="majorBidi"/>
        </w:rPr>
      </w:pPr>
    </w:p>
    <w:p w14:paraId="0E3A478F" w14:textId="77777777" w:rsidR="0087501A" w:rsidRPr="002A091D" w:rsidRDefault="0087501A" w:rsidP="00DD4033">
      <w:pPr>
        <w:jc w:val="both"/>
        <w:rPr>
          <w:rFonts w:asciiTheme="majorBidi" w:hAnsiTheme="majorBidi" w:cstheme="majorBidi"/>
          <w:lang w:val="pt-PT"/>
        </w:rPr>
      </w:pPr>
      <w:r w:rsidRPr="002A091D">
        <w:rPr>
          <w:rFonts w:asciiTheme="majorBidi" w:hAnsiTheme="majorBidi" w:cstheme="majorBidi"/>
          <w:lang w:val="pt-PT"/>
        </w:rPr>
        <w:t xml:space="preserve">JEL Classification: F65, G1, G32, N25, O16  </w:t>
      </w:r>
    </w:p>
    <w:p w14:paraId="6CD7E24F" w14:textId="77777777" w:rsidR="00F66A00" w:rsidRPr="002A091D" w:rsidRDefault="00F66A00" w:rsidP="00DD4033">
      <w:pPr>
        <w:jc w:val="both"/>
        <w:rPr>
          <w:rFonts w:asciiTheme="majorBidi" w:hAnsiTheme="majorBidi" w:cstheme="majorBidi"/>
          <w:lang w:val="pt-PT"/>
        </w:rPr>
      </w:pPr>
    </w:p>
    <w:p w14:paraId="3111D4BB" w14:textId="77777777" w:rsidR="00F66A00" w:rsidRPr="002A091D" w:rsidRDefault="00F66A00" w:rsidP="00DD4033">
      <w:pPr>
        <w:jc w:val="both"/>
        <w:rPr>
          <w:rFonts w:asciiTheme="majorBidi" w:hAnsiTheme="majorBidi" w:cstheme="majorBidi"/>
          <w:lang w:val="pt-PT"/>
        </w:rPr>
      </w:pPr>
    </w:p>
    <w:p w14:paraId="141AD04B" w14:textId="77777777" w:rsidR="00F66A00" w:rsidRPr="002A091D" w:rsidRDefault="00F66A00" w:rsidP="00DD4033">
      <w:pPr>
        <w:jc w:val="both"/>
        <w:rPr>
          <w:rFonts w:asciiTheme="majorBidi" w:hAnsiTheme="majorBidi" w:cstheme="majorBidi"/>
          <w:lang w:val="pt-PT"/>
        </w:rPr>
      </w:pPr>
    </w:p>
    <w:p w14:paraId="63B59639" w14:textId="77777777" w:rsidR="009A26C8" w:rsidRPr="002A091D" w:rsidRDefault="009A26C8" w:rsidP="00DD4033">
      <w:pPr>
        <w:jc w:val="both"/>
        <w:rPr>
          <w:rFonts w:asciiTheme="majorBidi" w:hAnsiTheme="majorBidi" w:cstheme="majorBidi"/>
          <w:lang w:val="pt-PT"/>
        </w:rPr>
      </w:pPr>
    </w:p>
    <w:p w14:paraId="485105C3" w14:textId="77777777" w:rsidR="009A26C8" w:rsidRPr="002A091D" w:rsidRDefault="009A26C8" w:rsidP="00DD4033">
      <w:pPr>
        <w:jc w:val="both"/>
        <w:rPr>
          <w:rFonts w:asciiTheme="majorBidi" w:hAnsiTheme="majorBidi" w:cstheme="majorBidi"/>
          <w:lang w:val="pt-PT"/>
        </w:rPr>
      </w:pPr>
    </w:p>
    <w:p w14:paraId="6756E9BF" w14:textId="77777777" w:rsidR="00BC5DA5" w:rsidRPr="002A091D" w:rsidRDefault="00BC5DA5" w:rsidP="00DD4033">
      <w:pPr>
        <w:jc w:val="both"/>
        <w:rPr>
          <w:rFonts w:asciiTheme="majorBidi" w:hAnsiTheme="majorBidi" w:cstheme="majorBidi"/>
          <w:lang w:val="pt-PT"/>
        </w:rPr>
      </w:pPr>
    </w:p>
    <w:p w14:paraId="0C523169" w14:textId="77777777" w:rsidR="00BC5DA5" w:rsidRPr="002A091D" w:rsidRDefault="00BC5DA5" w:rsidP="00DD4033">
      <w:pPr>
        <w:jc w:val="both"/>
        <w:rPr>
          <w:rFonts w:asciiTheme="majorBidi" w:hAnsiTheme="majorBidi" w:cstheme="majorBidi"/>
          <w:lang w:val="pt-PT"/>
        </w:rPr>
      </w:pPr>
    </w:p>
    <w:p w14:paraId="483E47A2" w14:textId="77777777" w:rsidR="009A26C8" w:rsidRPr="002A091D" w:rsidRDefault="009A26C8" w:rsidP="00DD4033">
      <w:pPr>
        <w:jc w:val="both"/>
        <w:rPr>
          <w:rFonts w:asciiTheme="majorBidi" w:hAnsiTheme="majorBidi" w:cstheme="majorBidi"/>
          <w:lang w:val="pt-PT"/>
        </w:rPr>
      </w:pPr>
    </w:p>
    <w:p w14:paraId="184EFE6D" w14:textId="77777777" w:rsidR="0062310A" w:rsidRPr="002A091D" w:rsidRDefault="0062310A" w:rsidP="00DD4033">
      <w:pPr>
        <w:jc w:val="both"/>
        <w:rPr>
          <w:rFonts w:asciiTheme="majorBidi" w:hAnsiTheme="majorBidi" w:cstheme="majorBidi"/>
          <w:lang w:val="pt-PT"/>
        </w:rPr>
      </w:pPr>
    </w:p>
    <w:p w14:paraId="298356A5" w14:textId="77777777" w:rsidR="0062310A" w:rsidRPr="002A091D" w:rsidRDefault="0062310A" w:rsidP="00DD4033">
      <w:pPr>
        <w:jc w:val="both"/>
        <w:rPr>
          <w:rFonts w:asciiTheme="majorBidi" w:hAnsiTheme="majorBidi" w:cstheme="majorBidi"/>
          <w:lang w:val="pt-PT"/>
        </w:rPr>
      </w:pPr>
    </w:p>
    <w:p w14:paraId="2E9FB083" w14:textId="77777777" w:rsidR="006F27A2" w:rsidRPr="002A091D" w:rsidRDefault="006F27A2" w:rsidP="00F82474">
      <w:pPr>
        <w:pStyle w:val="Heading1"/>
      </w:pPr>
      <w:r w:rsidRPr="002A091D">
        <w:t>Introduction</w:t>
      </w:r>
    </w:p>
    <w:p w14:paraId="3F4370C0" w14:textId="77777777" w:rsidR="006F27A2" w:rsidRPr="002A091D" w:rsidRDefault="006F27A2" w:rsidP="006F27A2">
      <w:pPr>
        <w:rPr>
          <w:rFonts w:asciiTheme="majorBidi" w:hAnsiTheme="majorBidi" w:cstheme="majorBidi"/>
          <w:b/>
          <w:bCs/>
        </w:rPr>
      </w:pPr>
    </w:p>
    <w:p w14:paraId="19494374" w14:textId="77777777" w:rsidR="00BD4536" w:rsidRPr="002A091D" w:rsidRDefault="00BD4536" w:rsidP="006112EA">
      <w:pPr>
        <w:spacing w:line="480" w:lineRule="auto"/>
        <w:jc w:val="both"/>
        <w:rPr>
          <w:lang w:eastAsia="en-GB"/>
        </w:rPr>
      </w:pPr>
      <w:r w:rsidRPr="002A091D">
        <w:t xml:space="preserve">Liquidity is commonly considered </w:t>
      </w:r>
      <w:r w:rsidR="00805AF2" w:rsidRPr="002A091D">
        <w:t>a</w:t>
      </w:r>
      <w:r w:rsidRPr="002A091D">
        <w:t xml:space="preserve"> </w:t>
      </w:r>
      <w:r w:rsidR="00E8204F" w:rsidRPr="002A091D">
        <w:t>fundamental</w:t>
      </w:r>
      <w:r w:rsidRPr="002A091D">
        <w:t xml:space="preserve"> characteristic of financial assets</w:t>
      </w:r>
      <w:r w:rsidR="002A35EC" w:rsidRPr="002A091D">
        <w:t>.</w:t>
      </w:r>
      <w:r w:rsidRPr="002A091D">
        <w:t xml:space="preserve">  </w:t>
      </w:r>
      <w:r w:rsidR="002A35EC" w:rsidRPr="002A091D">
        <w:t>I</w:t>
      </w:r>
      <w:r w:rsidR="00761DFF" w:rsidRPr="002A091D">
        <w:t xml:space="preserve">t </w:t>
      </w:r>
      <w:r w:rsidRPr="002A091D">
        <w:t>play</w:t>
      </w:r>
      <w:r w:rsidR="00761DFF" w:rsidRPr="002A091D">
        <w:t>s</w:t>
      </w:r>
      <w:r w:rsidRPr="002A091D">
        <w:t xml:space="preserve"> a significant role in the operations of financial markets. </w:t>
      </w:r>
      <w:r w:rsidR="008A356D" w:rsidRPr="002A091D">
        <w:t>The performance of stocks during the crisis can be better described by their historical liquidity betas (risk) than by their historical liquidity levels</w:t>
      </w:r>
      <w:r w:rsidR="008A356D" w:rsidRPr="002A091D">
        <w:rPr>
          <w:rFonts w:ascii="Arial" w:hAnsi="Arial" w:cs="Arial"/>
          <w:color w:val="333333"/>
          <w:sz w:val="26"/>
          <w:szCs w:val="26"/>
        </w:rPr>
        <w:t>. </w:t>
      </w:r>
      <w:r w:rsidR="002A35EC" w:rsidRPr="002A091D">
        <w:t xml:space="preserve">Liquidity refers to </w:t>
      </w:r>
      <w:r w:rsidRPr="002A091D">
        <w:t>the capability to buy and sell assets effortlessly, and this attribute allows buyer and sellers to trade within the financial markets</w:t>
      </w:r>
      <w:r w:rsidR="00E8204F" w:rsidRPr="002A091D">
        <w:t>,</w:t>
      </w:r>
      <w:r w:rsidRPr="002A091D">
        <w:t xml:space="preserve"> either by injecting money</w:t>
      </w:r>
      <w:r w:rsidR="00E8204F" w:rsidRPr="002A091D">
        <w:t>,</w:t>
      </w:r>
      <w:r w:rsidRPr="002A091D">
        <w:t xml:space="preserve"> or by </w:t>
      </w:r>
      <w:r w:rsidR="00E8204F" w:rsidRPr="002A091D">
        <w:t>closing</w:t>
      </w:r>
      <w:r w:rsidRPr="002A091D">
        <w:t xml:space="preserve"> their positions swiftly without exerting a large impact on </w:t>
      </w:r>
      <w:r w:rsidR="00E754E4" w:rsidRPr="002A091D">
        <w:t xml:space="preserve">stock </w:t>
      </w:r>
      <w:r w:rsidRPr="002A091D">
        <w:t xml:space="preserve">prices (O’Hara, 2004).  Liquidity allows investors to </w:t>
      </w:r>
      <w:r w:rsidR="00E8204F" w:rsidRPr="002A091D">
        <w:t>cope with</w:t>
      </w:r>
      <w:r w:rsidRPr="002A091D">
        <w:t xml:space="preserve"> unforeseen financial requirements without experiencing major losses. </w:t>
      </w:r>
      <w:r w:rsidRPr="002A091D">
        <w:rPr>
          <w:lang w:eastAsia="en-GB"/>
        </w:rPr>
        <w:t xml:space="preserve">It is also </w:t>
      </w:r>
      <w:r w:rsidR="00E754E4" w:rsidRPr="002A091D">
        <w:rPr>
          <w:lang w:eastAsia="en-GB"/>
        </w:rPr>
        <w:t xml:space="preserve">considered to be </w:t>
      </w:r>
      <w:r w:rsidR="00C96DCE" w:rsidRPr="002A091D">
        <w:rPr>
          <w:lang w:eastAsia="en-GB"/>
        </w:rPr>
        <w:t>one of the</w:t>
      </w:r>
      <w:r w:rsidR="00E754E4" w:rsidRPr="002A091D">
        <w:rPr>
          <w:lang w:eastAsia="en-GB"/>
        </w:rPr>
        <w:t xml:space="preserve"> important determinants of </w:t>
      </w:r>
      <w:r w:rsidRPr="002A091D">
        <w:rPr>
          <w:lang w:eastAsia="en-GB"/>
        </w:rPr>
        <w:t>a firm’s cost of capital</w:t>
      </w:r>
      <w:r w:rsidR="006112EA" w:rsidRPr="002A091D">
        <w:rPr>
          <w:lang w:eastAsia="en-GB"/>
        </w:rPr>
        <w:t xml:space="preserve">, subsequently affecting </w:t>
      </w:r>
      <w:r w:rsidRPr="002A091D">
        <w:rPr>
          <w:lang w:eastAsia="en-GB"/>
        </w:rPr>
        <w:t xml:space="preserve">investors’ portfolio decision making, because lower transaction costs </w:t>
      </w:r>
      <w:r w:rsidR="006112EA" w:rsidRPr="002A091D">
        <w:rPr>
          <w:lang w:eastAsia="en-GB"/>
        </w:rPr>
        <w:t>imply</w:t>
      </w:r>
      <w:r w:rsidRPr="002A091D">
        <w:rPr>
          <w:lang w:eastAsia="en-GB"/>
        </w:rPr>
        <w:t xml:space="preserve"> higher liquidity and vice versa.  </w:t>
      </w:r>
    </w:p>
    <w:p w14:paraId="2AAD7A7B" w14:textId="77777777" w:rsidR="007E26BA" w:rsidRPr="002A091D" w:rsidRDefault="007E26BA" w:rsidP="006112EA">
      <w:pPr>
        <w:spacing w:line="480" w:lineRule="auto"/>
        <w:jc w:val="both"/>
      </w:pPr>
    </w:p>
    <w:p w14:paraId="5C408325" w14:textId="77777777" w:rsidR="00BA6285" w:rsidRPr="002A091D" w:rsidRDefault="00486FEE" w:rsidP="00662A85">
      <w:pPr>
        <w:spacing w:line="480" w:lineRule="auto"/>
        <w:jc w:val="both"/>
      </w:pPr>
      <w:r w:rsidRPr="002A091D">
        <w:t xml:space="preserve">On the other </w:t>
      </w:r>
      <w:r w:rsidR="0064529B" w:rsidRPr="002A091D">
        <w:t>hand</w:t>
      </w:r>
      <w:r w:rsidRPr="002A091D">
        <w:t xml:space="preserve">, </w:t>
      </w:r>
      <w:r w:rsidR="007E26BA" w:rsidRPr="002A091D">
        <w:t>i</w:t>
      </w:r>
      <w:r w:rsidRPr="002A091D">
        <w:t>lliquid assets are difficult to trade</w:t>
      </w:r>
      <w:r w:rsidR="006112EA" w:rsidRPr="002A091D">
        <w:t>,</w:t>
      </w:r>
      <w:r w:rsidRPr="002A091D">
        <w:t xml:space="preserve"> </w:t>
      </w:r>
      <w:r w:rsidR="006112EA" w:rsidRPr="002A091D">
        <w:t>owing to</w:t>
      </w:r>
      <w:r w:rsidRPr="002A091D">
        <w:t xml:space="preserve"> the </w:t>
      </w:r>
      <w:r w:rsidR="00E8204F" w:rsidRPr="002A091D">
        <w:t>high</w:t>
      </w:r>
      <w:r w:rsidRPr="002A091D">
        <w:t xml:space="preserve"> cost of trading </w:t>
      </w:r>
      <w:r w:rsidR="00E52440" w:rsidRPr="002A091D">
        <w:t>associated with such securities</w:t>
      </w:r>
      <w:r w:rsidRPr="002A091D">
        <w:t xml:space="preserve">. </w:t>
      </w:r>
      <w:r w:rsidR="00E8204F" w:rsidRPr="002A091D">
        <w:t>Overall</w:t>
      </w:r>
      <w:r w:rsidR="00B82613" w:rsidRPr="002A091D">
        <w:t>, l</w:t>
      </w:r>
      <w:r w:rsidRPr="002A091D">
        <w:t xml:space="preserve">iquidity is a multidimensional </w:t>
      </w:r>
      <w:r w:rsidR="00805AF2" w:rsidRPr="002A091D">
        <w:t>concept, which</w:t>
      </w:r>
      <w:r w:rsidR="00B82613" w:rsidRPr="002A091D">
        <w:t xml:space="preserve"> captures</w:t>
      </w:r>
      <w:r w:rsidRPr="002A091D">
        <w:t xml:space="preserve"> the dynami</w:t>
      </w:r>
      <w:r w:rsidR="00644341" w:rsidRPr="002A091D">
        <w:t>cs of the market from its</w:t>
      </w:r>
      <w:r w:rsidRPr="002A091D">
        <w:t xml:space="preserve"> depth, immediacy and resiliency. </w:t>
      </w:r>
      <w:r w:rsidR="00793046" w:rsidRPr="002A091D">
        <w:t xml:space="preserve">Prior research shows that </w:t>
      </w:r>
      <w:r w:rsidR="007E26BA" w:rsidRPr="002A091D">
        <w:t>i</w:t>
      </w:r>
      <w:r w:rsidR="00595DF7" w:rsidRPr="002A091D">
        <w:t>lliquidity arises</w:t>
      </w:r>
      <w:r w:rsidR="007C5339" w:rsidRPr="002A091D">
        <w:t xml:space="preserve"> </w:t>
      </w:r>
      <w:r w:rsidRPr="002A091D">
        <w:t xml:space="preserve">from the </w:t>
      </w:r>
      <w:r w:rsidR="007C5339" w:rsidRPr="002A091D">
        <w:t xml:space="preserve">underlying </w:t>
      </w:r>
      <w:r w:rsidRPr="002A091D">
        <w:t xml:space="preserve">trading costs, asymmetric information, inventory </w:t>
      </w:r>
      <w:r w:rsidR="00805AF2" w:rsidRPr="002A091D">
        <w:t>risk</w:t>
      </w:r>
      <w:r w:rsidR="11D2222B" w:rsidRPr="002A091D">
        <w:t>,</w:t>
      </w:r>
      <w:r w:rsidRPr="002A091D">
        <w:t xml:space="preserve"> search frictions and ownership structure</w:t>
      </w:r>
      <w:r w:rsidR="00307A49" w:rsidRPr="002A091D">
        <w:t xml:space="preserve"> (Kyle 1985).</w:t>
      </w:r>
    </w:p>
    <w:p w14:paraId="31F400B4" w14:textId="77777777" w:rsidR="00662A85" w:rsidRPr="002A091D" w:rsidRDefault="00662A85" w:rsidP="00662A85">
      <w:pPr>
        <w:spacing w:line="480" w:lineRule="auto"/>
        <w:jc w:val="both"/>
      </w:pPr>
    </w:p>
    <w:p w14:paraId="78CBC032" w14:textId="77777777" w:rsidR="007E26BA" w:rsidRPr="002A091D" w:rsidRDefault="00A930B2" w:rsidP="00A930B2">
      <w:pPr>
        <w:pStyle w:val="CommentText"/>
        <w:spacing w:line="480" w:lineRule="auto"/>
        <w:jc w:val="both"/>
      </w:pPr>
      <w:r w:rsidRPr="002A091D">
        <w:rPr>
          <w:rFonts w:ascii="Times New Roman" w:hAnsi="Times New Roman" w:cs="Times New Roman"/>
          <w:sz w:val="24"/>
          <w:szCs w:val="24"/>
          <w:lang w:eastAsia="en-GB"/>
        </w:rPr>
        <w:t>To provide an illustration and the characteristics of liquidity, a complete view of liquidity measurement appears to be nearly indefinable (</w:t>
      </w:r>
      <w:r w:rsidRPr="002A091D">
        <w:rPr>
          <w:rFonts w:ascii="Times New Roman" w:hAnsi="Times New Roman" w:cs="Times New Roman"/>
          <w:sz w:val="24"/>
          <w:szCs w:val="24"/>
        </w:rPr>
        <w:t>Amihud, 2002; Pastor and Stambaugh, 2003; Chordia et al., 2009)</w:t>
      </w:r>
      <w:r w:rsidRPr="002A091D">
        <w:rPr>
          <w:rFonts w:ascii="Times New Roman" w:hAnsi="Times New Roman" w:cs="Times New Roman"/>
          <w:sz w:val="24"/>
          <w:szCs w:val="24"/>
          <w:lang w:eastAsia="en-GB"/>
        </w:rPr>
        <w:t xml:space="preserve">. Therefore, distinctive measures have been used as proxies for the liquidity of a market (for e.g. </w:t>
      </w:r>
      <w:r w:rsidRPr="002A091D">
        <w:rPr>
          <w:rFonts w:ascii="Times New Roman" w:hAnsi="Times New Roman" w:cs="Times New Roman"/>
          <w:sz w:val="24"/>
          <w:szCs w:val="24"/>
        </w:rPr>
        <w:t xml:space="preserve">trading costs, trading quantity, trading </w:t>
      </w:r>
      <w:r w:rsidRPr="002A091D">
        <w:rPr>
          <w:rFonts w:ascii="Times New Roman" w:hAnsi="Times New Roman" w:cs="Times New Roman"/>
          <w:sz w:val="24"/>
          <w:szCs w:val="24"/>
        </w:rPr>
        <w:lastRenderedPageBreak/>
        <w:t>speed and price impact). These measures includes the bid-ask spread (Amihud and Mendelson, 1986a), relative spread (Amihud and Mendelson, 1986b; Loderer and Roth, 2005), effective spread (Heflin and Shaw, 2000), amortized spread (Chalmers and Kadlec, 1998), Kyle’s lambda (Kyle, 1985; Brennan and Subrahmanyam, 1996), trading volume (Brennan et al., 1998), turnover rate (Datar et al., 1998; Chordia et al., 2001), number of zero-return days (Bekaert et al., 2007) and price sensitivity to order flow (Pastor and Stambaugh, 2003).</w:t>
      </w:r>
      <w:r w:rsidRPr="002A091D">
        <w:rPr>
          <w:rFonts w:ascii="Times New Roman" w:hAnsi="Times New Roman" w:cs="Times New Roman"/>
          <w:sz w:val="24"/>
          <w:szCs w:val="24"/>
          <w:lang w:eastAsia="en-GB"/>
        </w:rPr>
        <w:t xml:space="preserve"> </w:t>
      </w:r>
      <w:r w:rsidRPr="002A091D">
        <w:rPr>
          <w:rFonts w:ascii="Times New Roman" w:hAnsi="Times New Roman" w:cs="Times New Roman"/>
          <w:sz w:val="24"/>
          <w:szCs w:val="24"/>
        </w:rPr>
        <w:t xml:space="preserve">Essentially spreads capture news and uniqueness </w:t>
      </w:r>
      <w:r w:rsidR="6B4890C4" w:rsidRPr="002A091D">
        <w:rPr>
          <w:rFonts w:ascii="Times New Roman" w:hAnsi="Times New Roman" w:cs="Times New Roman"/>
          <w:sz w:val="24"/>
          <w:szCs w:val="24"/>
        </w:rPr>
        <w:t xml:space="preserve"> and </w:t>
      </w:r>
      <w:r w:rsidRPr="002A091D">
        <w:rPr>
          <w:rFonts w:ascii="Times New Roman" w:hAnsi="Times New Roman" w:cs="Times New Roman"/>
          <w:sz w:val="24"/>
          <w:szCs w:val="24"/>
        </w:rPr>
        <w:t>price impact ratio</w:t>
      </w:r>
      <w:r w:rsidR="00380269" w:rsidRPr="002A091D">
        <w:rPr>
          <w:rFonts w:ascii="Times New Roman" w:hAnsi="Times New Roman" w:cs="Times New Roman"/>
          <w:sz w:val="24"/>
          <w:szCs w:val="24"/>
        </w:rPr>
        <w:t>s</w:t>
      </w:r>
      <w:r w:rsidRPr="002A091D">
        <w:rPr>
          <w:rFonts w:ascii="Times New Roman" w:hAnsi="Times New Roman" w:cs="Times New Roman"/>
          <w:sz w:val="24"/>
          <w:szCs w:val="24"/>
        </w:rPr>
        <w:t xml:space="preserve"> capture long-term financial stability</w:t>
      </w:r>
      <w:r w:rsidR="00282F4A" w:rsidRPr="002A091D">
        <w:rPr>
          <w:rStyle w:val="FootnoteReference"/>
          <w:rFonts w:ascii="Times New Roman" w:hAnsi="Times New Roman" w:cs="Times New Roman"/>
          <w:sz w:val="24"/>
          <w:szCs w:val="24"/>
        </w:rPr>
        <w:footnoteReference w:id="1"/>
      </w:r>
      <w:r w:rsidRPr="002A091D">
        <w:rPr>
          <w:rFonts w:ascii="Times New Roman" w:hAnsi="Times New Roman" w:cs="Times New Roman"/>
          <w:sz w:val="24"/>
          <w:szCs w:val="24"/>
        </w:rPr>
        <w:t xml:space="preserve">. </w:t>
      </w:r>
    </w:p>
    <w:p w14:paraId="3B9930F4" w14:textId="77777777" w:rsidR="00386593" w:rsidRPr="002A091D" w:rsidRDefault="00466618" w:rsidP="00E0710B">
      <w:pPr>
        <w:autoSpaceDE w:val="0"/>
        <w:autoSpaceDN w:val="0"/>
        <w:adjustRightInd w:val="0"/>
        <w:spacing w:line="480" w:lineRule="auto"/>
        <w:jc w:val="both"/>
      </w:pPr>
      <w:r w:rsidRPr="002A091D">
        <w:t>T</w:t>
      </w:r>
      <w:r w:rsidR="00793046" w:rsidRPr="002A091D">
        <w:t xml:space="preserve">he </w:t>
      </w:r>
      <w:r w:rsidR="00386593" w:rsidRPr="002A091D">
        <w:t xml:space="preserve">liquidity proxies </w:t>
      </w:r>
      <w:r w:rsidR="00A930B2" w:rsidRPr="002A091D">
        <w:t xml:space="preserve">based on price impact ratios </w:t>
      </w:r>
      <w:r w:rsidR="00793046" w:rsidRPr="002A091D">
        <w:t xml:space="preserve">developed </w:t>
      </w:r>
      <w:r w:rsidR="00386593" w:rsidRPr="002A091D">
        <w:t>by Amihud (2002) and Florackis et al. (2011)</w:t>
      </w:r>
      <w:r w:rsidRPr="002A091D">
        <w:t xml:space="preserve"> are calculated using </w:t>
      </w:r>
      <w:r w:rsidR="002D3CED" w:rsidRPr="002A091D">
        <w:t xml:space="preserve">the </w:t>
      </w:r>
      <w:r w:rsidRPr="002A091D">
        <w:t xml:space="preserve">average monthly ratio of absolute returns to daily trading volume in currency value, (see e.g. Acharya and Pedersen 2005; Korajczyk and Sadka 2008; Goyenko and Ukhov 2009; Næs et al. 2011). To the best of our </w:t>
      </w:r>
      <w:r w:rsidR="00412FCD" w:rsidRPr="002A091D">
        <w:t>knowledge,</w:t>
      </w:r>
      <w:r w:rsidRPr="002A091D">
        <w:t xml:space="preserve"> the ratios </w:t>
      </w:r>
      <w:r w:rsidR="00E8204F" w:rsidRPr="002A091D">
        <w:t>have</w:t>
      </w:r>
      <w:r w:rsidR="00793046" w:rsidRPr="002A091D">
        <w:t xml:space="preserve"> not </w:t>
      </w:r>
      <w:r w:rsidR="00E8204F" w:rsidRPr="002A091D">
        <w:t xml:space="preserve">been </w:t>
      </w:r>
      <w:r w:rsidR="00793046" w:rsidRPr="002A091D">
        <w:t xml:space="preserve">empirically tested </w:t>
      </w:r>
      <w:r w:rsidR="005335FA" w:rsidRPr="002A091D">
        <w:t xml:space="preserve">on the </w:t>
      </w:r>
      <w:r w:rsidR="00793046" w:rsidRPr="002A091D">
        <w:t xml:space="preserve">South </w:t>
      </w:r>
      <w:r w:rsidR="00386593" w:rsidRPr="002A091D">
        <w:t xml:space="preserve">Asian markets </w:t>
      </w:r>
      <w:r w:rsidR="00793046" w:rsidRPr="002A091D">
        <w:t xml:space="preserve">with </w:t>
      </w:r>
      <w:r w:rsidR="00E8204F" w:rsidRPr="002A091D">
        <w:t xml:space="preserve">the </w:t>
      </w:r>
      <w:r w:rsidR="00793046" w:rsidRPr="002A091D">
        <w:t>exception</w:t>
      </w:r>
      <w:r w:rsidR="00386593" w:rsidRPr="002A091D">
        <w:t xml:space="preserve"> </w:t>
      </w:r>
      <w:r w:rsidR="00E8204F" w:rsidRPr="002A091D">
        <w:t>of</w:t>
      </w:r>
      <w:r w:rsidR="00386593" w:rsidRPr="002A091D">
        <w:t xml:space="preserve"> the Chinese </w:t>
      </w:r>
      <w:r w:rsidR="002A1FD1" w:rsidRPr="002A091D">
        <w:t>market</w:t>
      </w:r>
      <w:r w:rsidR="00546ADC" w:rsidRPr="002A091D">
        <w:t xml:space="preserve"> (for e.g. Tang and Wang 2011; </w:t>
      </w:r>
      <w:r w:rsidR="00814ABB" w:rsidRPr="002A091D">
        <w:t>Sun et al. 2009)</w:t>
      </w:r>
      <w:r w:rsidR="00386593" w:rsidRPr="002A091D">
        <w:t>.</w:t>
      </w:r>
      <w:r w:rsidRPr="002A091D">
        <w:t xml:space="preserve"> </w:t>
      </w:r>
      <w:r w:rsidR="005335FA" w:rsidRPr="002A091D">
        <w:t xml:space="preserve">Hence, it </w:t>
      </w:r>
      <w:r w:rsidRPr="002A091D">
        <w:t>is</w:t>
      </w:r>
      <w:r w:rsidR="005335FA" w:rsidRPr="002A091D">
        <w:t xml:space="preserve"> interesting to explore whether these ratios yield similar results in </w:t>
      </w:r>
      <w:r w:rsidRPr="002A091D">
        <w:t>the</w:t>
      </w:r>
      <w:r w:rsidR="005335FA" w:rsidRPr="002A091D">
        <w:t xml:space="preserve"> institutional environment </w:t>
      </w:r>
      <w:r w:rsidRPr="002A091D">
        <w:t xml:space="preserve">of an emerging </w:t>
      </w:r>
      <w:r w:rsidR="00EB29F2" w:rsidRPr="002A091D">
        <w:t>market</w:t>
      </w:r>
      <w:r w:rsidR="0040649C" w:rsidRPr="002A091D">
        <w:t>. In</w:t>
      </w:r>
      <w:r w:rsidR="6F239EB8" w:rsidRPr="002A091D">
        <w:t xml:space="preserve"> </w:t>
      </w:r>
      <w:r w:rsidR="00EF646F" w:rsidRPr="002A091D">
        <w:t>particular,</w:t>
      </w:r>
      <w:r w:rsidR="0040649C" w:rsidRPr="002A091D">
        <w:t xml:space="preserve"> we want to investigate the price im</w:t>
      </w:r>
      <w:r w:rsidR="00EF646F" w:rsidRPr="002A091D">
        <w:t xml:space="preserve">pact </w:t>
      </w:r>
      <w:r w:rsidR="3AF00F5E" w:rsidRPr="002A091D">
        <w:t>in</w:t>
      </w:r>
      <w:r w:rsidR="00EF646F" w:rsidRPr="002A091D">
        <w:t xml:space="preserve"> the</w:t>
      </w:r>
      <w:r w:rsidR="0040649C" w:rsidRPr="002A091D">
        <w:t xml:space="preserve"> Pakistan Stock Exchange (PS</w:t>
      </w:r>
      <w:r w:rsidR="003F6664" w:rsidRPr="002A091D">
        <w:t>X</w:t>
      </w:r>
      <w:r w:rsidR="0040649C" w:rsidRPr="002A091D">
        <w:t>).</w:t>
      </w:r>
      <w:r w:rsidR="00386593" w:rsidRPr="002A091D">
        <w:t xml:space="preserve"> </w:t>
      </w:r>
    </w:p>
    <w:p w14:paraId="7EF7E4F7" w14:textId="77777777" w:rsidR="00A34C7F" w:rsidRPr="002A091D" w:rsidRDefault="005811EC" w:rsidP="00A34C7F">
      <w:pPr>
        <w:spacing w:line="480" w:lineRule="auto"/>
        <w:jc w:val="both"/>
      </w:pPr>
      <w:r w:rsidRPr="002A091D">
        <w:t>The</w:t>
      </w:r>
      <w:r w:rsidR="00A34C7F" w:rsidRPr="002A091D">
        <w:t xml:space="preserve"> main contribution of this paper is the investigation of</w:t>
      </w:r>
      <w:r w:rsidR="00B04525" w:rsidRPr="002A091D">
        <w:t xml:space="preserve"> the</w:t>
      </w:r>
      <w:r w:rsidR="00A34C7F" w:rsidRPr="002A091D">
        <w:t xml:space="preserve"> two</w:t>
      </w:r>
      <w:r w:rsidR="00B04525" w:rsidRPr="002A091D">
        <w:t xml:space="preserve"> major</w:t>
      </w:r>
      <w:r w:rsidR="00A34C7F" w:rsidRPr="002A091D">
        <w:t xml:space="preserve"> price impact ratios</w:t>
      </w:r>
      <w:r w:rsidR="00B04525" w:rsidRPr="002A091D">
        <w:t xml:space="preserve"> in the financial literature</w:t>
      </w:r>
      <w:r w:rsidR="00A34C7F" w:rsidRPr="002A091D">
        <w:t xml:space="preserve"> i.e. Amihud (2002) and Florackis et al. (201</w:t>
      </w:r>
      <w:r w:rsidR="00AA04A5" w:rsidRPr="002A091D">
        <w:t>1) on the PSX</w:t>
      </w:r>
      <w:r w:rsidR="00A34C7F" w:rsidRPr="002A091D">
        <w:t xml:space="preserve">. </w:t>
      </w:r>
      <w:r w:rsidR="00B04525" w:rsidRPr="002A091D">
        <w:t>Our paper contributes to two</w:t>
      </w:r>
      <w:r w:rsidR="00A34C7F" w:rsidRPr="002A091D">
        <w:t xml:space="preserve"> novel factors. First, the trading volume of stock in monetary terms shows a positive connection with market value, suggesting that it is not comparable across stocks with different market values. Therefore, the Amihud</w:t>
      </w:r>
      <w:r w:rsidR="00B04525" w:rsidRPr="002A091D">
        <w:t xml:space="preserve"> (2002)</w:t>
      </w:r>
      <w:r w:rsidR="00A34C7F" w:rsidRPr="002A091D">
        <w:t xml:space="preserve"> ratio has limited ability to distinguish illiquidity from size effects in asset pricing. </w:t>
      </w:r>
      <w:r w:rsidR="00A34C7F" w:rsidRPr="002A091D">
        <w:lastRenderedPageBreak/>
        <w:t xml:space="preserve">Second, </w:t>
      </w:r>
      <w:r w:rsidR="00B04525" w:rsidRPr="002A091D">
        <w:t xml:space="preserve">the Florackis et al. (2011) </w:t>
      </w:r>
      <w:r w:rsidR="00A34C7F" w:rsidRPr="002A091D">
        <w:t>measure has distinct features to over</w:t>
      </w:r>
      <w:r w:rsidR="00B04525" w:rsidRPr="002A091D">
        <w:t>come the limitations of the Amihud (2002)</w:t>
      </w:r>
      <w:r w:rsidR="00A34C7F" w:rsidRPr="002A091D">
        <w:t xml:space="preserve"> ratio in</w:t>
      </w:r>
      <w:r w:rsidR="00B04525" w:rsidRPr="002A091D">
        <w:t xml:space="preserve"> the</w:t>
      </w:r>
      <w:r w:rsidR="00AA04A5" w:rsidRPr="002A091D">
        <w:t xml:space="preserve"> PSX</w:t>
      </w:r>
      <w:r w:rsidR="00A34C7F" w:rsidRPr="002A091D">
        <w:t xml:space="preserve">.    </w:t>
      </w:r>
    </w:p>
    <w:p w14:paraId="0717E041" w14:textId="77777777" w:rsidR="006D7069" w:rsidRPr="002A091D" w:rsidRDefault="006D7069" w:rsidP="00E0710B">
      <w:pPr>
        <w:autoSpaceDE w:val="0"/>
        <w:autoSpaceDN w:val="0"/>
        <w:adjustRightInd w:val="0"/>
        <w:spacing w:line="480" w:lineRule="auto"/>
        <w:jc w:val="both"/>
      </w:pPr>
    </w:p>
    <w:p w14:paraId="3A02CF4B" w14:textId="77777777" w:rsidR="008A45AF" w:rsidRPr="002A091D" w:rsidRDefault="0099408D" w:rsidP="004E14BD">
      <w:pPr>
        <w:spacing w:line="480" w:lineRule="auto"/>
        <w:jc w:val="both"/>
        <w:rPr>
          <w:bCs/>
          <w:lang w:eastAsia="en-GB"/>
        </w:rPr>
      </w:pPr>
      <w:r w:rsidRPr="002A091D">
        <w:rPr>
          <w:bCs/>
          <w:lang w:eastAsia="en-GB"/>
        </w:rPr>
        <w:t xml:space="preserve">Emerging economies are unique in terms of their legal systems, regulatory environment, </w:t>
      </w:r>
      <w:r w:rsidR="00595DF7" w:rsidRPr="002A091D">
        <w:rPr>
          <w:bCs/>
          <w:lang w:eastAsia="en-GB"/>
        </w:rPr>
        <w:t>and weaker</w:t>
      </w:r>
      <w:r w:rsidRPr="002A091D">
        <w:rPr>
          <w:bCs/>
          <w:lang w:eastAsia="en-GB"/>
        </w:rPr>
        <w:t xml:space="preserve"> investor protection with relatively underdeveloped capital markets</w:t>
      </w:r>
      <w:r w:rsidR="00155F17" w:rsidRPr="002A091D">
        <w:rPr>
          <w:bCs/>
          <w:lang w:eastAsia="en-GB"/>
        </w:rPr>
        <w:t xml:space="preserve"> (Khan et al. 2017; Shah et al. 2017</w:t>
      </w:r>
      <w:r w:rsidR="00BF42CB" w:rsidRPr="002A091D">
        <w:rPr>
          <w:bCs/>
          <w:lang w:eastAsia="en-GB"/>
        </w:rPr>
        <w:t xml:space="preserve"> and Khan et al. 2017</w:t>
      </w:r>
      <w:r w:rsidR="00155F17" w:rsidRPr="002A091D">
        <w:rPr>
          <w:bCs/>
          <w:lang w:eastAsia="en-GB"/>
        </w:rPr>
        <w:t>)</w:t>
      </w:r>
      <w:r w:rsidRPr="002A091D">
        <w:rPr>
          <w:bCs/>
          <w:lang w:eastAsia="en-GB"/>
        </w:rPr>
        <w:t xml:space="preserve">. </w:t>
      </w:r>
      <w:r w:rsidR="004C6BFD" w:rsidRPr="002A091D">
        <w:rPr>
          <w:bCs/>
          <w:lang w:eastAsia="en-GB"/>
        </w:rPr>
        <w:t xml:space="preserve">In terms of the </w:t>
      </w:r>
      <w:r w:rsidR="0040649C" w:rsidRPr="002A091D">
        <w:rPr>
          <w:bCs/>
          <w:lang w:eastAsia="en-GB"/>
        </w:rPr>
        <w:t>significance of the PSX</w:t>
      </w:r>
      <w:r w:rsidR="004C6BFD" w:rsidRPr="002A091D">
        <w:rPr>
          <w:bCs/>
          <w:lang w:eastAsia="en-GB"/>
        </w:rPr>
        <w:t xml:space="preserve">, a recent survey by </w:t>
      </w:r>
      <w:r w:rsidR="00A30B67" w:rsidRPr="002A091D">
        <w:rPr>
          <w:bCs/>
          <w:lang w:eastAsia="en-GB"/>
        </w:rPr>
        <w:t>B</w:t>
      </w:r>
      <w:r w:rsidR="00E03D7C" w:rsidRPr="002A091D">
        <w:rPr>
          <w:bCs/>
          <w:lang w:eastAsia="en-GB"/>
        </w:rPr>
        <w:t>loomberg (201</w:t>
      </w:r>
      <w:r w:rsidR="003B6B49" w:rsidRPr="002A091D">
        <w:rPr>
          <w:bCs/>
          <w:lang w:eastAsia="en-GB"/>
        </w:rPr>
        <w:t>7</w:t>
      </w:r>
      <w:r w:rsidR="00F439F8" w:rsidRPr="002A091D">
        <w:rPr>
          <w:bCs/>
          <w:lang w:eastAsia="en-GB"/>
        </w:rPr>
        <w:t xml:space="preserve">) </w:t>
      </w:r>
      <w:r w:rsidR="003F4DEA" w:rsidRPr="002A091D">
        <w:rPr>
          <w:bCs/>
          <w:lang w:eastAsia="en-GB"/>
        </w:rPr>
        <w:t>rank</w:t>
      </w:r>
      <w:r w:rsidR="004E14BD" w:rsidRPr="002A091D">
        <w:rPr>
          <w:bCs/>
          <w:lang w:eastAsia="en-GB"/>
        </w:rPr>
        <w:t>ed</w:t>
      </w:r>
      <w:r w:rsidR="004C6BFD" w:rsidRPr="002A091D">
        <w:rPr>
          <w:bCs/>
          <w:lang w:eastAsia="en-GB"/>
        </w:rPr>
        <w:t xml:space="preserve"> </w:t>
      </w:r>
      <w:r w:rsidR="00E03D7C" w:rsidRPr="002A091D">
        <w:rPr>
          <w:bCs/>
          <w:lang w:eastAsia="en-GB"/>
        </w:rPr>
        <w:t>th</w:t>
      </w:r>
      <w:r w:rsidR="003F4DEA" w:rsidRPr="002A091D">
        <w:rPr>
          <w:bCs/>
          <w:lang w:eastAsia="en-GB"/>
        </w:rPr>
        <w:t>e</w:t>
      </w:r>
      <w:r w:rsidR="00E03D7C" w:rsidRPr="002A091D">
        <w:rPr>
          <w:bCs/>
          <w:lang w:eastAsia="en-GB"/>
        </w:rPr>
        <w:t xml:space="preserve"> </w:t>
      </w:r>
      <w:r w:rsidR="003F4DEA" w:rsidRPr="002A091D">
        <w:rPr>
          <w:bCs/>
          <w:lang w:eastAsia="en-GB"/>
        </w:rPr>
        <w:t>PSX</w:t>
      </w:r>
      <w:r w:rsidR="002926A0" w:rsidRPr="002A091D">
        <w:rPr>
          <w:rStyle w:val="FootnoteReference"/>
          <w:bCs/>
          <w:lang w:eastAsia="en-GB"/>
        </w:rPr>
        <w:footnoteReference w:id="2"/>
      </w:r>
      <w:r w:rsidR="003F4DEA" w:rsidRPr="002A091D">
        <w:rPr>
          <w:bCs/>
          <w:lang w:eastAsia="en-GB"/>
        </w:rPr>
        <w:t xml:space="preserve"> </w:t>
      </w:r>
      <w:r w:rsidR="000B73CE" w:rsidRPr="002A091D">
        <w:rPr>
          <w:bCs/>
          <w:lang w:eastAsia="en-GB"/>
        </w:rPr>
        <w:t xml:space="preserve">in </w:t>
      </w:r>
      <w:r w:rsidR="003F4DEA" w:rsidRPr="002A091D">
        <w:rPr>
          <w:bCs/>
          <w:lang w:eastAsia="en-GB"/>
        </w:rPr>
        <w:t xml:space="preserve">the </w:t>
      </w:r>
      <w:r w:rsidR="00E03D7C" w:rsidRPr="002A091D">
        <w:rPr>
          <w:bCs/>
          <w:lang w:eastAsia="en-GB"/>
        </w:rPr>
        <w:t xml:space="preserve">top </w:t>
      </w:r>
      <w:r w:rsidR="003A2B87" w:rsidRPr="002A091D">
        <w:rPr>
          <w:bCs/>
          <w:lang w:eastAsia="en-GB"/>
        </w:rPr>
        <w:t xml:space="preserve">ten </w:t>
      </w:r>
      <w:r w:rsidR="00E03D7C" w:rsidRPr="002A091D">
        <w:rPr>
          <w:bCs/>
          <w:lang w:eastAsia="en-GB"/>
        </w:rPr>
        <w:t xml:space="preserve">stock markets </w:t>
      </w:r>
      <w:r w:rsidR="00E1752E" w:rsidRPr="002A091D">
        <w:rPr>
          <w:bCs/>
          <w:lang w:eastAsia="en-GB"/>
        </w:rPr>
        <w:t>(</w:t>
      </w:r>
      <w:r w:rsidR="00E03D7C" w:rsidRPr="002A091D">
        <w:rPr>
          <w:bCs/>
          <w:lang w:eastAsia="en-GB"/>
        </w:rPr>
        <w:t>by U.S dollar returns</w:t>
      </w:r>
      <w:r w:rsidR="00E1752E" w:rsidRPr="002A091D">
        <w:rPr>
          <w:bCs/>
          <w:lang w:eastAsia="en-GB"/>
        </w:rPr>
        <w:t>)</w:t>
      </w:r>
      <w:r w:rsidR="00E03D7C" w:rsidRPr="002A091D">
        <w:rPr>
          <w:bCs/>
          <w:lang w:eastAsia="en-GB"/>
        </w:rPr>
        <w:t xml:space="preserve"> in </w:t>
      </w:r>
      <w:r w:rsidR="000B73CE" w:rsidRPr="002A091D">
        <w:rPr>
          <w:bCs/>
          <w:lang w:eastAsia="en-GB"/>
        </w:rPr>
        <w:t xml:space="preserve">the </w:t>
      </w:r>
      <w:r w:rsidR="00E03D7C" w:rsidRPr="002A091D">
        <w:rPr>
          <w:bCs/>
          <w:lang w:eastAsia="en-GB"/>
        </w:rPr>
        <w:t xml:space="preserve">year 2016 </w:t>
      </w:r>
      <w:r w:rsidR="003F4DEA" w:rsidRPr="002A091D">
        <w:rPr>
          <w:bCs/>
          <w:lang w:eastAsia="en-GB"/>
        </w:rPr>
        <w:t>in all</w:t>
      </w:r>
      <w:r w:rsidR="00E03D7C" w:rsidRPr="002A091D">
        <w:rPr>
          <w:bCs/>
          <w:lang w:eastAsia="en-GB"/>
        </w:rPr>
        <w:t xml:space="preserve"> markets</w:t>
      </w:r>
      <w:r w:rsidR="00D10D24" w:rsidRPr="002A091D">
        <w:rPr>
          <w:bCs/>
          <w:lang w:eastAsia="en-GB"/>
        </w:rPr>
        <w:t xml:space="preserve"> (refer </w:t>
      </w:r>
      <w:r w:rsidR="004E14BD" w:rsidRPr="002A091D">
        <w:rPr>
          <w:bCs/>
          <w:lang w:eastAsia="en-GB"/>
        </w:rPr>
        <w:t xml:space="preserve">to </w:t>
      </w:r>
      <w:r w:rsidR="00D10D24" w:rsidRPr="002A091D">
        <w:rPr>
          <w:bCs/>
          <w:lang w:eastAsia="en-GB"/>
        </w:rPr>
        <w:t>Table 1)</w:t>
      </w:r>
      <w:r w:rsidR="004E14BD" w:rsidRPr="002A091D">
        <w:rPr>
          <w:bCs/>
          <w:lang w:eastAsia="en-GB"/>
        </w:rPr>
        <w:t>.</w:t>
      </w:r>
      <w:r w:rsidR="00E03D7C" w:rsidRPr="002A091D">
        <w:rPr>
          <w:bCs/>
          <w:lang w:eastAsia="en-GB"/>
        </w:rPr>
        <w:t xml:space="preserve"> </w:t>
      </w:r>
      <w:r w:rsidR="004E14BD" w:rsidRPr="002A091D">
        <w:rPr>
          <w:bCs/>
          <w:lang w:eastAsia="en-GB"/>
        </w:rPr>
        <w:t>In particular,</w:t>
      </w:r>
      <w:r w:rsidR="00E03D7C" w:rsidRPr="002A091D">
        <w:rPr>
          <w:bCs/>
          <w:lang w:eastAsia="en-GB"/>
        </w:rPr>
        <w:t xml:space="preserve"> after </w:t>
      </w:r>
      <w:r w:rsidR="004E14BD" w:rsidRPr="002A091D">
        <w:rPr>
          <w:bCs/>
          <w:lang w:eastAsia="en-GB"/>
        </w:rPr>
        <w:t xml:space="preserve">the recent </w:t>
      </w:r>
      <w:r w:rsidR="0080345B" w:rsidRPr="002A091D">
        <w:rPr>
          <w:bCs/>
          <w:lang w:eastAsia="en-GB"/>
        </w:rPr>
        <w:t>currency swings</w:t>
      </w:r>
      <w:r w:rsidR="00595DF7" w:rsidRPr="002A091D">
        <w:rPr>
          <w:bCs/>
          <w:lang w:eastAsia="en-GB"/>
        </w:rPr>
        <w:t>, the</w:t>
      </w:r>
      <w:r w:rsidR="00F674DB" w:rsidRPr="002A091D">
        <w:rPr>
          <w:bCs/>
          <w:lang w:eastAsia="en-GB"/>
        </w:rPr>
        <w:t xml:space="preserve"> </w:t>
      </w:r>
      <w:r w:rsidR="003F6664" w:rsidRPr="002A091D">
        <w:rPr>
          <w:bCs/>
          <w:lang w:eastAsia="en-GB"/>
        </w:rPr>
        <w:t>PSX</w:t>
      </w:r>
      <w:r w:rsidR="00A30B67" w:rsidRPr="002A091D">
        <w:rPr>
          <w:bCs/>
          <w:lang w:eastAsia="en-GB"/>
        </w:rPr>
        <w:t xml:space="preserve"> </w:t>
      </w:r>
      <w:r w:rsidR="00AA04A5" w:rsidRPr="002A091D">
        <w:rPr>
          <w:bCs/>
          <w:lang w:eastAsia="en-GB"/>
        </w:rPr>
        <w:t>lies in</w:t>
      </w:r>
      <w:r w:rsidR="004E14BD" w:rsidRPr="002A091D">
        <w:rPr>
          <w:bCs/>
          <w:lang w:eastAsia="en-GB"/>
        </w:rPr>
        <w:t xml:space="preserve"> </w:t>
      </w:r>
      <w:r w:rsidR="00A30B67" w:rsidRPr="002A091D">
        <w:rPr>
          <w:bCs/>
          <w:lang w:eastAsia="en-GB"/>
        </w:rPr>
        <w:t xml:space="preserve">fifth </w:t>
      </w:r>
      <w:r w:rsidR="004E14BD" w:rsidRPr="002A091D">
        <w:rPr>
          <w:bCs/>
          <w:lang w:eastAsia="en-GB"/>
        </w:rPr>
        <w:t xml:space="preserve">position </w:t>
      </w:r>
      <w:r w:rsidR="0040649C" w:rsidRPr="002A091D">
        <w:rPr>
          <w:bCs/>
          <w:lang w:eastAsia="en-GB"/>
        </w:rPr>
        <w:t>with respect to</w:t>
      </w:r>
      <w:r w:rsidR="00A30B67" w:rsidRPr="002A091D">
        <w:rPr>
          <w:bCs/>
          <w:lang w:eastAsia="en-GB"/>
        </w:rPr>
        <w:t xml:space="preserve"> </w:t>
      </w:r>
      <w:r w:rsidR="00EF2359" w:rsidRPr="002A091D">
        <w:rPr>
          <w:bCs/>
          <w:lang w:eastAsia="en-GB"/>
        </w:rPr>
        <w:t>that ranking</w:t>
      </w:r>
      <w:r w:rsidR="0080345B" w:rsidRPr="002A091D">
        <w:rPr>
          <w:bCs/>
          <w:lang w:eastAsia="en-GB"/>
        </w:rPr>
        <w:t xml:space="preserve">. </w:t>
      </w:r>
      <w:r w:rsidR="00E03D7C" w:rsidRPr="002A091D">
        <w:rPr>
          <w:bCs/>
          <w:lang w:eastAsia="en-GB"/>
        </w:rPr>
        <w:t xml:space="preserve">  </w:t>
      </w:r>
    </w:p>
    <w:p w14:paraId="18D73422" w14:textId="77777777" w:rsidR="0040649C" w:rsidRPr="002A091D" w:rsidRDefault="0040649C" w:rsidP="004E14BD">
      <w:pPr>
        <w:spacing w:line="480" w:lineRule="auto"/>
        <w:jc w:val="both"/>
        <w:rPr>
          <w:bCs/>
          <w:lang w:eastAsia="en-GB"/>
        </w:rPr>
      </w:pPr>
    </w:p>
    <w:p w14:paraId="12F7C58F" w14:textId="77777777" w:rsidR="00875606" w:rsidRPr="002A091D" w:rsidRDefault="00875606" w:rsidP="00E13303">
      <w:pPr>
        <w:spacing w:line="480" w:lineRule="auto"/>
        <w:jc w:val="both"/>
      </w:pPr>
      <w:r w:rsidRPr="002A091D">
        <w:t>The remin</w:t>
      </w:r>
      <w:r w:rsidR="0040649C" w:rsidRPr="002A091D">
        <w:t xml:space="preserve">der of the paper is </w:t>
      </w:r>
      <w:r w:rsidR="00412FCD" w:rsidRPr="002A091D">
        <w:t>organized</w:t>
      </w:r>
      <w:r w:rsidR="0040649C" w:rsidRPr="002A091D">
        <w:t xml:space="preserve"> in the following way</w:t>
      </w:r>
      <w:r w:rsidRPr="002A091D">
        <w:t xml:space="preserve">. Section 2 </w:t>
      </w:r>
      <w:r w:rsidR="0040649C" w:rsidRPr="002A091D">
        <w:t>provides justification for</w:t>
      </w:r>
      <w:r w:rsidR="00E13303" w:rsidRPr="002A091D">
        <w:t xml:space="preserve"> </w:t>
      </w:r>
      <w:r w:rsidR="005F11AA" w:rsidRPr="002A091D">
        <w:t xml:space="preserve">the </w:t>
      </w:r>
      <w:r w:rsidR="00E13303" w:rsidRPr="002A091D">
        <w:t xml:space="preserve">use </w:t>
      </w:r>
      <w:r w:rsidR="005F11AA" w:rsidRPr="002A091D">
        <w:t xml:space="preserve">of </w:t>
      </w:r>
      <w:r w:rsidR="00540694" w:rsidRPr="002A091D">
        <w:t xml:space="preserve">the </w:t>
      </w:r>
      <w:r w:rsidR="00E13303" w:rsidRPr="002A091D">
        <w:t>RtoV</w:t>
      </w:r>
      <w:r w:rsidRPr="002A091D">
        <w:t xml:space="preserve"> ratio </w:t>
      </w:r>
      <w:r w:rsidR="00C1051D" w:rsidRPr="002A091D">
        <w:t xml:space="preserve">developed by </w:t>
      </w:r>
      <w:r w:rsidRPr="002A091D">
        <w:t>Amihud (2002)</w:t>
      </w:r>
      <w:r w:rsidR="00B7541D" w:rsidRPr="002A091D">
        <w:t xml:space="preserve">, </w:t>
      </w:r>
      <w:r w:rsidRPr="002A091D">
        <w:t xml:space="preserve">and </w:t>
      </w:r>
      <w:r w:rsidR="00E13303" w:rsidRPr="002A091D">
        <w:t xml:space="preserve">the RtoTR ratio </w:t>
      </w:r>
      <w:r w:rsidR="002D3CED" w:rsidRPr="002A091D">
        <w:t>of</w:t>
      </w:r>
      <w:r w:rsidR="00E13303" w:rsidRPr="002A091D">
        <w:t xml:space="preserve"> </w:t>
      </w:r>
      <w:r w:rsidRPr="002A091D">
        <w:t>Flora</w:t>
      </w:r>
      <w:r w:rsidR="00B7541D" w:rsidRPr="002A091D">
        <w:t>ckis et al. (2011)</w:t>
      </w:r>
      <w:r w:rsidR="00E13303" w:rsidRPr="002A091D">
        <w:t xml:space="preserve"> in an emerging economy</w:t>
      </w:r>
      <w:r w:rsidR="00B7541D" w:rsidRPr="002A091D">
        <w:t xml:space="preserve">. Section 3 </w:t>
      </w:r>
      <w:r w:rsidR="00E13303" w:rsidRPr="002A091D">
        <w:t xml:space="preserve">discusses </w:t>
      </w:r>
      <w:r w:rsidR="00540694" w:rsidRPr="002A091D">
        <w:t xml:space="preserve">the </w:t>
      </w:r>
      <w:r w:rsidR="00E13303" w:rsidRPr="002A091D">
        <w:t>empirical</w:t>
      </w:r>
      <w:r w:rsidR="00B7541D" w:rsidRPr="002A091D">
        <w:t xml:space="preserve"> literature </w:t>
      </w:r>
      <w:r w:rsidR="00E13303" w:rsidRPr="002A091D">
        <w:t>on</w:t>
      </w:r>
      <w:r w:rsidR="00B7541D" w:rsidRPr="002A091D">
        <w:t xml:space="preserve"> </w:t>
      </w:r>
      <w:r w:rsidR="004C1F01" w:rsidRPr="002A091D">
        <w:t xml:space="preserve">the relationship between liquidity and </w:t>
      </w:r>
      <w:r w:rsidR="00E13303" w:rsidRPr="002A091D">
        <w:t>stock returns</w:t>
      </w:r>
      <w:r w:rsidR="00B7541D" w:rsidRPr="002A091D">
        <w:t xml:space="preserve">. Section 4 presents the data and descriptive analysis. Section 5 describe the asset pricing models and finally section 6 </w:t>
      </w:r>
      <w:r w:rsidR="00AA04A5" w:rsidRPr="002A091D">
        <w:t>concludes</w:t>
      </w:r>
      <w:r w:rsidR="00B7541D" w:rsidRPr="002A091D">
        <w:t xml:space="preserve">.  </w:t>
      </w:r>
    </w:p>
    <w:p w14:paraId="4662C42F" w14:textId="77777777" w:rsidR="00875606" w:rsidRPr="002A091D" w:rsidRDefault="00875606" w:rsidP="0093141B">
      <w:pPr>
        <w:spacing w:line="480" w:lineRule="auto"/>
        <w:jc w:val="both"/>
        <w:rPr>
          <w:bCs/>
          <w:lang w:eastAsia="en-GB"/>
        </w:rPr>
      </w:pPr>
    </w:p>
    <w:p w14:paraId="560D129E" w14:textId="77777777" w:rsidR="00875606" w:rsidRPr="002A091D" w:rsidRDefault="00875606" w:rsidP="0093141B">
      <w:pPr>
        <w:spacing w:line="480" w:lineRule="auto"/>
        <w:jc w:val="both"/>
        <w:rPr>
          <w:bCs/>
          <w:lang w:eastAsia="en-GB"/>
        </w:rPr>
      </w:pPr>
    </w:p>
    <w:p w14:paraId="4E90258B" w14:textId="77777777" w:rsidR="00C3707A" w:rsidRPr="002A091D" w:rsidRDefault="0040649C" w:rsidP="00C3707A">
      <w:pPr>
        <w:spacing w:line="480" w:lineRule="auto"/>
        <w:jc w:val="center"/>
        <w:rPr>
          <w:b/>
          <w:bCs/>
          <w:lang w:eastAsia="en-GB"/>
        </w:rPr>
        <w:sectPr w:rsidR="00C3707A" w:rsidRPr="002A091D" w:rsidSect="00905E5C">
          <w:footerReference w:type="default" r:id="rId8"/>
          <w:pgSz w:w="11906" w:h="16838" w:code="9"/>
          <w:pgMar w:top="1440" w:right="1800" w:bottom="1440" w:left="1800" w:header="720" w:footer="720" w:gutter="0"/>
          <w:cols w:space="720"/>
          <w:docGrid w:linePitch="272"/>
        </w:sectPr>
      </w:pPr>
      <w:r w:rsidRPr="002A091D">
        <w:rPr>
          <w:b/>
          <w:bCs/>
          <w:lang w:eastAsia="en-GB"/>
        </w:rPr>
        <w:t>[INSERT TABLE 1 HERE</w:t>
      </w:r>
      <w:r w:rsidR="00C3707A" w:rsidRPr="002A091D">
        <w:rPr>
          <w:b/>
          <w:bCs/>
          <w:lang w:eastAsia="en-GB"/>
        </w:rPr>
        <w:t>]</w:t>
      </w:r>
    </w:p>
    <w:p w14:paraId="0AFD1FCA" w14:textId="77777777" w:rsidR="00486FEE" w:rsidRPr="002A091D" w:rsidRDefault="002B27DC" w:rsidP="00F82474">
      <w:pPr>
        <w:pStyle w:val="Heading1"/>
      </w:pPr>
      <w:r w:rsidRPr="002A091D">
        <w:lastRenderedPageBreak/>
        <w:t xml:space="preserve"> P</w:t>
      </w:r>
      <w:r w:rsidR="00C640E5" w:rsidRPr="002A091D">
        <w:t>rice impact ratio</w:t>
      </w:r>
      <w:r w:rsidR="00C77D44" w:rsidRPr="002A091D">
        <w:t>s</w:t>
      </w:r>
    </w:p>
    <w:p w14:paraId="2BB93724" w14:textId="77777777" w:rsidR="002B27DC" w:rsidRPr="002A091D" w:rsidRDefault="002B27DC" w:rsidP="002B27DC"/>
    <w:p w14:paraId="7B8520BD" w14:textId="77777777" w:rsidR="00C640E5" w:rsidRPr="002A091D" w:rsidRDefault="009C1342" w:rsidP="00F82474">
      <w:pPr>
        <w:pStyle w:val="Heading2"/>
      </w:pPr>
      <w:bookmarkStart w:id="1" w:name="_Toc489702869"/>
      <w:bookmarkStart w:id="2" w:name="_Toc489732452"/>
      <w:r w:rsidRPr="002A091D">
        <w:t xml:space="preserve">Importance of </w:t>
      </w:r>
      <w:r w:rsidR="00C640E5" w:rsidRPr="002A091D">
        <w:t>Amihud’s (2002) Price Impact Ratio (RtoV)</w:t>
      </w:r>
      <w:bookmarkEnd w:id="1"/>
      <w:bookmarkEnd w:id="2"/>
      <w:r w:rsidR="00C640E5" w:rsidRPr="002A091D">
        <w:t xml:space="preserve"> </w:t>
      </w:r>
    </w:p>
    <w:p w14:paraId="3D45E97F" w14:textId="77777777" w:rsidR="002B27DC" w:rsidRPr="002A091D" w:rsidRDefault="002B27DC" w:rsidP="002B27DC"/>
    <w:p w14:paraId="3E1B8A46" w14:textId="77777777" w:rsidR="00C640E5" w:rsidRPr="002A091D" w:rsidRDefault="00345FBA" w:rsidP="006F1C78">
      <w:pPr>
        <w:autoSpaceDE w:val="0"/>
        <w:autoSpaceDN w:val="0"/>
        <w:adjustRightInd w:val="0"/>
        <w:spacing w:line="480" w:lineRule="auto"/>
        <w:jc w:val="both"/>
        <w:rPr>
          <w:bCs/>
        </w:rPr>
      </w:pPr>
      <w:r w:rsidRPr="002A091D">
        <w:rPr>
          <w:bCs/>
        </w:rPr>
        <w:t>The l</w:t>
      </w:r>
      <w:r w:rsidR="006F1C78" w:rsidRPr="002A091D">
        <w:rPr>
          <w:bCs/>
        </w:rPr>
        <w:t xml:space="preserve">iquidity ratio </w:t>
      </w:r>
      <w:r w:rsidRPr="002A091D">
        <w:rPr>
          <w:bCs/>
        </w:rPr>
        <w:t xml:space="preserve">presented by Amihud (2002) </w:t>
      </w:r>
      <w:r w:rsidR="006F1C78" w:rsidRPr="002A091D">
        <w:rPr>
          <w:bCs/>
        </w:rPr>
        <w:t>is o</w:t>
      </w:r>
      <w:r w:rsidR="00E60FAC" w:rsidRPr="002A091D">
        <w:rPr>
          <w:bCs/>
        </w:rPr>
        <w:t>ne of the most cited</w:t>
      </w:r>
      <w:r w:rsidR="00C640E5" w:rsidRPr="002A091D">
        <w:rPr>
          <w:bCs/>
        </w:rPr>
        <w:t xml:space="preserve"> measures of liquidity</w:t>
      </w:r>
      <w:r w:rsidR="006F1C78" w:rsidRPr="002A091D">
        <w:rPr>
          <w:bCs/>
        </w:rPr>
        <w:t>.</w:t>
      </w:r>
      <w:r w:rsidR="00C640E5" w:rsidRPr="002A091D">
        <w:rPr>
          <w:bCs/>
        </w:rPr>
        <w:t xml:space="preserve"> </w:t>
      </w:r>
      <w:r w:rsidR="007E2AFD" w:rsidRPr="002A091D">
        <w:rPr>
          <w:bCs/>
        </w:rPr>
        <w:t>It is defined as</w:t>
      </w:r>
      <w:r w:rsidR="006F1C78" w:rsidRPr="002A091D">
        <w:rPr>
          <w:bCs/>
        </w:rPr>
        <w:t xml:space="preserve"> </w:t>
      </w:r>
      <w:r w:rsidR="00C640E5" w:rsidRPr="002A091D">
        <w:rPr>
          <w:bCs/>
        </w:rPr>
        <w:t xml:space="preserve">the average of the ratio of daily absolute returns divided by the daily volume in dollars. </w:t>
      </w:r>
      <w:r w:rsidR="005F0A71" w:rsidRPr="002A091D">
        <w:rPr>
          <w:bCs/>
        </w:rPr>
        <w:t xml:space="preserve">Following </w:t>
      </w:r>
      <w:r w:rsidR="00C640E5" w:rsidRPr="002A091D">
        <w:rPr>
          <w:bCs/>
        </w:rPr>
        <w:t>Amihud (2002)</w:t>
      </w:r>
      <w:r w:rsidR="00B9424C" w:rsidRPr="002A091D">
        <w:rPr>
          <w:bCs/>
        </w:rPr>
        <w:t>,</w:t>
      </w:r>
      <w:r w:rsidR="00C640E5" w:rsidRPr="002A091D">
        <w:rPr>
          <w:bCs/>
        </w:rPr>
        <w:t xml:space="preserve"> </w:t>
      </w:r>
      <w:r w:rsidR="005F0A71" w:rsidRPr="002A091D">
        <w:rPr>
          <w:bCs/>
        </w:rPr>
        <w:t xml:space="preserve">the </w:t>
      </w:r>
      <w:r w:rsidR="00C640E5" w:rsidRPr="002A091D">
        <w:rPr>
          <w:bCs/>
        </w:rPr>
        <w:t xml:space="preserve">RtoV ratio of the price impact is as follows: </w:t>
      </w:r>
    </w:p>
    <w:p w14:paraId="419470CD" w14:textId="77777777" w:rsidR="00C640E5" w:rsidRPr="002A091D" w:rsidRDefault="00C640E5" w:rsidP="00C640E5">
      <w:pPr>
        <w:autoSpaceDE w:val="0"/>
        <w:autoSpaceDN w:val="0"/>
        <w:adjustRightInd w:val="0"/>
        <w:spacing w:line="480" w:lineRule="auto"/>
        <w:jc w:val="both"/>
        <w:rPr>
          <w:bCs/>
        </w:rPr>
      </w:pPr>
      <w:r w:rsidRPr="002A091D">
        <w:rPr>
          <w:bCs/>
        </w:rPr>
        <w:t xml:space="preserve"> </w:t>
      </w:r>
    </w:p>
    <w:p w14:paraId="76B84C59" w14:textId="77777777" w:rsidR="00C640E5" w:rsidRPr="002A091D" w:rsidRDefault="00C640E5" w:rsidP="00440AAB">
      <w:pPr>
        <w:pStyle w:val="Caption"/>
        <w:spacing w:after="0" w:line="480" w:lineRule="auto"/>
        <w:rPr>
          <w:rFonts w:ascii="Times New Roman" w:hAnsi="Times New Roman" w:cs="Times New Roman"/>
          <w:bCs/>
          <w:i w:val="0"/>
          <w:color w:val="auto"/>
          <w:sz w:val="20"/>
          <w:szCs w:val="20"/>
          <w:lang w:eastAsia="en-GB"/>
        </w:rPr>
      </w:pPr>
      <w:bookmarkStart w:id="3" w:name="_Toc489732084"/>
      <m:oMath>
        <m:r>
          <w:rPr>
            <w:rFonts w:ascii="Cambria Math" w:hAnsi="Cambria Math" w:cs="Times New Roman"/>
            <w:color w:val="auto"/>
            <w:sz w:val="24"/>
            <w:szCs w:val="24"/>
            <w:lang w:eastAsia="en-GB"/>
          </w:rPr>
          <m:t xml:space="preserve">R to </m:t>
        </m:r>
        <m:sSub>
          <m:sSubPr>
            <m:ctrlPr>
              <w:rPr>
                <w:rFonts w:ascii="Cambria Math" w:hAnsi="Cambria Math" w:cs="Times New Roman"/>
                <w:color w:val="auto"/>
                <w:sz w:val="24"/>
                <w:szCs w:val="24"/>
                <w:lang w:eastAsia="en-GB"/>
              </w:rPr>
            </m:ctrlPr>
          </m:sSubPr>
          <m:e>
            <m:r>
              <w:rPr>
                <w:rFonts w:ascii="Cambria Math" w:hAnsi="Cambria Math" w:cs="Times New Roman"/>
                <w:color w:val="auto"/>
                <w:sz w:val="24"/>
                <w:szCs w:val="24"/>
                <w:lang w:eastAsia="en-GB"/>
              </w:rPr>
              <m:t>V</m:t>
            </m:r>
          </m:e>
          <m:sub>
            <m:r>
              <w:rPr>
                <w:rFonts w:ascii="Cambria Math" w:hAnsi="Cambria Math" w:cs="Times New Roman"/>
                <w:color w:val="auto"/>
                <w:sz w:val="24"/>
                <w:szCs w:val="24"/>
                <w:lang w:eastAsia="en-GB"/>
              </w:rPr>
              <m:t>it</m:t>
            </m:r>
          </m:sub>
        </m:sSub>
        <m:r>
          <w:rPr>
            <w:rFonts w:ascii="Cambria Math" w:hAnsi="Cambria Math" w:cs="Times New Roman"/>
            <w:color w:val="auto"/>
            <w:sz w:val="24"/>
            <w:szCs w:val="24"/>
            <w:lang w:eastAsia="en-GB"/>
          </w:rPr>
          <m:t xml:space="preserve">= </m:t>
        </m:r>
        <m:f>
          <m:fPr>
            <m:ctrlPr>
              <w:rPr>
                <w:rFonts w:ascii="Cambria Math" w:hAnsi="Cambria Math" w:cs="Times New Roman"/>
                <w:color w:val="auto"/>
                <w:sz w:val="24"/>
                <w:szCs w:val="24"/>
                <w:lang w:eastAsia="en-GB"/>
              </w:rPr>
            </m:ctrlPr>
          </m:fPr>
          <m:num>
            <m:r>
              <w:rPr>
                <w:rFonts w:ascii="Cambria Math" w:hAnsi="Cambria Math" w:cs="Times New Roman"/>
                <w:color w:val="auto"/>
                <w:sz w:val="24"/>
                <w:szCs w:val="24"/>
                <w:lang w:eastAsia="en-GB"/>
              </w:rPr>
              <m:t>1</m:t>
            </m:r>
          </m:num>
          <m:den>
            <m:sSub>
              <m:sSubPr>
                <m:ctrlPr>
                  <w:rPr>
                    <w:rFonts w:ascii="Cambria Math" w:hAnsi="Cambria Math" w:cs="Times New Roman"/>
                    <w:color w:val="auto"/>
                    <w:sz w:val="24"/>
                    <w:szCs w:val="24"/>
                    <w:lang w:eastAsia="en-GB"/>
                  </w:rPr>
                </m:ctrlPr>
              </m:sSubPr>
              <m:e>
                <m:r>
                  <w:rPr>
                    <w:rFonts w:ascii="Cambria Math" w:hAnsi="Cambria Math" w:cs="Times New Roman"/>
                    <w:color w:val="auto"/>
                    <w:sz w:val="24"/>
                    <w:szCs w:val="24"/>
                    <w:lang w:eastAsia="en-GB"/>
                  </w:rPr>
                  <m:t>D</m:t>
                </m:r>
              </m:e>
              <m:sub>
                <m:r>
                  <w:rPr>
                    <w:rFonts w:ascii="Cambria Math" w:hAnsi="Cambria Math" w:cs="Times New Roman"/>
                    <w:color w:val="auto"/>
                    <w:sz w:val="24"/>
                    <w:szCs w:val="24"/>
                    <w:lang w:eastAsia="en-GB"/>
                  </w:rPr>
                  <m:t>it</m:t>
                </m:r>
              </m:sub>
            </m:sSub>
          </m:den>
        </m:f>
        <m:r>
          <w:rPr>
            <w:rFonts w:ascii="Cambria Math" w:hAnsi="Cambria Math" w:cs="Times New Roman"/>
            <w:color w:val="auto"/>
            <w:sz w:val="24"/>
            <w:szCs w:val="24"/>
            <w:lang w:eastAsia="en-GB"/>
          </w:rPr>
          <m:t xml:space="preserve"> </m:t>
        </m:r>
        <m:nary>
          <m:naryPr>
            <m:chr m:val="∑"/>
            <m:limLoc m:val="undOvr"/>
            <m:ctrlPr>
              <w:rPr>
                <w:rFonts w:ascii="Cambria Math" w:hAnsi="Cambria Math" w:cs="Times New Roman"/>
                <w:color w:val="auto"/>
                <w:sz w:val="24"/>
                <w:szCs w:val="24"/>
                <w:lang w:eastAsia="en-GB"/>
              </w:rPr>
            </m:ctrlPr>
          </m:naryPr>
          <m:sub>
            <m:r>
              <w:rPr>
                <w:rFonts w:ascii="Cambria Math" w:hAnsi="Cambria Math" w:cs="Times New Roman"/>
                <w:color w:val="auto"/>
                <w:sz w:val="24"/>
                <w:szCs w:val="24"/>
                <w:lang w:eastAsia="en-GB"/>
              </w:rPr>
              <m:t>d=1</m:t>
            </m:r>
          </m:sub>
          <m:sup>
            <m:sSub>
              <m:sSubPr>
                <m:ctrlPr>
                  <w:rPr>
                    <w:rFonts w:ascii="Cambria Math" w:hAnsi="Cambria Math" w:cs="Times New Roman"/>
                    <w:color w:val="auto"/>
                    <w:sz w:val="24"/>
                    <w:szCs w:val="24"/>
                    <w:lang w:eastAsia="en-GB"/>
                  </w:rPr>
                </m:ctrlPr>
              </m:sSubPr>
              <m:e>
                <m:r>
                  <w:rPr>
                    <w:rFonts w:ascii="Cambria Math" w:hAnsi="Cambria Math" w:cs="Times New Roman"/>
                    <w:color w:val="auto"/>
                    <w:sz w:val="24"/>
                    <w:szCs w:val="24"/>
                    <w:lang w:eastAsia="en-GB"/>
                  </w:rPr>
                  <m:t>D</m:t>
                </m:r>
              </m:e>
              <m:sub>
                <m:r>
                  <w:rPr>
                    <w:rFonts w:ascii="Cambria Math" w:hAnsi="Cambria Math" w:cs="Times New Roman"/>
                    <w:color w:val="auto"/>
                    <w:sz w:val="24"/>
                    <w:szCs w:val="24"/>
                    <w:lang w:eastAsia="en-GB"/>
                  </w:rPr>
                  <m:t>it</m:t>
                </m:r>
              </m:sub>
            </m:sSub>
          </m:sup>
          <m:e>
            <m:f>
              <m:fPr>
                <m:ctrlPr>
                  <w:rPr>
                    <w:rFonts w:ascii="Cambria Math" w:hAnsi="Cambria Math" w:cs="Times New Roman"/>
                    <w:color w:val="auto"/>
                    <w:sz w:val="24"/>
                    <w:szCs w:val="24"/>
                    <w:lang w:eastAsia="en-GB"/>
                  </w:rPr>
                </m:ctrlPr>
              </m:fPr>
              <m:num>
                <m:d>
                  <m:dPr>
                    <m:begChr m:val="|"/>
                    <m:endChr m:val="|"/>
                    <m:ctrlPr>
                      <w:rPr>
                        <w:rFonts w:ascii="Cambria Math" w:hAnsi="Cambria Math" w:cs="Times New Roman"/>
                        <w:color w:val="auto"/>
                        <w:sz w:val="24"/>
                        <w:szCs w:val="24"/>
                        <w:lang w:eastAsia="en-GB"/>
                      </w:rPr>
                    </m:ctrlPr>
                  </m:dPr>
                  <m:e>
                    <m:sSub>
                      <m:sSubPr>
                        <m:ctrlPr>
                          <w:rPr>
                            <w:rFonts w:ascii="Cambria Math" w:hAnsi="Cambria Math" w:cs="Times New Roman"/>
                            <w:color w:val="auto"/>
                            <w:sz w:val="24"/>
                            <w:szCs w:val="24"/>
                            <w:lang w:eastAsia="en-GB"/>
                          </w:rPr>
                        </m:ctrlPr>
                      </m:sSubPr>
                      <m:e>
                        <m:r>
                          <w:rPr>
                            <w:rFonts w:ascii="Cambria Math" w:hAnsi="Cambria Math" w:cs="Times New Roman"/>
                            <w:color w:val="auto"/>
                            <w:sz w:val="24"/>
                            <w:szCs w:val="24"/>
                            <w:lang w:eastAsia="en-GB"/>
                          </w:rPr>
                          <m:t>R</m:t>
                        </m:r>
                      </m:e>
                      <m:sub>
                        <m:r>
                          <w:rPr>
                            <w:rFonts w:ascii="Cambria Math" w:hAnsi="Cambria Math" w:cs="Times New Roman"/>
                            <w:color w:val="auto"/>
                            <w:sz w:val="24"/>
                            <w:szCs w:val="24"/>
                            <w:lang w:eastAsia="en-GB"/>
                          </w:rPr>
                          <m:t>itd</m:t>
                        </m:r>
                      </m:sub>
                    </m:sSub>
                  </m:e>
                </m:d>
              </m:num>
              <m:den>
                <m:sSub>
                  <m:sSubPr>
                    <m:ctrlPr>
                      <w:rPr>
                        <w:rFonts w:ascii="Cambria Math" w:hAnsi="Cambria Math" w:cs="Times New Roman"/>
                        <w:color w:val="auto"/>
                        <w:sz w:val="24"/>
                        <w:szCs w:val="24"/>
                        <w:lang w:eastAsia="en-GB"/>
                      </w:rPr>
                    </m:ctrlPr>
                  </m:sSubPr>
                  <m:e>
                    <m:r>
                      <w:rPr>
                        <w:rFonts w:ascii="Cambria Math" w:hAnsi="Cambria Math" w:cs="Times New Roman"/>
                        <w:color w:val="auto"/>
                        <w:sz w:val="24"/>
                        <w:szCs w:val="24"/>
                        <w:lang w:eastAsia="en-GB"/>
                      </w:rPr>
                      <m:t>V</m:t>
                    </m:r>
                  </m:e>
                  <m:sub>
                    <m:r>
                      <w:rPr>
                        <w:rFonts w:ascii="Cambria Math" w:hAnsi="Cambria Math" w:cs="Times New Roman"/>
                        <w:color w:val="auto"/>
                        <w:sz w:val="24"/>
                        <w:szCs w:val="24"/>
                        <w:lang w:eastAsia="en-GB"/>
                      </w:rPr>
                      <m:t>itd</m:t>
                    </m:r>
                  </m:sub>
                </m:sSub>
              </m:den>
            </m:f>
          </m:e>
        </m:nary>
      </m:oMath>
      <w:r w:rsidRPr="002A091D">
        <w:rPr>
          <w:rFonts w:ascii="Times New Roman" w:hAnsi="Times New Roman" w:cs="Times New Roman"/>
          <w:sz w:val="24"/>
          <w:szCs w:val="24"/>
          <w:lang w:eastAsia="en-GB"/>
        </w:rPr>
        <w:t xml:space="preserve">          </w:t>
      </w:r>
      <w:r w:rsidRPr="002A091D">
        <w:rPr>
          <w:rFonts w:ascii="Times New Roman" w:hAnsi="Times New Roman" w:cs="Times New Roman"/>
          <w:sz w:val="24"/>
          <w:szCs w:val="24"/>
          <w:lang w:eastAsia="en-GB"/>
        </w:rPr>
        <w:tab/>
      </w:r>
      <w:r w:rsidRPr="002A091D">
        <w:rPr>
          <w:rFonts w:ascii="Times New Roman" w:hAnsi="Times New Roman" w:cs="Times New Roman"/>
          <w:sz w:val="24"/>
          <w:szCs w:val="24"/>
          <w:lang w:eastAsia="en-GB"/>
        </w:rPr>
        <w:tab/>
      </w:r>
      <w:r w:rsidRPr="002A091D">
        <w:rPr>
          <w:rFonts w:ascii="Times New Roman" w:hAnsi="Times New Roman" w:cs="Times New Roman"/>
          <w:sz w:val="24"/>
          <w:szCs w:val="24"/>
          <w:lang w:eastAsia="en-GB"/>
        </w:rPr>
        <w:tab/>
      </w:r>
      <w:r w:rsidRPr="002A091D">
        <w:rPr>
          <w:rFonts w:ascii="Times New Roman" w:hAnsi="Times New Roman" w:cs="Times New Roman"/>
          <w:sz w:val="24"/>
          <w:szCs w:val="24"/>
          <w:lang w:eastAsia="en-GB"/>
        </w:rPr>
        <w:tab/>
        <w:t xml:space="preserve"> </w:t>
      </w:r>
      <w:bookmarkEnd w:id="3"/>
      <w:r w:rsidR="00E43D21" w:rsidRPr="002A091D">
        <w:rPr>
          <w:rFonts w:ascii="Times New Roman" w:hAnsi="Times New Roman" w:cs="Times New Roman"/>
          <w:i w:val="0"/>
          <w:color w:val="auto"/>
          <w:sz w:val="20"/>
          <w:szCs w:val="20"/>
        </w:rPr>
        <w:t xml:space="preserve">  </w:t>
      </w:r>
      <w:r w:rsidR="00167DEF" w:rsidRPr="002A091D">
        <w:rPr>
          <w:rFonts w:ascii="Times New Roman" w:hAnsi="Times New Roman" w:cs="Times New Roman"/>
          <w:i w:val="0"/>
          <w:color w:val="auto"/>
          <w:sz w:val="20"/>
          <w:szCs w:val="20"/>
        </w:rPr>
        <w:t>(</w:t>
      </w:r>
      <w:r w:rsidR="00440AAB" w:rsidRPr="002A091D">
        <w:rPr>
          <w:rFonts w:ascii="Times New Roman" w:hAnsi="Times New Roman" w:cs="Times New Roman"/>
          <w:i w:val="0"/>
          <w:color w:val="auto"/>
          <w:sz w:val="20"/>
          <w:szCs w:val="20"/>
        </w:rPr>
        <w:t>1</w:t>
      </w:r>
      <w:r w:rsidR="00167DEF" w:rsidRPr="002A091D">
        <w:rPr>
          <w:rFonts w:ascii="Times New Roman" w:hAnsi="Times New Roman" w:cs="Times New Roman"/>
          <w:i w:val="0"/>
          <w:color w:val="auto"/>
          <w:sz w:val="20"/>
          <w:szCs w:val="20"/>
        </w:rPr>
        <w:t>)</w:t>
      </w:r>
    </w:p>
    <w:p w14:paraId="1755F768" w14:textId="77777777" w:rsidR="00C640E5" w:rsidRPr="002A091D" w:rsidRDefault="00C640E5" w:rsidP="00C640E5">
      <w:pPr>
        <w:autoSpaceDE w:val="0"/>
        <w:autoSpaceDN w:val="0"/>
        <w:adjustRightInd w:val="0"/>
        <w:spacing w:line="480" w:lineRule="auto"/>
        <w:jc w:val="both"/>
      </w:pPr>
    </w:p>
    <w:p w14:paraId="58011B09" w14:textId="77777777" w:rsidR="00C640E5" w:rsidRPr="002A091D" w:rsidRDefault="00C640E5" w:rsidP="00C640E5">
      <w:pPr>
        <w:autoSpaceDE w:val="0"/>
        <w:autoSpaceDN w:val="0"/>
        <w:adjustRightInd w:val="0"/>
        <w:spacing w:line="480" w:lineRule="auto"/>
        <w:jc w:val="both"/>
      </w:pPr>
      <w:r w:rsidRPr="002A091D">
        <w:t xml:space="preserve">where </w:t>
      </w:r>
      <m:oMath>
        <m:sSub>
          <m:sSubPr>
            <m:ctrlPr>
              <w:rPr>
                <w:rFonts w:ascii="Cambria Math" w:hAnsi="Cambria Math"/>
                <w:i/>
              </w:rPr>
            </m:ctrlPr>
          </m:sSubPr>
          <m:e>
            <m:r>
              <w:rPr>
                <w:rFonts w:ascii="Cambria Math" w:hAnsi="Cambria Math"/>
              </w:rPr>
              <m:t>D</m:t>
            </m:r>
          </m:e>
          <m:sub>
            <m:r>
              <w:rPr>
                <w:rFonts w:ascii="Cambria Math" w:hAnsi="Cambria Math"/>
              </w:rPr>
              <m:t>it</m:t>
            </m:r>
          </m:sub>
        </m:sSub>
      </m:oMath>
      <w:r w:rsidRPr="002A091D">
        <w:t xml:space="preserve"> is the number of </w:t>
      </w:r>
      <w:r w:rsidR="00345FBA" w:rsidRPr="002A091D">
        <w:t xml:space="preserve">trading </w:t>
      </w:r>
      <w:r w:rsidRPr="002A091D">
        <w:t xml:space="preserve">days, </w:t>
      </w:r>
      <m:oMath>
        <m:sSub>
          <m:sSubPr>
            <m:ctrlPr>
              <w:rPr>
                <w:rFonts w:ascii="Cambria Math" w:hAnsi="Cambria Math"/>
                <w:i/>
              </w:rPr>
            </m:ctrlPr>
          </m:sSubPr>
          <m:e>
            <m:r>
              <w:rPr>
                <w:rFonts w:ascii="Cambria Math" w:hAnsi="Cambria Math"/>
              </w:rPr>
              <m:t>R</m:t>
            </m:r>
          </m:e>
          <m:sub>
            <m:r>
              <w:rPr>
                <w:rFonts w:ascii="Cambria Math" w:hAnsi="Cambria Math"/>
              </w:rPr>
              <m:t xml:space="preserve">itd </m:t>
            </m:r>
          </m:sub>
        </m:sSub>
      </m:oMath>
      <w:r w:rsidRPr="002A091D">
        <w:t xml:space="preserve"> </w:t>
      </w:r>
      <w:r w:rsidR="00345FBA" w:rsidRPr="002A091D">
        <w:t>is</w:t>
      </w:r>
      <w:r w:rsidRPr="002A091D">
        <w:t xml:space="preserve"> the return on day t and </w:t>
      </w:r>
      <m:oMath>
        <m:sSub>
          <m:sSubPr>
            <m:ctrlPr>
              <w:rPr>
                <w:rFonts w:ascii="Cambria Math" w:hAnsi="Cambria Math"/>
                <w:i/>
              </w:rPr>
            </m:ctrlPr>
          </m:sSubPr>
          <m:e>
            <m:r>
              <w:rPr>
                <w:rFonts w:ascii="Cambria Math" w:hAnsi="Cambria Math"/>
              </w:rPr>
              <m:t>V</m:t>
            </m:r>
          </m:e>
          <m:sub>
            <m:r>
              <w:rPr>
                <w:rFonts w:ascii="Cambria Math" w:hAnsi="Cambria Math"/>
              </w:rPr>
              <m:t>itd</m:t>
            </m:r>
          </m:sub>
        </m:sSub>
        <m:r>
          <w:rPr>
            <w:rFonts w:ascii="Cambria Math" w:hAnsi="Cambria Math"/>
          </w:rPr>
          <m:t xml:space="preserve"> </m:t>
        </m:r>
      </m:oMath>
      <w:r w:rsidR="00345FBA" w:rsidRPr="002A091D">
        <w:t>is</w:t>
      </w:r>
      <w:r w:rsidRPr="002A091D">
        <w:t xml:space="preserve"> the </w:t>
      </w:r>
      <w:r w:rsidR="007E2AFD" w:rsidRPr="002A091D">
        <w:t>daily volume in dollar terms (</w:t>
      </w:r>
      <w:r w:rsidRPr="002A091D">
        <w:t xml:space="preserve">millions). Moreover, the day-t impact represents the price of the volume traded in the respective ratio. The measure of liquidity in the </w:t>
      </w:r>
      <w:r w:rsidR="00B9424C" w:rsidRPr="002A091D">
        <w:t xml:space="preserve">above </w:t>
      </w:r>
      <w:r w:rsidRPr="002A091D">
        <w:t>equation presents t</w:t>
      </w:r>
      <w:r w:rsidR="00A069F8" w:rsidRPr="002A091D">
        <w:t>he average of the daily prices</w:t>
      </w:r>
      <w:r w:rsidRPr="002A091D">
        <w:t xml:space="preserve"> on a specified sample period of the </w:t>
      </w:r>
      <w:r w:rsidR="00B9424C" w:rsidRPr="002A091D">
        <w:t xml:space="preserve">given </w:t>
      </w:r>
      <w:r w:rsidRPr="002A091D">
        <w:t>data set. The</w:t>
      </w:r>
      <w:r w:rsidR="00B9424C" w:rsidRPr="002A091D">
        <w:t xml:space="preserve"> </w:t>
      </w:r>
      <w:r w:rsidRPr="002A091D">
        <w:t xml:space="preserve">RtoV </w:t>
      </w:r>
      <w:r w:rsidR="00345FBA" w:rsidRPr="002A091D">
        <w:t xml:space="preserve">ratio </w:t>
      </w:r>
      <w:r w:rsidRPr="002A091D">
        <w:t xml:space="preserve">itself shows the relationship between the trade volume (in dollars) and the price impact. </w:t>
      </w:r>
    </w:p>
    <w:p w14:paraId="3D770255" w14:textId="77777777" w:rsidR="00C640E5" w:rsidRPr="002A091D" w:rsidRDefault="00C640E5" w:rsidP="00C640E5">
      <w:pPr>
        <w:autoSpaceDE w:val="0"/>
        <w:autoSpaceDN w:val="0"/>
        <w:adjustRightInd w:val="0"/>
        <w:spacing w:line="480" w:lineRule="auto"/>
        <w:jc w:val="both"/>
      </w:pPr>
    </w:p>
    <w:p w14:paraId="19A15D75" w14:textId="77777777" w:rsidR="00C640E5" w:rsidRPr="002A091D" w:rsidRDefault="002D014F" w:rsidP="00B9424C">
      <w:pPr>
        <w:autoSpaceDE w:val="0"/>
        <w:autoSpaceDN w:val="0"/>
        <w:adjustRightInd w:val="0"/>
        <w:spacing w:line="480" w:lineRule="auto"/>
        <w:jc w:val="both"/>
      </w:pPr>
      <w:r w:rsidRPr="002A091D">
        <w:t>An</w:t>
      </w:r>
      <w:r w:rsidR="00303F7E" w:rsidRPr="002A091D">
        <w:t xml:space="preserve"> </w:t>
      </w:r>
      <w:r w:rsidRPr="002A091D">
        <w:t xml:space="preserve">advantage of using Amihud’s liquidity </w:t>
      </w:r>
      <w:r w:rsidR="00303F7E" w:rsidRPr="002A091D">
        <w:t>ratio</w:t>
      </w:r>
      <w:r w:rsidR="00C640E5" w:rsidRPr="002A091D">
        <w:t xml:space="preserve"> is its s</w:t>
      </w:r>
      <w:r w:rsidR="007E2AFD" w:rsidRPr="002A091D">
        <w:t>implicity in terms of structure. Price impact is</w:t>
      </w:r>
      <w:r w:rsidR="00C640E5" w:rsidRPr="002A091D">
        <w:t xml:space="preserve"> </w:t>
      </w:r>
      <w:r w:rsidR="007E2AFD" w:rsidRPr="002A091D">
        <w:t>related to</w:t>
      </w:r>
      <w:r w:rsidR="00C640E5" w:rsidRPr="002A091D">
        <w:t xml:space="preserve"> the daily absolute value of returns to </w:t>
      </w:r>
      <w:r w:rsidR="007E2AFD" w:rsidRPr="002A091D">
        <w:t xml:space="preserve">trading </w:t>
      </w:r>
      <w:r w:rsidR="00C640E5" w:rsidRPr="002A091D">
        <w:t>vo</w:t>
      </w:r>
      <w:r w:rsidR="007E2AFD" w:rsidRPr="002A091D">
        <w:t>lume</w:t>
      </w:r>
      <w:r w:rsidR="00C640E5" w:rsidRPr="002A091D">
        <w:t xml:space="preserve">. </w:t>
      </w:r>
      <w:r w:rsidR="00B9424C" w:rsidRPr="002A091D">
        <w:t>In subsequent research</w:t>
      </w:r>
      <w:r w:rsidR="00B947C6" w:rsidRPr="002A091D">
        <w:t xml:space="preserve">, </w:t>
      </w:r>
      <w:r w:rsidR="00314EC9" w:rsidRPr="002A091D">
        <w:t>Florackis et al. (2011) identified the advantages of the RtoV ratio and emphasized that it is straightforward to determine for long periods and the volume and return data are widely accessible in comparison with high-frequency microstructure data, which are challenging to acquire for long periods.</w:t>
      </w:r>
      <w:r w:rsidR="00DA2424" w:rsidRPr="002A091D">
        <w:t xml:space="preserve"> </w:t>
      </w:r>
      <w:r w:rsidR="00C640E5" w:rsidRPr="002A091D">
        <w:t>Acharya and Pedersen (2005)</w:t>
      </w:r>
      <w:r w:rsidR="00B7541D" w:rsidRPr="002A091D">
        <w:t xml:space="preserve"> and Florackis et al., (2011)</w:t>
      </w:r>
      <w:r w:rsidR="00C640E5" w:rsidRPr="002A091D">
        <w:t xml:space="preserve"> claimed that the RtoV ratio has an influence on the trade</w:t>
      </w:r>
      <w:r w:rsidR="000E5D3B" w:rsidRPr="002A091D">
        <w:t>-</w:t>
      </w:r>
      <w:r w:rsidR="00C640E5" w:rsidRPr="002A091D">
        <w:lastRenderedPageBreak/>
        <w:t>volume effect on stock price movements</w:t>
      </w:r>
      <w:r w:rsidR="000E5D3B" w:rsidRPr="002A091D">
        <w:t>,</w:t>
      </w:r>
      <w:r w:rsidR="00C640E5" w:rsidRPr="002A091D">
        <w:t xml:space="preserve"> and </w:t>
      </w:r>
      <w:r w:rsidR="00386593" w:rsidRPr="002A091D">
        <w:t>resulted in the impact on</w:t>
      </w:r>
      <w:r w:rsidR="00C640E5" w:rsidRPr="002A091D">
        <w:t xml:space="preserve"> transaction costs. </w:t>
      </w:r>
    </w:p>
    <w:p w14:paraId="5E8B1E87" w14:textId="77777777" w:rsidR="00675094" w:rsidRPr="002A091D" w:rsidRDefault="00675094" w:rsidP="00B9424C">
      <w:pPr>
        <w:autoSpaceDE w:val="0"/>
        <w:autoSpaceDN w:val="0"/>
        <w:adjustRightInd w:val="0"/>
        <w:spacing w:line="480" w:lineRule="auto"/>
        <w:jc w:val="both"/>
      </w:pPr>
    </w:p>
    <w:p w14:paraId="1A1F16C2" w14:textId="77777777" w:rsidR="00C640E5" w:rsidRPr="002A091D" w:rsidRDefault="00B7541D" w:rsidP="00D43E2A">
      <w:pPr>
        <w:autoSpaceDE w:val="0"/>
        <w:autoSpaceDN w:val="0"/>
        <w:adjustRightInd w:val="0"/>
        <w:spacing w:line="480" w:lineRule="auto"/>
        <w:jc w:val="both"/>
      </w:pPr>
      <w:r w:rsidRPr="002A091D">
        <w:t>The second advantage is a</w:t>
      </w:r>
      <w:r w:rsidR="00C640E5" w:rsidRPr="002A091D">
        <w:t xml:space="preserve"> positive return premium </w:t>
      </w:r>
      <w:r w:rsidR="002D3CED" w:rsidRPr="002A091D">
        <w:t>associated with</w:t>
      </w:r>
      <w:r w:rsidR="00C640E5" w:rsidRPr="002A091D">
        <w:t xml:space="preserve"> the RtoV ratio</w:t>
      </w:r>
      <w:r w:rsidR="00D43E2A" w:rsidRPr="002A091D">
        <w:t>, which</w:t>
      </w:r>
      <w:r w:rsidR="00C640E5" w:rsidRPr="002A091D">
        <w:t xml:space="preserve"> is generally known as a liquidity premium that rewards </w:t>
      </w:r>
      <w:r w:rsidR="00C54B79" w:rsidRPr="002A091D">
        <w:t>liquidity costs</w:t>
      </w:r>
      <w:r w:rsidRPr="002A091D">
        <w:t xml:space="preserve"> (see, e.g., Amihud, 2002; Chordia et al., 2009).</w:t>
      </w:r>
      <w:r w:rsidR="00C640E5" w:rsidRPr="002A091D">
        <w:t xml:space="preserve"> Cochrane (2005a) </w:t>
      </w:r>
      <w:r w:rsidR="00D43E2A" w:rsidRPr="002A091D">
        <w:t xml:space="preserve">argues </w:t>
      </w:r>
      <w:r w:rsidR="00C640E5" w:rsidRPr="002A091D">
        <w:t xml:space="preserve">that RtoV has a significant advantage </w:t>
      </w:r>
      <w:r w:rsidR="00D43E2A" w:rsidRPr="002A091D">
        <w:t>(</w:t>
      </w:r>
      <w:r w:rsidR="00C640E5" w:rsidRPr="002A091D">
        <w:t>called the ‘price discovery’ factor</w:t>
      </w:r>
      <w:r w:rsidR="00D43E2A" w:rsidRPr="002A091D">
        <w:t>)</w:t>
      </w:r>
      <w:r w:rsidR="00C640E5" w:rsidRPr="002A091D">
        <w:t xml:space="preserve"> due to trading activity that is influenced by information or potential prospects based on future stock price movements. </w:t>
      </w:r>
      <w:r w:rsidR="006031B7" w:rsidRPr="002A091D">
        <w:t xml:space="preserve">Previously, </w:t>
      </w:r>
      <w:r w:rsidR="00C640E5" w:rsidRPr="002A091D">
        <w:t xml:space="preserve">Kyle (1985) introduced the concept of lambda, and the </w:t>
      </w:r>
      <w:r w:rsidR="006031B7" w:rsidRPr="002A091D">
        <w:t xml:space="preserve">recent </w:t>
      </w:r>
      <w:r w:rsidR="00C640E5" w:rsidRPr="002A091D">
        <w:t xml:space="preserve">RtoV ratio is a robust empirical measure </w:t>
      </w:r>
      <w:r w:rsidR="00C54B79" w:rsidRPr="002A091D">
        <w:t>of</w:t>
      </w:r>
      <w:r w:rsidR="00C640E5" w:rsidRPr="002A091D">
        <w:t xml:space="preserve"> this theoretical concept. </w:t>
      </w:r>
    </w:p>
    <w:p w14:paraId="35B8D1AA" w14:textId="77777777" w:rsidR="00675094" w:rsidRPr="002A091D" w:rsidRDefault="00675094" w:rsidP="00D43E2A">
      <w:pPr>
        <w:autoSpaceDE w:val="0"/>
        <w:autoSpaceDN w:val="0"/>
        <w:adjustRightInd w:val="0"/>
        <w:spacing w:line="480" w:lineRule="auto"/>
        <w:jc w:val="both"/>
      </w:pPr>
    </w:p>
    <w:p w14:paraId="0E5041A6" w14:textId="77777777" w:rsidR="00675094" w:rsidRPr="002A091D" w:rsidRDefault="009C1342" w:rsidP="00675094">
      <w:pPr>
        <w:pStyle w:val="Heading2"/>
      </w:pPr>
      <w:bookmarkStart w:id="4" w:name="_Toc489702870"/>
      <w:bookmarkStart w:id="5" w:name="_Toc489732453"/>
      <w:r w:rsidRPr="002A091D">
        <w:t xml:space="preserve">Importance of </w:t>
      </w:r>
      <w:r w:rsidR="00C640E5" w:rsidRPr="002A091D">
        <w:t>Florackis et al.’s (2011) Price Impact Ratio (RtoTR)</w:t>
      </w:r>
      <w:bookmarkEnd w:id="4"/>
      <w:bookmarkEnd w:id="5"/>
    </w:p>
    <w:p w14:paraId="37F33D72" w14:textId="77777777" w:rsidR="0018301B" w:rsidRPr="002A091D" w:rsidRDefault="0018301B" w:rsidP="0018301B"/>
    <w:p w14:paraId="0989047A" w14:textId="77777777" w:rsidR="008A1D1F" w:rsidRPr="002A091D" w:rsidRDefault="00C54B79" w:rsidP="00C54B79">
      <w:pPr>
        <w:autoSpaceDE w:val="0"/>
        <w:autoSpaceDN w:val="0"/>
        <w:adjustRightInd w:val="0"/>
        <w:spacing w:line="480" w:lineRule="auto"/>
        <w:jc w:val="both"/>
        <w:rPr>
          <w:color w:val="000000" w:themeColor="text1"/>
        </w:rPr>
      </w:pPr>
      <w:r w:rsidRPr="002A091D">
        <w:rPr>
          <w:color w:val="000000" w:themeColor="text1"/>
        </w:rPr>
        <w:t>Cochrane (2005b) argues that the RtoV ratio is much higher for stocks representing small market capitalization firms. Discussing the bias associated with this approach, Cochrane (2005a:p.5</w:t>
      </w:r>
      <w:r w:rsidR="000C6692" w:rsidRPr="002A091D">
        <w:rPr>
          <w:color w:val="000000" w:themeColor="text1"/>
        </w:rPr>
        <w:t>) warns</w:t>
      </w:r>
      <w:r w:rsidRPr="002A091D">
        <w:rPr>
          <w:color w:val="000000" w:themeColor="text1"/>
        </w:rPr>
        <w:t xml:space="preserve"> that researchers may draw inappropriate theoretical conclusions using RtoV ratios. </w:t>
      </w:r>
    </w:p>
    <w:p w14:paraId="687D696D" w14:textId="77777777" w:rsidR="00C54B79" w:rsidRPr="002A091D" w:rsidRDefault="00C54B79" w:rsidP="00001E5E">
      <w:pPr>
        <w:autoSpaceDE w:val="0"/>
        <w:autoSpaceDN w:val="0"/>
        <w:adjustRightInd w:val="0"/>
        <w:spacing w:line="480" w:lineRule="auto"/>
        <w:jc w:val="both"/>
        <w:rPr>
          <w:bCs/>
        </w:rPr>
      </w:pPr>
    </w:p>
    <w:p w14:paraId="2E4261C6" w14:textId="77777777" w:rsidR="00C640E5" w:rsidRPr="002A091D" w:rsidRDefault="00C640E5" w:rsidP="00001E5E">
      <w:pPr>
        <w:autoSpaceDE w:val="0"/>
        <w:autoSpaceDN w:val="0"/>
        <w:adjustRightInd w:val="0"/>
        <w:spacing w:line="480" w:lineRule="auto"/>
        <w:jc w:val="both"/>
      </w:pPr>
      <w:r w:rsidRPr="002A091D">
        <w:t>A recent interesting liquidity measurement was developed by Florackis et al. (2011</w:t>
      </w:r>
      <w:r w:rsidR="00CE7094" w:rsidRPr="002A091D">
        <w:t>)</w:t>
      </w:r>
      <w:r w:rsidR="009B63F8" w:rsidRPr="002A091D">
        <w:t xml:space="preserve">, </w:t>
      </w:r>
      <w:r w:rsidR="00BA3591" w:rsidRPr="002A091D">
        <w:t>to</w:t>
      </w:r>
      <w:r w:rsidR="009B63F8" w:rsidRPr="002A091D">
        <w:t xml:space="preserve"> </w:t>
      </w:r>
      <w:r w:rsidR="000A7AAC" w:rsidRPr="002A091D">
        <w:t>address</w:t>
      </w:r>
      <w:r w:rsidRPr="002A091D">
        <w:t xml:space="preserve"> the shortcomings of Amihud’s (2002)</w:t>
      </w:r>
      <w:r w:rsidR="00443B42" w:rsidRPr="002A091D">
        <w:t xml:space="preserve"> RtoV</w:t>
      </w:r>
      <w:r w:rsidRPr="002A091D">
        <w:t xml:space="preserve"> ratio. Accordi</w:t>
      </w:r>
      <w:r w:rsidR="00CE7094" w:rsidRPr="002A091D">
        <w:t>ng to Florackis et al. (2011),</w:t>
      </w:r>
      <w:r w:rsidRPr="002A091D">
        <w:t xml:space="preserve"> </w:t>
      </w:r>
      <w:r w:rsidR="002D3CED" w:rsidRPr="002A091D">
        <w:t xml:space="preserve">the </w:t>
      </w:r>
      <w:r w:rsidRPr="002A091D">
        <w:t xml:space="preserve">RtoV ratio </w:t>
      </w:r>
      <w:r w:rsidR="00D43E2A" w:rsidRPr="002A091D">
        <w:t xml:space="preserve">could </w:t>
      </w:r>
      <w:r w:rsidRPr="002A091D">
        <w:t xml:space="preserve">not </w:t>
      </w:r>
      <w:r w:rsidR="00D43E2A" w:rsidRPr="002A091D">
        <w:t xml:space="preserve">be </w:t>
      </w:r>
      <w:r w:rsidR="00BE175E" w:rsidRPr="002A091D">
        <w:t>used to compare</w:t>
      </w:r>
      <w:r w:rsidRPr="002A091D">
        <w:t xml:space="preserve"> stocks with diverse market </w:t>
      </w:r>
      <w:r w:rsidR="00805AF2" w:rsidRPr="002A091D">
        <w:t>capitalization,</w:t>
      </w:r>
      <w:r w:rsidRPr="002A091D">
        <w:t xml:space="preserve"> </w:t>
      </w:r>
      <w:r w:rsidR="00BE175E" w:rsidRPr="002A091D">
        <w:t>as</w:t>
      </w:r>
      <w:r w:rsidRPr="002A091D">
        <w:t xml:space="preserve"> </w:t>
      </w:r>
      <w:r w:rsidR="00D43E2A" w:rsidRPr="002A091D">
        <w:t xml:space="preserve">there is </w:t>
      </w:r>
      <w:r w:rsidRPr="002A091D">
        <w:t xml:space="preserve">a </w:t>
      </w:r>
      <w:r w:rsidR="00D43E2A" w:rsidRPr="002A091D">
        <w:t xml:space="preserve">possibility of </w:t>
      </w:r>
      <w:r w:rsidRPr="002A091D">
        <w:t>substantial size bias</w:t>
      </w:r>
      <w:r w:rsidR="00D43E2A" w:rsidRPr="002A091D">
        <w:t xml:space="preserve"> with </w:t>
      </w:r>
      <w:r w:rsidR="002D3CED" w:rsidRPr="002A091D">
        <w:t>the</w:t>
      </w:r>
      <w:r w:rsidR="00D43E2A" w:rsidRPr="002A091D">
        <w:t xml:space="preserve"> ratio</w:t>
      </w:r>
      <w:r w:rsidRPr="002A091D">
        <w:t xml:space="preserve">. </w:t>
      </w:r>
      <w:r w:rsidR="00A27B21" w:rsidRPr="002A091D">
        <w:t>This is</w:t>
      </w:r>
      <w:r w:rsidR="008C2583" w:rsidRPr="002A091D">
        <w:t xml:space="preserve"> because the trading</w:t>
      </w:r>
      <w:r w:rsidRPr="002A091D">
        <w:t xml:space="preserve"> volume </w:t>
      </w:r>
      <w:r w:rsidR="00001E5E" w:rsidRPr="002A091D">
        <w:t xml:space="preserve">is </w:t>
      </w:r>
      <w:r w:rsidRPr="002A091D">
        <w:t>represent</w:t>
      </w:r>
      <w:r w:rsidR="00001E5E" w:rsidRPr="002A091D">
        <w:t>ed</w:t>
      </w:r>
      <w:r w:rsidRPr="002A091D">
        <w:t xml:space="preserve"> in monetary terms </w:t>
      </w:r>
      <w:r w:rsidR="00386593" w:rsidRPr="002A091D">
        <w:t xml:space="preserve">and </w:t>
      </w:r>
      <w:r w:rsidRPr="002A091D">
        <w:t xml:space="preserve">operationally </w:t>
      </w:r>
      <w:r w:rsidR="00BE175E" w:rsidRPr="002A091D">
        <w:t>has</w:t>
      </w:r>
      <w:r w:rsidRPr="002A091D">
        <w:t xml:space="preserve"> a positive correlation with the market capitalization</w:t>
      </w:r>
      <w:r w:rsidR="00001E5E" w:rsidRPr="002A091D">
        <w:t xml:space="preserve"> in cross-sectional settings</w:t>
      </w:r>
      <w:r w:rsidRPr="002A091D">
        <w:t xml:space="preserve">. Therefore, it is not </w:t>
      </w:r>
      <w:r w:rsidR="0074346D" w:rsidRPr="002A091D">
        <w:t xml:space="preserve">an </w:t>
      </w:r>
      <w:r w:rsidRPr="002A091D">
        <w:t xml:space="preserve">equivalent </w:t>
      </w:r>
      <w:r w:rsidR="0074346D" w:rsidRPr="002A091D">
        <w:t xml:space="preserve">measure </w:t>
      </w:r>
      <w:r w:rsidRPr="002A091D">
        <w:t xml:space="preserve">to be compared </w:t>
      </w:r>
      <w:r w:rsidR="002D3CED" w:rsidRPr="002A091D">
        <w:t>across</w:t>
      </w:r>
      <w:r w:rsidRPr="002A091D">
        <w:t xml:space="preserve"> </w:t>
      </w:r>
      <w:r w:rsidR="66AC91AF" w:rsidRPr="002A091D">
        <w:t xml:space="preserve">firms with </w:t>
      </w:r>
      <w:r w:rsidRPr="002A091D">
        <w:t>different market values.            </w:t>
      </w:r>
    </w:p>
    <w:p w14:paraId="43ADC757" w14:textId="77777777" w:rsidR="00C640E5" w:rsidRPr="002A091D" w:rsidRDefault="00C640E5" w:rsidP="00C640E5">
      <w:pPr>
        <w:autoSpaceDE w:val="0"/>
        <w:autoSpaceDN w:val="0"/>
        <w:adjustRightInd w:val="0"/>
        <w:spacing w:line="480" w:lineRule="auto"/>
        <w:jc w:val="both"/>
        <w:rPr>
          <w:bCs/>
        </w:rPr>
      </w:pPr>
    </w:p>
    <w:p w14:paraId="7CC52959" w14:textId="77777777" w:rsidR="00C640E5" w:rsidRPr="002A091D" w:rsidRDefault="00C640E5" w:rsidP="001667FE">
      <w:pPr>
        <w:autoSpaceDE w:val="0"/>
        <w:autoSpaceDN w:val="0"/>
        <w:adjustRightInd w:val="0"/>
        <w:spacing w:line="480" w:lineRule="auto"/>
        <w:jc w:val="both"/>
      </w:pPr>
      <w:r w:rsidRPr="002A091D">
        <w:t>According to Amihud and Mandelson (1986b), liquidity has a</w:t>
      </w:r>
      <w:r w:rsidR="00386593" w:rsidRPr="002A091D">
        <w:t xml:space="preserve"> positive</w:t>
      </w:r>
      <w:r w:rsidRPr="002A091D">
        <w:t xml:space="preserve"> correlation with trading frequency. Moreover, Datar et al. (1998) and Nguyen et al. (2007a) </w:t>
      </w:r>
      <w:r w:rsidR="0018258D" w:rsidRPr="002A091D">
        <w:t>discover</w:t>
      </w:r>
      <w:r w:rsidR="00912A14" w:rsidRPr="002A091D">
        <w:t xml:space="preserve"> a negative relation</w:t>
      </w:r>
      <w:r w:rsidR="5103B750" w:rsidRPr="002A091D">
        <w:t>ship</w:t>
      </w:r>
      <w:r w:rsidRPr="002A091D">
        <w:t xml:space="preserve"> </w:t>
      </w:r>
      <w:r w:rsidR="001667FE" w:rsidRPr="002A091D">
        <w:t>between liquidity and trading frequency. They argue</w:t>
      </w:r>
      <w:r w:rsidRPr="002A091D">
        <w:t xml:space="preserve"> that stocks with a higher turnover ratio are observed to have superior trading speed and are considered </w:t>
      </w:r>
      <w:r w:rsidR="00BE175E" w:rsidRPr="002A091D">
        <w:t>to be</w:t>
      </w:r>
      <w:r w:rsidRPr="002A091D">
        <w:t xml:space="preserve"> highly liquid stocks</w:t>
      </w:r>
      <w:r w:rsidR="00354217" w:rsidRPr="002A091D">
        <w:t xml:space="preserve">. </w:t>
      </w:r>
      <w:r w:rsidRPr="002A091D">
        <w:t xml:space="preserve"> </w:t>
      </w:r>
    </w:p>
    <w:p w14:paraId="32D025E2" w14:textId="77777777" w:rsidR="00C640E5" w:rsidRPr="002A091D" w:rsidRDefault="00C640E5" w:rsidP="00C640E5">
      <w:pPr>
        <w:autoSpaceDE w:val="0"/>
        <w:autoSpaceDN w:val="0"/>
        <w:adjustRightInd w:val="0"/>
        <w:spacing w:line="480" w:lineRule="auto"/>
        <w:jc w:val="both"/>
        <w:rPr>
          <w:bCs/>
        </w:rPr>
      </w:pPr>
    </w:p>
    <w:p w14:paraId="764A0DF7" w14:textId="77777777" w:rsidR="00C640E5" w:rsidRPr="002A091D" w:rsidRDefault="00C640E5" w:rsidP="001B5BE0">
      <w:pPr>
        <w:autoSpaceDE w:val="0"/>
        <w:autoSpaceDN w:val="0"/>
        <w:adjustRightInd w:val="0"/>
        <w:spacing w:line="480" w:lineRule="auto"/>
        <w:jc w:val="both"/>
      </w:pPr>
      <w:r w:rsidRPr="002A091D">
        <w:t xml:space="preserve">Florackis et al. (2011) </w:t>
      </w:r>
      <w:r w:rsidR="001B5BE0" w:rsidRPr="002A091D">
        <w:t xml:space="preserve">further </w:t>
      </w:r>
      <w:r w:rsidR="003E0B3A" w:rsidRPr="002A091D">
        <w:t>highlight</w:t>
      </w:r>
      <w:r w:rsidRPr="002A091D">
        <w:t xml:space="preserve"> the</w:t>
      </w:r>
      <w:r w:rsidR="00B96834" w:rsidRPr="002A091D">
        <w:t>se</w:t>
      </w:r>
      <w:r w:rsidRPr="002A091D">
        <w:t xml:space="preserve"> concerns</w:t>
      </w:r>
      <w:r w:rsidR="00B96834" w:rsidRPr="002A091D">
        <w:t>,</w:t>
      </w:r>
      <w:r w:rsidRPr="002A091D">
        <w:t xml:space="preserve"> </w:t>
      </w:r>
      <w:r w:rsidR="001B5BE0" w:rsidRPr="002A091D">
        <w:t>arguing</w:t>
      </w:r>
      <w:r w:rsidR="00354217" w:rsidRPr="002A091D">
        <w:t xml:space="preserve"> that</w:t>
      </w:r>
      <w:r w:rsidR="0069635D" w:rsidRPr="002A091D">
        <w:t xml:space="preserve"> the</w:t>
      </w:r>
      <w:r w:rsidRPr="002A091D">
        <w:t xml:space="preserve"> RtoV ratio </w:t>
      </w:r>
      <w:r w:rsidR="001B5BE0" w:rsidRPr="002A091D">
        <w:t xml:space="preserve">assumes </w:t>
      </w:r>
      <w:r w:rsidRPr="002A091D">
        <w:t>identical trading frequency across all stocks</w:t>
      </w:r>
      <w:r w:rsidR="00117D75" w:rsidRPr="002A091D">
        <w:t>.</w:t>
      </w:r>
      <w:r w:rsidRPr="002A091D">
        <w:t xml:space="preserve"> The RtoV measure is </w:t>
      </w:r>
      <w:r w:rsidR="00596D4C" w:rsidRPr="002A091D">
        <w:t>used as a proxy to determine</w:t>
      </w:r>
      <w:r w:rsidRPr="002A091D">
        <w:t xml:space="preserve"> transaction cost</w:t>
      </w:r>
      <w:r w:rsidR="001B5BE0" w:rsidRPr="002A091D">
        <w:t>s</w:t>
      </w:r>
      <w:r w:rsidR="00B96834" w:rsidRPr="002A091D">
        <w:t xml:space="preserve">. </w:t>
      </w:r>
      <w:r w:rsidR="00AF70EA" w:rsidRPr="002A091D">
        <w:t xml:space="preserve">On </w:t>
      </w:r>
      <w:r w:rsidRPr="002A091D">
        <w:t xml:space="preserve">the other hand, it is </w:t>
      </w:r>
      <w:r w:rsidR="00092FBC" w:rsidRPr="002A091D">
        <w:t>difficult</w:t>
      </w:r>
      <w:r w:rsidR="000C6692" w:rsidRPr="002A091D">
        <w:t xml:space="preserve"> to</w:t>
      </w:r>
      <w:r w:rsidR="00092FBC" w:rsidRPr="002A091D">
        <w:t xml:space="preserve"> </w:t>
      </w:r>
      <w:r w:rsidR="000C6692" w:rsidRPr="002A091D">
        <w:t>examine</w:t>
      </w:r>
      <w:r w:rsidRPr="002A091D">
        <w:t xml:space="preserve"> the trading frequency at whi</w:t>
      </w:r>
      <w:r w:rsidR="00DB3326" w:rsidRPr="002A091D">
        <w:t xml:space="preserve">ch this cost is obtained. </w:t>
      </w:r>
      <w:r w:rsidRPr="002A091D">
        <w:t>Moreover, Fl</w:t>
      </w:r>
      <w:r w:rsidR="00117D75" w:rsidRPr="002A091D">
        <w:t>orackis et al. (2011) criticizes</w:t>
      </w:r>
      <w:r w:rsidRPr="002A091D">
        <w:t xml:space="preserve"> the RtoV ratio by demonstrating that the ratio is tangential to the order flow inequality effect </w:t>
      </w:r>
      <w:r w:rsidR="00092FBC" w:rsidRPr="002A091D">
        <w:t>analyzed</w:t>
      </w:r>
      <w:r w:rsidRPr="002A091D">
        <w:t xml:space="preserve"> by Pastor and Stambaugh (2003).    </w:t>
      </w:r>
    </w:p>
    <w:p w14:paraId="1206A5C8" w14:textId="77777777" w:rsidR="00C640E5" w:rsidRPr="002A091D" w:rsidRDefault="00C640E5" w:rsidP="00C640E5">
      <w:pPr>
        <w:autoSpaceDE w:val="0"/>
        <w:autoSpaceDN w:val="0"/>
        <w:adjustRightInd w:val="0"/>
        <w:spacing w:line="480" w:lineRule="auto"/>
        <w:jc w:val="both"/>
      </w:pPr>
    </w:p>
    <w:p w14:paraId="2412B69C" w14:textId="77777777" w:rsidR="00C640E5" w:rsidRPr="002A091D" w:rsidRDefault="00C640E5" w:rsidP="00C640E5">
      <w:pPr>
        <w:autoSpaceDE w:val="0"/>
        <w:autoSpaceDN w:val="0"/>
        <w:adjustRightInd w:val="0"/>
        <w:spacing w:line="480" w:lineRule="auto"/>
        <w:jc w:val="both"/>
      </w:pPr>
      <w:r w:rsidRPr="002A091D">
        <w:t>Florackis et al. (2011) recommended a substitute price impact ratio known as RtoTR,</w:t>
      </w:r>
      <w:r w:rsidR="00596D4C" w:rsidRPr="002A091D">
        <w:t xml:space="preserve"> which essentially uses</w:t>
      </w:r>
      <w:r w:rsidRPr="002A091D">
        <w:t xml:space="preserve"> trade volume (in dollars) of stock with its turnover ratio in the denominator. Florackis et al.’s (2011) </w:t>
      </w:r>
      <w:r w:rsidR="00596D4C" w:rsidRPr="002A091D">
        <w:t>RtoTR ratio can be expressed</w:t>
      </w:r>
      <w:r w:rsidRPr="002A091D">
        <w:t xml:space="preserve"> as follows: </w:t>
      </w:r>
    </w:p>
    <w:p w14:paraId="7CF4470D" w14:textId="77777777" w:rsidR="00C640E5" w:rsidRPr="002A091D" w:rsidRDefault="00C640E5" w:rsidP="00C640E5">
      <w:pPr>
        <w:autoSpaceDE w:val="0"/>
        <w:autoSpaceDN w:val="0"/>
        <w:adjustRightInd w:val="0"/>
        <w:spacing w:line="480" w:lineRule="auto"/>
        <w:jc w:val="both"/>
      </w:pPr>
    </w:p>
    <w:p w14:paraId="4256A965" w14:textId="77777777" w:rsidR="00C640E5" w:rsidRPr="002A091D" w:rsidRDefault="00C640E5" w:rsidP="00440AAB">
      <w:pPr>
        <w:pStyle w:val="Caption"/>
        <w:spacing w:after="0" w:line="480" w:lineRule="auto"/>
        <w:rPr>
          <w:rFonts w:ascii="Times New Roman" w:hAnsi="Times New Roman" w:cs="Times New Roman"/>
          <w:i w:val="0"/>
          <w:color w:val="auto"/>
          <w:sz w:val="20"/>
          <w:szCs w:val="20"/>
        </w:rPr>
      </w:pPr>
      <w:bookmarkStart w:id="6" w:name="_Toc489732086"/>
      <m:oMath>
        <m:r>
          <w:rPr>
            <w:rFonts w:ascii="Cambria Math" w:hAnsi="Cambria Math" w:cs="Times New Roman"/>
            <w:color w:val="auto"/>
            <w:sz w:val="24"/>
            <w:szCs w:val="24"/>
          </w:rPr>
          <m:t xml:space="preserve">R to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TR</m:t>
            </m:r>
          </m:e>
          <m:sub>
            <m:r>
              <w:rPr>
                <w:rFonts w:ascii="Cambria Math" w:hAnsi="Cambria Math" w:cs="Times New Roman"/>
                <w:color w:val="auto"/>
                <w:sz w:val="24"/>
                <w:szCs w:val="24"/>
              </w:rPr>
              <m:t>it</m:t>
            </m:r>
          </m:sub>
        </m:sSub>
        <m:r>
          <w:rPr>
            <w:rFonts w:ascii="Cambria Math" w:hAnsi="Cambria Math" w:cs="Times New Roman"/>
            <w:color w:val="auto"/>
            <w:sz w:val="24"/>
            <w:szCs w:val="24"/>
          </w:rPr>
          <m:t xml:space="preserve">= </m:t>
        </m:r>
        <m:f>
          <m:fPr>
            <m:ctrlPr>
              <w:rPr>
                <w:rFonts w:ascii="Cambria Math" w:hAnsi="Cambria Math" w:cs="Times New Roman"/>
                <w:color w:val="auto"/>
                <w:sz w:val="24"/>
                <w:szCs w:val="24"/>
              </w:rPr>
            </m:ctrlPr>
          </m:fPr>
          <m:num>
            <m:r>
              <w:rPr>
                <w:rFonts w:ascii="Cambria Math" w:hAnsi="Cambria Math" w:cs="Times New Roman"/>
                <w:color w:val="auto"/>
                <w:sz w:val="24"/>
                <w:szCs w:val="24"/>
              </w:rPr>
              <m:t>1</m:t>
            </m:r>
          </m:num>
          <m:den>
            <m:sSub>
              <m:sSubPr>
                <m:ctrlPr>
                  <w:rPr>
                    <w:rFonts w:ascii="Cambria Math" w:hAnsi="Cambria Math" w:cs="Times New Roman"/>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it</m:t>
                </m:r>
              </m:sub>
            </m:sSub>
          </m:den>
        </m:f>
        <m:r>
          <w:rPr>
            <w:rFonts w:ascii="Cambria Math" w:hAnsi="Cambria Math" w:cs="Times New Roman"/>
            <w:color w:val="auto"/>
            <w:sz w:val="24"/>
            <w:szCs w:val="24"/>
          </w:rPr>
          <m:t xml:space="preserve"> </m:t>
        </m:r>
        <m:nary>
          <m:naryPr>
            <m:chr m:val="∑"/>
            <m:limLoc m:val="subSup"/>
            <m:ctrlPr>
              <w:rPr>
                <w:rFonts w:ascii="Cambria Math" w:hAnsi="Cambria Math" w:cs="Times New Roman"/>
                <w:color w:val="auto"/>
                <w:sz w:val="24"/>
                <w:szCs w:val="24"/>
              </w:rPr>
            </m:ctrlPr>
          </m:naryPr>
          <m:sub>
            <m:r>
              <w:rPr>
                <w:rFonts w:ascii="Cambria Math" w:hAnsi="Cambria Math" w:cs="Times New Roman"/>
                <w:color w:val="auto"/>
                <w:sz w:val="24"/>
                <w:szCs w:val="24"/>
              </w:rPr>
              <m:t>D=1</m:t>
            </m:r>
          </m:sub>
          <m:sup>
            <m:sSub>
              <m:sSubPr>
                <m:ctrlPr>
                  <w:rPr>
                    <w:rFonts w:ascii="Cambria Math" w:hAnsi="Cambria Math" w:cs="Times New Roman"/>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it</m:t>
                </m:r>
              </m:sub>
            </m:sSub>
          </m:sup>
          <m:e>
            <m:d>
              <m:dPr>
                <m:ctrlPr>
                  <w:rPr>
                    <w:rFonts w:ascii="Cambria Math" w:hAnsi="Cambria Math" w:cs="Times New Roman"/>
                    <w:color w:val="auto"/>
                    <w:sz w:val="24"/>
                    <w:szCs w:val="24"/>
                  </w:rPr>
                </m:ctrlPr>
              </m:dPr>
              <m:e>
                <m:f>
                  <m:fPr>
                    <m:ctrlPr>
                      <w:rPr>
                        <w:rFonts w:ascii="Cambria Math" w:hAnsi="Cambria Math" w:cs="Times New Roman"/>
                        <w:color w:val="auto"/>
                        <w:sz w:val="24"/>
                        <w:szCs w:val="24"/>
                      </w:rPr>
                    </m:ctrlPr>
                  </m:fPr>
                  <m:num>
                    <m:d>
                      <m:dPr>
                        <m:begChr m:val="|"/>
                        <m:endChr m:val="|"/>
                        <m:ctrlPr>
                          <w:rPr>
                            <w:rFonts w:ascii="Cambria Math" w:hAnsi="Cambria Math" w:cs="Times New Roman"/>
                            <w:color w:val="auto"/>
                            <w:sz w:val="24"/>
                            <w:szCs w:val="24"/>
                          </w:rPr>
                        </m:ctrlPr>
                      </m:dPr>
                      <m:e>
                        <m:sSub>
                          <m:sSubPr>
                            <m:ctrlPr>
                              <w:rPr>
                                <w:rFonts w:ascii="Cambria Math" w:hAnsi="Cambria Math" w:cs="Times New Roman"/>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itd</m:t>
                            </m:r>
                          </m:sub>
                        </m:sSub>
                      </m:e>
                    </m:d>
                  </m:num>
                  <m:den>
                    <m:sSub>
                      <m:sSubPr>
                        <m:ctrlPr>
                          <w:rPr>
                            <w:rFonts w:ascii="Cambria Math" w:hAnsi="Cambria Math" w:cs="Times New Roman"/>
                            <w:color w:val="auto"/>
                            <w:sz w:val="24"/>
                            <w:szCs w:val="24"/>
                          </w:rPr>
                        </m:ctrlPr>
                      </m:sSubPr>
                      <m:e>
                        <m:r>
                          <w:rPr>
                            <w:rFonts w:ascii="Cambria Math" w:hAnsi="Cambria Math" w:cs="Times New Roman"/>
                            <w:color w:val="auto"/>
                            <w:sz w:val="24"/>
                            <w:szCs w:val="24"/>
                          </w:rPr>
                          <m:t>TR</m:t>
                        </m:r>
                      </m:e>
                      <m:sub>
                        <m:r>
                          <w:rPr>
                            <w:rFonts w:ascii="Cambria Math" w:hAnsi="Cambria Math" w:cs="Times New Roman"/>
                            <w:color w:val="auto"/>
                            <w:sz w:val="24"/>
                            <w:szCs w:val="24"/>
                          </w:rPr>
                          <m:t>itd</m:t>
                        </m:r>
                      </m:sub>
                    </m:sSub>
                  </m:den>
                </m:f>
              </m:e>
            </m:d>
          </m:e>
        </m:nary>
      </m:oMath>
      <w:r w:rsidRPr="002A091D">
        <w:rPr>
          <w:rFonts w:ascii="Times New Roman" w:hAnsi="Times New Roman" w:cs="Times New Roman"/>
          <w:sz w:val="24"/>
          <w:szCs w:val="24"/>
        </w:rPr>
        <w:t xml:space="preserve">                           </w:t>
      </w:r>
      <w:r w:rsidRPr="002A091D">
        <w:rPr>
          <w:rFonts w:ascii="Times New Roman" w:hAnsi="Times New Roman" w:cs="Times New Roman"/>
          <w:sz w:val="24"/>
          <w:szCs w:val="24"/>
        </w:rPr>
        <w:tab/>
      </w:r>
      <w:r w:rsidRPr="002A091D">
        <w:rPr>
          <w:rFonts w:ascii="Times New Roman" w:hAnsi="Times New Roman" w:cs="Times New Roman"/>
          <w:sz w:val="24"/>
          <w:szCs w:val="24"/>
        </w:rPr>
        <w:tab/>
      </w:r>
      <w:r w:rsidRPr="002A091D">
        <w:rPr>
          <w:rFonts w:ascii="Times New Roman" w:hAnsi="Times New Roman" w:cs="Times New Roman"/>
          <w:sz w:val="24"/>
          <w:szCs w:val="24"/>
        </w:rPr>
        <w:tab/>
        <w:t xml:space="preserve">  </w:t>
      </w:r>
      <w:bookmarkEnd w:id="6"/>
      <w:r w:rsidR="00A01681" w:rsidRPr="002A091D">
        <w:rPr>
          <w:rFonts w:ascii="Times New Roman" w:hAnsi="Times New Roman" w:cs="Times New Roman"/>
          <w:i w:val="0"/>
          <w:color w:val="auto"/>
          <w:sz w:val="20"/>
          <w:szCs w:val="20"/>
        </w:rPr>
        <w:t>(</w:t>
      </w:r>
      <w:r w:rsidR="00440AAB" w:rsidRPr="002A091D">
        <w:rPr>
          <w:rFonts w:ascii="Times New Roman" w:hAnsi="Times New Roman" w:cs="Times New Roman"/>
          <w:i w:val="0"/>
          <w:color w:val="auto"/>
          <w:sz w:val="20"/>
          <w:szCs w:val="20"/>
        </w:rPr>
        <w:t>2</w:t>
      </w:r>
      <w:r w:rsidR="00E43D21" w:rsidRPr="002A091D">
        <w:rPr>
          <w:rFonts w:ascii="Times New Roman" w:hAnsi="Times New Roman" w:cs="Times New Roman"/>
          <w:i w:val="0"/>
          <w:color w:val="auto"/>
          <w:sz w:val="20"/>
          <w:szCs w:val="20"/>
        </w:rPr>
        <w:t>)</w:t>
      </w:r>
    </w:p>
    <w:p w14:paraId="11AD6248" w14:textId="77777777" w:rsidR="00C640E5" w:rsidRPr="002A091D" w:rsidRDefault="00C640E5" w:rsidP="00C640E5">
      <w:pPr>
        <w:autoSpaceDE w:val="0"/>
        <w:autoSpaceDN w:val="0"/>
        <w:adjustRightInd w:val="0"/>
        <w:spacing w:line="480" w:lineRule="auto"/>
        <w:jc w:val="both"/>
      </w:pPr>
    </w:p>
    <w:p w14:paraId="43A02EC9" w14:textId="77777777" w:rsidR="00C640E5" w:rsidRPr="002A091D" w:rsidRDefault="00C640E5" w:rsidP="00C640E5">
      <w:pPr>
        <w:autoSpaceDE w:val="0"/>
        <w:autoSpaceDN w:val="0"/>
        <w:adjustRightInd w:val="0"/>
        <w:spacing w:line="480" w:lineRule="auto"/>
        <w:jc w:val="both"/>
      </w:pPr>
      <w:r w:rsidRPr="002A091D">
        <w:t xml:space="preserve"> </w:t>
      </w:r>
      <m:oMath>
        <m:sSub>
          <m:sSubPr>
            <m:ctrlPr>
              <w:rPr>
                <w:rFonts w:ascii="Cambria Math" w:hAnsi="Cambria Math"/>
                <w:i/>
              </w:rPr>
            </m:ctrlPr>
          </m:sSubPr>
          <m:e>
            <m:r>
              <w:rPr>
                <w:rFonts w:ascii="Cambria Math" w:hAnsi="Cambria Math"/>
              </w:rPr>
              <m:t>R</m:t>
            </m:r>
          </m:e>
          <m:sub>
            <m:r>
              <w:rPr>
                <w:rFonts w:ascii="Cambria Math" w:hAnsi="Cambria Math"/>
              </w:rPr>
              <m:t>itd</m:t>
            </m:r>
          </m:sub>
        </m:sSub>
        <m:r>
          <w:rPr>
            <w:rFonts w:ascii="Cambria Math" w:hAnsi="Cambria Math"/>
          </w:rPr>
          <m:t xml:space="preserve"> to </m:t>
        </m:r>
        <m:sSub>
          <m:sSubPr>
            <m:ctrlPr>
              <w:rPr>
                <w:rFonts w:ascii="Cambria Math" w:hAnsi="Cambria Math"/>
                <w:i/>
              </w:rPr>
            </m:ctrlPr>
          </m:sSubPr>
          <m:e>
            <m:r>
              <w:rPr>
                <w:rFonts w:ascii="Cambria Math" w:hAnsi="Cambria Math"/>
              </w:rPr>
              <m:t>TR</m:t>
            </m:r>
          </m:e>
          <m:sub>
            <m:r>
              <w:rPr>
                <w:rFonts w:ascii="Cambria Math" w:hAnsi="Cambria Math"/>
              </w:rPr>
              <m:t>itd</m:t>
            </m:r>
          </m:sub>
        </m:sSub>
      </m:oMath>
      <w:r w:rsidRPr="002A091D">
        <w:t xml:space="preserve"> is the return on stock i on day t, </w:t>
      </w:r>
      <m:oMath>
        <m:sSub>
          <m:sSubPr>
            <m:ctrlPr>
              <w:rPr>
                <w:rFonts w:ascii="Cambria Math" w:hAnsi="Cambria Math"/>
                <w:i/>
              </w:rPr>
            </m:ctrlPr>
          </m:sSubPr>
          <m:e>
            <m:r>
              <w:rPr>
                <w:rFonts w:ascii="Cambria Math" w:hAnsi="Cambria Math"/>
              </w:rPr>
              <m:t>TR</m:t>
            </m:r>
          </m:e>
          <m:sub>
            <m:r>
              <w:rPr>
                <w:rFonts w:ascii="Cambria Math" w:hAnsi="Cambria Math"/>
              </w:rPr>
              <m:t>itd</m:t>
            </m:r>
          </m:sub>
        </m:sSub>
      </m:oMath>
      <w:r w:rsidRPr="002A091D">
        <w:t xml:space="preserve"> represents the turnover ratio and </w:t>
      </w:r>
      <m:oMath>
        <m:sSub>
          <m:sSubPr>
            <m:ctrlPr>
              <w:rPr>
                <w:rFonts w:ascii="Cambria Math" w:hAnsi="Cambria Math"/>
                <w:i/>
              </w:rPr>
            </m:ctrlPr>
          </m:sSubPr>
          <m:e>
            <m:r>
              <w:rPr>
                <w:rFonts w:ascii="Cambria Math" w:hAnsi="Cambria Math"/>
              </w:rPr>
              <m:t>D</m:t>
            </m:r>
          </m:e>
          <m:sub>
            <m:r>
              <w:rPr>
                <w:rFonts w:ascii="Cambria Math" w:hAnsi="Cambria Math"/>
              </w:rPr>
              <m:t>it</m:t>
            </m:r>
          </m:sub>
        </m:sSub>
      </m:oMath>
      <w:r w:rsidRPr="002A091D">
        <w:t xml:space="preserve"> is the number of days collected for stock i for the time period of t. </w:t>
      </w:r>
    </w:p>
    <w:p w14:paraId="732FAB8F" w14:textId="77777777" w:rsidR="00C640E5" w:rsidRPr="002A091D" w:rsidRDefault="00C640E5" w:rsidP="00C640E5">
      <w:pPr>
        <w:autoSpaceDE w:val="0"/>
        <w:autoSpaceDN w:val="0"/>
        <w:adjustRightInd w:val="0"/>
        <w:spacing w:line="480" w:lineRule="auto"/>
        <w:jc w:val="both"/>
      </w:pPr>
    </w:p>
    <w:p w14:paraId="06D5854A" w14:textId="77777777" w:rsidR="00C640E5" w:rsidRPr="002A091D" w:rsidRDefault="00C640E5" w:rsidP="00721BBE">
      <w:pPr>
        <w:autoSpaceDE w:val="0"/>
        <w:autoSpaceDN w:val="0"/>
        <w:adjustRightInd w:val="0"/>
        <w:spacing w:line="480" w:lineRule="auto"/>
        <w:jc w:val="both"/>
      </w:pPr>
      <w:r w:rsidRPr="002A091D">
        <w:t xml:space="preserve">Florackis et al. (2011) </w:t>
      </w:r>
      <w:r w:rsidR="00117D75" w:rsidRPr="002A091D">
        <w:t>document</w:t>
      </w:r>
      <w:r w:rsidRPr="002A091D">
        <w:t xml:space="preserve"> that the RtoTR ratio is appropriate to </w:t>
      </w:r>
      <w:r w:rsidR="009F2065" w:rsidRPr="002A091D">
        <w:t>eliminate</w:t>
      </w:r>
      <w:r w:rsidRPr="002A091D">
        <w:t xml:space="preserve"> the concern</w:t>
      </w:r>
      <w:r w:rsidR="009F2065" w:rsidRPr="002A091D">
        <w:t>s</w:t>
      </w:r>
      <w:r w:rsidRPr="002A091D">
        <w:t xml:space="preserve"> </w:t>
      </w:r>
      <w:r w:rsidR="009F2065" w:rsidRPr="002A091D">
        <w:t>about</w:t>
      </w:r>
      <w:r w:rsidRPr="002A091D">
        <w:t xml:space="preserve"> the price impact </w:t>
      </w:r>
      <w:r w:rsidR="31FEF66C" w:rsidRPr="002A091D">
        <w:t xml:space="preserve">arising </w:t>
      </w:r>
      <w:r w:rsidRPr="002A091D">
        <w:t xml:space="preserve">from the size effect. They </w:t>
      </w:r>
      <w:r w:rsidR="001B5BE0" w:rsidRPr="002A091D">
        <w:t xml:space="preserve">argue </w:t>
      </w:r>
      <w:r w:rsidRPr="002A091D">
        <w:t xml:space="preserve">that the </w:t>
      </w:r>
      <w:r w:rsidRPr="002A091D">
        <w:lastRenderedPageBreak/>
        <w:t>turnover ratio is adopted to measure the price impact ratio</w:t>
      </w:r>
      <w:r w:rsidR="00721BBE" w:rsidRPr="002A091D">
        <w:t>,</w:t>
      </w:r>
      <w:r w:rsidRPr="002A091D">
        <w:t xml:space="preserve"> and </w:t>
      </w:r>
      <w:r w:rsidR="00721BBE" w:rsidRPr="002A091D">
        <w:t xml:space="preserve">the use of this ratio </w:t>
      </w:r>
      <w:r w:rsidRPr="002A091D">
        <w:t>control</w:t>
      </w:r>
      <w:r w:rsidR="009F2065" w:rsidRPr="002A091D">
        <w:t>s</w:t>
      </w:r>
      <w:r w:rsidRPr="002A091D">
        <w:t xml:space="preserve"> for the significance of trading cost </w:t>
      </w:r>
      <w:r w:rsidR="00721BBE" w:rsidRPr="002A091D">
        <w:t xml:space="preserve">and </w:t>
      </w:r>
      <w:r w:rsidRPr="002A091D">
        <w:t xml:space="preserve">trading frequency within asset pricing. They showed that, for a risk-neutral trader with trading intensity represented as </w:t>
      </w:r>
      <m:oMath>
        <m:r>
          <w:rPr>
            <w:rFonts w:ascii="Cambria Math" w:hAnsi="Cambria Math"/>
          </w:rPr>
          <m:t>μ</m:t>
        </m:r>
      </m:oMath>
      <w:r w:rsidRPr="002A091D">
        <w:t xml:space="preserve">, the required return on security </w:t>
      </w:r>
      <m:oMath>
        <m:r>
          <w:rPr>
            <w:rFonts w:ascii="Cambria Math" w:hAnsi="Cambria Math"/>
          </w:rPr>
          <m:t>i</m:t>
        </m:r>
      </m:oMath>
      <w:r w:rsidR="00AC48C0" w:rsidRPr="002A091D">
        <w:t xml:space="preserve"> is</w:t>
      </w:r>
      <w:r w:rsidRPr="002A091D">
        <w:t xml:space="preserve">: </w:t>
      </w:r>
    </w:p>
    <w:p w14:paraId="48671092" w14:textId="77777777" w:rsidR="00C640E5" w:rsidRPr="002A091D" w:rsidRDefault="00C640E5" w:rsidP="00C640E5">
      <w:pPr>
        <w:autoSpaceDE w:val="0"/>
        <w:autoSpaceDN w:val="0"/>
        <w:adjustRightInd w:val="0"/>
        <w:spacing w:line="480" w:lineRule="auto"/>
        <w:jc w:val="both"/>
      </w:pPr>
    </w:p>
    <w:p w14:paraId="34F37CB8" w14:textId="77777777" w:rsidR="00C640E5" w:rsidRPr="002A091D" w:rsidRDefault="00C640E5" w:rsidP="00440AAB">
      <w:pPr>
        <w:pStyle w:val="Caption"/>
        <w:spacing w:after="0" w:line="480" w:lineRule="auto"/>
        <w:rPr>
          <w:rFonts w:ascii="Times New Roman" w:hAnsi="Times New Roman" w:cs="Times New Roman"/>
          <w:i w:val="0"/>
          <w:color w:val="auto"/>
          <w:sz w:val="20"/>
          <w:szCs w:val="20"/>
        </w:rPr>
      </w:pPr>
      <w:bookmarkStart w:id="7" w:name="_Toc489732087"/>
      <m:oMath>
        <m:r>
          <w:rPr>
            <w:rFonts w:ascii="Cambria Math" w:hAnsi="Cambria Math" w:cs="Times New Roman"/>
            <w:color w:val="auto"/>
            <w:sz w:val="24"/>
            <w:szCs w:val="24"/>
          </w:rPr>
          <m:t xml:space="preserve">E </m:t>
        </m:r>
        <m:sSup>
          <m:sSupPr>
            <m:ctrlPr>
              <w:rPr>
                <w:rFonts w:ascii="Cambria Math" w:hAnsi="Cambria Math" w:cs="Times New Roman"/>
                <w:color w:val="auto"/>
                <w:sz w:val="24"/>
                <w:szCs w:val="24"/>
              </w:rPr>
            </m:ctrlPr>
          </m:sSupPr>
          <m:e>
            <m:r>
              <w:rPr>
                <w:rFonts w:ascii="Cambria Math" w:hAnsi="Cambria Math" w:cs="Times New Roman"/>
                <w:color w:val="auto"/>
                <w:sz w:val="24"/>
                <w:szCs w:val="24"/>
              </w:rPr>
              <m:t>(r)</m:t>
            </m:r>
          </m:e>
          <m:sup>
            <m:r>
              <w:rPr>
                <w:rFonts w:ascii="Cambria Math" w:hAnsi="Cambria Math" w:cs="Times New Roman"/>
                <w:color w:val="auto"/>
                <w:sz w:val="24"/>
                <w:szCs w:val="24"/>
              </w:rPr>
              <m:t>i</m:t>
            </m:r>
          </m:sup>
        </m:sSup>
        <m:r>
          <w:rPr>
            <w:rFonts w:ascii="Cambria Math" w:hAnsi="Cambria Math" w:cs="Times New Roman"/>
            <w:color w:val="auto"/>
            <w:sz w:val="24"/>
            <w:szCs w:val="24"/>
          </w:rPr>
          <m:t xml:space="preserve">= </m:t>
        </m:r>
        <m:sSup>
          <m:sSupPr>
            <m:ctrlPr>
              <w:rPr>
                <w:rFonts w:ascii="Cambria Math" w:hAnsi="Cambria Math" w:cs="Times New Roman"/>
                <w:color w:val="auto"/>
                <w:sz w:val="24"/>
                <w:szCs w:val="24"/>
              </w:rPr>
            </m:ctrlPr>
          </m:sSupPr>
          <m:e>
            <m:r>
              <w:rPr>
                <w:rFonts w:ascii="Cambria Math" w:hAnsi="Cambria Math" w:cs="Times New Roman"/>
                <w:color w:val="auto"/>
                <w:sz w:val="24"/>
                <w:szCs w:val="24"/>
              </w:rPr>
              <m:t>r</m:t>
            </m:r>
          </m:e>
          <m:sup>
            <m:r>
              <w:rPr>
                <w:rFonts w:ascii="Cambria Math" w:hAnsi="Cambria Math" w:cs="Times New Roman"/>
                <w:color w:val="auto"/>
                <w:sz w:val="24"/>
                <w:szCs w:val="24"/>
              </w:rPr>
              <m:t>f</m:t>
            </m:r>
          </m:sup>
        </m:sSup>
        <m:r>
          <w:rPr>
            <w:rFonts w:ascii="Cambria Math" w:hAnsi="Cambria Math" w:cs="Times New Roman"/>
            <w:color w:val="auto"/>
            <w:sz w:val="24"/>
            <w:szCs w:val="24"/>
          </w:rPr>
          <m:t xml:space="preserve">+u </m:t>
        </m:r>
        <m:f>
          <m:fPr>
            <m:ctrlPr>
              <w:rPr>
                <w:rFonts w:ascii="Cambria Math" w:hAnsi="Cambria Math" w:cs="Times New Roman"/>
                <w:color w:val="auto"/>
                <w:sz w:val="24"/>
                <w:szCs w:val="24"/>
              </w:rPr>
            </m:ctrlPr>
          </m:fPr>
          <m:num>
            <m:sSup>
              <m:sSupPr>
                <m:ctrlPr>
                  <w:rPr>
                    <w:rFonts w:ascii="Cambria Math" w:hAnsi="Cambria Math" w:cs="Times New Roman"/>
                    <w:color w:val="auto"/>
                    <w:sz w:val="24"/>
                    <w:szCs w:val="24"/>
                  </w:rPr>
                </m:ctrlPr>
              </m:sSupPr>
              <m:e>
                <m:r>
                  <w:rPr>
                    <w:rFonts w:ascii="Cambria Math" w:hAnsi="Cambria Math" w:cs="Times New Roman"/>
                    <w:color w:val="auto"/>
                    <w:sz w:val="24"/>
                    <w:szCs w:val="24"/>
                  </w:rPr>
                  <m:t>C</m:t>
                </m:r>
              </m:e>
              <m:sup>
                <m:r>
                  <w:rPr>
                    <w:rFonts w:ascii="Cambria Math" w:hAnsi="Cambria Math" w:cs="Times New Roman"/>
                    <w:color w:val="auto"/>
                    <w:sz w:val="24"/>
                    <w:szCs w:val="24"/>
                  </w:rPr>
                  <m:t>i</m:t>
                </m:r>
              </m:sup>
            </m:sSup>
          </m:num>
          <m:den>
            <m:sSup>
              <m:sSupPr>
                <m:ctrlPr>
                  <w:rPr>
                    <w:rFonts w:ascii="Cambria Math" w:hAnsi="Cambria Math" w:cs="Times New Roman"/>
                    <w:color w:val="auto"/>
                    <w:sz w:val="24"/>
                    <w:szCs w:val="24"/>
                  </w:rPr>
                </m:ctrlPr>
              </m:sSupPr>
              <m:e>
                <m:r>
                  <w:rPr>
                    <w:rFonts w:ascii="Cambria Math" w:hAnsi="Cambria Math" w:cs="Times New Roman"/>
                    <w:color w:val="auto"/>
                    <w:sz w:val="24"/>
                    <w:szCs w:val="24"/>
                  </w:rPr>
                  <m:t>P</m:t>
                </m:r>
              </m:e>
              <m:sup>
                <m:r>
                  <w:rPr>
                    <w:rFonts w:ascii="Cambria Math" w:hAnsi="Cambria Math" w:cs="Times New Roman"/>
                    <w:color w:val="auto"/>
                    <w:sz w:val="24"/>
                    <w:szCs w:val="24"/>
                  </w:rPr>
                  <m:t>i</m:t>
                </m:r>
              </m:sup>
            </m:sSup>
          </m:den>
        </m:f>
      </m:oMath>
      <w:r w:rsidRPr="002A091D">
        <w:rPr>
          <w:rFonts w:ascii="Times New Roman" w:hAnsi="Times New Roman" w:cs="Times New Roman"/>
          <w:sz w:val="24"/>
          <w:szCs w:val="24"/>
        </w:rPr>
        <w:t xml:space="preserve">                   </w:t>
      </w:r>
      <w:r w:rsidRPr="002A091D">
        <w:rPr>
          <w:rFonts w:ascii="Times New Roman" w:hAnsi="Times New Roman" w:cs="Times New Roman"/>
          <w:sz w:val="24"/>
          <w:szCs w:val="24"/>
        </w:rPr>
        <w:tab/>
      </w:r>
      <w:r w:rsidRPr="002A091D">
        <w:rPr>
          <w:rFonts w:ascii="Times New Roman" w:hAnsi="Times New Roman" w:cs="Times New Roman"/>
          <w:sz w:val="24"/>
          <w:szCs w:val="24"/>
        </w:rPr>
        <w:tab/>
      </w:r>
      <w:r w:rsidRPr="002A091D">
        <w:rPr>
          <w:rFonts w:ascii="Times New Roman" w:hAnsi="Times New Roman" w:cs="Times New Roman"/>
          <w:sz w:val="24"/>
          <w:szCs w:val="24"/>
        </w:rPr>
        <w:tab/>
      </w:r>
      <w:bookmarkEnd w:id="7"/>
      <w:r w:rsidR="002222DE" w:rsidRPr="002A091D">
        <w:rPr>
          <w:rFonts w:ascii="Times New Roman" w:hAnsi="Times New Roman" w:cs="Times New Roman"/>
          <w:i w:val="0"/>
          <w:color w:val="auto"/>
          <w:sz w:val="20"/>
          <w:szCs w:val="20"/>
        </w:rPr>
        <w:t>(</w:t>
      </w:r>
      <w:r w:rsidR="00440AAB" w:rsidRPr="002A091D">
        <w:rPr>
          <w:rFonts w:ascii="Times New Roman" w:hAnsi="Times New Roman" w:cs="Times New Roman"/>
          <w:i w:val="0"/>
          <w:color w:val="auto"/>
          <w:sz w:val="20"/>
          <w:szCs w:val="20"/>
        </w:rPr>
        <w:t>3</w:t>
      </w:r>
      <w:r w:rsidR="002222DE" w:rsidRPr="002A091D">
        <w:rPr>
          <w:rFonts w:ascii="Times New Roman" w:hAnsi="Times New Roman" w:cs="Times New Roman"/>
          <w:i w:val="0"/>
          <w:color w:val="auto"/>
          <w:sz w:val="20"/>
          <w:szCs w:val="20"/>
        </w:rPr>
        <w:t>)</w:t>
      </w:r>
    </w:p>
    <w:p w14:paraId="7C0463D9" w14:textId="77777777" w:rsidR="00C640E5" w:rsidRPr="002A091D" w:rsidRDefault="00C640E5" w:rsidP="00C640E5">
      <w:pPr>
        <w:rPr>
          <w:i/>
        </w:rPr>
      </w:pPr>
    </w:p>
    <w:p w14:paraId="4F778733" w14:textId="77777777" w:rsidR="00C640E5" w:rsidRPr="002A091D" w:rsidRDefault="002A091D" w:rsidP="00F5342C">
      <w:pPr>
        <w:autoSpaceDE w:val="0"/>
        <w:autoSpaceDN w:val="0"/>
        <w:adjustRightInd w:val="0"/>
        <w:spacing w:line="480" w:lineRule="auto"/>
        <w:jc w:val="both"/>
      </w:pPr>
      <m:oMath>
        <m:sSup>
          <m:sSupPr>
            <m:ctrlPr>
              <w:rPr>
                <w:rFonts w:ascii="Cambria Math" w:hAnsi="Cambria Math"/>
                <w:i/>
              </w:rPr>
            </m:ctrlPr>
          </m:sSupPr>
          <m:e>
            <m:r>
              <w:rPr>
                <w:rFonts w:ascii="Cambria Math" w:hAnsi="Cambria Math"/>
              </w:rPr>
              <m:t>C</m:t>
            </m:r>
          </m:e>
          <m:sup>
            <m:r>
              <w:rPr>
                <w:rFonts w:ascii="Cambria Math" w:hAnsi="Cambria Math"/>
              </w:rPr>
              <m:t>i</m:t>
            </m:r>
          </m:sup>
        </m:sSup>
      </m:oMath>
      <w:r w:rsidR="00946C62" w:rsidRPr="002A091D">
        <w:t xml:space="preserve"> is</w:t>
      </w:r>
      <w:r w:rsidR="00C640E5" w:rsidRPr="002A091D">
        <w:t xml:space="preserve"> the liquidity cost and </w:t>
      </w:r>
      <m:oMath>
        <m:sSup>
          <m:sSupPr>
            <m:ctrlPr>
              <w:rPr>
                <w:rFonts w:ascii="Cambria Math" w:hAnsi="Cambria Math"/>
                <w:i/>
              </w:rPr>
            </m:ctrlPr>
          </m:sSupPr>
          <m:e>
            <m:r>
              <w:rPr>
                <w:rFonts w:ascii="Cambria Math" w:hAnsi="Cambria Math"/>
              </w:rPr>
              <m:t>P</m:t>
            </m:r>
          </m:e>
          <m:sup>
            <m:r>
              <w:rPr>
                <w:rFonts w:ascii="Cambria Math" w:hAnsi="Cambria Math"/>
              </w:rPr>
              <m:t>i</m:t>
            </m:r>
          </m:sup>
        </m:sSup>
      </m:oMath>
      <w:r w:rsidR="00C640E5" w:rsidRPr="002A091D">
        <w:t xml:space="preserve"> indicates the price of asset </w:t>
      </w:r>
      <m:oMath>
        <m:r>
          <w:rPr>
            <w:rFonts w:ascii="Cambria Math" w:hAnsi="Cambria Math"/>
          </w:rPr>
          <m:t>i</m:t>
        </m:r>
      </m:oMath>
      <w:r w:rsidR="00C640E5" w:rsidRPr="002A091D">
        <w:t xml:space="preserve">. The main theoretical premises </w:t>
      </w:r>
      <w:r w:rsidR="00CD3EB3" w:rsidRPr="002A091D">
        <w:t xml:space="preserve">suggest </w:t>
      </w:r>
      <w:r w:rsidR="00C640E5" w:rsidRPr="002A091D">
        <w:t>that higher transaction costs require higher expected returns</w:t>
      </w:r>
      <w:r w:rsidR="002F63F8" w:rsidRPr="002A091D">
        <w:t>,</w:t>
      </w:r>
      <w:r w:rsidR="00C640E5" w:rsidRPr="002A091D">
        <w:t xml:space="preserve"> if</w:t>
      </w:r>
      <w:r w:rsidR="00357E41" w:rsidRPr="002A091D">
        <w:t xml:space="preserve"> </w:t>
      </w:r>
      <w:r w:rsidR="00C640E5" w:rsidRPr="002A091D">
        <w:t xml:space="preserve">all other things remain constant. </w:t>
      </w:r>
      <w:r w:rsidR="002F63F8" w:rsidRPr="002A091D">
        <w:t xml:space="preserve">On </w:t>
      </w:r>
      <w:r w:rsidR="00C640E5" w:rsidRPr="002A091D">
        <w:t xml:space="preserve">the other hand, higher expected returns increase the asset’s trading frequency. Therefore, the effect of the trading frequency must be considered </w:t>
      </w:r>
      <w:r w:rsidR="00023FE5" w:rsidRPr="002A091D">
        <w:t>as a whole, rather than</w:t>
      </w:r>
      <w:r w:rsidR="00C640E5" w:rsidRPr="002A091D">
        <w:t xml:space="preserve"> in isolation </w:t>
      </w:r>
      <w:r w:rsidR="00F5342C" w:rsidRPr="002A091D">
        <w:t>(</w:t>
      </w:r>
      <w:r w:rsidR="00C640E5" w:rsidRPr="002A091D">
        <w:t>Florackis et al.</w:t>
      </w:r>
      <w:r w:rsidR="00F5342C" w:rsidRPr="002A091D">
        <w:t>,</w:t>
      </w:r>
      <w:r w:rsidR="00C640E5" w:rsidRPr="002A091D">
        <w:t xml:space="preserve"> 2011).</w:t>
      </w:r>
    </w:p>
    <w:p w14:paraId="378A83AC" w14:textId="77777777" w:rsidR="00357E41" w:rsidRPr="002A091D" w:rsidRDefault="00357E41" w:rsidP="00E544DB">
      <w:pPr>
        <w:autoSpaceDE w:val="0"/>
        <w:autoSpaceDN w:val="0"/>
        <w:adjustRightInd w:val="0"/>
        <w:spacing w:line="480" w:lineRule="auto"/>
        <w:jc w:val="both"/>
      </w:pPr>
    </w:p>
    <w:p w14:paraId="57EA36A6" w14:textId="77777777" w:rsidR="00C640E5" w:rsidRPr="002A091D" w:rsidRDefault="00C640E5" w:rsidP="00E544DB">
      <w:pPr>
        <w:autoSpaceDE w:val="0"/>
        <w:autoSpaceDN w:val="0"/>
        <w:adjustRightInd w:val="0"/>
        <w:spacing w:line="480" w:lineRule="auto"/>
        <w:jc w:val="both"/>
      </w:pPr>
      <w:r w:rsidRPr="002A091D">
        <w:rPr>
          <w:color w:val="000000" w:themeColor="text1"/>
        </w:rPr>
        <w:t xml:space="preserve">Florackis et al. (2011) </w:t>
      </w:r>
      <w:r w:rsidR="00E544DB" w:rsidRPr="002A091D">
        <w:rPr>
          <w:color w:val="000000" w:themeColor="text1"/>
        </w:rPr>
        <w:t>assert</w:t>
      </w:r>
      <w:r w:rsidRPr="002A091D">
        <w:rPr>
          <w:color w:val="000000" w:themeColor="text1"/>
        </w:rPr>
        <w:t xml:space="preserve"> that the RtoTR ratio explains the substitute for the </w:t>
      </w:r>
      <w:r w:rsidR="00E544DB" w:rsidRPr="002A091D">
        <w:rPr>
          <w:color w:val="000000" w:themeColor="text1"/>
        </w:rPr>
        <w:t>‘</w:t>
      </w:r>
      <w:r w:rsidRPr="002A091D">
        <w:rPr>
          <w:color w:val="000000" w:themeColor="text1"/>
        </w:rPr>
        <w:t>amortized spread</w:t>
      </w:r>
      <w:r w:rsidR="00357E41" w:rsidRPr="002A091D">
        <w:rPr>
          <w:color w:val="000000" w:themeColor="text1"/>
        </w:rPr>
        <w:t>’ applied</w:t>
      </w:r>
      <w:r w:rsidR="00E544DB" w:rsidRPr="002A091D">
        <w:rPr>
          <w:color w:val="000000" w:themeColor="text1"/>
        </w:rPr>
        <w:t xml:space="preserve"> by </w:t>
      </w:r>
      <w:r w:rsidRPr="002A091D">
        <w:rPr>
          <w:color w:val="000000" w:themeColor="text1"/>
        </w:rPr>
        <w:t>Chalmers and Kadl</w:t>
      </w:r>
      <w:r w:rsidR="00357E41" w:rsidRPr="002A091D">
        <w:rPr>
          <w:color w:val="000000" w:themeColor="text1"/>
        </w:rPr>
        <w:t>ec (1998), who also investigate</w:t>
      </w:r>
      <w:r w:rsidRPr="002A091D">
        <w:rPr>
          <w:color w:val="000000" w:themeColor="text1"/>
        </w:rPr>
        <w:t xml:space="preserve"> the </w:t>
      </w:r>
      <w:r w:rsidR="003666DA" w:rsidRPr="002A091D">
        <w:rPr>
          <w:color w:val="000000" w:themeColor="text1"/>
        </w:rPr>
        <w:t xml:space="preserve">combined </w:t>
      </w:r>
      <w:r w:rsidR="00AA4162" w:rsidRPr="002A091D">
        <w:rPr>
          <w:color w:val="000000" w:themeColor="text1"/>
        </w:rPr>
        <w:t>impact</w:t>
      </w:r>
      <w:r w:rsidRPr="002A091D">
        <w:rPr>
          <w:color w:val="000000" w:themeColor="text1"/>
        </w:rPr>
        <w:t xml:space="preserve"> of trading frequency and transaction costs. </w:t>
      </w:r>
      <w:r w:rsidR="00E544DB" w:rsidRPr="002A091D">
        <w:rPr>
          <w:color w:val="000000" w:themeColor="text1"/>
        </w:rPr>
        <w:t xml:space="preserve">According to </w:t>
      </w:r>
      <w:r w:rsidRPr="002A091D">
        <w:rPr>
          <w:color w:val="000000" w:themeColor="text1"/>
        </w:rPr>
        <w:t xml:space="preserve">Florackis et </w:t>
      </w:r>
      <w:r w:rsidRPr="002A091D">
        <w:t>al. (</w:t>
      </w:r>
      <w:r w:rsidR="00805AF2" w:rsidRPr="002A091D">
        <w:t>2011),</w:t>
      </w:r>
      <w:r w:rsidRPr="002A091D">
        <w:t xml:space="preserve"> the main drawback of Chalmers and Kadlec’s (1998) proxy is</w:t>
      </w:r>
      <w:r w:rsidR="00357E41" w:rsidRPr="002A091D">
        <w:t xml:space="preserve"> the</w:t>
      </w:r>
      <w:r w:rsidRPr="002A091D">
        <w:t xml:space="preserve"> </w:t>
      </w:r>
      <w:r w:rsidR="00C33E32" w:rsidRPr="002A091D">
        <w:t>use</w:t>
      </w:r>
      <w:r w:rsidRPr="002A091D">
        <w:t xml:space="preserve"> </w:t>
      </w:r>
      <w:r w:rsidR="00E544DB" w:rsidRPr="002A091D">
        <w:t xml:space="preserve">of </w:t>
      </w:r>
      <w:r w:rsidRPr="002A091D">
        <w:t>bid–ask prices</w:t>
      </w:r>
      <w:r w:rsidR="00E544DB" w:rsidRPr="002A091D">
        <w:t xml:space="preserve"> in their analysis</w:t>
      </w:r>
      <w:r w:rsidRPr="002A091D">
        <w:t xml:space="preserve">. </w:t>
      </w:r>
      <w:r w:rsidR="00354217" w:rsidRPr="002A091D">
        <w:t>M</w:t>
      </w:r>
      <w:r w:rsidRPr="002A091D">
        <w:t>arket makers</w:t>
      </w:r>
      <w:r w:rsidR="00354217" w:rsidRPr="002A091D">
        <w:t xml:space="preserve"> influence and </w:t>
      </w:r>
      <w:r w:rsidRPr="002A091D">
        <w:t>manipulate the standards of data</w:t>
      </w:r>
      <w:r w:rsidR="00357E41" w:rsidRPr="002A091D">
        <w:t xml:space="preserve"> leading to </w:t>
      </w:r>
      <w:r w:rsidR="006165FF" w:rsidRPr="002A091D">
        <w:t xml:space="preserve">substantial </w:t>
      </w:r>
      <w:r w:rsidRPr="002A091D">
        <w:t xml:space="preserve">problems in collecting </w:t>
      </w:r>
      <w:r w:rsidR="009C3ECB" w:rsidRPr="002A091D">
        <w:t xml:space="preserve">stock </w:t>
      </w:r>
      <w:r w:rsidRPr="002A091D">
        <w:t xml:space="preserve">information quoted at a daily frequency.  </w:t>
      </w:r>
      <w:r w:rsidR="009F6DE8" w:rsidRPr="002A091D">
        <w:t>Moreover, s</w:t>
      </w:r>
      <w:r w:rsidR="009C1342" w:rsidRPr="002A091D">
        <w:t xml:space="preserve">tocks become illiquid </w:t>
      </w:r>
      <w:r w:rsidR="009F6DE8" w:rsidRPr="002A091D">
        <w:t>when</w:t>
      </w:r>
      <w:r w:rsidR="009C1342" w:rsidRPr="002A091D">
        <w:t xml:space="preserve"> the estimated trading cost</w:t>
      </w:r>
      <w:r w:rsidR="009F6DE8" w:rsidRPr="002A091D">
        <w:t xml:space="preserve"> rises</w:t>
      </w:r>
      <w:r w:rsidR="0044666C" w:rsidRPr="002A091D">
        <w:t>, which</w:t>
      </w:r>
      <w:r w:rsidR="009C1342" w:rsidRPr="002A091D">
        <w:t xml:space="preserve"> will not appeal</w:t>
      </w:r>
      <w:r w:rsidR="009F6DE8" w:rsidRPr="002A091D">
        <w:t xml:space="preserve"> to</w:t>
      </w:r>
      <w:r w:rsidR="009C1342" w:rsidRPr="002A091D">
        <w:t xml:space="preserve"> investors unless they carry a return premium. The aim of this </w:t>
      </w:r>
      <w:r w:rsidR="4F740116" w:rsidRPr="002A091D">
        <w:t>paper</w:t>
      </w:r>
      <w:r w:rsidR="009C1342" w:rsidRPr="002A091D">
        <w:t xml:space="preserve"> is to quantify the commonality risk premium (for e.g. see Anderson et al. 2015)</w:t>
      </w:r>
    </w:p>
    <w:p w14:paraId="4F3F5DFD" w14:textId="77777777" w:rsidR="00C77D44" w:rsidRPr="002A091D" w:rsidRDefault="00C77D44" w:rsidP="00F82474">
      <w:pPr>
        <w:pStyle w:val="Heading1"/>
      </w:pPr>
      <w:r w:rsidRPr="002A091D">
        <w:t>Related literature</w:t>
      </w:r>
      <w:r w:rsidR="00357E41" w:rsidRPr="002A091D">
        <w:t xml:space="preserve"> </w:t>
      </w:r>
    </w:p>
    <w:p w14:paraId="4D058B06" w14:textId="77777777" w:rsidR="00357E41" w:rsidRPr="002A091D" w:rsidRDefault="00357E41" w:rsidP="00357E41"/>
    <w:p w14:paraId="68B35665" w14:textId="77777777" w:rsidR="003C7C2C" w:rsidRPr="002A091D" w:rsidRDefault="00905E5C" w:rsidP="009F6B80">
      <w:pPr>
        <w:autoSpaceDE w:val="0"/>
        <w:autoSpaceDN w:val="0"/>
        <w:adjustRightInd w:val="0"/>
        <w:spacing w:line="480" w:lineRule="auto"/>
        <w:jc w:val="both"/>
      </w:pPr>
      <w:r w:rsidRPr="002A091D">
        <w:t xml:space="preserve">The literature mainly covers the impact </w:t>
      </w:r>
      <w:r w:rsidR="004C26CC" w:rsidRPr="002A091D">
        <w:t xml:space="preserve">of liquidity </w:t>
      </w:r>
      <w:r w:rsidRPr="002A091D">
        <w:t>on trading volume, turnover ratio, volatility</w:t>
      </w:r>
      <w:r w:rsidR="004A7B63" w:rsidRPr="002A091D">
        <w:t>,</w:t>
      </w:r>
      <w:r w:rsidRPr="002A091D">
        <w:t xml:space="preserve"> and </w:t>
      </w:r>
      <w:r w:rsidR="004C26CC" w:rsidRPr="002A091D">
        <w:t>simultaneously</w:t>
      </w:r>
      <w:r w:rsidR="004A7B63" w:rsidRPr="002A091D">
        <w:t>,</w:t>
      </w:r>
      <w:r w:rsidR="004C26CC" w:rsidRPr="002A091D">
        <w:t xml:space="preserve"> how </w:t>
      </w:r>
      <w:r w:rsidRPr="002A091D">
        <w:t>momentum effects liquidity measures</w:t>
      </w:r>
      <w:r w:rsidR="009F2065" w:rsidRPr="002A091D">
        <w:t>.</w:t>
      </w:r>
      <w:r w:rsidR="004A7B63" w:rsidRPr="002A091D">
        <w:t xml:space="preserve"> </w:t>
      </w:r>
      <w:r w:rsidR="003C7C2C" w:rsidRPr="002A091D">
        <w:t xml:space="preserve">Liu (2000) </w:t>
      </w:r>
      <w:r w:rsidR="003C7C2C" w:rsidRPr="002A091D">
        <w:lastRenderedPageBreak/>
        <w:t xml:space="preserve">examined the </w:t>
      </w:r>
      <w:r w:rsidR="009F6B80" w:rsidRPr="002A091D">
        <w:t xml:space="preserve">impact of </w:t>
      </w:r>
      <w:r w:rsidR="003C7C2C" w:rsidRPr="002A091D">
        <w:t>variations in the Nikkei 500 on</w:t>
      </w:r>
      <w:r w:rsidR="002075BE" w:rsidRPr="002A091D">
        <w:t xml:space="preserve"> stock prices and trade volumes.</w:t>
      </w:r>
      <w:r w:rsidR="003C7C2C" w:rsidRPr="002A091D">
        <w:t xml:space="preserve"> </w:t>
      </w:r>
      <w:r w:rsidR="002075BE" w:rsidRPr="002A091D">
        <w:t>H</w:t>
      </w:r>
      <w:r w:rsidR="007E463F" w:rsidRPr="002A091D">
        <w:t>owever</w:t>
      </w:r>
      <w:r w:rsidR="003C7C2C" w:rsidRPr="002A091D">
        <w:t>, he did not</w:t>
      </w:r>
      <w:r w:rsidR="002A31B3" w:rsidRPr="002A091D">
        <w:t xml:space="preserve"> find any evidence of liquidity</w:t>
      </w:r>
      <w:r w:rsidR="009F2065" w:rsidRPr="002A091D">
        <w:t xml:space="preserve"> effects</w:t>
      </w:r>
      <w:r w:rsidR="002A31B3" w:rsidRPr="002A091D">
        <w:t>.</w:t>
      </w:r>
      <w:r w:rsidR="003C7C2C" w:rsidRPr="002A091D">
        <w:t xml:space="preserve"> Another significant study conducted by Harris and Gurel (1986) used </w:t>
      </w:r>
      <w:r w:rsidR="001274D5" w:rsidRPr="002A091D">
        <w:t xml:space="preserve">surroundings announcements </w:t>
      </w:r>
      <w:r w:rsidR="0093118B" w:rsidRPr="002A091D">
        <w:t xml:space="preserve">of price and volume for </w:t>
      </w:r>
      <w:r w:rsidR="001274D5" w:rsidRPr="002A091D">
        <w:t>S&amp;P 500 list changes. Since these changes provide investors</w:t>
      </w:r>
      <w:r w:rsidR="002075BE" w:rsidRPr="002A091D">
        <w:t xml:space="preserve"> with</w:t>
      </w:r>
      <w:r w:rsidR="001274D5" w:rsidRPr="002A091D">
        <w:t xml:space="preserve"> an opportunity</w:t>
      </w:r>
      <w:r w:rsidR="007301E6" w:rsidRPr="002A091D">
        <w:t xml:space="preserve"> </w:t>
      </w:r>
      <w:r w:rsidR="001274D5" w:rsidRPr="002A091D">
        <w:t xml:space="preserve">to trade the </w:t>
      </w:r>
      <w:r w:rsidR="007301E6" w:rsidRPr="002A091D">
        <w:t xml:space="preserve">affected securities and since it is unlikely that changes convey information about the future prospects of these securities, they provide an </w:t>
      </w:r>
      <w:r w:rsidR="001274D5" w:rsidRPr="002A091D">
        <w:t>outstanding</w:t>
      </w:r>
      <w:r w:rsidR="007301E6" w:rsidRPr="002A091D">
        <w:t xml:space="preserve"> opportunity to study the price pressure</w:t>
      </w:r>
      <w:r w:rsidR="003C7C2C" w:rsidRPr="002A091D">
        <w:t xml:space="preserve">. Moreover, Liu (2006) examined the price and trade volume effects related to the </w:t>
      </w:r>
      <w:r w:rsidR="002E3D69" w:rsidRPr="002A091D">
        <w:t>rebalancing</w:t>
      </w:r>
      <w:r w:rsidR="003C7C2C" w:rsidRPr="002A091D">
        <w:t xml:space="preserve"> of the Nikkei 225, </w:t>
      </w:r>
      <w:r w:rsidR="00A73370" w:rsidRPr="002A091D">
        <w:t xml:space="preserve">and he </w:t>
      </w:r>
      <w:r w:rsidR="001164DD" w:rsidRPr="002A091D">
        <w:t xml:space="preserve">identified </w:t>
      </w:r>
      <w:r w:rsidR="002D3CED" w:rsidRPr="002A091D">
        <w:t xml:space="preserve">that </w:t>
      </w:r>
      <w:r w:rsidR="002E3D69" w:rsidRPr="002A091D">
        <w:t>the price effects are permanent for both addition and deletion despite significant price reversals around both the announcement and effective days.</w:t>
      </w:r>
      <w:r w:rsidR="003C7C2C" w:rsidRPr="002A091D">
        <w:t xml:space="preserve"> </w:t>
      </w:r>
    </w:p>
    <w:p w14:paraId="43064C24" w14:textId="77777777" w:rsidR="00357E41" w:rsidRPr="002A091D" w:rsidRDefault="00357E41" w:rsidP="00704A55">
      <w:pPr>
        <w:autoSpaceDE w:val="0"/>
        <w:autoSpaceDN w:val="0"/>
        <w:adjustRightInd w:val="0"/>
        <w:spacing w:line="480" w:lineRule="auto"/>
        <w:jc w:val="both"/>
      </w:pPr>
    </w:p>
    <w:p w14:paraId="63A3C6AF" w14:textId="77777777" w:rsidR="003C7C2C" w:rsidRPr="002A091D" w:rsidRDefault="003C7C2C" w:rsidP="00704A55">
      <w:pPr>
        <w:autoSpaceDE w:val="0"/>
        <w:autoSpaceDN w:val="0"/>
        <w:adjustRightInd w:val="0"/>
        <w:spacing w:line="480" w:lineRule="auto"/>
        <w:jc w:val="both"/>
      </w:pPr>
      <w:r w:rsidRPr="002A091D">
        <w:t xml:space="preserve">Acharya and Pedersen (2005) </w:t>
      </w:r>
      <w:r w:rsidR="00357E41" w:rsidRPr="002A091D">
        <w:t xml:space="preserve">establish </w:t>
      </w:r>
      <w:r w:rsidRPr="002A091D">
        <w:t xml:space="preserve">an integrated theoretical model </w:t>
      </w:r>
      <w:r w:rsidR="00704A55" w:rsidRPr="002A091D">
        <w:t>and</w:t>
      </w:r>
      <w:r w:rsidR="00357E41" w:rsidRPr="002A091D">
        <w:t xml:space="preserve"> suggest </w:t>
      </w:r>
      <w:r w:rsidRPr="002A091D">
        <w:t xml:space="preserve">three </w:t>
      </w:r>
      <w:r w:rsidR="00472056" w:rsidRPr="002A091D">
        <w:t>betas indicating different form</w:t>
      </w:r>
      <w:r w:rsidR="002D3CED" w:rsidRPr="002A091D">
        <w:t>s</w:t>
      </w:r>
      <w:r w:rsidR="00472056" w:rsidRPr="002A091D">
        <w:t xml:space="preserve"> of liquidity risk</w:t>
      </w:r>
      <w:r w:rsidRPr="002A091D">
        <w:t xml:space="preserve">: </w:t>
      </w:r>
      <w:r w:rsidR="008A151C" w:rsidRPr="002A091D">
        <w:t xml:space="preserve">(a) </w:t>
      </w:r>
      <w:r w:rsidRPr="002A091D">
        <w:t xml:space="preserve">the commonality of liquidity, which is based on the study by Chordia, Roll and Subrahmanyam (2000); </w:t>
      </w:r>
      <w:r w:rsidR="008A151C" w:rsidRPr="002A091D">
        <w:t xml:space="preserve">(b) </w:t>
      </w:r>
      <w:r w:rsidRPr="002A091D">
        <w:t xml:space="preserve">co-variance between the asset liquidity and the market return </w:t>
      </w:r>
      <w:r w:rsidR="00D07524" w:rsidRPr="002A091D">
        <w:t xml:space="preserve">in </w:t>
      </w:r>
      <w:r w:rsidRPr="002A091D">
        <w:t xml:space="preserve">Pastor and Stambaugh (2003); </w:t>
      </w:r>
      <w:r w:rsidR="006F7A7C" w:rsidRPr="002A091D">
        <w:t>and (c)</w:t>
      </w:r>
      <w:r w:rsidRPr="002A091D">
        <w:t xml:space="preserve"> </w:t>
      </w:r>
      <w:r w:rsidR="006F7A7C" w:rsidRPr="002A091D">
        <w:t xml:space="preserve">liquidity </w:t>
      </w:r>
      <w:r w:rsidRPr="002A091D">
        <w:t xml:space="preserve">risk premium, which is mentioned in various studies, such as those by Amihud and Mendelson (1986), Brennan, </w:t>
      </w:r>
      <w:r w:rsidR="002075BE" w:rsidRPr="002A091D">
        <w:t>Chordia and Subrahmanyam (1998) and</w:t>
      </w:r>
      <w:r w:rsidRPr="002A091D">
        <w:t xml:space="preserve"> Chordia, Subrahmanyam and Anshuman (2001).</w:t>
      </w:r>
    </w:p>
    <w:p w14:paraId="1D0A1DF7" w14:textId="77777777" w:rsidR="00357E41" w:rsidRPr="002A091D" w:rsidRDefault="00357E41" w:rsidP="00DD1260">
      <w:pPr>
        <w:autoSpaceDE w:val="0"/>
        <w:autoSpaceDN w:val="0"/>
        <w:adjustRightInd w:val="0"/>
        <w:spacing w:line="480" w:lineRule="auto"/>
        <w:jc w:val="both"/>
      </w:pPr>
    </w:p>
    <w:p w14:paraId="282C3FE9" w14:textId="77777777" w:rsidR="00F5165D" w:rsidRPr="002A091D" w:rsidRDefault="003C7C2C" w:rsidP="00F5165D">
      <w:pPr>
        <w:autoSpaceDE w:val="0"/>
        <w:autoSpaceDN w:val="0"/>
        <w:adjustRightInd w:val="0"/>
        <w:spacing w:line="480" w:lineRule="auto"/>
        <w:jc w:val="both"/>
      </w:pPr>
      <w:r w:rsidRPr="002A091D">
        <w:t xml:space="preserve">Huberman and Halka (2001) </w:t>
      </w:r>
      <w:r w:rsidR="00BA5BBB" w:rsidRPr="002A091D">
        <w:t xml:space="preserve">investigate four </w:t>
      </w:r>
      <w:r w:rsidRPr="002A091D">
        <w:t>systematic measures, namely the bid–ask spread, proportional spread (spread/price), depth (averaged number of shares traded at the bid–ask price) and dollar intensity (number of shares traded times transaction price). The</w:t>
      </w:r>
      <w:r w:rsidR="00DD1260" w:rsidRPr="002A091D">
        <w:t>y</w:t>
      </w:r>
      <w:r w:rsidRPr="002A091D">
        <w:t xml:space="preserve"> </w:t>
      </w:r>
      <w:r w:rsidR="00DD1260" w:rsidRPr="002A091D">
        <w:t xml:space="preserve">find </w:t>
      </w:r>
      <w:r w:rsidRPr="002A091D">
        <w:t xml:space="preserve">a positive relationship between the liquidity proxies and </w:t>
      </w:r>
      <w:r w:rsidR="00DD1260" w:rsidRPr="002A091D">
        <w:t>stock returns, however, they find a negative relationship between liquidity and volatility</w:t>
      </w:r>
      <w:r w:rsidRPr="002A091D">
        <w:t>.</w:t>
      </w:r>
      <w:r w:rsidR="00CB5A0F" w:rsidRPr="002A091D">
        <w:t xml:space="preserve"> </w:t>
      </w:r>
      <w:r w:rsidR="00357E41" w:rsidRPr="002A091D">
        <w:t>Cheung and Roca (2013) describe</w:t>
      </w:r>
      <w:r w:rsidR="00F5165D" w:rsidRPr="002A091D">
        <w:t xml:space="preserve"> the influence of returns, risk and liquidity of stocks, particularly </w:t>
      </w:r>
      <w:r w:rsidR="00F5165D" w:rsidRPr="002A091D">
        <w:lastRenderedPageBreak/>
        <w:t>in Asi</w:t>
      </w:r>
      <w:r w:rsidR="00357E41" w:rsidRPr="002A091D">
        <w:t>a Pacific markets. They examine</w:t>
      </w:r>
      <w:r w:rsidR="00F5165D" w:rsidRPr="002A091D">
        <w:t xml:space="preserve"> trade volumes and </w:t>
      </w:r>
      <w:r w:rsidR="002075BE" w:rsidRPr="002A091D">
        <w:t xml:space="preserve">bid–ask spreads to determine </w:t>
      </w:r>
      <w:r w:rsidR="00F5165D" w:rsidRPr="002A091D">
        <w:t xml:space="preserve">liquidity. </w:t>
      </w:r>
    </w:p>
    <w:p w14:paraId="449C8371" w14:textId="77777777" w:rsidR="002075BE" w:rsidRPr="002A091D" w:rsidRDefault="002075BE" w:rsidP="00386593">
      <w:pPr>
        <w:autoSpaceDE w:val="0"/>
        <w:autoSpaceDN w:val="0"/>
        <w:adjustRightInd w:val="0"/>
        <w:spacing w:line="480" w:lineRule="auto"/>
        <w:jc w:val="both"/>
      </w:pPr>
    </w:p>
    <w:p w14:paraId="436B6FED" w14:textId="77777777" w:rsidR="00A7211A" w:rsidRPr="002A091D" w:rsidRDefault="003C7C2C" w:rsidP="00386593">
      <w:pPr>
        <w:autoSpaceDE w:val="0"/>
        <w:autoSpaceDN w:val="0"/>
        <w:adjustRightInd w:val="0"/>
        <w:spacing w:line="480" w:lineRule="auto"/>
        <w:jc w:val="both"/>
      </w:pPr>
      <w:r w:rsidRPr="002A091D">
        <w:t>Furthermore, the liquidity risk premium has been examined through liquidity features using long–short methods in empirical research (e.g. S</w:t>
      </w:r>
      <w:r w:rsidR="00735AE7" w:rsidRPr="002A091D">
        <w:t>adka, 2003; Liu, 2006 and</w:t>
      </w:r>
      <w:r w:rsidR="00357E41" w:rsidRPr="002A091D">
        <w:t xml:space="preserve"> Florakis et al</w:t>
      </w:r>
      <w:r w:rsidRPr="002A091D">
        <w:t>, 2011).</w:t>
      </w:r>
      <w:r w:rsidR="00386593" w:rsidRPr="002A091D">
        <w:t xml:space="preserve"> </w:t>
      </w:r>
      <w:r w:rsidR="00A7211A" w:rsidRPr="002A091D">
        <w:t>Pereira and Zhang (2010</w:t>
      </w:r>
      <w:r w:rsidR="00357E41" w:rsidRPr="002A091D">
        <w:t>) report</w:t>
      </w:r>
      <w:r w:rsidR="00F7110C" w:rsidRPr="002A091D">
        <w:t xml:space="preserve"> a </w:t>
      </w:r>
      <w:r w:rsidR="00A7211A" w:rsidRPr="002A091D">
        <w:t>negative association between stock retu</w:t>
      </w:r>
      <w:r w:rsidR="00704A55" w:rsidRPr="002A091D">
        <w:t>rns and volatility of liquidity</w:t>
      </w:r>
      <w:r w:rsidR="009E11E3" w:rsidRPr="002A091D">
        <w:t xml:space="preserve">. </w:t>
      </w:r>
      <w:r w:rsidR="00357E41" w:rsidRPr="002A091D">
        <w:t>Barinov (2011) fin</w:t>
      </w:r>
      <w:r w:rsidR="00704A55" w:rsidRPr="002A091D">
        <w:t>d that the relationship between the volatility of turnover and asset return</w:t>
      </w:r>
      <w:r w:rsidR="002C3C2E" w:rsidRPr="002A091D">
        <w:t>s</w:t>
      </w:r>
      <w:r w:rsidR="00704A55" w:rsidRPr="002A091D">
        <w:t xml:space="preserve"> is negative due to the assets’ idiosyncratic risk, which has a positive relationship with turnover variability </w:t>
      </w:r>
      <w:r w:rsidR="00735AE7" w:rsidRPr="002A091D">
        <w:t>and aggregate return volatility</w:t>
      </w:r>
      <w:r w:rsidR="00704A55" w:rsidRPr="002A091D">
        <w:t xml:space="preserve"> (e.g. Campbell</w:t>
      </w:r>
      <w:r w:rsidR="0070210D" w:rsidRPr="002A091D">
        <w:t xml:space="preserve"> and Ammar</w:t>
      </w:r>
      <w:r w:rsidR="00704A55" w:rsidRPr="002A091D">
        <w:t>, 1993; Chen,</w:t>
      </w:r>
      <w:r w:rsidR="0070210D" w:rsidRPr="002A091D">
        <w:t xml:space="preserve"> Firth and Gao</w:t>
      </w:r>
      <w:r w:rsidR="00735AE7" w:rsidRPr="002A091D">
        <w:t xml:space="preserve"> 2002; Ang, Hodrick and Xing and</w:t>
      </w:r>
      <w:r w:rsidR="00704A55" w:rsidRPr="002A091D">
        <w:t xml:space="preserve"> Zhang, 2006).</w:t>
      </w:r>
      <w:r w:rsidR="009E11E3" w:rsidRPr="002A091D">
        <w:t xml:space="preserve"> </w:t>
      </w:r>
      <w:r w:rsidR="00A7211A" w:rsidRPr="002A091D">
        <w:t>Chordia, Subrahman</w:t>
      </w:r>
      <w:r w:rsidR="00357E41" w:rsidRPr="002A091D">
        <w:t>yam and Anshuman (2001) follow</w:t>
      </w:r>
      <w:r w:rsidR="00A7211A" w:rsidRPr="002A091D">
        <w:t xml:space="preserve"> the methodology of Brennan, Chordia and Subrahmanyam (1998)</w:t>
      </w:r>
      <w:r w:rsidR="00704A55" w:rsidRPr="002A091D">
        <w:t xml:space="preserve"> and </w:t>
      </w:r>
      <w:r w:rsidR="00357E41" w:rsidRPr="002A091D">
        <w:t>they discover</w:t>
      </w:r>
      <w:r w:rsidR="00F21580" w:rsidRPr="002A091D">
        <w:t xml:space="preserve"> </w:t>
      </w:r>
      <w:r w:rsidR="00A7211A" w:rsidRPr="002A091D">
        <w:t>that the level of liquidity is significantly priced in asset returns.</w:t>
      </w:r>
    </w:p>
    <w:p w14:paraId="0BB1A3D4" w14:textId="77777777" w:rsidR="00A7211A" w:rsidRPr="002A091D" w:rsidRDefault="00A7211A" w:rsidP="00704A55">
      <w:pPr>
        <w:autoSpaceDE w:val="0"/>
        <w:autoSpaceDN w:val="0"/>
        <w:adjustRightInd w:val="0"/>
        <w:spacing w:line="480" w:lineRule="auto"/>
        <w:jc w:val="both"/>
      </w:pPr>
      <w:r w:rsidRPr="002A091D">
        <w:t xml:space="preserve"> </w:t>
      </w:r>
    </w:p>
    <w:p w14:paraId="38E6AF7E" w14:textId="77777777" w:rsidR="00DF7B46" w:rsidRPr="002A091D" w:rsidRDefault="002150AB" w:rsidP="00DF7B46">
      <w:pPr>
        <w:autoSpaceDE w:val="0"/>
        <w:autoSpaceDN w:val="0"/>
        <w:adjustRightInd w:val="0"/>
        <w:spacing w:line="480" w:lineRule="auto"/>
        <w:jc w:val="both"/>
      </w:pPr>
      <w:r w:rsidRPr="002A091D">
        <w:t>Momentum is an important aspect for measuring liquidity. It is observed by determining whether the volatility of market liquidity controls the levels of market liquidity in relation to affecting and forecasting momentum profits.</w:t>
      </w:r>
      <w:r w:rsidR="00F85EBD" w:rsidRPr="002A091D">
        <w:t xml:space="preserve"> </w:t>
      </w:r>
      <w:r w:rsidRPr="002A091D">
        <w:t xml:space="preserve">Jegadeesh (1990) </w:t>
      </w:r>
      <w:r w:rsidR="00F85EBD" w:rsidRPr="002A091D">
        <w:t>reveal</w:t>
      </w:r>
      <w:r w:rsidRPr="002A091D">
        <w:t xml:space="preserve"> momentum with respect to forecasting the month forward continuous performance of asset returns. The later study by Jega</w:t>
      </w:r>
      <w:r w:rsidR="00F85EBD" w:rsidRPr="002A091D">
        <w:t>deesh and Titman (1993) examines</w:t>
      </w:r>
      <w:r w:rsidRPr="002A091D">
        <w:t xml:space="preserve"> the momentum effect of </w:t>
      </w:r>
      <w:r w:rsidR="00332FE6" w:rsidRPr="002A091D">
        <w:t>future</w:t>
      </w:r>
      <w:r w:rsidR="00F85EBD" w:rsidRPr="002A091D">
        <w:t xml:space="preserve"> months and find</w:t>
      </w:r>
      <w:r w:rsidRPr="002A091D">
        <w:t xml:space="preserve"> that assets that have a healthy performance in the last few months would remain as leaders.</w:t>
      </w:r>
      <w:r w:rsidR="00DF7B46" w:rsidRPr="002A091D">
        <w:t xml:space="preserve"> Other studies discussing the momentum effect for higher turnover assets </w:t>
      </w:r>
      <w:r w:rsidR="00805AF2" w:rsidRPr="002A091D">
        <w:t>include</w:t>
      </w:r>
      <w:r w:rsidR="00735AE7" w:rsidRPr="002A091D">
        <w:t xml:space="preserve"> </w:t>
      </w:r>
      <w:r w:rsidR="00DF7B46" w:rsidRPr="002A091D">
        <w:t>Grinblatt and Moskowitz 1999; Grundy and Martin 2001; Lee and Swaminathan 2000; Glaser and Weber 2003 and Sadka 2003.</w:t>
      </w:r>
    </w:p>
    <w:p w14:paraId="04E74673" w14:textId="77777777" w:rsidR="00F85EBD" w:rsidRPr="002A091D" w:rsidRDefault="00F85EBD" w:rsidP="00DF7B46">
      <w:pPr>
        <w:autoSpaceDE w:val="0"/>
        <w:autoSpaceDN w:val="0"/>
        <w:adjustRightInd w:val="0"/>
        <w:spacing w:line="480" w:lineRule="auto"/>
        <w:jc w:val="both"/>
      </w:pPr>
    </w:p>
    <w:p w14:paraId="37865CCE" w14:textId="77777777" w:rsidR="003510BF" w:rsidRPr="002A091D" w:rsidRDefault="006C38A0" w:rsidP="002A31B3">
      <w:pPr>
        <w:autoSpaceDE w:val="0"/>
        <w:autoSpaceDN w:val="0"/>
        <w:adjustRightInd w:val="0"/>
        <w:spacing w:line="480" w:lineRule="auto"/>
        <w:jc w:val="both"/>
      </w:pPr>
      <w:r w:rsidRPr="002A091D">
        <w:lastRenderedPageBreak/>
        <w:t>Th</w:t>
      </w:r>
      <w:r w:rsidR="00386593" w:rsidRPr="002A091D">
        <w:t xml:space="preserve">e most recent literature is </w:t>
      </w:r>
      <w:r w:rsidRPr="002A091D">
        <w:t>link</w:t>
      </w:r>
      <w:r w:rsidR="00332FE6" w:rsidRPr="002A091D">
        <w:t>ing</w:t>
      </w:r>
      <w:r w:rsidR="00386593" w:rsidRPr="002A091D">
        <w:t xml:space="preserve"> </w:t>
      </w:r>
      <w:r w:rsidR="00332FE6" w:rsidRPr="002A091D">
        <w:t xml:space="preserve">the </w:t>
      </w:r>
      <w:r w:rsidRPr="002A091D">
        <w:t>momentum anomaly to market liquidity</w:t>
      </w:r>
      <w:r w:rsidR="002A31B3" w:rsidRPr="002A091D">
        <w:t xml:space="preserve"> (e.g. Chordia, Subrahmanyam and Tong 2014). </w:t>
      </w:r>
      <w:r w:rsidR="00F5165D" w:rsidRPr="002A091D">
        <w:t>Avramov, Cheng and Hameed (2015) provided empirical support for the suggestion that the results of momentum portfolios rely significantly on market illiquidity. They studied the influence of market illiquidity on momentum profit, observing decreased</w:t>
      </w:r>
      <w:r w:rsidR="00F85EBD" w:rsidRPr="002A091D">
        <w:t xml:space="preserve"> (increased)</w:t>
      </w:r>
      <w:r w:rsidR="00F5165D" w:rsidRPr="002A091D">
        <w:t xml:space="preserve"> momentum profit </w:t>
      </w:r>
      <w:r w:rsidR="00F85EBD" w:rsidRPr="002A091D">
        <w:t>in</w:t>
      </w:r>
      <w:r w:rsidR="00F5165D" w:rsidRPr="002A091D">
        <w:t xml:space="preserve"> an illiquid</w:t>
      </w:r>
      <w:r w:rsidR="00F85EBD" w:rsidRPr="002A091D">
        <w:t xml:space="preserve"> (liquid)</w:t>
      </w:r>
      <w:r w:rsidR="002A31B3" w:rsidRPr="002A091D">
        <w:t>.</w:t>
      </w:r>
      <w:r w:rsidR="00767DFE" w:rsidRPr="002A091D">
        <w:t xml:space="preserve"> </w:t>
      </w:r>
      <w:r w:rsidR="00C55A11" w:rsidRPr="002A091D">
        <w:t>Stoll (2000) observe</w:t>
      </w:r>
      <w:r w:rsidR="003510BF" w:rsidRPr="002A091D">
        <w:t xml:space="preserve"> a negative relationship between transaction costs and market capitalization. The fundamental reason for this association is liquidity provision.</w:t>
      </w:r>
    </w:p>
    <w:p w14:paraId="38A31910" w14:textId="77777777" w:rsidR="00C55A11" w:rsidRPr="002A091D" w:rsidRDefault="00C55A11" w:rsidP="007C00DD">
      <w:pPr>
        <w:autoSpaceDE w:val="0"/>
        <w:autoSpaceDN w:val="0"/>
        <w:adjustRightInd w:val="0"/>
        <w:spacing w:line="480" w:lineRule="auto"/>
        <w:jc w:val="both"/>
      </w:pPr>
    </w:p>
    <w:p w14:paraId="64054690" w14:textId="77777777" w:rsidR="00704A55" w:rsidRPr="002A091D" w:rsidRDefault="006C38A0" w:rsidP="003B0904">
      <w:pPr>
        <w:autoSpaceDE w:val="0"/>
        <w:autoSpaceDN w:val="0"/>
        <w:adjustRightInd w:val="0"/>
        <w:spacing w:line="480" w:lineRule="auto"/>
        <w:jc w:val="both"/>
      </w:pPr>
      <w:r w:rsidRPr="002A091D">
        <w:t xml:space="preserve">The emerging markets </w:t>
      </w:r>
      <w:r w:rsidR="00767DFE" w:rsidRPr="002A091D">
        <w:t>literature</w:t>
      </w:r>
      <w:r w:rsidRPr="002A091D">
        <w:t xml:space="preserve"> suggest</w:t>
      </w:r>
      <w:r w:rsidR="00767DFE" w:rsidRPr="002A091D">
        <w:t>s</w:t>
      </w:r>
      <w:r w:rsidRPr="002A091D">
        <w:t xml:space="preserve"> that government and family members within the company po</w:t>
      </w:r>
      <w:r w:rsidR="002A31B3" w:rsidRPr="002A091D">
        <w:t xml:space="preserve">ssibly interfere in the </w:t>
      </w:r>
      <w:r w:rsidR="00767DFE" w:rsidRPr="002A091D">
        <w:t xml:space="preserve">capital </w:t>
      </w:r>
      <w:r w:rsidR="002A31B3" w:rsidRPr="002A091D">
        <w:t>market (</w:t>
      </w:r>
      <w:r w:rsidRPr="002A091D">
        <w:t>Bhanot and Kadapkkam 2006</w:t>
      </w:r>
      <w:r w:rsidR="002A31B3" w:rsidRPr="002A091D">
        <w:t xml:space="preserve">). The contrary argument </w:t>
      </w:r>
      <w:r w:rsidR="00C55A11" w:rsidRPr="002A091D">
        <w:t>presented by Chan et al. (2004),</w:t>
      </w:r>
      <w:r w:rsidR="002A31B3" w:rsidRPr="002A091D">
        <w:t xml:space="preserve"> </w:t>
      </w:r>
      <w:r w:rsidR="00C55A11" w:rsidRPr="002A091D">
        <w:t>find</w:t>
      </w:r>
      <w:r w:rsidR="002A31B3" w:rsidRPr="002A091D">
        <w:t xml:space="preserve"> </w:t>
      </w:r>
      <w:r w:rsidR="00386593" w:rsidRPr="002A091D">
        <w:t xml:space="preserve">a </w:t>
      </w:r>
      <w:r w:rsidR="002A31B3" w:rsidRPr="002A091D">
        <w:t xml:space="preserve">positive association </w:t>
      </w:r>
      <w:r w:rsidR="3CF6C819" w:rsidRPr="002A091D">
        <w:t>between</w:t>
      </w:r>
      <w:r w:rsidR="002A31B3" w:rsidRPr="002A091D">
        <w:t xml:space="preserve"> the price effect and the government’s holdings or a fall in the free float. </w:t>
      </w:r>
      <w:r w:rsidR="00C55A11" w:rsidRPr="002A091D">
        <w:t xml:space="preserve"> </w:t>
      </w:r>
      <w:r w:rsidR="00DE55F3" w:rsidRPr="002A091D">
        <w:t>Mostly the literature cover</w:t>
      </w:r>
      <w:r w:rsidR="5130492A" w:rsidRPr="002A091D">
        <w:t>s</w:t>
      </w:r>
      <w:r w:rsidR="00566D47" w:rsidRPr="002A091D">
        <w:t xml:space="preserve"> the</w:t>
      </w:r>
      <w:r w:rsidR="00DE55F3" w:rsidRPr="002A091D">
        <w:t xml:space="preserve"> </w:t>
      </w:r>
      <w:r w:rsidR="003B0904" w:rsidRPr="002A091D">
        <w:t>liquidity impact of</w:t>
      </w:r>
      <w:r w:rsidR="00566D47" w:rsidRPr="002A091D">
        <w:t xml:space="preserve"> the Amihud (2002)</w:t>
      </w:r>
      <w:r w:rsidR="003B0904" w:rsidRPr="002A091D">
        <w:t xml:space="preserve"> price impact ratio </w:t>
      </w:r>
      <w:r w:rsidR="00566D47" w:rsidRPr="002A091D">
        <w:t xml:space="preserve">in </w:t>
      </w:r>
      <w:r w:rsidR="003B0904" w:rsidRPr="002A091D">
        <w:t xml:space="preserve">developed markets. </w:t>
      </w:r>
      <w:r w:rsidR="00332FE6" w:rsidRPr="002A091D">
        <w:t>The p</w:t>
      </w:r>
      <w:r w:rsidR="003B0904" w:rsidRPr="002A091D">
        <w:t xml:space="preserve">resent study integrating the two different price impact ratios in the </w:t>
      </w:r>
      <w:r w:rsidR="00C55A11" w:rsidRPr="002A091D">
        <w:t>context of PS</w:t>
      </w:r>
      <w:r w:rsidR="00CF6D3C" w:rsidRPr="002A091D">
        <w:t>X</w:t>
      </w:r>
      <w:r w:rsidR="00C55A11" w:rsidRPr="002A091D">
        <w:t>,</w:t>
      </w:r>
      <w:r w:rsidR="003B0904" w:rsidRPr="002A091D">
        <w:t xml:space="preserve"> </w:t>
      </w:r>
      <w:r w:rsidR="00332FE6" w:rsidRPr="002A091D">
        <w:t xml:space="preserve">will also give an interesting perspective on </w:t>
      </w:r>
      <w:r w:rsidR="003B0904" w:rsidRPr="002A091D">
        <w:t xml:space="preserve">emerging markets.   </w:t>
      </w:r>
      <w:r w:rsidR="00DE55F3" w:rsidRPr="002A091D">
        <w:t xml:space="preserve">  </w:t>
      </w:r>
      <w:r w:rsidR="002A31B3" w:rsidRPr="002A091D">
        <w:t xml:space="preserve"> </w:t>
      </w:r>
    </w:p>
    <w:p w14:paraId="3970F4A7" w14:textId="77777777" w:rsidR="002A31B3" w:rsidRPr="002A091D" w:rsidRDefault="002A31B3" w:rsidP="002A31B3">
      <w:pPr>
        <w:autoSpaceDE w:val="0"/>
        <w:autoSpaceDN w:val="0"/>
        <w:adjustRightInd w:val="0"/>
        <w:spacing w:line="480" w:lineRule="auto"/>
        <w:jc w:val="both"/>
      </w:pPr>
      <w:r w:rsidRPr="002A091D">
        <w:t xml:space="preserve"> </w:t>
      </w:r>
    </w:p>
    <w:p w14:paraId="3D668B8D" w14:textId="77777777" w:rsidR="00F6150E" w:rsidRPr="002A091D" w:rsidRDefault="00F6150E" w:rsidP="00F82474">
      <w:pPr>
        <w:pStyle w:val="Heading1"/>
      </w:pPr>
      <w:bookmarkStart w:id="8" w:name="_Toc489702872"/>
      <w:bookmarkStart w:id="9" w:name="_Toc489732455"/>
      <w:r w:rsidRPr="002A091D">
        <w:t xml:space="preserve">Data and </w:t>
      </w:r>
      <w:bookmarkEnd w:id="8"/>
      <w:bookmarkEnd w:id="9"/>
      <w:r w:rsidR="008F6FA7" w:rsidRPr="002A091D">
        <w:t>Sample</w:t>
      </w:r>
    </w:p>
    <w:p w14:paraId="220474BE" w14:textId="77777777" w:rsidR="00C55A11" w:rsidRPr="002A091D" w:rsidRDefault="00C55A11" w:rsidP="00C55A11"/>
    <w:p w14:paraId="1FFF72AB" w14:textId="77777777" w:rsidR="00F6150E" w:rsidRPr="002A091D" w:rsidRDefault="00F6150E" w:rsidP="00A50966">
      <w:pPr>
        <w:autoSpaceDE w:val="0"/>
        <w:autoSpaceDN w:val="0"/>
        <w:adjustRightInd w:val="0"/>
        <w:spacing w:line="480" w:lineRule="auto"/>
        <w:jc w:val="both"/>
        <w:rPr>
          <w:color w:val="000000"/>
          <w:lang w:eastAsia="en-GB"/>
        </w:rPr>
      </w:pPr>
      <w:r w:rsidRPr="002A091D">
        <w:t xml:space="preserve">The preliminary sample of common stocks was collected from the </w:t>
      </w:r>
      <w:r w:rsidR="00314DE8" w:rsidRPr="002A091D">
        <w:t xml:space="preserve">386 </w:t>
      </w:r>
      <w:r w:rsidRPr="002A091D">
        <w:t>companies</w:t>
      </w:r>
      <w:r w:rsidR="00314DE8" w:rsidRPr="002A091D">
        <w:t xml:space="preserve"> </w:t>
      </w:r>
      <w:r w:rsidRPr="002A091D">
        <w:t>liste</w:t>
      </w:r>
      <w:r w:rsidR="00834F6A" w:rsidRPr="002A091D">
        <w:t>d on the PS</w:t>
      </w:r>
      <w:r w:rsidR="00CF6D3C" w:rsidRPr="002A091D">
        <w:t>X</w:t>
      </w:r>
      <w:r w:rsidRPr="002A091D">
        <w:t xml:space="preserve"> from January 2005 to December 201</w:t>
      </w:r>
      <w:r w:rsidR="00660396" w:rsidRPr="002A091D">
        <w:t>9</w:t>
      </w:r>
      <w:r w:rsidRPr="002A091D">
        <w:t xml:space="preserve">. </w:t>
      </w:r>
      <w:r w:rsidR="00660396" w:rsidRPr="002A091D">
        <w:t>Listed</w:t>
      </w:r>
      <w:r w:rsidRPr="002A091D">
        <w:t xml:space="preserve"> and </w:t>
      </w:r>
      <w:r w:rsidR="00332FE6" w:rsidRPr="002A091D">
        <w:t>delisted</w:t>
      </w:r>
      <w:r w:rsidRPr="002A091D">
        <w:t xml:space="preserve"> stocks</w:t>
      </w:r>
      <w:r w:rsidR="0084131F" w:rsidRPr="002A091D">
        <w:t xml:space="preserve"> were considered and</w:t>
      </w:r>
      <w:r w:rsidR="00332FE6" w:rsidRPr="002A091D">
        <w:t xml:space="preserve"> </w:t>
      </w:r>
      <w:r w:rsidRPr="002A091D">
        <w:t xml:space="preserve">companies that were delisted in the sample period </w:t>
      </w:r>
      <w:r w:rsidR="00660396" w:rsidRPr="002A091D">
        <w:t>are</w:t>
      </w:r>
      <w:r w:rsidR="00C045BD" w:rsidRPr="002A091D">
        <w:t xml:space="preserve"> </w:t>
      </w:r>
      <w:r w:rsidRPr="002A091D">
        <w:t>included in our analysis</w:t>
      </w:r>
      <w:r w:rsidR="0084131F" w:rsidRPr="002A091D">
        <w:t xml:space="preserve"> to avoid any</w:t>
      </w:r>
      <w:r w:rsidRPr="002A091D">
        <w:t xml:space="preserve"> survivorship </w:t>
      </w:r>
      <w:r w:rsidR="0084131F" w:rsidRPr="002A091D">
        <w:t xml:space="preserve">bias </w:t>
      </w:r>
      <w:r w:rsidRPr="002A091D">
        <w:t xml:space="preserve">(see, e.g., Florackis et al., 2011). </w:t>
      </w:r>
      <w:r w:rsidR="00A50966" w:rsidRPr="002A091D">
        <w:t xml:space="preserve">Stock data </w:t>
      </w:r>
      <w:r w:rsidR="00332FE6" w:rsidRPr="002A091D">
        <w:t>was</w:t>
      </w:r>
      <w:r w:rsidRPr="002A091D">
        <w:t xml:space="preserve"> collect</w:t>
      </w:r>
      <w:r w:rsidR="00834F6A" w:rsidRPr="002A091D">
        <w:t>ed from DataStream and the data</w:t>
      </w:r>
      <w:r w:rsidRPr="002A091D">
        <w:t xml:space="preserve">set </w:t>
      </w:r>
      <w:r w:rsidR="00BC53E8" w:rsidRPr="002A091D">
        <w:t>was</w:t>
      </w:r>
      <w:r w:rsidRPr="002A091D">
        <w:t xml:space="preserve"> compared with the official data source of the </w:t>
      </w:r>
      <w:r w:rsidR="003F6664" w:rsidRPr="002A091D">
        <w:t>PSX</w:t>
      </w:r>
      <w:r w:rsidR="00DF6E89" w:rsidRPr="002A091D">
        <w:t>. We</w:t>
      </w:r>
      <w:r w:rsidRPr="002A091D">
        <w:t xml:space="preserve"> </w:t>
      </w:r>
      <w:r w:rsidR="00BC53E8" w:rsidRPr="002A091D">
        <w:t>obtain</w:t>
      </w:r>
      <w:r w:rsidRPr="002A091D">
        <w:t xml:space="preserve"> daily data on a broad set of variables </w:t>
      </w:r>
      <w:r w:rsidR="002255A1" w:rsidRPr="002A091D">
        <w:t>including</w:t>
      </w:r>
      <w:r w:rsidRPr="002A091D">
        <w:t xml:space="preserve"> trading volume </w:t>
      </w:r>
      <w:r w:rsidRPr="002A091D">
        <w:rPr>
          <w:color w:val="000000"/>
          <w:lang w:eastAsia="en-GB"/>
        </w:rPr>
        <w:t>(the number of shares traded for a stock on a particular day)</w:t>
      </w:r>
      <w:r w:rsidRPr="002A091D">
        <w:t xml:space="preserve">, </w:t>
      </w:r>
      <w:r w:rsidRPr="002A091D">
        <w:rPr>
          <w:color w:val="000000"/>
          <w:lang w:eastAsia="en-GB"/>
        </w:rPr>
        <w:t xml:space="preserve">turnover (the ratio of the trading volume to the number of shares outstanding), market value (the share price </w:t>
      </w:r>
      <w:r w:rsidRPr="002A091D">
        <w:rPr>
          <w:color w:val="000000"/>
          <w:lang w:eastAsia="en-GB"/>
        </w:rPr>
        <w:lastRenderedPageBreak/>
        <w:t xml:space="preserve">multiplied by the number of outstanding ordinary shares) and the price-to-book value ratio (the share price divided by the book value per share). </w:t>
      </w:r>
    </w:p>
    <w:p w14:paraId="25DED533" w14:textId="77777777" w:rsidR="00F6150E" w:rsidRPr="002A091D" w:rsidRDefault="00F6150E" w:rsidP="00F6150E">
      <w:pPr>
        <w:pStyle w:val="Heading2"/>
        <w:spacing w:before="0" w:after="0" w:line="480" w:lineRule="auto"/>
        <w:rPr>
          <w:lang w:eastAsia="en-GB"/>
        </w:rPr>
      </w:pPr>
      <w:bookmarkStart w:id="10" w:name="_Toc489702874"/>
      <w:bookmarkStart w:id="11" w:name="_Toc489732457"/>
      <w:r w:rsidRPr="002A091D">
        <w:rPr>
          <w:lang w:eastAsia="en-GB"/>
        </w:rPr>
        <w:t>Research Methodology</w:t>
      </w:r>
      <w:bookmarkEnd w:id="10"/>
      <w:bookmarkEnd w:id="11"/>
    </w:p>
    <w:p w14:paraId="70A5DF83" w14:textId="77777777" w:rsidR="00834F6A" w:rsidRPr="002A091D" w:rsidRDefault="00834F6A" w:rsidP="00834F6A"/>
    <w:p w14:paraId="267CAA90" w14:textId="77777777" w:rsidR="00834F6A" w:rsidRPr="002A091D" w:rsidRDefault="00A50966" w:rsidP="00C875A2">
      <w:pPr>
        <w:autoSpaceDE w:val="0"/>
        <w:autoSpaceDN w:val="0"/>
        <w:adjustRightInd w:val="0"/>
        <w:spacing w:line="480" w:lineRule="auto"/>
        <w:jc w:val="both"/>
        <w:rPr>
          <w:color w:val="000000"/>
          <w:lang w:eastAsia="en-GB"/>
        </w:rPr>
      </w:pPr>
      <w:r w:rsidRPr="002A091D">
        <w:rPr>
          <w:color w:val="000000"/>
          <w:lang w:eastAsia="en-GB"/>
        </w:rPr>
        <w:t>We</w:t>
      </w:r>
      <w:r w:rsidR="00F6150E" w:rsidRPr="002A091D">
        <w:rPr>
          <w:color w:val="000000"/>
          <w:lang w:eastAsia="en-GB"/>
        </w:rPr>
        <w:t xml:space="preserve"> appl</w:t>
      </w:r>
      <w:r w:rsidRPr="002A091D">
        <w:rPr>
          <w:color w:val="000000"/>
          <w:lang w:eastAsia="en-GB"/>
        </w:rPr>
        <w:t>y</w:t>
      </w:r>
      <w:r w:rsidR="00F6150E" w:rsidRPr="002A091D">
        <w:rPr>
          <w:color w:val="000000"/>
          <w:lang w:eastAsia="en-GB"/>
        </w:rPr>
        <w:t xml:space="preserve"> two alternative price impact ratios, namely</w:t>
      </w:r>
      <w:r w:rsidR="002767EC" w:rsidRPr="002A091D">
        <w:rPr>
          <w:color w:val="000000"/>
          <w:lang w:eastAsia="en-GB"/>
        </w:rPr>
        <w:t>,</w:t>
      </w:r>
      <w:r w:rsidR="00F6150E" w:rsidRPr="002A091D">
        <w:rPr>
          <w:color w:val="000000"/>
          <w:lang w:eastAsia="en-GB"/>
        </w:rPr>
        <w:t xml:space="preserve"> the price impact ra</w:t>
      </w:r>
      <w:r w:rsidR="00D403DA" w:rsidRPr="002A091D">
        <w:rPr>
          <w:color w:val="000000"/>
          <w:lang w:eastAsia="en-GB"/>
        </w:rPr>
        <w:t>tio developed by Amihud (2002), (RtoV)</w:t>
      </w:r>
      <w:r w:rsidR="00F6150E" w:rsidRPr="002A091D">
        <w:rPr>
          <w:color w:val="000000"/>
          <w:lang w:eastAsia="en-GB"/>
        </w:rPr>
        <w:t xml:space="preserve">, which is measured on the basis of the average ratio of the absolute daily return to the equivalent </w:t>
      </w:r>
      <w:r w:rsidR="00834F6A" w:rsidRPr="002A091D">
        <w:rPr>
          <w:color w:val="000000"/>
          <w:lang w:eastAsia="en-GB"/>
        </w:rPr>
        <w:t>PKR</w:t>
      </w:r>
      <w:r w:rsidR="00F6150E" w:rsidRPr="002A091D">
        <w:rPr>
          <w:color w:val="000000"/>
          <w:lang w:eastAsia="en-GB"/>
        </w:rPr>
        <w:t xml:space="preserve"> trading volume</w:t>
      </w:r>
      <w:r w:rsidR="002767EC" w:rsidRPr="002A091D">
        <w:rPr>
          <w:color w:val="000000"/>
          <w:lang w:eastAsia="en-GB"/>
        </w:rPr>
        <w:t>.</w:t>
      </w:r>
      <w:r w:rsidR="00F6150E" w:rsidRPr="002A091D">
        <w:rPr>
          <w:color w:val="000000"/>
          <w:lang w:eastAsia="en-GB"/>
        </w:rPr>
        <w:t xml:space="preserve"> </w:t>
      </w:r>
      <w:r w:rsidR="002767EC" w:rsidRPr="002A091D">
        <w:rPr>
          <w:color w:val="000000"/>
          <w:lang w:eastAsia="en-GB"/>
        </w:rPr>
        <w:t xml:space="preserve">The </w:t>
      </w:r>
      <w:r w:rsidR="00F6150E" w:rsidRPr="002A091D">
        <w:rPr>
          <w:color w:val="000000"/>
          <w:lang w:eastAsia="en-GB"/>
        </w:rPr>
        <w:t>second new price impact ratio</w:t>
      </w:r>
      <w:r w:rsidR="002767EC" w:rsidRPr="002A091D">
        <w:rPr>
          <w:color w:val="000000"/>
          <w:lang w:eastAsia="en-GB"/>
        </w:rPr>
        <w:t xml:space="preserve"> (</w:t>
      </w:r>
      <w:r w:rsidR="00D403DA" w:rsidRPr="002A091D">
        <w:rPr>
          <w:color w:val="000000"/>
          <w:lang w:eastAsia="en-GB"/>
        </w:rPr>
        <w:t>RtoTR</w:t>
      </w:r>
      <w:r w:rsidR="002767EC" w:rsidRPr="002A091D">
        <w:rPr>
          <w:color w:val="000000"/>
          <w:lang w:eastAsia="en-GB"/>
        </w:rPr>
        <w:t>)</w:t>
      </w:r>
      <w:r w:rsidR="00F6150E" w:rsidRPr="002A091D">
        <w:rPr>
          <w:color w:val="000000"/>
          <w:lang w:eastAsia="en-GB"/>
        </w:rPr>
        <w:t>, aims to determine the monthly average ratio of the absolute daily returns to the equivalent turnover rate</w:t>
      </w:r>
      <w:r w:rsidR="00955962" w:rsidRPr="002A091D">
        <w:rPr>
          <w:color w:val="000000"/>
          <w:lang w:eastAsia="en-GB"/>
        </w:rPr>
        <w:t xml:space="preserve"> (</w:t>
      </w:r>
      <w:r w:rsidR="00955962" w:rsidRPr="002A091D">
        <w:t>Florackis et al., 2011)</w:t>
      </w:r>
      <w:r w:rsidR="00F6150E" w:rsidRPr="002A091D">
        <w:rPr>
          <w:color w:val="000000"/>
          <w:lang w:eastAsia="en-GB"/>
        </w:rPr>
        <w:t xml:space="preserve">. </w:t>
      </w:r>
    </w:p>
    <w:p w14:paraId="17A82776" w14:textId="77777777" w:rsidR="00F6150E" w:rsidRPr="002A091D" w:rsidRDefault="00F6150E" w:rsidP="00C875A2">
      <w:pPr>
        <w:autoSpaceDE w:val="0"/>
        <w:autoSpaceDN w:val="0"/>
        <w:adjustRightInd w:val="0"/>
        <w:spacing w:line="480" w:lineRule="auto"/>
        <w:jc w:val="both"/>
        <w:rPr>
          <w:color w:val="000000"/>
          <w:lang w:eastAsia="en-GB"/>
        </w:rPr>
      </w:pPr>
      <w:r w:rsidRPr="002A091D">
        <w:rPr>
          <w:color w:val="000000"/>
          <w:lang w:eastAsia="en-GB"/>
        </w:rPr>
        <w:t xml:space="preserve"> </w:t>
      </w:r>
    </w:p>
    <w:p w14:paraId="28FEA8D8" w14:textId="77777777" w:rsidR="002255A1" w:rsidRPr="002A091D" w:rsidRDefault="00F6150E" w:rsidP="000779C2">
      <w:pPr>
        <w:autoSpaceDE w:val="0"/>
        <w:autoSpaceDN w:val="0"/>
        <w:adjustRightInd w:val="0"/>
        <w:spacing w:line="480" w:lineRule="auto"/>
        <w:jc w:val="both"/>
      </w:pPr>
      <w:r w:rsidRPr="002A091D">
        <w:t xml:space="preserve">For </w:t>
      </w:r>
      <w:r w:rsidR="000779C2" w:rsidRPr="002A091D">
        <w:t xml:space="preserve">empirical </w:t>
      </w:r>
      <w:r w:rsidRPr="002A091D">
        <w:t xml:space="preserve">examination of the asset-pricing models, </w:t>
      </w:r>
      <w:r w:rsidR="000779C2" w:rsidRPr="002A091D">
        <w:t>we employ a number of factors, such as</w:t>
      </w:r>
      <w:r w:rsidRPr="002A091D">
        <w:t xml:space="preserve"> size, value and momentum. Considering the size factor, all the listed firms are categorized according to their market capitalization in month t-1. The top 30% stocks are consider</w:t>
      </w:r>
      <w:r w:rsidR="001650E1" w:rsidRPr="002A091D">
        <w:t>ed</w:t>
      </w:r>
      <w:r w:rsidRPr="002A091D">
        <w:t xml:space="preserve"> </w:t>
      </w:r>
      <w:r w:rsidR="00805AF2" w:rsidRPr="002A091D">
        <w:t>the</w:t>
      </w:r>
      <w:r w:rsidRPr="002A091D">
        <w:t xml:space="preserve"> ‘big size’ portfolio, a</w:t>
      </w:r>
      <w:r w:rsidR="00D403DA" w:rsidRPr="002A091D">
        <w:t>nd the bottom 30% reflect</w:t>
      </w:r>
      <w:r w:rsidRPr="002A091D">
        <w:t xml:space="preserve"> </w:t>
      </w:r>
      <w:r w:rsidR="00805AF2" w:rsidRPr="002A091D">
        <w:t>the</w:t>
      </w:r>
      <w:r w:rsidRPr="002A091D">
        <w:t xml:space="preserve"> ‘small size’ portfolio. The difference between the big and th</w:t>
      </w:r>
      <w:r w:rsidR="00D403DA" w:rsidRPr="002A091D">
        <w:t>e small portfolios is defined</w:t>
      </w:r>
      <w:r w:rsidRPr="002A091D">
        <w:t xml:space="preserve"> as the size factor of the (Small </w:t>
      </w:r>
      <w:r w:rsidR="00805AF2" w:rsidRPr="002A091D">
        <w:t>minus</w:t>
      </w:r>
      <w:r w:rsidRPr="002A091D">
        <w:t xml:space="preserve"> Big)</w:t>
      </w:r>
      <w:r w:rsidR="001650E1" w:rsidRPr="002A091D">
        <w:t xml:space="preserve"> </w:t>
      </w:r>
      <w:r w:rsidRPr="002A091D">
        <w:t xml:space="preserve">t return in month t. </w:t>
      </w:r>
    </w:p>
    <w:p w14:paraId="4CA02B2D" w14:textId="77777777" w:rsidR="00834F6A" w:rsidRPr="002A091D" w:rsidRDefault="00834F6A" w:rsidP="006F562E">
      <w:pPr>
        <w:autoSpaceDE w:val="0"/>
        <w:autoSpaceDN w:val="0"/>
        <w:adjustRightInd w:val="0"/>
        <w:spacing w:line="480" w:lineRule="auto"/>
        <w:jc w:val="both"/>
      </w:pPr>
    </w:p>
    <w:p w14:paraId="37A54CD7" w14:textId="77777777" w:rsidR="00440AAB" w:rsidRPr="002A091D" w:rsidRDefault="00814353" w:rsidP="006F562E">
      <w:pPr>
        <w:autoSpaceDE w:val="0"/>
        <w:autoSpaceDN w:val="0"/>
        <w:adjustRightInd w:val="0"/>
        <w:spacing w:line="480" w:lineRule="auto"/>
        <w:jc w:val="both"/>
      </w:pPr>
      <w:r w:rsidRPr="002A091D">
        <w:t xml:space="preserve">In terms of </w:t>
      </w:r>
      <w:r w:rsidR="00063BD7" w:rsidRPr="002A091D">
        <w:t xml:space="preserve">the </w:t>
      </w:r>
      <w:r w:rsidR="00F6150E" w:rsidRPr="002A091D">
        <w:t>momentum factor, all the listed stocks are rank</w:t>
      </w:r>
      <w:r w:rsidR="001650E1" w:rsidRPr="002A091D">
        <w:t>ed</w:t>
      </w:r>
      <w:r w:rsidR="00F6150E" w:rsidRPr="002A091D">
        <w:t xml:space="preserve"> in month t-1 based on their returns from month t-13 to month t-2. The first 30% (value-weighted) of t</w:t>
      </w:r>
      <w:r w:rsidR="00D403DA" w:rsidRPr="002A091D">
        <w:t>he overall stocks are labelled</w:t>
      </w:r>
      <w:r w:rsidR="00F6150E" w:rsidRPr="002A091D">
        <w:t xml:space="preserve"> as ‘winners’, and the last 30% are </w:t>
      </w:r>
      <w:r w:rsidR="00D403DA" w:rsidRPr="002A091D">
        <w:t>identified</w:t>
      </w:r>
      <w:r w:rsidR="00F6150E" w:rsidRPr="002A091D">
        <w:t xml:space="preserve"> to be ‘losers’. The difference between the monthly returns in month t is reflected as the momentum factor return (MOMt). </w:t>
      </w:r>
      <w:r w:rsidR="00063BD7" w:rsidRPr="002A091D">
        <w:t>The government treasury rates in Pakistan</w:t>
      </w:r>
      <w:r w:rsidR="00F6150E" w:rsidRPr="002A091D">
        <w:t xml:space="preserve"> </w:t>
      </w:r>
      <w:r w:rsidR="00063BD7" w:rsidRPr="002A091D">
        <w:t>are used as proxies for the</w:t>
      </w:r>
      <w:r w:rsidR="00F6150E" w:rsidRPr="002A091D">
        <w:t xml:space="preserve"> risk-free rate</w:t>
      </w:r>
      <w:r w:rsidR="008D4B4B" w:rsidRPr="002A091D">
        <w:t>.</w:t>
      </w:r>
      <w:r w:rsidR="00F6150E" w:rsidRPr="002A091D">
        <w:t xml:space="preserve"> </w:t>
      </w:r>
    </w:p>
    <w:p w14:paraId="5B81B8BC" w14:textId="77777777" w:rsidR="00834F6A" w:rsidRPr="002A091D" w:rsidRDefault="00834F6A" w:rsidP="006F562E">
      <w:pPr>
        <w:autoSpaceDE w:val="0"/>
        <w:autoSpaceDN w:val="0"/>
        <w:adjustRightInd w:val="0"/>
        <w:spacing w:line="480" w:lineRule="auto"/>
        <w:jc w:val="both"/>
      </w:pPr>
    </w:p>
    <w:p w14:paraId="1A98DBF7" w14:textId="77777777" w:rsidR="00931A82" w:rsidRPr="002A091D" w:rsidRDefault="00931A82" w:rsidP="006F562E">
      <w:pPr>
        <w:autoSpaceDE w:val="0"/>
        <w:autoSpaceDN w:val="0"/>
        <w:adjustRightInd w:val="0"/>
        <w:spacing w:line="480" w:lineRule="auto"/>
        <w:jc w:val="both"/>
      </w:pPr>
    </w:p>
    <w:p w14:paraId="753B5A22" w14:textId="77777777" w:rsidR="00931A82" w:rsidRPr="002A091D" w:rsidRDefault="00931A82" w:rsidP="006F562E">
      <w:pPr>
        <w:autoSpaceDE w:val="0"/>
        <w:autoSpaceDN w:val="0"/>
        <w:adjustRightInd w:val="0"/>
        <w:spacing w:line="480" w:lineRule="auto"/>
        <w:jc w:val="both"/>
      </w:pPr>
    </w:p>
    <w:p w14:paraId="00FDCE87" w14:textId="77777777" w:rsidR="00931A82" w:rsidRPr="002A091D" w:rsidRDefault="00931A82" w:rsidP="006F562E">
      <w:pPr>
        <w:autoSpaceDE w:val="0"/>
        <w:autoSpaceDN w:val="0"/>
        <w:adjustRightInd w:val="0"/>
        <w:spacing w:line="480" w:lineRule="auto"/>
        <w:jc w:val="both"/>
      </w:pPr>
    </w:p>
    <w:p w14:paraId="23E8D468" w14:textId="77777777" w:rsidR="00F6150E" w:rsidRPr="002A091D" w:rsidRDefault="00F6150E" w:rsidP="00F82474">
      <w:pPr>
        <w:pStyle w:val="Heading2"/>
        <w:rPr>
          <w:lang w:eastAsia="en-GB"/>
        </w:rPr>
      </w:pPr>
      <w:r w:rsidRPr="002A091D">
        <w:rPr>
          <w:lang w:eastAsia="en-GB"/>
        </w:rPr>
        <w:t>Descriptive Statistics</w:t>
      </w:r>
    </w:p>
    <w:p w14:paraId="36295893" w14:textId="77777777" w:rsidR="00486FEE" w:rsidRPr="002A091D" w:rsidRDefault="00DE6260" w:rsidP="00D16D0D">
      <w:pPr>
        <w:pStyle w:val="Heading3"/>
        <w:spacing w:before="0" w:beforeAutospacing="0" w:after="0" w:afterAutospacing="0" w:line="480" w:lineRule="auto"/>
        <w:rPr>
          <w:rFonts w:asciiTheme="majorBidi" w:hAnsiTheme="majorBidi" w:cstheme="majorBidi"/>
          <w:sz w:val="24"/>
          <w:szCs w:val="24"/>
        </w:rPr>
      </w:pPr>
      <w:bookmarkStart w:id="12" w:name="_Toc489702887"/>
      <w:bookmarkStart w:id="13" w:name="_Toc489732470"/>
      <w:r w:rsidRPr="002A091D">
        <w:rPr>
          <w:sz w:val="24"/>
          <w:szCs w:val="24"/>
        </w:rPr>
        <w:t xml:space="preserve">Return-to-Volume (RtoV) Price Impact Ratio </w:t>
      </w:r>
      <w:bookmarkEnd w:id="12"/>
      <w:bookmarkEnd w:id="13"/>
    </w:p>
    <w:p w14:paraId="6B37C69F" w14:textId="77777777" w:rsidR="00DE6260" w:rsidRPr="002A091D" w:rsidRDefault="00CB0690" w:rsidP="38AC33BA">
      <w:pPr>
        <w:autoSpaceDE w:val="0"/>
        <w:autoSpaceDN w:val="0"/>
        <w:adjustRightInd w:val="0"/>
        <w:spacing w:line="480" w:lineRule="auto"/>
        <w:jc w:val="both"/>
        <w:rPr>
          <w:color w:val="000000" w:themeColor="text1"/>
        </w:rPr>
      </w:pPr>
      <w:r w:rsidRPr="002A091D">
        <w:rPr>
          <w:color w:val="000000" w:themeColor="text1"/>
        </w:rPr>
        <w:t>T</w:t>
      </w:r>
      <w:r w:rsidR="00DE6260" w:rsidRPr="002A091D">
        <w:rPr>
          <w:color w:val="000000" w:themeColor="text1"/>
        </w:rPr>
        <w:t>able</w:t>
      </w:r>
      <w:r w:rsidR="00CB521B" w:rsidRPr="002A091D">
        <w:rPr>
          <w:color w:val="000000" w:themeColor="text1"/>
        </w:rPr>
        <w:t xml:space="preserve"> </w:t>
      </w:r>
      <w:r w:rsidR="00440AAB" w:rsidRPr="002A091D">
        <w:rPr>
          <w:color w:val="000000" w:themeColor="text1"/>
        </w:rPr>
        <w:t>2</w:t>
      </w:r>
      <w:r w:rsidR="00DE6260" w:rsidRPr="002A091D">
        <w:rPr>
          <w:color w:val="000000" w:themeColor="text1"/>
        </w:rPr>
        <w:t xml:space="preserve"> shows the descriptive analysis of 10 portfolios based on the RtoV ratio. </w:t>
      </w:r>
      <w:r w:rsidR="00032F29" w:rsidRPr="002A091D">
        <w:rPr>
          <w:color w:val="000000" w:themeColor="text1"/>
        </w:rPr>
        <w:t>T</w:t>
      </w:r>
      <w:r w:rsidR="00DE6260" w:rsidRPr="002A091D">
        <w:rPr>
          <w:color w:val="000000" w:themeColor="text1"/>
        </w:rPr>
        <w:t>he portfolios with the highest RtoV ratios achieve considerably higher mean returns than the lowest RtoV ratio portfolio, but</w:t>
      </w:r>
      <w:r w:rsidR="007A1337" w:rsidRPr="002A091D">
        <w:rPr>
          <w:color w:val="000000" w:themeColor="text1"/>
        </w:rPr>
        <w:t xml:space="preserve"> the opposite</w:t>
      </w:r>
      <w:r w:rsidR="00DE6260" w:rsidRPr="002A091D">
        <w:rPr>
          <w:color w:val="000000" w:themeColor="text1"/>
        </w:rPr>
        <w:t xml:space="preserve"> applies to the </w:t>
      </w:r>
      <w:r w:rsidR="00133163" w:rsidRPr="002A091D">
        <w:rPr>
          <w:color w:val="000000" w:themeColor="text1"/>
        </w:rPr>
        <w:t>Market Value (</w:t>
      </w:r>
      <w:r w:rsidR="00DE6260" w:rsidRPr="002A091D">
        <w:rPr>
          <w:color w:val="000000" w:themeColor="text1"/>
        </w:rPr>
        <w:t>MV</w:t>
      </w:r>
      <w:r w:rsidR="00133163" w:rsidRPr="002A091D">
        <w:rPr>
          <w:color w:val="000000" w:themeColor="text1"/>
        </w:rPr>
        <w:t>)</w:t>
      </w:r>
      <w:r w:rsidR="00DE6260" w:rsidRPr="002A091D">
        <w:rPr>
          <w:color w:val="000000" w:themeColor="text1"/>
        </w:rPr>
        <w:t xml:space="preserve"> and </w:t>
      </w:r>
      <w:r w:rsidR="008436EC" w:rsidRPr="002A091D">
        <w:rPr>
          <w:color w:val="000000" w:themeColor="text1"/>
        </w:rPr>
        <w:t>Capital Asset Pricing Model (</w:t>
      </w:r>
      <w:r w:rsidR="00DE6260" w:rsidRPr="002A091D">
        <w:rPr>
          <w:color w:val="000000" w:themeColor="text1"/>
        </w:rPr>
        <w:t>CAPM</w:t>
      </w:r>
      <w:r w:rsidR="008436EC" w:rsidRPr="002A091D">
        <w:rPr>
          <w:color w:val="000000" w:themeColor="text1"/>
        </w:rPr>
        <w:t>)</w:t>
      </w:r>
      <w:r w:rsidR="00DE6260" w:rsidRPr="002A091D">
        <w:rPr>
          <w:color w:val="000000" w:themeColor="text1"/>
        </w:rPr>
        <w:t xml:space="preserve"> beta. Moreover, </w:t>
      </w:r>
      <w:r w:rsidR="002E5755" w:rsidRPr="002A091D">
        <w:rPr>
          <w:color w:val="000000" w:themeColor="text1"/>
        </w:rPr>
        <w:t>analyzing</w:t>
      </w:r>
      <w:r w:rsidR="00DE6260" w:rsidRPr="002A091D">
        <w:rPr>
          <w:color w:val="000000" w:themeColor="text1"/>
        </w:rPr>
        <w:t xml:space="preserve"> portfolios 1 to 10 </w:t>
      </w:r>
      <w:r w:rsidR="00267530" w:rsidRPr="002A091D">
        <w:rPr>
          <w:color w:val="000000" w:themeColor="text1"/>
        </w:rPr>
        <w:t xml:space="preserve">indicates that </w:t>
      </w:r>
      <w:r w:rsidR="00DE6260" w:rsidRPr="002A091D">
        <w:rPr>
          <w:color w:val="000000" w:themeColor="text1"/>
        </w:rPr>
        <w:t xml:space="preserve">the average portfolio returns are increasing in all our descriptive analyses. This clearly </w:t>
      </w:r>
      <w:r w:rsidR="00267530" w:rsidRPr="002A091D">
        <w:rPr>
          <w:color w:val="000000" w:themeColor="text1"/>
        </w:rPr>
        <w:t xml:space="preserve">shows </w:t>
      </w:r>
      <w:r w:rsidR="00DE6260" w:rsidRPr="002A091D">
        <w:rPr>
          <w:color w:val="000000" w:themeColor="text1"/>
        </w:rPr>
        <w:t xml:space="preserve">that the highest trading volume stocks do not </w:t>
      </w:r>
      <w:r w:rsidR="00267530" w:rsidRPr="002A091D">
        <w:rPr>
          <w:color w:val="000000" w:themeColor="text1"/>
        </w:rPr>
        <w:t xml:space="preserve">necessarily </w:t>
      </w:r>
      <w:r w:rsidR="00DE6260" w:rsidRPr="002A091D">
        <w:rPr>
          <w:color w:val="000000" w:themeColor="text1"/>
        </w:rPr>
        <w:t>generate higher mean returns. Th</w:t>
      </w:r>
      <w:r w:rsidR="00D31A1F" w:rsidRPr="002A091D">
        <w:rPr>
          <w:color w:val="000000" w:themeColor="text1"/>
        </w:rPr>
        <w:t>e</w:t>
      </w:r>
      <w:r w:rsidR="00DE6260" w:rsidRPr="002A091D">
        <w:rPr>
          <w:color w:val="000000" w:themeColor="text1"/>
        </w:rPr>
        <w:t xml:space="preserve"> trend </w:t>
      </w:r>
      <w:r w:rsidR="001E1F45" w:rsidRPr="002A091D">
        <w:rPr>
          <w:color w:val="000000" w:themeColor="text1"/>
        </w:rPr>
        <w:t xml:space="preserve">for P10 to perform better than P1 </w:t>
      </w:r>
      <w:r w:rsidR="00DE6260" w:rsidRPr="002A091D">
        <w:rPr>
          <w:color w:val="000000" w:themeColor="text1"/>
        </w:rPr>
        <w:t xml:space="preserve">occurs in </w:t>
      </w:r>
      <w:r w:rsidR="23C04C32" w:rsidRPr="002A091D">
        <w:rPr>
          <w:color w:val="000000" w:themeColor="text1"/>
        </w:rPr>
        <w:t>equall</w:t>
      </w:r>
      <w:r w:rsidR="718DDCC9" w:rsidRPr="002A091D">
        <w:rPr>
          <w:color w:val="000000" w:themeColor="text1"/>
        </w:rPr>
        <w:t>y</w:t>
      </w:r>
      <w:r w:rsidR="0FFDF32A" w:rsidRPr="002A091D">
        <w:rPr>
          <w:color w:val="000000" w:themeColor="text1"/>
        </w:rPr>
        <w:t>-</w:t>
      </w:r>
      <w:r w:rsidR="23C04C32" w:rsidRPr="002A091D">
        <w:rPr>
          <w:color w:val="000000" w:themeColor="text1"/>
        </w:rPr>
        <w:t>weighted (</w:t>
      </w:r>
      <w:r w:rsidR="00DE6260" w:rsidRPr="002A091D">
        <w:rPr>
          <w:color w:val="000000" w:themeColor="text1"/>
        </w:rPr>
        <w:t>EW</w:t>
      </w:r>
      <w:r w:rsidR="3E5E89B8" w:rsidRPr="002A091D">
        <w:rPr>
          <w:color w:val="000000" w:themeColor="text1"/>
        </w:rPr>
        <w:t>)</w:t>
      </w:r>
      <w:r w:rsidR="00DE6260" w:rsidRPr="002A091D">
        <w:rPr>
          <w:color w:val="000000" w:themeColor="text1"/>
        </w:rPr>
        <w:t xml:space="preserve"> returns as well as </w:t>
      </w:r>
      <w:r w:rsidR="5D60C96E" w:rsidRPr="002A091D">
        <w:rPr>
          <w:color w:val="000000" w:themeColor="text1"/>
        </w:rPr>
        <w:t>value</w:t>
      </w:r>
      <w:r w:rsidR="2C469779" w:rsidRPr="002A091D">
        <w:rPr>
          <w:color w:val="000000" w:themeColor="text1"/>
        </w:rPr>
        <w:t>-</w:t>
      </w:r>
      <w:r w:rsidR="5D60C96E" w:rsidRPr="002A091D">
        <w:rPr>
          <w:color w:val="000000" w:themeColor="text1"/>
        </w:rPr>
        <w:t>weighted (</w:t>
      </w:r>
      <w:r w:rsidR="00DE6260" w:rsidRPr="002A091D">
        <w:rPr>
          <w:color w:val="000000" w:themeColor="text1"/>
        </w:rPr>
        <w:t>VW</w:t>
      </w:r>
      <w:r w:rsidR="7725D622" w:rsidRPr="002A091D">
        <w:rPr>
          <w:color w:val="000000" w:themeColor="text1"/>
        </w:rPr>
        <w:t>)</w:t>
      </w:r>
      <w:r w:rsidR="00DE6260" w:rsidRPr="002A091D">
        <w:rPr>
          <w:color w:val="000000" w:themeColor="text1"/>
        </w:rPr>
        <w:t xml:space="preserve"> returns. The difference is observed as </w:t>
      </w:r>
      <w:r w:rsidR="00032F29" w:rsidRPr="002A091D">
        <w:rPr>
          <w:color w:val="000000" w:themeColor="text1"/>
        </w:rPr>
        <w:t>28.419</w:t>
      </w:r>
      <w:r w:rsidR="00DE6260" w:rsidRPr="002A091D">
        <w:rPr>
          <w:color w:val="000000" w:themeColor="text1"/>
        </w:rPr>
        <w:t xml:space="preserve">% p.a. (t = </w:t>
      </w:r>
      <w:r w:rsidR="00032F29" w:rsidRPr="002A091D">
        <w:rPr>
          <w:color w:val="000000" w:themeColor="text1"/>
        </w:rPr>
        <w:t>7.346</w:t>
      </w:r>
      <w:r w:rsidR="00DE6260" w:rsidRPr="002A091D">
        <w:rPr>
          <w:color w:val="000000" w:themeColor="text1"/>
        </w:rPr>
        <w:t>) for equally</w:t>
      </w:r>
      <w:r w:rsidR="52D4585A" w:rsidRPr="002A091D">
        <w:rPr>
          <w:color w:val="000000" w:themeColor="text1"/>
        </w:rPr>
        <w:t>-</w:t>
      </w:r>
      <w:r w:rsidR="00DE6260" w:rsidRPr="002A091D">
        <w:rPr>
          <w:color w:val="000000" w:themeColor="text1"/>
        </w:rPr>
        <w:t>weighted stocks</w:t>
      </w:r>
      <w:r w:rsidR="00267530" w:rsidRPr="002A091D">
        <w:rPr>
          <w:color w:val="000000" w:themeColor="text1"/>
        </w:rPr>
        <w:t>,</w:t>
      </w:r>
      <w:r w:rsidR="00DE6260" w:rsidRPr="002A091D">
        <w:rPr>
          <w:color w:val="000000" w:themeColor="text1"/>
        </w:rPr>
        <w:t xml:space="preserve"> and </w:t>
      </w:r>
      <w:r w:rsidR="00032F29" w:rsidRPr="002A091D">
        <w:rPr>
          <w:color w:val="000000" w:themeColor="text1"/>
        </w:rPr>
        <w:t xml:space="preserve">9.763% </w:t>
      </w:r>
      <w:r w:rsidR="00DE6260" w:rsidRPr="002A091D">
        <w:rPr>
          <w:color w:val="000000" w:themeColor="text1"/>
        </w:rPr>
        <w:t xml:space="preserve">p.a. (t = </w:t>
      </w:r>
      <w:r w:rsidR="00032F29" w:rsidRPr="002A091D">
        <w:rPr>
          <w:color w:val="000000" w:themeColor="text1"/>
        </w:rPr>
        <w:t>18.986</w:t>
      </w:r>
      <w:r w:rsidR="00DE6260" w:rsidRPr="002A091D">
        <w:rPr>
          <w:color w:val="000000" w:themeColor="text1"/>
        </w:rPr>
        <w:t xml:space="preserve">) for valueweighted returns.  </w:t>
      </w:r>
    </w:p>
    <w:p w14:paraId="55CBA15F" w14:textId="77777777" w:rsidR="007A1337" w:rsidRPr="002A091D" w:rsidRDefault="007A1337" w:rsidP="00267530">
      <w:pPr>
        <w:autoSpaceDE w:val="0"/>
        <w:autoSpaceDN w:val="0"/>
        <w:adjustRightInd w:val="0"/>
        <w:spacing w:line="480" w:lineRule="auto"/>
        <w:jc w:val="both"/>
        <w:rPr>
          <w:bCs/>
        </w:rPr>
      </w:pPr>
    </w:p>
    <w:p w14:paraId="7FFA8AA8" w14:textId="77777777" w:rsidR="00486FEE" w:rsidRPr="002A091D" w:rsidRDefault="00AE09A3" w:rsidP="38AC33BA">
      <w:pPr>
        <w:spacing w:line="480" w:lineRule="auto"/>
        <w:jc w:val="both"/>
        <w:rPr>
          <w:color w:val="000000" w:themeColor="text1"/>
        </w:rPr>
      </w:pPr>
      <w:r w:rsidRPr="002A091D">
        <w:rPr>
          <w:color w:val="000000" w:themeColor="text1"/>
        </w:rPr>
        <w:t>On the other hand,</w:t>
      </w:r>
      <w:r w:rsidR="00DE6260" w:rsidRPr="002A091D">
        <w:rPr>
          <w:color w:val="000000" w:themeColor="text1"/>
        </w:rPr>
        <w:t xml:space="preserve"> the average market capitalization of stocks in each portfoli</w:t>
      </w:r>
      <w:r w:rsidR="0008555E" w:rsidRPr="002A091D">
        <w:rPr>
          <w:color w:val="000000" w:themeColor="text1"/>
        </w:rPr>
        <w:t>o declines almost monotonically</w:t>
      </w:r>
      <w:r w:rsidR="00DE6260" w:rsidRPr="002A091D">
        <w:rPr>
          <w:color w:val="000000" w:themeColor="text1"/>
        </w:rPr>
        <w:t xml:space="preserve">. </w:t>
      </w:r>
      <w:r w:rsidR="00530EE1" w:rsidRPr="002A091D">
        <w:rPr>
          <w:color w:val="000000" w:themeColor="text1"/>
        </w:rPr>
        <w:t>The</w:t>
      </w:r>
      <w:r w:rsidR="00DE6260" w:rsidRPr="002A091D">
        <w:rPr>
          <w:color w:val="000000" w:themeColor="text1"/>
        </w:rPr>
        <w:t xml:space="preserve"> RtoV </w:t>
      </w:r>
      <w:r w:rsidR="00782746" w:rsidRPr="002A091D">
        <w:rPr>
          <w:color w:val="000000" w:themeColor="text1"/>
        </w:rPr>
        <w:t>exhibits high</w:t>
      </w:r>
      <w:r w:rsidR="00DE6260" w:rsidRPr="002A091D">
        <w:rPr>
          <w:color w:val="000000" w:themeColor="text1"/>
        </w:rPr>
        <w:t xml:space="preserve"> negative correlation with market capitalization. These results are aligned with those of Florackis et al. (2011), </w:t>
      </w:r>
      <w:r w:rsidR="00145A3F" w:rsidRPr="002A091D">
        <w:rPr>
          <w:color w:val="000000" w:themeColor="text1"/>
        </w:rPr>
        <w:t>who also argue</w:t>
      </w:r>
      <w:r w:rsidR="00DE6260" w:rsidRPr="002A091D">
        <w:rPr>
          <w:color w:val="000000" w:themeColor="text1"/>
        </w:rPr>
        <w:t xml:space="preserve"> whether the spread noticed in Table </w:t>
      </w:r>
      <w:r w:rsidR="00417F7C" w:rsidRPr="002A091D">
        <w:rPr>
          <w:color w:val="000000" w:themeColor="text1"/>
        </w:rPr>
        <w:t>2</w:t>
      </w:r>
      <w:r w:rsidR="00DE6260" w:rsidRPr="002A091D">
        <w:rPr>
          <w:color w:val="000000" w:themeColor="text1"/>
        </w:rPr>
        <w:t xml:space="preserve"> can be </w:t>
      </w:r>
      <w:r w:rsidR="002E5755" w:rsidRPr="002A091D">
        <w:rPr>
          <w:color w:val="000000" w:themeColor="text1"/>
        </w:rPr>
        <w:t>analyzed</w:t>
      </w:r>
      <w:r w:rsidR="00DE6260" w:rsidRPr="002A091D">
        <w:rPr>
          <w:color w:val="000000" w:themeColor="text1"/>
        </w:rPr>
        <w:t xml:space="preserve"> as </w:t>
      </w:r>
      <w:r w:rsidR="009510B2" w:rsidRPr="002A091D">
        <w:rPr>
          <w:color w:val="000000" w:themeColor="text1"/>
        </w:rPr>
        <w:t>a size or illiquidity premium. I</w:t>
      </w:r>
      <w:r w:rsidR="00DE6260" w:rsidRPr="002A091D">
        <w:rPr>
          <w:color w:val="000000" w:themeColor="text1"/>
        </w:rPr>
        <w:t xml:space="preserve">n Table </w:t>
      </w:r>
      <w:r w:rsidR="00417F7C" w:rsidRPr="002A091D">
        <w:rPr>
          <w:color w:val="000000" w:themeColor="text1"/>
        </w:rPr>
        <w:t>2</w:t>
      </w:r>
      <w:r w:rsidR="00EA1B52" w:rsidRPr="002A091D">
        <w:rPr>
          <w:color w:val="000000" w:themeColor="text1"/>
        </w:rPr>
        <w:t>,</w:t>
      </w:r>
      <w:r w:rsidR="00DE6260" w:rsidRPr="002A091D">
        <w:rPr>
          <w:color w:val="000000" w:themeColor="text1"/>
        </w:rPr>
        <w:t xml:space="preserve"> the remaining outcomes exp</w:t>
      </w:r>
      <w:r w:rsidR="00DF2D74" w:rsidRPr="002A091D">
        <w:rPr>
          <w:color w:val="000000" w:themeColor="text1"/>
        </w:rPr>
        <w:t>lain that portfolios constructed</w:t>
      </w:r>
      <w:r w:rsidR="00DE6260" w:rsidRPr="002A091D">
        <w:rPr>
          <w:color w:val="000000" w:themeColor="text1"/>
        </w:rPr>
        <w:t xml:space="preserve"> on low</w:t>
      </w:r>
      <w:r w:rsidR="00032F29" w:rsidRPr="002A091D">
        <w:rPr>
          <w:color w:val="000000" w:themeColor="text1"/>
        </w:rPr>
        <w:t>er and higher</w:t>
      </w:r>
      <w:r w:rsidR="00DE6260" w:rsidRPr="002A091D">
        <w:rPr>
          <w:color w:val="000000" w:themeColor="text1"/>
        </w:rPr>
        <w:t xml:space="preserve"> RtoV ratios tend to show higher average price-to-book ratios than </w:t>
      </w:r>
      <w:r w:rsidR="328FEF68" w:rsidRPr="002A091D">
        <w:rPr>
          <w:color w:val="000000" w:themeColor="text1"/>
        </w:rPr>
        <w:t xml:space="preserve">portfolios of </w:t>
      </w:r>
      <w:r w:rsidR="00DE6260" w:rsidRPr="002A091D">
        <w:rPr>
          <w:color w:val="000000" w:themeColor="text1"/>
        </w:rPr>
        <w:t>stocks established</w:t>
      </w:r>
      <w:r w:rsidR="00032F29" w:rsidRPr="002A091D">
        <w:rPr>
          <w:color w:val="000000" w:themeColor="text1"/>
        </w:rPr>
        <w:t xml:space="preserve"> with central (P3 to P7)</w:t>
      </w:r>
      <w:r w:rsidR="00DE6260" w:rsidRPr="002A091D">
        <w:rPr>
          <w:color w:val="000000" w:themeColor="text1"/>
        </w:rPr>
        <w:t xml:space="preserve"> RtoV values. Lastly, the average beta of stocks </w:t>
      </w:r>
      <w:r w:rsidR="7B05151D" w:rsidRPr="002A091D">
        <w:rPr>
          <w:color w:val="000000" w:themeColor="text1"/>
        </w:rPr>
        <w:t>reduces</w:t>
      </w:r>
      <w:r w:rsidR="00EA1B52" w:rsidRPr="002A091D">
        <w:rPr>
          <w:color w:val="000000" w:themeColor="text1"/>
        </w:rPr>
        <w:t xml:space="preserve">from </w:t>
      </w:r>
      <w:r w:rsidR="009510B2" w:rsidRPr="002A091D">
        <w:rPr>
          <w:color w:val="000000" w:themeColor="text1"/>
        </w:rPr>
        <w:t xml:space="preserve">one or close to one </w:t>
      </w:r>
      <w:r w:rsidR="5B132B93" w:rsidRPr="002A091D">
        <w:rPr>
          <w:color w:val="000000" w:themeColor="text1"/>
        </w:rPr>
        <w:t>as</w:t>
      </w:r>
      <w:r w:rsidR="00A16CC7" w:rsidRPr="002A091D">
        <w:rPr>
          <w:color w:val="000000" w:themeColor="text1"/>
        </w:rPr>
        <w:t xml:space="preserve"> the</w:t>
      </w:r>
      <w:r w:rsidR="00DE6260" w:rsidRPr="002A091D">
        <w:rPr>
          <w:color w:val="000000" w:themeColor="text1"/>
        </w:rPr>
        <w:t xml:space="preserve"> RtoV ratio </w:t>
      </w:r>
      <w:r w:rsidR="4F2CC4A4" w:rsidRPr="002A091D">
        <w:rPr>
          <w:color w:val="000000" w:themeColor="text1"/>
        </w:rPr>
        <w:t>becomes</w:t>
      </w:r>
      <w:r w:rsidR="00DE6260" w:rsidRPr="002A091D">
        <w:rPr>
          <w:color w:val="000000" w:themeColor="text1"/>
        </w:rPr>
        <w:t xml:space="preserve"> lower. This shows that </w:t>
      </w:r>
      <w:r w:rsidR="0008555E" w:rsidRPr="002A091D">
        <w:rPr>
          <w:color w:val="000000" w:themeColor="text1"/>
        </w:rPr>
        <w:t xml:space="preserve">stocks within </w:t>
      </w:r>
      <w:r w:rsidR="00DE6260" w:rsidRPr="002A091D">
        <w:rPr>
          <w:color w:val="000000" w:themeColor="text1"/>
        </w:rPr>
        <w:t xml:space="preserve">portfolios are </w:t>
      </w:r>
      <w:r w:rsidR="001E1F45" w:rsidRPr="002A091D">
        <w:rPr>
          <w:color w:val="000000" w:themeColor="text1"/>
        </w:rPr>
        <w:t>less</w:t>
      </w:r>
      <w:r w:rsidR="00DE6260" w:rsidRPr="002A091D">
        <w:rPr>
          <w:color w:val="000000" w:themeColor="text1"/>
        </w:rPr>
        <w:t xml:space="preserve"> volatile </w:t>
      </w:r>
      <w:r w:rsidR="0093608E" w:rsidRPr="002A091D">
        <w:rPr>
          <w:color w:val="000000" w:themeColor="text1"/>
        </w:rPr>
        <w:t xml:space="preserve">when </w:t>
      </w:r>
      <w:r w:rsidR="00DE6260" w:rsidRPr="002A091D">
        <w:rPr>
          <w:color w:val="000000" w:themeColor="text1"/>
        </w:rPr>
        <w:t>moving from portfolio 1</w:t>
      </w:r>
      <w:r w:rsidR="0008555E" w:rsidRPr="002A091D">
        <w:rPr>
          <w:color w:val="000000" w:themeColor="text1"/>
        </w:rPr>
        <w:t xml:space="preserve"> to</w:t>
      </w:r>
      <w:r w:rsidR="00DE6260" w:rsidRPr="002A091D">
        <w:rPr>
          <w:color w:val="000000" w:themeColor="text1"/>
        </w:rPr>
        <w:t xml:space="preserve"> portfolio 10.</w:t>
      </w:r>
    </w:p>
    <w:p w14:paraId="49A6445E" w14:textId="77777777" w:rsidR="00D16D0D" w:rsidRPr="002A091D" w:rsidRDefault="00D16D0D" w:rsidP="00267530">
      <w:pPr>
        <w:spacing w:line="480" w:lineRule="auto"/>
        <w:jc w:val="both"/>
        <w:rPr>
          <w:bCs/>
        </w:rPr>
      </w:pPr>
    </w:p>
    <w:p w14:paraId="0A99B560" w14:textId="77777777" w:rsidR="00D16D0D" w:rsidRPr="002A091D" w:rsidRDefault="00D16D0D" w:rsidP="00D16D0D">
      <w:pPr>
        <w:spacing w:after="160" w:line="259" w:lineRule="auto"/>
        <w:jc w:val="center"/>
        <w:rPr>
          <w:b/>
        </w:rPr>
      </w:pPr>
      <w:r w:rsidRPr="002A091D">
        <w:rPr>
          <w:b/>
        </w:rPr>
        <w:lastRenderedPageBreak/>
        <w:t>[INSERT TABLE 2 HERE]</w:t>
      </w:r>
    </w:p>
    <w:p w14:paraId="45CFD494" w14:textId="77777777" w:rsidR="00D16D0D" w:rsidRPr="002A091D" w:rsidRDefault="00D16D0D" w:rsidP="00267530">
      <w:pPr>
        <w:spacing w:line="480" w:lineRule="auto"/>
        <w:jc w:val="both"/>
        <w:rPr>
          <w:bCs/>
        </w:rPr>
      </w:pPr>
    </w:p>
    <w:p w14:paraId="511B0E27" w14:textId="77777777" w:rsidR="007A1337" w:rsidRPr="002A091D" w:rsidRDefault="007A1337" w:rsidP="00267530">
      <w:pPr>
        <w:spacing w:line="480" w:lineRule="auto"/>
        <w:jc w:val="both"/>
        <w:rPr>
          <w:bCs/>
        </w:rPr>
      </w:pPr>
    </w:p>
    <w:p w14:paraId="15FAC696" w14:textId="77777777" w:rsidR="00DE6260" w:rsidRPr="002A091D" w:rsidRDefault="00DE6260" w:rsidP="00DE6260">
      <w:pPr>
        <w:pStyle w:val="Heading3"/>
        <w:spacing w:before="0" w:beforeAutospacing="0" w:after="0" w:afterAutospacing="0" w:line="480" w:lineRule="auto"/>
        <w:jc w:val="both"/>
        <w:rPr>
          <w:sz w:val="24"/>
          <w:szCs w:val="24"/>
        </w:rPr>
      </w:pPr>
      <w:bookmarkStart w:id="14" w:name="_Toc489702888"/>
      <w:bookmarkStart w:id="15" w:name="_Toc489732471"/>
      <w:r w:rsidRPr="002A091D">
        <w:rPr>
          <w:sz w:val="24"/>
          <w:szCs w:val="24"/>
        </w:rPr>
        <w:t>Return-to-Turnover (RtoTR) Price Impact Ratio Descriptive Analysis</w:t>
      </w:r>
      <w:bookmarkEnd w:id="14"/>
      <w:bookmarkEnd w:id="15"/>
    </w:p>
    <w:p w14:paraId="50A128DB" w14:textId="77777777" w:rsidR="00145A3F" w:rsidRPr="002A091D" w:rsidRDefault="00145A3F" w:rsidP="00145A3F">
      <w:pPr>
        <w:pStyle w:val="Heading3"/>
        <w:numPr>
          <w:ilvl w:val="0"/>
          <w:numId w:val="0"/>
        </w:numPr>
        <w:spacing w:before="0" w:beforeAutospacing="0" w:after="0" w:afterAutospacing="0" w:line="480" w:lineRule="auto"/>
        <w:ind w:left="720"/>
        <w:jc w:val="both"/>
        <w:rPr>
          <w:sz w:val="24"/>
          <w:szCs w:val="24"/>
        </w:rPr>
      </w:pPr>
    </w:p>
    <w:p w14:paraId="51A93485" w14:textId="77777777" w:rsidR="00F82474" w:rsidRPr="002A091D" w:rsidRDefault="00F82474" w:rsidP="00DE6260">
      <w:pPr>
        <w:autoSpaceDE w:val="0"/>
        <w:autoSpaceDN w:val="0"/>
        <w:adjustRightInd w:val="0"/>
        <w:spacing w:line="480" w:lineRule="auto"/>
      </w:pPr>
    </w:p>
    <w:p w14:paraId="6350BFC9" w14:textId="77777777" w:rsidR="00DE6260" w:rsidRPr="002A091D" w:rsidRDefault="00597120" w:rsidP="009B0551">
      <w:pPr>
        <w:autoSpaceDE w:val="0"/>
        <w:autoSpaceDN w:val="0"/>
        <w:adjustRightInd w:val="0"/>
        <w:spacing w:line="480" w:lineRule="auto"/>
        <w:jc w:val="center"/>
        <w:rPr>
          <w:b/>
          <w:bCs/>
        </w:rPr>
      </w:pPr>
      <w:r w:rsidRPr="002A091D">
        <w:rPr>
          <w:b/>
          <w:bCs/>
        </w:rPr>
        <w:t>[INSERT TABLE 3 HERE</w:t>
      </w:r>
      <w:r w:rsidR="009B0551" w:rsidRPr="002A091D">
        <w:rPr>
          <w:b/>
          <w:bCs/>
        </w:rPr>
        <w:t>]</w:t>
      </w:r>
    </w:p>
    <w:p w14:paraId="2BDA6A52" w14:textId="77777777" w:rsidR="0008555E" w:rsidRPr="002A091D" w:rsidRDefault="0008555E" w:rsidP="00417F7C">
      <w:pPr>
        <w:autoSpaceDE w:val="0"/>
        <w:autoSpaceDN w:val="0"/>
        <w:adjustRightInd w:val="0"/>
        <w:spacing w:line="480" w:lineRule="auto"/>
        <w:jc w:val="both"/>
        <w:rPr>
          <w:bCs/>
        </w:rPr>
      </w:pPr>
    </w:p>
    <w:p w14:paraId="752D9FA2" w14:textId="77777777" w:rsidR="00DE6260" w:rsidRPr="002A091D" w:rsidRDefault="00DE6260" w:rsidP="38AC33BA">
      <w:pPr>
        <w:autoSpaceDE w:val="0"/>
        <w:autoSpaceDN w:val="0"/>
        <w:adjustRightInd w:val="0"/>
        <w:spacing w:line="480" w:lineRule="auto"/>
        <w:jc w:val="both"/>
      </w:pPr>
      <w:r w:rsidRPr="002A091D">
        <w:t xml:space="preserve">Table </w:t>
      </w:r>
      <w:r w:rsidR="00440AAB" w:rsidRPr="002A091D">
        <w:t>3</w:t>
      </w:r>
      <w:r w:rsidRPr="002A091D">
        <w:t xml:space="preserve"> </w:t>
      </w:r>
      <w:r w:rsidR="00530EE1" w:rsidRPr="002A091D">
        <w:t>shows</w:t>
      </w:r>
      <w:r w:rsidRPr="002A091D">
        <w:t xml:space="preserve"> 10 portfolios developed on the basis of the RtoTR price impact ratio. </w:t>
      </w:r>
      <w:r w:rsidR="00AF05A7" w:rsidRPr="002A091D">
        <w:t>The</w:t>
      </w:r>
      <w:r w:rsidR="00716C0A" w:rsidRPr="002A091D">
        <w:t xml:space="preserve"> results indicate</w:t>
      </w:r>
      <w:r w:rsidRPr="002A091D">
        <w:t xml:space="preserve"> </w:t>
      </w:r>
      <w:r w:rsidR="00AF05A7" w:rsidRPr="002A091D">
        <w:t xml:space="preserve">that </w:t>
      </w:r>
      <w:r w:rsidRPr="002A091D">
        <w:t>portfolio 1 and portfolio 2 yield the lowest average returns (both equal</w:t>
      </w:r>
      <w:r w:rsidR="00FF6E77" w:rsidRPr="002A091D">
        <w:t>ly and value-weighted</w:t>
      </w:r>
      <w:r w:rsidRPr="002A091D">
        <w:t xml:space="preserve">) in contrast to </w:t>
      </w:r>
      <w:r w:rsidR="3DA60122" w:rsidRPr="002A091D">
        <w:t>the higher numbered portfolios</w:t>
      </w:r>
      <w:r w:rsidRPr="002A091D">
        <w:t>. These results</w:t>
      </w:r>
      <w:r w:rsidR="00716C0A" w:rsidRPr="002A091D">
        <w:t xml:space="preserve"> </w:t>
      </w:r>
      <w:r w:rsidR="00FF6E77" w:rsidRPr="002A091D">
        <w:t>display</w:t>
      </w:r>
      <w:r w:rsidR="00716C0A" w:rsidRPr="002A091D">
        <w:t xml:space="preserve"> that stock</w:t>
      </w:r>
      <w:r w:rsidR="00FF6E77" w:rsidRPr="002A091D">
        <w:t>s</w:t>
      </w:r>
      <w:r w:rsidR="00716C0A" w:rsidRPr="002A091D">
        <w:t xml:space="preserve"> with low RtoTR values generate lower average ret</w:t>
      </w:r>
      <w:r w:rsidR="00FF6E77" w:rsidRPr="002A091D">
        <w:t>urns in comparison to stocks</w:t>
      </w:r>
      <w:r w:rsidR="00716C0A" w:rsidRPr="002A091D">
        <w:t xml:space="preserve"> </w:t>
      </w:r>
      <w:r w:rsidR="00D07524" w:rsidRPr="002A091D">
        <w:t>with</w:t>
      </w:r>
      <w:r w:rsidR="00716C0A" w:rsidRPr="002A091D">
        <w:t xml:space="preserve"> high RtoTR values.</w:t>
      </w:r>
      <w:r w:rsidRPr="002A091D">
        <w:t xml:space="preserve"> Moreover, the spread of P1 - P10 in the </w:t>
      </w:r>
      <w:r w:rsidR="00901097" w:rsidRPr="002A091D">
        <w:t xml:space="preserve">equally weighted portfolios is </w:t>
      </w:r>
      <w:r w:rsidRPr="002A091D">
        <w:t>27.</w:t>
      </w:r>
      <w:r w:rsidR="00901097" w:rsidRPr="002A091D">
        <w:t>128</w:t>
      </w:r>
      <w:r w:rsidRPr="002A091D">
        <w:t xml:space="preserve">% p.a. (t = </w:t>
      </w:r>
      <w:r w:rsidR="00901097" w:rsidRPr="002A091D">
        <w:t>7.179</w:t>
      </w:r>
      <w:r w:rsidRPr="002A091D">
        <w:t xml:space="preserve">) and </w:t>
      </w:r>
      <w:r w:rsidR="00901097" w:rsidRPr="002A091D">
        <w:t>9.986</w:t>
      </w:r>
      <w:r w:rsidRPr="002A091D">
        <w:t>% p.a. (t = 1</w:t>
      </w:r>
      <w:r w:rsidR="00901097" w:rsidRPr="002A091D">
        <w:t>8.613</w:t>
      </w:r>
      <w:r w:rsidRPr="002A091D">
        <w:t xml:space="preserve">) calculated for the value-weighted portfolios. </w:t>
      </w:r>
    </w:p>
    <w:p w14:paraId="7251ED81" w14:textId="77777777" w:rsidR="00DE6260" w:rsidRPr="002A091D" w:rsidRDefault="00DE6260" w:rsidP="00DE6260">
      <w:pPr>
        <w:autoSpaceDE w:val="0"/>
        <w:autoSpaceDN w:val="0"/>
        <w:adjustRightInd w:val="0"/>
        <w:spacing w:line="480" w:lineRule="auto"/>
        <w:jc w:val="both"/>
        <w:rPr>
          <w:bCs/>
        </w:rPr>
      </w:pPr>
      <w:r w:rsidRPr="002A091D">
        <w:rPr>
          <w:bCs/>
        </w:rPr>
        <w:t xml:space="preserve">   </w:t>
      </w:r>
    </w:p>
    <w:p w14:paraId="4C115E2E" w14:textId="77777777" w:rsidR="00DE6260" w:rsidRPr="002A091D" w:rsidRDefault="00DC5E89" w:rsidP="007556BD">
      <w:pPr>
        <w:autoSpaceDE w:val="0"/>
        <w:autoSpaceDN w:val="0"/>
        <w:adjustRightInd w:val="0"/>
        <w:spacing w:line="480" w:lineRule="auto"/>
        <w:jc w:val="both"/>
        <w:rPr>
          <w:bCs/>
        </w:rPr>
      </w:pPr>
      <w:r w:rsidRPr="002A091D">
        <w:rPr>
          <w:bCs/>
        </w:rPr>
        <w:t xml:space="preserve">Another interesting </w:t>
      </w:r>
      <w:r w:rsidR="00FF6E77" w:rsidRPr="002A091D">
        <w:rPr>
          <w:bCs/>
        </w:rPr>
        <w:t>feature</w:t>
      </w:r>
      <w:r w:rsidR="002E5755" w:rsidRPr="002A091D">
        <w:rPr>
          <w:bCs/>
        </w:rPr>
        <w:t xml:space="preserve"> from</w:t>
      </w:r>
      <w:r w:rsidRPr="002A091D">
        <w:rPr>
          <w:bCs/>
        </w:rPr>
        <w:t xml:space="preserve"> </w:t>
      </w:r>
      <w:r w:rsidR="00DE6260" w:rsidRPr="002A091D">
        <w:rPr>
          <w:bCs/>
        </w:rPr>
        <w:t xml:space="preserve">Table </w:t>
      </w:r>
      <w:r w:rsidR="00B475AB" w:rsidRPr="002A091D">
        <w:rPr>
          <w:bCs/>
        </w:rPr>
        <w:t xml:space="preserve">3 </w:t>
      </w:r>
      <w:r w:rsidR="002F53B4" w:rsidRPr="002A091D">
        <w:rPr>
          <w:bCs/>
        </w:rPr>
        <w:t>is the</w:t>
      </w:r>
      <w:r w:rsidRPr="002A091D">
        <w:rPr>
          <w:bCs/>
        </w:rPr>
        <w:t xml:space="preserve"> average </w:t>
      </w:r>
      <w:r w:rsidR="00DE6260" w:rsidRPr="002A091D">
        <w:rPr>
          <w:bCs/>
        </w:rPr>
        <w:t xml:space="preserve">MV </w:t>
      </w:r>
      <w:r w:rsidRPr="002A091D">
        <w:rPr>
          <w:bCs/>
        </w:rPr>
        <w:t xml:space="preserve">of each of these portfolios. The results </w:t>
      </w:r>
      <w:r w:rsidR="00B475AB" w:rsidRPr="002A091D">
        <w:rPr>
          <w:bCs/>
        </w:rPr>
        <w:t>do</w:t>
      </w:r>
      <w:r w:rsidR="00FF6E77" w:rsidRPr="002A091D">
        <w:rPr>
          <w:bCs/>
        </w:rPr>
        <w:t xml:space="preserve"> not possess</w:t>
      </w:r>
      <w:r w:rsidRPr="002A091D">
        <w:rPr>
          <w:bCs/>
        </w:rPr>
        <w:t xml:space="preserve"> a </w:t>
      </w:r>
      <w:r w:rsidR="00DE6260" w:rsidRPr="002A091D">
        <w:rPr>
          <w:bCs/>
        </w:rPr>
        <w:t xml:space="preserve">monotonic pattern across </w:t>
      </w:r>
      <w:r w:rsidR="00BB1612" w:rsidRPr="002A091D">
        <w:rPr>
          <w:bCs/>
        </w:rPr>
        <w:t xml:space="preserve">the </w:t>
      </w:r>
      <w:r w:rsidR="00DE6260" w:rsidRPr="002A091D">
        <w:rPr>
          <w:bCs/>
        </w:rPr>
        <w:t xml:space="preserve">10 portfolios, indicating that the RtoTR spread does </w:t>
      </w:r>
      <w:r w:rsidR="00B475AB" w:rsidRPr="002A091D">
        <w:rPr>
          <w:bCs/>
        </w:rPr>
        <w:t xml:space="preserve">not </w:t>
      </w:r>
      <w:r w:rsidR="00D13D7C" w:rsidRPr="002A091D">
        <w:rPr>
          <w:bCs/>
        </w:rPr>
        <w:t xml:space="preserve">reflect the size premium. These results are </w:t>
      </w:r>
      <w:r w:rsidR="007556BD" w:rsidRPr="002A091D">
        <w:rPr>
          <w:bCs/>
        </w:rPr>
        <w:t>consistent</w:t>
      </w:r>
      <w:r w:rsidR="00DE6260" w:rsidRPr="002A091D">
        <w:rPr>
          <w:bCs/>
        </w:rPr>
        <w:t xml:space="preserve"> </w:t>
      </w:r>
      <w:r w:rsidR="007556BD" w:rsidRPr="002A091D">
        <w:rPr>
          <w:bCs/>
        </w:rPr>
        <w:t xml:space="preserve">with </w:t>
      </w:r>
      <w:r w:rsidR="00DE6260" w:rsidRPr="002A091D">
        <w:t>Florackis et al. (2011). Further</w:t>
      </w:r>
      <w:r w:rsidR="00FF6E77" w:rsidRPr="002A091D">
        <w:t>more</w:t>
      </w:r>
      <w:r w:rsidR="00DE6260" w:rsidRPr="002A091D">
        <w:t xml:space="preserve">, Table </w:t>
      </w:r>
      <w:r w:rsidR="00417F7C" w:rsidRPr="002A091D">
        <w:t>3</w:t>
      </w:r>
      <w:r w:rsidR="00DE6260" w:rsidRPr="002A091D">
        <w:t xml:space="preserve"> ill</w:t>
      </w:r>
      <w:r w:rsidR="00041263" w:rsidRPr="002A091D">
        <w:t xml:space="preserve">ustrates that the stocks in </w:t>
      </w:r>
      <w:r w:rsidR="00DE6260" w:rsidRPr="002A091D">
        <w:t>P2 and P</w:t>
      </w:r>
      <w:r w:rsidR="00041263" w:rsidRPr="002A091D">
        <w:t>10</w:t>
      </w:r>
      <w:r w:rsidR="00DE6260" w:rsidRPr="002A091D">
        <w:t xml:space="preserve"> reflect the highest average price-to-book values, and the average price-to-book values do not follow a monotonic pattern. </w:t>
      </w:r>
      <w:r w:rsidR="00DE6260" w:rsidRPr="002A091D">
        <w:rPr>
          <w:bCs/>
        </w:rPr>
        <w:t>Lastly, the average beta is close to one when th</w:t>
      </w:r>
      <w:r w:rsidR="00FF6E77" w:rsidRPr="002A091D">
        <w:rPr>
          <w:bCs/>
        </w:rPr>
        <w:t>e RtoTR ratio is lower, and</w:t>
      </w:r>
      <w:r w:rsidR="00DE6260" w:rsidRPr="002A091D">
        <w:rPr>
          <w:bCs/>
        </w:rPr>
        <w:t xml:space="preserve"> when the RtoTR ratio is high, the beta is </w:t>
      </w:r>
      <w:r w:rsidR="00FF6E77" w:rsidRPr="002A091D">
        <w:rPr>
          <w:bCs/>
        </w:rPr>
        <w:t>considerably</w:t>
      </w:r>
      <w:r w:rsidR="00DE6260" w:rsidRPr="002A091D">
        <w:rPr>
          <w:bCs/>
        </w:rPr>
        <w:t xml:space="preserve"> less than one. This shows that the portfolios </w:t>
      </w:r>
      <w:r w:rsidR="00BB1612" w:rsidRPr="002A091D">
        <w:rPr>
          <w:bCs/>
        </w:rPr>
        <w:t>became less</w:t>
      </w:r>
      <w:r w:rsidR="00DE6260" w:rsidRPr="002A091D">
        <w:rPr>
          <w:bCs/>
        </w:rPr>
        <w:t xml:space="preserve"> volatile moving from portfolio 1 </w:t>
      </w:r>
      <w:r w:rsidR="00BB1612" w:rsidRPr="002A091D">
        <w:rPr>
          <w:bCs/>
        </w:rPr>
        <w:t>to</w:t>
      </w:r>
      <w:r w:rsidR="00DE6260" w:rsidRPr="002A091D">
        <w:rPr>
          <w:bCs/>
        </w:rPr>
        <w:t xml:space="preserve"> portfolio 10.</w:t>
      </w:r>
    </w:p>
    <w:p w14:paraId="5156EF57" w14:textId="77777777" w:rsidR="00AF4B39" w:rsidRPr="002A091D" w:rsidRDefault="00AF4B39" w:rsidP="007556BD">
      <w:pPr>
        <w:autoSpaceDE w:val="0"/>
        <w:autoSpaceDN w:val="0"/>
        <w:adjustRightInd w:val="0"/>
        <w:spacing w:line="480" w:lineRule="auto"/>
        <w:jc w:val="both"/>
        <w:rPr>
          <w:bCs/>
        </w:rPr>
      </w:pPr>
    </w:p>
    <w:p w14:paraId="0F28B446" w14:textId="77777777" w:rsidR="00AF4B39" w:rsidRPr="002A091D" w:rsidRDefault="00AF4B39" w:rsidP="007556BD">
      <w:pPr>
        <w:autoSpaceDE w:val="0"/>
        <w:autoSpaceDN w:val="0"/>
        <w:adjustRightInd w:val="0"/>
        <w:spacing w:line="480" w:lineRule="auto"/>
        <w:jc w:val="both"/>
        <w:rPr>
          <w:bCs/>
        </w:rPr>
      </w:pPr>
    </w:p>
    <w:p w14:paraId="2798A8D7" w14:textId="77777777" w:rsidR="00DE6260" w:rsidRPr="002A091D" w:rsidRDefault="00DE6260" w:rsidP="00F82474">
      <w:pPr>
        <w:pStyle w:val="Heading1"/>
        <w:rPr>
          <w:lang w:eastAsia="en-GB"/>
        </w:rPr>
      </w:pPr>
      <w:bookmarkStart w:id="16" w:name="_Toc489702875"/>
      <w:bookmarkStart w:id="17" w:name="_Toc489732458"/>
      <w:r w:rsidRPr="002A091D">
        <w:rPr>
          <w:lang w:eastAsia="en-GB"/>
        </w:rPr>
        <w:t>Asset-Pricing Models</w:t>
      </w:r>
      <w:bookmarkEnd w:id="16"/>
      <w:bookmarkEnd w:id="17"/>
    </w:p>
    <w:p w14:paraId="2691F78E" w14:textId="77777777" w:rsidR="00DE6260" w:rsidRPr="002A091D" w:rsidRDefault="00DE6260" w:rsidP="00F82474">
      <w:pPr>
        <w:pStyle w:val="Heading2"/>
        <w:rPr>
          <w:lang w:eastAsia="en-GB"/>
        </w:rPr>
      </w:pPr>
      <w:r w:rsidRPr="002A091D">
        <w:rPr>
          <w:lang w:eastAsia="en-GB"/>
        </w:rPr>
        <w:t xml:space="preserve">Capital asset pricing model: </w:t>
      </w:r>
    </w:p>
    <w:p w14:paraId="48D2C5F2" w14:textId="77777777" w:rsidR="006D62EE" w:rsidRPr="002A091D" w:rsidRDefault="006D62EE" w:rsidP="00DE6260">
      <w:pPr>
        <w:autoSpaceDE w:val="0"/>
        <w:autoSpaceDN w:val="0"/>
        <w:adjustRightInd w:val="0"/>
        <w:spacing w:line="480" w:lineRule="auto"/>
        <w:jc w:val="both"/>
        <w:rPr>
          <w:color w:val="000000"/>
          <w:lang w:eastAsia="en-GB"/>
        </w:rPr>
      </w:pPr>
    </w:p>
    <w:p w14:paraId="5900BA11" w14:textId="77777777" w:rsidR="00DE6260" w:rsidRPr="002A091D" w:rsidRDefault="00DE6260" w:rsidP="00DE6260">
      <w:pPr>
        <w:autoSpaceDE w:val="0"/>
        <w:autoSpaceDN w:val="0"/>
        <w:adjustRightInd w:val="0"/>
        <w:spacing w:line="480" w:lineRule="auto"/>
        <w:jc w:val="both"/>
        <w:rPr>
          <w:color w:val="000000"/>
          <w:lang w:eastAsia="en-GB"/>
        </w:rPr>
      </w:pPr>
      <w:r w:rsidRPr="002A091D">
        <w:rPr>
          <w:color w:val="000000"/>
          <w:lang w:eastAsia="en-GB"/>
        </w:rPr>
        <w:t xml:space="preserve">In the primary stage, Jensen’s alpha is </w:t>
      </w:r>
      <w:r w:rsidR="00A46304" w:rsidRPr="002A091D">
        <w:rPr>
          <w:color w:val="000000"/>
          <w:lang w:eastAsia="en-GB"/>
        </w:rPr>
        <w:t>analyzed</w:t>
      </w:r>
      <w:r w:rsidRPr="002A091D">
        <w:rPr>
          <w:color w:val="000000"/>
          <w:lang w:eastAsia="en-GB"/>
        </w:rPr>
        <w:t xml:space="preserve"> using three asset pricing models from the CAPM</w:t>
      </w:r>
      <w:r w:rsidR="005607F2" w:rsidRPr="002A091D">
        <w:rPr>
          <w:rStyle w:val="FootnoteReference"/>
          <w:color w:val="000000"/>
          <w:lang w:eastAsia="en-GB"/>
        </w:rPr>
        <w:footnoteReference w:id="3"/>
      </w:r>
      <w:r w:rsidRPr="002A091D">
        <w:rPr>
          <w:color w:val="000000"/>
          <w:lang w:eastAsia="en-GB"/>
        </w:rPr>
        <w:t xml:space="preserve">: </w:t>
      </w:r>
    </w:p>
    <w:p w14:paraId="0BEF0043" w14:textId="77777777" w:rsidR="00DE6260" w:rsidRPr="002A091D" w:rsidRDefault="00DE6260" w:rsidP="00DE6260">
      <w:pPr>
        <w:autoSpaceDE w:val="0"/>
        <w:autoSpaceDN w:val="0"/>
        <w:adjustRightInd w:val="0"/>
        <w:spacing w:line="480" w:lineRule="auto"/>
        <w:jc w:val="both"/>
        <w:rPr>
          <w:color w:val="000000"/>
          <w:lang w:eastAsia="en-GB"/>
        </w:rPr>
      </w:pPr>
    </w:p>
    <w:bookmarkStart w:id="18" w:name="_Toc489732088"/>
    <w:p w14:paraId="6AE9B4E6" w14:textId="77777777" w:rsidR="00DE6260" w:rsidRPr="002A091D" w:rsidRDefault="002A091D" w:rsidP="00440AAB">
      <w:pPr>
        <w:pStyle w:val="Caption"/>
        <w:rPr>
          <w:rFonts w:ascii="Times New Roman" w:hAnsi="Times New Roman" w:cs="Times New Roman"/>
          <w:i w:val="0"/>
          <w:color w:val="auto"/>
          <w:sz w:val="20"/>
          <w:szCs w:val="20"/>
          <w:lang w:eastAsia="en-GB"/>
        </w:rPr>
      </w:pPr>
      <m:oMath>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r</m:t>
            </m:r>
          </m:e>
          <m:sub>
            <m:r>
              <w:rPr>
                <w:rFonts w:ascii="Cambria Math" w:hAnsi="Cambria Math" w:cs="Times New Roman"/>
                <w:color w:val="000000"/>
                <w:sz w:val="24"/>
                <w:szCs w:val="24"/>
                <w:lang w:eastAsia="en-GB"/>
              </w:rPr>
              <m:t>it</m:t>
            </m:r>
          </m:sub>
        </m:sSub>
        <m:r>
          <w:rPr>
            <w:rFonts w:ascii="Cambria Math" w:hAnsi="Cambria Math" w:cs="Times New Roman"/>
            <w:color w:val="000000"/>
            <w:sz w:val="24"/>
            <w:szCs w:val="24"/>
            <w:lang w:eastAsia="en-GB"/>
          </w:rPr>
          <m:t xml:space="preserve">- </m:t>
        </m:r>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r</m:t>
            </m:r>
          </m:e>
          <m:sub>
            <m:r>
              <w:rPr>
                <w:rFonts w:ascii="Cambria Math" w:hAnsi="Cambria Math" w:cs="Times New Roman"/>
                <w:color w:val="000000"/>
                <w:sz w:val="24"/>
                <w:szCs w:val="24"/>
                <w:lang w:eastAsia="en-GB"/>
              </w:rPr>
              <m:t>ft</m:t>
            </m:r>
          </m:sub>
        </m:sSub>
        <m:r>
          <w:rPr>
            <w:rFonts w:ascii="Cambria Math" w:hAnsi="Cambria Math" w:cs="Times New Roman"/>
            <w:color w:val="000000"/>
            <w:sz w:val="24"/>
            <w:szCs w:val="24"/>
            <w:lang w:eastAsia="en-GB"/>
          </w:rPr>
          <m:t xml:space="preserve">= </m:t>
        </m:r>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α</m:t>
            </m:r>
          </m:e>
          <m:sub>
            <m:r>
              <w:rPr>
                <w:rFonts w:ascii="Cambria Math" w:hAnsi="Cambria Math" w:cs="Times New Roman"/>
                <w:color w:val="000000"/>
                <w:sz w:val="24"/>
                <w:szCs w:val="24"/>
                <w:lang w:eastAsia="en-GB"/>
              </w:rPr>
              <m:t>i</m:t>
            </m:r>
          </m:sub>
        </m:sSub>
        <m:r>
          <w:rPr>
            <w:rFonts w:ascii="Cambria Math" w:hAnsi="Cambria Math" w:cs="Times New Roman"/>
            <w:color w:val="000000"/>
            <w:sz w:val="24"/>
            <w:szCs w:val="24"/>
            <w:lang w:eastAsia="en-GB"/>
          </w:rPr>
          <m:t xml:space="preserve">+ </m:t>
        </m:r>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β</m:t>
            </m:r>
          </m:e>
          <m:sub>
            <m:r>
              <w:rPr>
                <w:rFonts w:ascii="Cambria Math" w:hAnsi="Cambria Math" w:cs="Times New Roman"/>
                <w:color w:val="000000"/>
                <w:sz w:val="24"/>
                <w:szCs w:val="24"/>
                <w:lang w:eastAsia="en-GB"/>
              </w:rPr>
              <m:t>i,MKT</m:t>
            </m:r>
          </m:sub>
        </m:sSub>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MKT</m:t>
            </m:r>
          </m:e>
          <m:sub>
            <m:r>
              <w:rPr>
                <w:rFonts w:ascii="Cambria Math" w:hAnsi="Cambria Math" w:cs="Times New Roman"/>
                <w:color w:val="000000"/>
                <w:sz w:val="24"/>
                <w:szCs w:val="24"/>
                <w:lang w:eastAsia="en-GB"/>
              </w:rPr>
              <m:t>t</m:t>
            </m:r>
          </m:sub>
        </m:sSub>
        <m:r>
          <w:rPr>
            <w:rFonts w:ascii="Cambria Math" w:hAnsi="Cambria Math" w:cs="Times New Roman"/>
            <w:color w:val="000000"/>
            <w:sz w:val="24"/>
            <w:szCs w:val="24"/>
            <w:lang w:eastAsia="en-GB"/>
          </w:rPr>
          <m:t xml:space="preserve">+ </m:t>
        </m:r>
        <m:sSub>
          <m:sSubPr>
            <m:ctrlPr>
              <w:rPr>
                <w:rFonts w:ascii="Cambria Math" w:hAnsi="Cambria Math" w:cs="Times New Roman"/>
                <w:color w:val="000000"/>
                <w:sz w:val="24"/>
                <w:szCs w:val="24"/>
                <w:lang w:eastAsia="en-GB"/>
              </w:rPr>
            </m:ctrlPr>
          </m:sSubPr>
          <m:e>
            <m:r>
              <w:rPr>
                <w:rFonts w:ascii="Cambria Math" w:hAnsi="Cambria Math" w:cs="Times New Roman"/>
                <w:color w:val="000000"/>
                <w:sz w:val="24"/>
                <w:szCs w:val="24"/>
                <w:lang w:eastAsia="en-GB"/>
              </w:rPr>
              <m:t>ε</m:t>
            </m:r>
          </m:e>
          <m:sub>
            <m:r>
              <w:rPr>
                <w:rFonts w:ascii="Cambria Math" w:hAnsi="Cambria Math" w:cs="Times New Roman"/>
                <w:color w:val="000000"/>
                <w:sz w:val="24"/>
                <w:szCs w:val="24"/>
                <w:lang w:eastAsia="en-GB"/>
              </w:rPr>
              <m:t>it</m:t>
            </m:r>
          </m:sub>
        </m:sSub>
      </m:oMath>
      <w:r w:rsidR="00DE6260" w:rsidRPr="002A091D">
        <w:rPr>
          <w:rFonts w:ascii="Times New Roman" w:hAnsi="Times New Roman" w:cs="Times New Roman"/>
          <w:color w:val="000000"/>
          <w:sz w:val="24"/>
          <w:szCs w:val="24"/>
          <w:lang w:eastAsia="en-GB"/>
        </w:rPr>
        <w:tab/>
        <w:t xml:space="preserve">               </w:t>
      </w:r>
      <w:r w:rsidR="00DE6260" w:rsidRPr="002A091D">
        <w:rPr>
          <w:rFonts w:ascii="Times New Roman" w:hAnsi="Times New Roman" w:cs="Times New Roman"/>
          <w:color w:val="000000"/>
          <w:sz w:val="24"/>
          <w:szCs w:val="24"/>
          <w:lang w:eastAsia="en-GB"/>
        </w:rPr>
        <w:tab/>
      </w:r>
      <w:r w:rsidR="00DE6260" w:rsidRPr="002A091D">
        <w:rPr>
          <w:rFonts w:ascii="Times New Roman" w:hAnsi="Times New Roman" w:cs="Times New Roman"/>
          <w:color w:val="000000"/>
          <w:sz w:val="24"/>
          <w:szCs w:val="24"/>
          <w:lang w:eastAsia="en-GB"/>
        </w:rPr>
        <w:tab/>
        <w:t xml:space="preserve"> </w:t>
      </w:r>
      <w:bookmarkEnd w:id="18"/>
      <w:r w:rsidR="007B234C" w:rsidRPr="002A091D">
        <w:rPr>
          <w:rFonts w:ascii="Times New Roman" w:hAnsi="Times New Roman" w:cs="Times New Roman"/>
          <w:i w:val="0"/>
          <w:color w:val="auto"/>
          <w:sz w:val="20"/>
          <w:szCs w:val="20"/>
        </w:rPr>
        <w:t>(</w:t>
      </w:r>
      <w:r w:rsidR="00417F7C" w:rsidRPr="002A091D">
        <w:rPr>
          <w:rFonts w:ascii="Times New Roman" w:hAnsi="Times New Roman" w:cs="Times New Roman"/>
          <w:i w:val="0"/>
          <w:color w:val="auto"/>
          <w:sz w:val="20"/>
          <w:szCs w:val="20"/>
        </w:rPr>
        <w:t>4</w:t>
      </w:r>
      <w:r w:rsidR="007B234C" w:rsidRPr="002A091D">
        <w:rPr>
          <w:rFonts w:ascii="Times New Roman" w:hAnsi="Times New Roman" w:cs="Times New Roman"/>
          <w:i w:val="0"/>
          <w:color w:val="auto"/>
          <w:sz w:val="20"/>
          <w:szCs w:val="20"/>
        </w:rPr>
        <w:t>)</w:t>
      </w:r>
      <w:r w:rsidR="00DE6260" w:rsidRPr="002A091D">
        <w:rPr>
          <w:rFonts w:ascii="Times New Roman" w:hAnsi="Times New Roman" w:cs="Times New Roman"/>
          <w:i w:val="0"/>
          <w:color w:val="auto"/>
          <w:sz w:val="20"/>
          <w:szCs w:val="20"/>
          <w:lang w:eastAsia="en-GB"/>
        </w:rPr>
        <w:tab/>
      </w:r>
    </w:p>
    <w:p w14:paraId="22CDBBFD" w14:textId="77777777" w:rsidR="00DE6260" w:rsidRPr="002A091D" w:rsidRDefault="00DE6260" w:rsidP="00DE6260">
      <w:pPr>
        <w:pStyle w:val="Caption"/>
        <w:rPr>
          <w:rFonts w:ascii="Times New Roman" w:hAnsi="Times New Roman" w:cs="Times New Roman"/>
          <w:i w:val="0"/>
          <w:color w:val="auto"/>
          <w:sz w:val="20"/>
          <w:szCs w:val="20"/>
          <w:lang w:eastAsia="en-GB"/>
        </w:rPr>
      </w:pPr>
      <w:r w:rsidRPr="002A091D">
        <w:rPr>
          <w:rFonts w:ascii="Times New Roman" w:hAnsi="Times New Roman" w:cs="Times New Roman"/>
          <w:i w:val="0"/>
          <w:color w:val="auto"/>
          <w:sz w:val="20"/>
          <w:szCs w:val="20"/>
          <w:lang w:eastAsia="en-GB"/>
        </w:rPr>
        <w:tab/>
      </w:r>
    </w:p>
    <w:p w14:paraId="49B1AA0F" w14:textId="77777777" w:rsidR="00DE6260" w:rsidRPr="002A091D" w:rsidRDefault="002A091D" w:rsidP="00DE6260">
      <w:pPr>
        <w:autoSpaceDE w:val="0"/>
        <w:autoSpaceDN w:val="0"/>
        <w:adjustRightInd w:val="0"/>
        <w:spacing w:line="480" w:lineRule="auto"/>
        <w:jc w:val="both"/>
        <w:rPr>
          <w:lang w:eastAsia="en-GB"/>
        </w:rPr>
      </w:pPr>
      <m:oMathPara>
        <m:oMathParaPr>
          <m:jc m:val="left"/>
        </m:oMathParaPr>
        <m:oMath>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it</m:t>
              </m:r>
            </m:sub>
          </m:sSub>
          <m:r>
            <w:rPr>
              <w:rFonts w:ascii="Cambria Math" w:hAnsi="Cambria Math"/>
              <w:lang w:eastAsia="en-GB"/>
            </w:rPr>
            <m:t>=return of portfolio i in month t</m:t>
          </m:r>
        </m:oMath>
      </m:oMathPara>
    </w:p>
    <w:p w14:paraId="3FD5D06D" w14:textId="77777777" w:rsidR="00DE6260" w:rsidRPr="002A091D" w:rsidRDefault="002A091D" w:rsidP="00DE6260">
      <w:pPr>
        <w:autoSpaceDE w:val="0"/>
        <w:autoSpaceDN w:val="0"/>
        <w:adjustRightInd w:val="0"/>
        <w:spacing w:line="480" w:lineRule="auto"/>
        <w:jc w:val="both"/>
        <w:rPr>
          <w:lang w:eastAsia="en-GB"/>
        </w:rPr>
      </w:pPr>
      <m:oMathPara>
        <m:oMathParaPr>
          <m:jc m:val="left"/>
        </m:oMathParaPr>
        <m:oMath>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ft</m:t>
              </m:r>
            </m:sub>
          </m:sSub>
          <m:r>
            <w:rPr>
              <w:rFonts w:ascii="Cambria Math" w:hAnsi="Cambria Math"/>
              <w:lang w:eastAsia="en-GB"/>
            </w:rPr>
            <m:t>=risk-free rate for month t</m:t>
          </m:r>
        </m:oMath>
      </m:oMathPara>
    </w:p>
    <w:p w14:paraId="08A9AA50" w14:textId="77777777" w:rsidR="00DE6260" w:rsidRPr="002A091D" w:rsidRDefault="002A091D" w:rsidP="00DE6260">
      <w:pPr>
        <w:autoSpaceDE w:val="0"/>
        <w:autoSpaceDN w:val="0"/>
        <w:adjustRightInd w:val="0"/>
        <w:spacing w:line="480" w:lineRule="auto"/>
        <w:jc w:val="both"/>
        <w:rPr>
          <w:lang w:eastAsia="en-GB"/>
        </w:rPr>
      </w:pPr>
      <m:oMathPara>
        <m:oMathParaPr>
          <m:jc m:val="left"/>
        </m:oMathParaPr>
        <m:oMath>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it</m:t>
              </m:r>
            </m:sub>
          </m:sSub>
          <m:r>
            <w:rPr>
              <w:rFonts w:ascii="Cambria Math" w:hAnsi="Cambria Math"/>
              <w:lang w:eastAsia="en-GB"/>
            </w:rPr>
            <m:t>=return of portfolio i in month t</m:t>
          </m:r>
        </m:oMath>
      </m:oMathPara>
    </w:p>
    <w:p w14:paraId="6FF761D4" w14:textId="77777777" w:rsidR="00DE6260" w:rsidRPr="002A091D" w:rsidRDefault="002A091D" w:rsidP="00DE6260">
      <w:pPr>
        <w:autoSpaceDE w:val="0"/>
        <w:autoSpaceDN w:val="0"/>
        <w:adjustRightInd w:val="0"/>
        <w:spacing w:line="480" w:lineRule="auto"/>
        <w:jc w:val="both"/>
        <w:rPr>
          <w:lang w:eastAsia="en-GB"/>
        </w:rPr>
      </w:pPr>
      <m:oMathPara>
        <m:oMathParaPr>
          <m:jc m:val="left"/>
        </m:oMathParaPr>
        <m:oMath>
          <m:sSub>
            <m:sSubPr>
              <m:ctrlPr>
                <w:rPr>
                  <w:rFonts w:ascii="Cambria Math" w:hAnsi="Cambria Math"/>
                  <w:i/>
                  <w:lang w:eastAsia="en-GB"/>
                </w:rPr>
              </m:ctrlPr>
            </m:sSubPr>
            <m:e>
              <m:r>
                <w:rPr>
                  <w:rFonts w:ascii="Cambria Math" w:hAnsi="Cambria Math"/>
                  <w:lang w:eastAsia="en-GB"/>
                </w:rPr>
                <m:t>MKT</m:t>
              </m:r>
            </m:e>
            <m:sub>
              <m:r>
                <w:rPr>
                  <w:rFonts w:ascii="Cambria Math" w:hAnsi="Cambria Math"/>
                  <w:lang w:eastAsia="en-GB"/>
                </w:rPr>
                <m:t>t</m:t>
              </m:r>
            </m:sub>
          </m:sSub>
          <m:r>
            <w:rPr>
              <w:rFonts w:ascii="Cambria Math" w:hAnsi="Cambria Math"/>
              <w:lang w:eastAsia="en-GB"/>
            </w:rPr>
            <m:t xml:space="preserve">=excess market portfolio return </m:t>
          </m:r>
          <m:d>
            <m:dPr>
              <m:ctrlPr>
                <w:rPr>
                  <w:rFonts w:ascii="Cambria Math" w:hAnsi="Cambria Math"/>
                  <w:i/>
                  <w:lang w:eastAsia="en-GB"/>
                </w:rPr>
              </m:ctrlPr>
            </m:dPr>
            <m:e>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 xml:space="preserve">mt </m:t>
                  </m:r>
                </m:sub>
              </m:sSub>
              <m:r>
                <w:rPr>
                  <w:rFonts w:ascii="Cambria Math" w:hAnsi="Cambria Math"/>
                  <w:lang w:eastAsia="en-GB"/>
                </w:rPr>
                <m:t xml:space="preserve">- </m:t>
              </m:r>
              <m:sSub>
                <m:sSubPr>
                  <m:ctrlPr>
                    <w:rPr>
                      <w:rFonts w:ascii="Cambria Math" w:hAnsi="Cambria Math"/>
                      <w:i/>
                      <w:lang w:eastAsia="en-GB"/>
                    </w:rPr>
                  </m:ctrlPr>
                </m:sSubPr>
                <m:e>
                  <m:r>
                    <w:rPr>
                      <w:rFonts w:ascii="Cambria Math" w:hAnsi="Cambria Math"/>
                      <w:lang w:eastAsia="en-GB"/>
                    </w:rPr>
                    <m:t>r</m:t>
                  </m:r>
                </m:e>
                <m:sub>
                  <m:r>
                    <w:rPr>
                      <w:rFonts w:ascii="Cambria Math" w:hAnsi="Cambria Math"/>
                      <w:lang w:eastAsia="en-GB"/>
                    </w:rPr>
                    <m:t>ft</m:t>
                  </m:r>
                </m:sub>
              </m:sSub>
            </m:e>
          </m:d>
          <m:r>
            <w:rPr>
              <w:rFonts w:ascii="Cambria Math" w:hAnsi="Cambria Math"/>
              <w:lang w:eastAsia="en-GB"/>
            </w:rPr>
            <m:t xml:space="preserve"> in month t</m:t>
          </m:r>
        </m:oMath>
      </m:oMathPara>
    </w:p>
    <w:p w14:paraId="0070E6A6" w14:textId="77777777" w:rsidR="006D62EE" w:rsidRPr="002A091D" w:rsidRDefault="006D62EE" w:rsidP="00DE6260">
      <w:pPr>
        <w:autoSpaceDE w:val="0"/>
        <w:autoSpaceDN w:val="0"/>
        <w:adjustRightInd w:val="0"/>
        <w:spacing w:line="480" w:lineRule="auto"/>
        <w:jc w:val="both"/>
        <w:rPr>
          <w:lang w:eastAsia="en-GB"/>
        </w:rPr>
      </w:pPr>
    </w:p>
    <w:p w14:paraId="064D1FB0" w14:textId="77777777" w:rsidR="00DE6260" w:rsidRPr="002A091D" w:rsidRDefault="00DE6260" w:rsidP="00F82474">
      <w:pPr>
        <w:pStyle w:val="Heading2"/>
        <w:rPr>
          <w:lang w:eastAsia="en-GB"/>
        </w:rPr>
      </w:pPr>
      <w:r w:rsidRPr="002A091D">
        <w:rPr>
          <w:lang w:eastAsia="en-GB"/>
        </w:rPr>
        <w:t>Fama French three factor model</w:t>
      </w:r>
    </w:p>
    <w:p w14:paraId="57C54AF3" w14:textId="77777777" w:rsidR="006D62EE" w:rsidRPr="002A091D" w:rsidRDefault="006D62EE" w:rsidP="006D62EE"/>
    <w:p w14:paraId="46D93177" w14:textId="77777777" w:rsidR="00DE6260" w:rsidRPr="002A091D" w:rsidRDefault="00DE6260" w:rsidP="00D31254">
      <w:pPr>
        <w:widowControl w:val="0"/>
        <w:autoSpaceDE w:val="0"/>
        <w:autoSpaceDN w:val="0"/>
        <w:adjustRightInd w:val="0"/>
        <w:spacing w:line="480" w:lineRule="auto"/>
        <w:jc w:val="both"/>
      </w:pPr>
      <w:r w:rsidRPr="002A091D">
        <w:t xml:space="preserve">The second asset-pricing model </w:t>
      </w:r>
      <w:r w:rsidR="00D31254" w:rsidRPr="002A091D">
        <w:t>is used</w:t>
      </w:r>
      <w:r w:rsidRPr="002A091D">
        <w:t xml:space="preserve"> to compute the Fama and French alpha, that is, the intercept from Fama and French’s (1993) three-factor model, can be </w:t>
      </w:r>
      <w:r w:rsidR="00A46304" w:rsidRPr="002A091D">
        <w:t>calculated</w:t>
      </w:r>
      <w:r w:rsidRPr="002A091D">
        <w:t xml:space="preserve"> as follows: </w:t>
      </w:r>
    </w:p>
    <w:p w14:paraId="154B6D03" w14:textId="77777777" w:rsidR="00DE6260" w:rsidRPr="002A091D" w:rsidRDefault="00DE6260" w:rsidP="00DE6260">
      <w:pPr>
        <w:widowControl w:val="0"/>
        <w:autoSpaceDE w:val="0"/>
        <w:autoSpaceDN w:val="0"/>
        <w:adjustRightInd w:val="0"/>
        <w:spacing w:line="480" w:lineRule="auto"/>
        <w:jc w:val="both"/>
      </w:pPr>
    </w:p>
    <w:bookmarkStart w:id="19" w:name="_Toc489732089"/>
    <w:p w14:paraId="09A1CA36" w14:textId="77777777" w:rsidR="00DE6260" w:rsidRPr="002A091D" w:rsidRDefault="002A091D" w:rsidP="00417F7C">
      <w:pPr>
        <w:pStyle w:val="Caption"/>
        <w:spacing w:after="0" w:line="480" w:lineRule="auto"/>
        <w:rPr>
          <w:rFonts w:ascii="Times New Roman" w:hAnsi="Times New Roman" w:cs="Times New Roman"/>
          <w:i w:val="0"/>
          <w:color w:val="auto"/>
          <w:sz w:val="20"/>
          <w:szCs w:val="20"/>
        </w:rPr>
      </w:pPr>
      <m:oMath>
        <m:sSub>
          <m:sSubPr>
            <m:ctrlPr>
              <w:rPr>
                <w:rFonts w:ascii="Cambria Math" w:hAnsi="Cambria Math" w:cs="Times New Roman"/>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it</m:t>
            </m:r>
          </m:sub>
        </m:sSub>
        <m:r>
          <w:rPr>
            <w:rFonts w:ascii="Cambria Math" w:hAnsi="Cambria Math" w:cs="Times New Roman"/>
            <w:color w:val="auto"/>
            <w:sz w:val="24"/>
            <w:szCs w:val="24"/>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r</m:t>
            </m:r>
          </m:e>
          <m:sub>
            <m:r>
              <w:rPr>
                <w:rFonts w:ascii="Cambria Math" w:hAnsi="Cambria Math" w:cs="Times New Roman"/>
                <w:color w:val="auto"/>
                <w:sz w:val="24"/>
                <w:szCs w:val="24"/>
              </w:rPr>
              <m:t>ft</m:t>
            </m:r>
          </m:sub>
        </m:sSub>
        <m:r>
          <w:rPr>
            <w:rFonts w:ascii="Cambria Math" w:hAnsi="Cambria Math" w:cs="Times New Roman"/>
            <w:color w:val="auto"/>
            <w:sz w:val="24"/>
            <w:szCs w:val="24"/>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α</m:t>
            </m:r>
          </m:e>
          <m:sub>
            <m:r>
              <w:rPr>
                <w:rFonts w:ascii="Cambria Math" w:hAnsi="Cambria Math" w:cs="Times New Roman"/>
                <w:color w:val="auto"/>
                <w:sz w:val="24"/>
                <w:szCs w:val="24"/>
              </w:rPr>
              <m:t>i</m:t>
            </m:r>
          </m:sub>
        </m:sSub>
        <m:r>
          <w:rPr>
            <w:rFonts w:ascii="Cambria Math" w:hAnsi="Cambria Math" w:cs="Times New Roman"/>
            <w:color w:val="auto"/>
            <w:sz w:val="24"/>
            <w:szCs w:val="24"/>
          </w:rPr>
          <m:t xml:space="preserve">+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i,MKT</m:t>
            </m:r>
          </m:sub>
        </m:sSub>
        <m:sSub>
          <m:sSubPr>
            <m:ctrlPr>
              <w:rPr>
                <w:rFonts w:ascii="Cambria Math" w:hAnsi="Cambria Math" w:cs="Times New Roman"/>
                <w:color w:val="auto"/>
                <w:sz w:val="24"/>
                <w:szCs w:val="24"/>
              </w:rPr>
            </m:ctrlPr>
          </m:sSubPr>
          <m:e>
            <m:r>
              <w:rPr>
                <w:rFonts w:ascii="Cambria Math" w:hAnsi="Cambria Math" w:cs="Times New Roman"/>
                <w:color w:val="auto"/>
                <w:sz w:val="24"/>
                <w:szCs w:val="24"/>
              </w:rPr>
              <m:t>MKT</m:t>
            </m:r>
          </m:e>
          <m:sub>
            <m:r>
              <w:rPr>
                <w:rFonts w:ascii="Cambria Math" w:hAnsi="Cambria Math" w:cs="Times New Roman"/>
                <w:color w:val="auto"/>
                <w:sz w:val="24"/>
                <w:szCs w:val="24"/>
              </w:rPr>
              <m:t>t</m:t>
            </m:r>
          </m:sub>
        </m:sSub>
        <m:r>
          <w:rPr>
            <w:rFonts w:ascii="Cambria Math" w:hAnsi="Cambria Math" w:cs="Times New Roman"/>
            <w:color w:val="auto"/>
            <w:sz w:val="24"/>
            <w:szCs w:val="24"/>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i,SMB</m:t>
            </m:r>
          </m:sub>
        </m:sSub>
        <m:sSub>
          <m:sSubPr>
            <m:ctrlPr>
              <w:rPr>
                <w:rFonts w:ascii="Cambria Math" w:hAnsi="Cambria Math" w:cs="Times New Roman"/>
                <w:color w:val="auto"/>
                <w:sz w:val="24"/>
                <w:szCs w:val="24"/>
              </w:rPr>
            </m:ctrlPr>
          </m:sSubPr>
          <m:e>
            <m:r>
              <w:rPr>
                <w:rFonts w:ascii="Cambria Math" w:hAnsi="Cambria Math" w:cs="Times New Roman"/>
                <w:color w:val="auto"/>
                <w:sz w:val="24"/>
                <w:szCs w:val="24"/>
              </w:rPr>
              <m:t>SMB</m:t>
            </m:r>
          </m:e>
          <m:sub>
            <m:r>
              <w:rPr>
                <w:rFonts w:ascii="Cambria Math" w:hAnsi="Cambria Math" w:cs="Times New Roman"/>
                <w:color w:val="auto"/>
                <w:sz w:val="24"/>
                <w:szCs w:val="24"/>
              </w:rPr>
              <m:t>t</m:t>
            </m:r>
          </m:sub>
        </m:sSub>
        <m:r>
          <w:rPr>
            <w:rFonts w:ascii="Cambria Math" w:hAnsi="Cambria Math" w:cs="Times New Roman"/>
            <w:color w:val="auto"/>
            <w:sz w:val="24"/>
            <w:szCs w:val="24"/>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B</m:t>
            </m:r>
          </m:e>
          <m:sub>
            <m:r>
              <w:rPr>
                <w:rFonts w:ascii="Cambria Math" w:hAnsi="Cambria Math" w:cs="Times New Roman"/>
                <w:color w:val="auto"/>
                <w:sz w:val="24"/>
                <w:szCs w:val="24"/>
              </w:rPr>
              <m:t>i,HML</m:t>
            </m:r>
          </m:sub>
        </m:sSub>
        <m:sSub>
          <m:sSubPr>
            <m:ctrlPr>
              <w:rPr>
                <w:rFonts w:ascii="Cambria Math" w:hAnsi="Cambria Math" w:cs="Times New Roman"/>
                <w:color w:val="auto"/>
                <w:sz w:val="24"/>
                <w:szCs w:val="24"/>
              </w:rPr>
            </m:ctrlPr>
          </m:sSubPr>
          <m:e>
            <m:r>
              <w:rPr>
                <w:rFonts w:ascii="Cambria Math" w:hAnsi="Cambria Math" w:cs="Times New Roman"/>
                <w:color w:val="auto"/>
                <w:sz w:val="24"/>
                <w:szCs w:val="24"/>
              </w:rPr>
              <m:t>HML</m:t>
            </m:r>
          </m:e>
          <m:sub>
            <m:r>
              <w:rPr>
                <w:rFonts w:ascii="Cambria Math" w:hAnsi="Cambria Math" w:cs="Times New Roman"/>
                <w:color w:val="auto"/>
                <w:sz w:val="24"/>
                <w:szCs w:val="24"/>
              </w:rPr>
              <m:t>t</m:t>
            </m:r>
          </m:sub>
        </m:sSub>
        <m:r>
          <w:rPr>
            <w:rFonts w:ascii="Cambria Math" w:hAnsi="Cambria Math" w:cs="Times New Roman"/>
            <w:color w:val="auto"/>
            <w:sz w:val="24"/>
            <w:szCs w:val="24"/>
          </w:rPr>
          <m:t>+</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ε</m:t>
            </m:r>
          </m:e>
          <m:sub>
            <m:r>
              <w:rPr>
                <w:rFonts w:ascii="Cambria Math" w:hAnsi="Cambria Math" w:cs="Times New Roman"/>
                <w:color w:val="auto"/>
                <w:sz w:val="24"/>
                <w:szCs w:val="24"/>
              </w:rPr>
              <m:t>it</m:t>
            </m:r>
          </m:sub>
        </m:sSub>
      </m:oMath>
      <w:r w:rsidR="00DE6260" w:rsidRPr="002A091D">
        <w:rPr>
          <w:rFonts w:ascii="Times New Roman" w:hAnsi="Times New Roman" w:cs="Times New Roman"/>
          <w:sz w:val="24"/>
          <w:szCs w:val="24"/>
        </w:rPr>
        <w:t xml:space="preserve">           </w:t>
      </w:r>
      <w:r w:rsidR="00DE6260" w:rsidRPr="002A091D">
        <w:rPr>
          <w:rFonts w:ascii="Times New Roman" w:hAnsi="Times New Roman" w:cs="Times New Roman"/>
          <w:i w:val="0"/>
          <w:color w:val="auto"/>
          <w:sz w:val="20"/>
          <w:szCs w:val="20"/>
        </w:rPr>
        <w:t xml:space="preserve">  </w:t>
      </w:r>
      <w:bookmarkEnd w:id="19"/>
      <w:r w:rsidR="00A074B1" w:rsidRPr="002A091D">
        <w:rPr>
          <w:rFonts w:ascii="Times New Roman" w:hAnsi="Times New Roman" w:cs="Times New Roman"/>
          <w:i w:val="0"/>
          <w:color w:val="auto"/>
          <w:sz w:val="20"/>
          <w:szCs w:val="20"/>
        </w:rPr>
        <w:t>(</w:t>
      </w:r>
      <w:r w:rsidR="00417F7C" w:rsidRPr="002A091D">
        <w:rPr>
          <w:rFonts w:ascii="Times New Roman" w:hAnsi="Times New Roman" w:cs="Times New Roman"/>
          <w:i w:val="0"/>
          <w:color w:val="auto"/>
          <w:sz w:val="20"/>
          <w:szCs w:val="20"/>
        </w:rPr>
        <w:t>5</w:t>
      </w:r>
      <w:r w:rsidR="00A074B1" w:rsidRPr="002A091D">
        <w:rPr>
          <w:rFonts w:ascii="Times New Roman" w:hAnsi="Times New Roman" w:cs="Times New Roman"/>
          <w:i w:val="0"/>
          <w:color w:val="auto"/>
          <w:sz w:val="20"/>
          <w:szCs w:val="20"/>
        </w:rPr>
        <w:t>)</w:t>
      </w:r>
    </w:p>
    <w:p w14:paraId="1ED71CFC" w14:textId="77777777" w:rsidR="006D62EE" w:rsidRPr="002A091D" w:rsidRDefault="006D62EE" w:rsidP="006D62EE"/>
    <w:p w14:paraId="3D7FBF32" w14:textId="77777777" w:rsidR="00DE6260" w:rsidRPr="002A091D" w:rsidRDefault="002A091D" w:rsidP="00DE6260">
      <w:pPr>
        <w:widowControl w:val="0"/>
        <w:autoSpaceDE w:val="0"/>
        <w:autoSpaceDN w:val="0"/>
        <w:adjustRightInd w:val="0"/>
        <w:spacing w:line="480" w:lineRule="auto"/>
        <w:jc w:val="both"/>
      </w:pPr>
      <m:oMathPara>
        <m:oMathParaPr>
          <m:jc m:val="left"/>
        </m:oMathParaPr>
        <m:oMath>
          <m:sSub>
            <m:sSubPr>
              <m:ctrlPr>
                <w:rPr>
                  <w:rFonts w:ascii="Cambria Math" w:hAnsi="Cambria Math"/>
                  <w:i/>
                </w:rPr>
              </m:ctrlPr>
            </m:sSubPr>
            <m:e>
              <m:r>
                <w:rPr>
                  <w:rFonts w:ascii="Cambria Math" w:hAnsi="Cambria Math"/>
                </w:rPr>
                <m:t>SMB</m:t>
              </m:r>
            </m:e>
            <m:sub>
              <m:r>
                <w:rPr>
                  <w:rFonts w:ascii="Cambria Math" w:hAnsi="Cambria Math"/>
                </w:rPr>
                <m:t>t</m:t>
              </m:r>
            </m:sub>
          </m:sSub>
          <m:r>
            <w:rPr>
              <w:rFonts w:ascii="Cambria Math" w:hAnsi="Cambria Math"/>
            </w:rPr>
            <m:t xml:space="preserve">and </m:t>
          </m:r>
          <m:sSub>
            <m:sSubPr>
              <m:ctrlPr>
                <w:rPr>
                  <w:rFonts w:ascii="Cambria Math" w:hAnsi="Cambria Math"/>
                  <w:i/>
                </w:rPr>
              </m:ctrlPr>
            </m:sSubPr>
            <m:e>
              <m:r>
                <w:rPr>
                  <w:rFonts w:ascii="Cambria Math" w:hAnsi="Cambria Math"/>
                </w:rPr>
                <m:t>HML</m:t>
              </m:r>
            </m:e>
            <m:sub>
              <m:r>
                <w:rPr>
                  <w:rFonts w:ascii="Cambria Math" w:hAnsi="Cambria Math"/>
                </w:rPr>
                <m:t xml:space="preserve">t </m:t>
              </m:r>
            </m:sub>
          </m:sSub>
          <m:r>
            <w:rPr>
              <w:rFonts w:ascii="Cambria Math" w:hAnsi="Cambria Math"/>
            </w:rPr>
            <m:t xml:space="preserve">are known as size and value risk factors, respectively </m:t>
          </m:r>
        </m:oMath>
      </m:oMathPara>
    </w:p>
    <w:p w14:paraId="68D6BE39" w14:textId="77777777" w:rsidR="006D62EE" w:rsidRPr="002A091D" w:rsidRDefault="002A091D" w:rsidP="006D62EE">
      <w:pPr>
        <w:widowControl w:val="0"/>
        <w:autoSpaceDE w:val="0"/>
        <w:autoSpaceDN w:val="0"/>
        <w:adjustRightInd w:val="0"/>
        <w:spacing w:line="480" w:lineRule="auto"/>
        <w:jc w:val="both"/>
      </w:pPr>
      <m:oMath>
        <m:sSub>
          <m:sSubPr>
            <m:ctrlPr>
              <w:rPr>
                <w:rFonts w:ascii="Cambria Math" w:hAnsi="Cambria Math"/>
                <w:i/>
              </w:rPr>
            </m:ctrlPr>
          </m:sSubPr>
          <m:e>
            <m:r>
              <w:rPr>
                <w:rFonts w:ascii="Cambria Math" w:hAnsi="Cambria Math"/>
              </w:rPr>
              <m:t>β</m:t>
            </m:r>
          </m:e>
          <m:sub>
            <m:r>
              <w:rPr>
                <w:rFonts w:ascii="Cambria Math" w:hAnsi="Cambria Math"/>
              </w:rPr>
              <m:t>i,SMB</m:t>
            </m:r>
          </m:sub>
        </m:sSub>
        <m:r>
          <w:rPr>
            <w:rFonts w:ascii="Cambria Math" w:hAnsi="Cambria Math"/>
          </w:rPr>
          <m:t xml:space="preserve">and </m:t>
        </m:r>
        <m:sSub>
          <m:sSubPr>
            <m:ctrlPr>
              <w:rPr>
                <w:rFonts w:ascii="Cambria Math" w:hAnsi="Cambria Math"/>
                <w:i/>
              </w:rPr>
            </m:ctrlPr>
          </m:sSubPr>
          <m:e>
            <m:r>
              <w:rPr>
                <w:rFonts w:ascii="Cambria Math" w:hAnsi="Cambria Math"/>
              </w:rPr>
              <m:t>B</m:t>
            </m:r>
          </m:e>
          <m:sub>
            <m:r>
              <w:rPr>
                <w:rFonts w:ascii="Cambria Math" w:hAnsi="Cambria Math"/>
              </w:rPr>
              <m:t>i, HML</m:t>
            </m:r>
          </m:sub>
        </m:sSub>
        <m:r>
          <w:rPr>
            <w:rFonts w:ascii="Cambria Math" w:hAnsi="Cambria Math"/>
          </w:rPr>
          <m:t xml:space="preserve">are factor loadings </m:t>
        </m:r>
        <m:d>
          <m:dPr>
            <m:ctrlPr>
              <w:rPr>
                <w:rFonts w:ascii="Cambria Math" w:hAnsi="Cambria Math"/>
                <w:i/>
              </w:rPr>
            </m:ctrlPr>
          </m:dPr>
          <m:e>
            <m:r>
              <w:rPr>
                <w:rFonts w:ascii="Cambria Math" w:hAnsi="Cambria Math"/>
              </w:rPr>
              <m:t>other than market β</m:t>
            </m:r>
          </m:e>
        </m:d>
        <m:r>
          <w:rPr>
            <w:rFonts w:ascii="Cambria Math" w:hAnsi="Cambria Math"/>
          </w:rPr>
          <m:t xml:space="preserve">. </m:t>
        </m:r>
      </m:oMath>
      <w:r w:rsidR="0039414D" w:rsidRPr="002A091D">
        <w:t xml:space="preserve">This loading is </w:t>
      </w:r>
      <w:r w:rsidR="00DE6260" w:rsidRPr="002A091D">
        <w:t>characterized as the time series regression slope(s).</w:t>
      </w:r>
      <w:r w:rsidR="0039414D" w:rsidRPr="002A091D">
        <w:t xml:space="preserve"> </w:t>
      </w:r>
      <m:oMath>
        <m:sSub>
          <m:sSubPr>
            <m:ctrlPr>
              <w:rPr>
                <w:rFonts w:ascii="Cambria Math" w:hAnsi="Cambria Math"/>
                <w:i/>
              </w:rPr>
            </m:ctrlPr>
          </m:sSubPr>
          <m:e>
            <m:r>
              <w:rPr>
                <w:rFonts w:ascii="Cambria Math" w:hAnsi="Cambria Math"/>
              </w:rPr>
              <m:t>α</m:t>
            </m:r>
          </m:e>
          <m:sub>
            <m:r>
              <w:rPr>
                <w:rFonts w:ascii="Cambria Math" w:hAnsi="Cambria Math"/>
              </w:rPr>
              <m:t>it</m:t>
            </m:r>
          </m:sub>
        </m:sSub>
        <m:r>
          <w:rPr>
            <w:rFonts w:ascii="Cambria Math" w:hAnsi="Cambria Math"/>
          </w:rPr>
          <m:t xml:space="preserve"> and </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6D62EE" w:rsidRPr="002A091D">
        <w:t xml:space="preserve"> </w:t>
      </w:r>
      <w:r w:rsidR="0039414D" w:rsidRPr="002A091D">
        <w:t xml:space="preserve">are the intercept of regression equation and error term, respectively. </w:t>
      </w:r>
    </w:p>
    <w:p w14:paraId="114C817A" w14:textId="77777777" w:rsidR="006D3CA6" w:rsidRPr="002A091D" w:rsidRDefault="006D3CA6" w:rsidP="00D31254">
      <w:pPr>
        <w:widowControl w:val="0"/>
        <w:autoSpaceDE w:val="0"/>
        <w:autoSpaceDN w:val="0"/>
        <w:adjustRightInd w:val="0"/>
        <w:spacing w:line="480" w:lineRule="auto"/>
        <w:jc w:val="both"/>
      </w:pPr>
    </w:p>
    <w:p w14:paraId="3F0FE6F5" w14:textId="77777777" w:rsidR="00D10B26" w:rsidRPr="002A091D" w:rsidRDefault="00D10B26" w:rsidP="00D31254">
      <w:pPr>
        <w:widowControl w:val="0"/>
        <w:autoSpaceDE w:val="0"/>
        <w:autoSpaceDN w:val="0"/>
        <w:adjustRightInd w:val="0"/>
        <w:spacing w:line="480" w:lineRule="auto"/>
        <w:jc w:val="both"/>
      </w:pPr>
      <w:r w:rsidRPr="002A091D">
        <w:t xml:space="preserve">Adopting the Fama and French (1993, 1996) measures </w:t>
      </w:r>
      <w:r w:rsidR="006D62EE" w:rsidRPr="002A091D">
        <w:t>for portfolio</w:t>
      </w:r>
      <w:r w:rsidR="00BB1612" w:rsidRPr="002A091D">
        <w:t xml:space="preserve"> construction</w:t>
      </w:r>
      <w:r w:rsidR="00CD62B1" w:rsidRPr="002A091D">
        <w:t xml:space="preserve">, all stocks listed on the </w:t>
      </w:r>
      <w:r w:rsidRPr="002A091D">
        <w:t xml:space="preserve">PSX are ranked based on the size (market price times </w:t>
      </w:r>
      <w:r w:rsidR="004B22C6" w:rsidRPr="002A091D">
        <w:t xml:space="preserve">the </w:t>
      </w:r>
      <w:r w:rsidRPr="002A091D">
        <w:t xml:space="preserve">number of shares outstanding) in January of individual year </w:t>
      </w:r>
      <m:oMath>
        <m:r>
          <w:rPr>
            <w:rFonts w:ascii="Cambria Math" w:hAnsi="Cambria Math"/>
          </w:rPr>
          <m:t>'t'</m:t>
        </m:r>
      </m:oMath>
      <w:r w:rsidRPr="002A091D">
        <w:t xml:space="preserve"> from 2005 to 201</w:t>
      </w:r>
      <w:r w:rsidR="0051302F" w:rsidRPr="002A091D">
        <w:t>9</w:t>
      </w:r>
      <w:r w:rsidRPr="002A091D">
        <w:t xml:space="preserve">. The median of the </w:t>
      </w:r>
      <w:r w:rsidR="003F6664" w:rsidRPr="002A091D">
        <w:t>PSX</w:t>
      </w:r>
      <w:r w:rsidRPr="002A091D">
        <w:t xml:space="preserve"> </w:t>
      </w:r>
      <w:r w:rsidR="00BB1612" w:rsidRPr="002A091D">
        <w:t xml:space="preserve">stock </w:t>
      </w:r>
      <w:r w:rsidRPr="002A091D">
        <w:t>size is then used to divide</w:t>
      </w:r>
      <w:r w:rsidR="002F1BC7" w:rsidRPr="002A091D">
        <w:t xml:space="preserve"> those data into two portfolios. S</w:t>
      </w:r>
      <w:r w:rsidRPr="002A091D">
        <w:t xml:space="preserve">tocks with a market value less than the median are </w:t>
      </w:r>
      <w:r w:rsidR="000E4129" w:rsidRPr="002A091D">
        <w:t>classified</w:t>
      </w:r>
      <w:r w:rsidRPr="002A091D">
        <w:t xml:space="preserve"> as small, while stocks with a market value greater than the median value are </w:t>
      </w:r>
      <w:r w:rsidR="000E4129" w:rsidRPr="002A091D">
        <w:t>classified</w:t>
      </w:r>
      <w:r w:rsidRPr="002A091D">
        <w:t xml:space="preserve"> as big. To examine the three-factor model SMB (small minus big) and HML (high minus low) portfolios are developed using the same portfolio method as Fama and French (1993 and 1996).</w:t>
      </w:r>
    </w:p>
    <w:p w14:paraId="601C2356" w14:textId="77777777" w:rsidR="00D10B26" w:rsidRPr="002A091D" w:rsidRDefault="00D10B26" w:rsidP="00DE6260">
      <w:pPr>
        <w:widowControl w:val="0"/>
        <w:autoSpaceDE w:val="0"/>
        <w:autoSpaceDN w:val="0"/>
        <w:adjustRightInd w:val="0"/>
        <w:spacing w:line="480" w:lineRule="auto"/>
        <w:jc w:val="both"/>
      </w:pPr>
    </w:p>
    <w:p w14:paraId="32848E62" w14:textId="77777777" w:rsidR="00DE6260" w:rsidRPr="002A091D" w:rsidRDefault="00DE6260" w:rsidP="00F82474">
      <w:pPr>
        <w:pStyle w:val="Heading2"/>
      </w:pPr>
      <w:r w:rsidRPr="002A091D">
        <w:t>Carhart four factor model</w:t>
      </w:r>
    </w:p>
    <w:p w14:paraId="22570DE9" w14:textId="77777777" w:rsidR="006D62EE" w:rsidRPr="002A091D" w:rsidRDefault="006D62EE" w:rsidP="006D62EE"/>
    <w:p w14:paraId="00BD61FD" w14:textId="77777777" w:rsidR="006D62EE" w:rsidRPr="002A091D" w:rsidRDefault="00DE6260" w:rsidP="006D62EE">
      <w:pPr>
        <w:widowControl w:val="0"/>
        <w:autoSpaceDE w:val="0"/>
        <w:autoSpaceDN w:val="0"/>
        <w:adjustRightInd w:val="0"/>
        <w:spacing w:line="480" w:lineRule="auto"/>
        <w:jc w:val="both"/>
      </w:pPr>
      <w:r w:rsidRPr="002A091D">
        <w:t>In Carhart’s (1997) four-factor mod</w:t>
      </w:r>
      <w:r w:rsidR="002F1BC7" w:rsidRPr="002A091D">
        <w:t>el, the first three-factors are</w:t>
      </w:r>
      <w:r w:rsidRPr="002A091D">
        <w:t xml:space="preserve"> explained in the same way as the Fama–French three-factor model, that is, R</w:t>
      </w:r>
      <w:r w:rsidRPr="002A091D">
        <w:rPr>
          <w:vertAlign w:val="subscript"/>
        </w:rPr>
        <w:t>m</w:t>
      </w:r>
      <w:r w:rsidRPr="002A091D">
        <w:t>-R</w:t>
      </w:r>
      <w:r w:rsidRPr="002A091D">
        <w:rPr>
          <w:vertAlign w:val="subscript"/>
        </w:rPr>
        <w:t>f</w:t>
      </w:r>
      <w:r w:rsidRPr="002A091D">
        <w:t xml:space="preserve">, SMB and HML. The only alteration is the inclusion of </w:t>
      </w:r>
      <w:r w:rsidR="000E4129" w:rsidRPr="002A091D">
        <w:t>a</w:t>
      </w:r>
      <w:r w:rsidRPr="002A091D">
        <w:t xml:space="preserve"> fourth fa</w:t>
      </w:r>
      <w:r w:rsidR="002F1BC7" w:rsidRPr="002A091D">
        <w:t>ctor, namely MOM, which</w:t>
      </w:r>
      <w:r w:rsidRPr="002A091D">
        <w:t xml:space="preserve"> includes winners minus losers, and this factor is referred to as the momentum factor. The highest 30% (value weighted) of these stocks are </w:t>
      </w:r>
      <w:r w:rsidR="000E4129" w:rsidRPr="002A091D">
        <w:t>classified</w:t>
      </w:r>
      <w:r w:rsidRPr="002A091D">
        <w:t xml:space="preserve"> as ‘winners’, and the lowest 30% are </w:t>
      </w:r>
      <w:r w:rsidR="000E4129" w:rsidRPr="002A091D">
        <w:t>classified</w:t>
      </w:r>
      <w:r w:rsidRPr="002A091D">
        <w:t xml:space="preserve"> as ‘losers’. The difference in their monthly returns in month t is considered as the momentum factor of </w:t>
      </w:r>
      <w:r w:rsidR="00A46304" w:rsidRPr="002A091D">
        <w:t>return</w:t>
      </w:r>
      <m:oMath>
        <m:d>
          <m:dPr>
            <m:begChr m:val="["/>
            <m:endChr m:val="]"/>
            <m:ctrlPr>
              <w:rPr>
                <w:rFonts w:ascii="Cambria Math" w:hAnsi="Cambria Math"/>
                <w:i/>
              </w:rPr>
            </m:ctrlPr>
          </m:dPr>
          <m:e>
            <m:sSub>
              <m:sSubPr>
                <m:ctrlPr>
                  <w:rPr>
                    <w:rFonts w:ascii="Cambria Math" w:hAnsi="Cambria Math"/>
                    <w:i/>
                  </w:rPr>
                </m:ctrlPr>
              </m:sSubPr>
              <m:e>
                <m:r>
                  <w:rPr>
                    <w:rFonts w:ascii="Cambria Math" w:hAnsi="Cambria Math"/>
                  </w:rPr>
                  <m:t>MOM</m:t>
                </m:r>
              </m:e>
              <m:sub>
                <m:r>
                  <w:rPr>
                    <w:rFonts w:ascii="Cambria Math" w:hAnsi="Cambria Math"/>
                  </w:rPr>
                  <m:t>t</m:t>
                </m:r>
              </m:sub>
            </m:sSub>
          </m:e>
        </m:d>
      </m:oMath>
      <w:r w:rsidRPr="002A091D">
        <w:t xml:space="preserve">. </w:t>
      </w:r>
    </w:p>
    <w:p w14:paraId="7C64DF2E" w14:textId="77777777" w:rsidR="006D62EE" w:rsidRPr="002A091D" w:rsidRDefault="006D62EE" w:rsidP="006D62EE">
      <w:pPr>
        <w:widowControl w:val="0"/>
        <w:autoSpaceDE w:val="0"/>
        <w:autoSpaceDN w:val="0"/>
        <w:adjustRightInd w:val="0"/>
        <w:spacing w:line="480" w:lineRule="auto"/>
        <w:jc w:val="both"/>
      </w:pPr>
    </w:p>
    <w:p w14:paraId="44D2D15C" w14:textId="77777777" w:rsidR="00DE6260" w:rsidRPr="002A091D" w:rsidRDefault="002A091D" w:rsidP="006D62EE">
      <w:pPr>
        <w:widowControl w:val="0"/>
        <w:autoSpaceDE w:val="0"/>
        <w:autoSpaceDN w:val="0"/>
        <w:adjustRightInd w:val="0"/>
        <w:spacing w:line="480" w:lineRule="auto"/>
        <w:jc w:val="both"/>
      </w:pPr>
      <m:oMath>
        <m:sSub>
          <m:sSubPr>
            <m:ctrlPr>
              <w:rPr>
                <w:rFonts w:ascii="Cambria Math" w:hAnsi="Cambria Math"/>
                <w:i/>
              </w:rPr>
            </m:ctrlPr>
          </m:sSubPr>
          <m:e>
            <m:r>
              <w:rPr>
                <w:rFonts w:ascii="Cambria Math" w:hAnsi="Cambria Math"/>
              </w:rPr>
              <m:t>r</m:t>
            </m:r>
          </m:e>
          <m:sub>
            <m:r>
              <w:rPr>
                <w:rFonts w:ascii="Cambria Math" w:hAnsi="Cambria Math"/>
              </w:rPr>
              <m:t>it</m:t>
            </m:r>
          </m:sub>
        </m:sSub>
        <m:r>
          <m:rPr>
            <m:sty m:val="p"/>
          </m:rP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ft</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α</m:t>
            </m:r>
          </m:e>
          <m:sub>
            <m:r>
              <w:rPr>
                <w:rFonts w:ascii="Cambria Math" w:hAnsi="Cambria Math"/>
              </w:rPr>
              <m:t>i</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i</m:t>
            </m:r>
            <m:r>
              <m:rPr>
                <m:sty m:val="p"/>
              </m:rPr>
              <w:rPr>
                <w:rFonts w:ascii="Cambria Math" w:hAnsi="Cambria Math"/>
              </w:rPr>
              <m:t>,</m:t>
            </m:r>
            <m:r>
              <w:rPr>
                <w:rFonts w:ascii="Cambria Math" w:hAnsi="Cambria Math"/>
              </w:rPr>
              <m:t>MKT</m:t>
            </m:r>
          </m:sub>
        </m:sSub>
        <m:sSub>
          <m:sSubPr>
            <m:ctrlPr>
              <w:rPr>
                <w:rFonts w:ascii="Cambria Math" w:hAnsi="Cambria Math"/>
                <w:i/>
              </w:rPr>
            </m:ctrlPr>
          </m:sSubPr>
          <m:e>
            <m:r>
              <w:rPr>
                <w:rFonts w:ascii="Cambria Math" w:hAnsi="Cambria Math"/>
              </w:rPr>
              <m:t>MKT</m:t>
            </m:r>
          </m:e>
          <m:sub>
            <m:r>
              <w:rPr>
                <w:rFonts w:ascii="Cambria Math" w:hAnsi="Cambria Math"/>
              </w:rPr>
              <m:t>t</m:t>
            </m:r>
          </m:sub>
        </m:sSub>
        <m:r>
          <m:rPr>
            <m:sty m:val="p"/>
          </m:rP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r>
              <m:rPr>
                <m:sty m:val="p"/>
              </m:rPr>
              <w:rPr>
                <w:rFonts w:ascii="Cambria Math" w:hAnsi="Cambria Math"/>
              </w:rPr>
              <m:t>,</m:t>
            </m:r>
            <m:r>
              <w:rPr>
                <w:rFonts w:ascii="Cambria Math" w:hAnsi="Cambria Math"/>
              </w:rPr>
              <m:t>SMB</m:t>
            </m:r>
          </m:sub>
        </m:sSub>
        <m:sSub>
          <m:sSubPr>
            <m:ctrlPr>
              <w:rPr>
                <w:rFonts w:ascii="Cambria Math" w:hAnsi="Cambria Math"/>
                <w:i/>
              </w:rPr>
            </m:ctrlPr>
          </m:sSubPr>
          <m:e>
            <m:r>
              <w:rPr>
                <w:rFonts w:ascii="Cambria Math" w:hAnsi="Cambria Math"/>
              </w:rPr>
              <m:t>SMB</m:t>
            </m:r>
          </m:e>
          <m:sub>
            <m:r>
              <w:rPr>
                <w:rFonts w:ascii="Cambria Math" w:hAnsi="Cambria Math"/>
              </w:rPr>
              <m:t>t</m:t>
            </m:r>
          </m:sub>
        </m:sSub>
        <m:r>
          <m:rPr>
            <m:sty m:val="p"/>
          </m:rP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r>
              <m:rPr>
                <m:sty m:val="p"/>
              </m:rPr>
              <w:rPr>
                <w:rFonts w:ascii="Cambria Math" w:hAnsi="Cambria Math"/>
              </w:rPr>
              <m:t>,</m:t>
            </m:r>
            <m:r>
              <w:rPr>
                <w:rFonts w:ascii="Cambria Math" w:hAnsi="Cambria Math"/>
              </w:rPr>
              <m:t>HML</m:t>
            </m:r>
          </m:sub>
        </m:sSub>
        <m:sSub>
          <m:sSubPr>
            <m:ctrlPr>
              <w:rPr>
                <w:rFonts w:ascii="Cambria Math" w:hAnsi="Cambria Math"/>
                <w:i/>
              </w:rPr>
            </m:ctrlPr>
          </m:sSubPr>
          <m:e>
            <m:r>
              <w:rPr>
                <w:rFonts w:ascii="Cambria Math" w:hAnsi="Cambria Math"/>
              </w:rPr>
              <m:t>HML</m:t>
            </m:r>
          </m:e>
          <m:sub>
            <m:r>
              <w:rPr>
                <w:rFonts w:ascii="Cambria Math" w:hAnsi="Cambria Math"/>
              </w:rPr>
              <m:t>t</m:t>
            </m:r>
          </m:sub>
        </m:sSub>
        <m:r>
          <m:rPr>
            <m:sty m:val="p"/>
          </m:rP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i</m:t>
            </m:r>
            <m:r>
              <m:rPr>
                <m:sty m:val="p"/>
              </m:rPr>
              <w:rPr>
                <w:rFonts w:ascii="Cambria Math" w:hAnsi="Cambria Math"/>
              </w:rPr>
              <m:t>,</m:t>
            </m:r>
            <m:r>
              <w:rPr>
                <w:rFonts w:ascii="Cambria Math" w:hAnsi="Cambria Math"/>
              </w:rPr>
              <m:t>MOM</m:t>
            </m:r>
          </m:sub>
        </m:sSub>
        <m:sSub>
          <m:sSubPr>
            <m:ctrlPr>
              <w:rPr>
                <w:rFonts w:ascii="Cambria Math" w:hAnsi="Cambria Math"/>
                <w:i/>
              </w:rPr>
            </m:ctrlPr>
          </m:sSubPr>
          <m:e>
            <m:r>
              <w:rPr>
                <w:rFonts w:ascii="Cambria Math" w:hAnsi="Cambria Math"/>
              </w:rPr>
              <m:t>MOM</m:t>
            </m:r>
          </m:e>
          <m:sub>
            <m:r>
              <w:rPr>
                <w:rFonts w:ascii="Cambria Math" w:hAnsi="Cambria Math"/>
              </w:rPr>
              <m:t>t</m:t>
            </m:r>
          </m:sub>
        </m:sSub>
        <m:r>
          <m:rPr>
            <m:sty m:val="p"/>
          </m:rPr>
          <w:rPr>
            <w:rFonts w:ascii="Cambria Math" w:hAnsi="Cambria Math"/>
          </w:rPr>
          <m:t xml:space="preserve">+ </m:t>
        </m:r>
        <m:sSub>
          <m:sSubPr>
            <m:ctrlPr>
              <w:rPr>
                <w:rFonts w:ascii="Cambria Math" w:hAnsi="Cambria Math"/>
                <w:i/>
              </w:rPr>
            </m:ctrlPr>
          </m:sSubPr>
          <m:e>
            <m:r>
              <w:rPr>
                <w:rFonts w:ascii="Cambria Math" w:hAnsi="Cambria Math"/>
              </w:rPr>
              <m:t>ε</m:t>
            </m:r>
          </m:e>
          <m:sub>
            <m:r>
              <w:rPr>
                <w:rFonts w:ascii="Cambria Math" w:hAnsi="Cambria Math"/>
              </w:rPr>
              <m:t>it</m:t>
            </m:r>
          </m:sub>
        </m:sSub>
      </m:oMath>
      <w:r w:rsidR="00DE6260" w:rsidRPr="002A091D">
        <w:t xml:space="preserve">   </w:t>
      </w:r>
    </w:p>
    <w:p w14:paraId="66B6A025" w14:textId="77777777" w:rsidR="00DE6260" w:rsidRPr="002A091D" w:rsidRDefault="005622F2" w:rsidP="00417F7C">
      <w:pPr>
        <w:pStyle w:val="Caption"/>
        <w:spacing w:after="0" w:line="480" w:lineRule="auto"/>
        <w:ind w:left="6480"/>
        <w:rPr>
          <w:rFonts w:ascii="Times New Roman" w:hAnsi="Times New Roman" w:cs="Times New Roman"/>
          <w:i w:val="0"/>
          <w:color w:val="auto"/>
          <w:sz w:val="20"/>
          <w:szCs w:val="20"/>
        </w:rPr>
      </w:pPr>
      <w:r w:rsidRPr="002A091D">
        <w:rPr>
          <w:rFonts w:ascii="Times New Roman" w:hAnsi="Times New Roman" w:cs="Times New Roman"/>
          <w:i w:val="0"/>
          <w:color w:val="auto"/>
          <w:sz w:val="20"/>
          <w:szCs w:val="20"/>
        </w:rPr>
        <w:t>(</w:t>
      </w:r>
      <w:r w:rsidR="00417F7C" w:rsidRPr="002A091D">
        <w:rPr>
          <w:rFonts w:ascii="Times New Roman" w:hAnsi="Times New Roman" w:cs="Times New Roman"/>
          <w:i w:val="0"/>
          <w:color w:val="auto"/>
          <w:sz w:val="20"/>
          <w:szCs w:val="20"/>
        </w:rPr>
        <w:t>6</w:t>
      </w:r>
      <w:r w:rsidRPr="002A091D">
        <w:rPr>
          <w:rFonts w:ascii="Times New Roman" w:hAnsi="Times New Roman" w:cs="Times New Roman"/>
          <w:i w:val="0"/>
          <w:color w:val="auto"/>
          <w:sz w:val="20"/>
          <w:szCs w:val="20"/>
        </w:rPr>
        <w:t>)</w:t>
      </w:r>
    </w:p>
    <w:p w14:paraId="072A9099" w14:textId="77777777" w:rsidR="00DE6260" w:rsidRPr="002A091D" w:rsidRDefault="002F1BC7" w:rsidP="00DE6260">
      <w:pPr>
        <w:widowControl w:val="0"/>
        <w:autoSpaceDE w:val="0"/>
        <w:autoSpaceDN w:val="0"/>
        <w:adjustRightInd w:val="0"/>
        <w:spacing w:line="480" w:lineRule="auto"/>
        <w:jc w:val="both"/>
      </w:pPr>
      <w:r w:rsidRPr="002A091D">
        <w:t>All the other explanatory</w:t>
      </w:r>
      <w:r w:rsidR="00DE6260" w:rsidRPr="002A091D">
        <w:t xml:space="preserve"> variab</w:t>
      </w:r>
      <w:r w:rsidRPr="002A091D">
        <w:t>les have already been explained. T</w:t>
      </w:r>
      <w:r w:rsidR="00DE6260" w:rsidRPr="002A091D">
        <w:t xml:space="preserve">he new momentum </w:t>
      </w:r>
      <w:r w:rsidR="00DE6260" w:rsidRPr="002A091D">
        <w:lastRenderedPageBreak/>
        <w:t xml:space="preserve">factor is represented as follows: </w:t>
      </w:r>
    </w:p>
    <w:p w14:paraId="06F9F94E" w14:textId="77777777" w:rsidR="00DE6260" w:rsidRPr="002A091D" w:rsidRDefault="002A091D" w:rsidP="00DE6260">
      <w:pPr>
        <w:widowControl w:val="0"/>
        <w:autoSpaceDE w:val="0"/>
        <w:autoSpaceDN w:val="0"/>
        <w:adjustRightInd w:val="0"/>
        <w:spacing w:line="480" w:lineRule="auto"/>
        <w:jc w:val="both"/>
        <w:rPr>
          <w:rFonts w:ascii="Cambria Math" w:hAnsi="Cambria Math"/>
          <w:shd w:val="clear" w:color="auto" w:fill="FFFFFF"/>
        </w:rPr>
      </w:pPr>
      <m:oMath>
        <m:sSub>
          <m:sSubPr>
            <m:ctrlPr>
              <w:rPr>
                <w:rFonts w:ascii="Cambria Math" w:hAnsi="Cambria Math"/>
                <w:i/>
                <w:shd w:val="clear" w:color="auto" w:fill="FFFFFF"/>
              </w:rPr>
            </m:ctrlPr>
          </m:sSubPr>
          <m:e>
            <m:r>
              <w:rPr>
                <w:rFonts w:ascii="Cambria Math" w:hAnsi="Cambria Math"/>
                <w:shd w:val="clear" w:color="auto" w:fill="FFFFFF"/>
              </w:rPr>
              <m:t>MOM</m:t>
            </m:r>
          </m:e>
          <m:sub>
            <m:r>
              <w:rPr>
                <w:rFonts w:ascii="Cambria Math" w:hAnsi="Cambria Math"/>
                <w:shd w:val="clear" w:color="auto" w:fill="FFFFFF"/>
              </w:rPr>
              <m:t>t</m:t>
            </m:r>
          </m:sub>
        </m:sSub>
        <m:r>
          <w:rPr>
            <w:rFonts w:ascii="Cambria Math" w:hAnsi="Cambria Math"/>
            <w:shd w:val="clear" w:color="auto" w:fill="FFFFFF"/>
          </w:rPr>
          <m:t>=return of the momentum factor</m:t>
        </m:r>
      </m:oMath>
      <w:r w:rsidR="00DE6260" w:rsidRPr="002A091D">
        <w:rPr>
          <w:shd w:val="clear" w:color="auto" w:fill="FFFFFF"/>
        </w:rPr>
        <w:t xml:space="preserve"> </w:t>
      </w:r>
      <w:r w:rsidR="001D70A7" w:rsidRPr="002A091D">
        <w:rPr>
          <w:rFonts w:ascii="Cambria Math" w:hAnsi="Cambria Math"/>
          <w:shd w:val="clear" w:color="auto" w:fill="FFFFFF"/>
        </w:rPr>
        <w:br/>
      </w:r>
      <m:oMathPara>
        <m:oMathParaPr>
          <m:jc m:val="left"/>
        </m:oMathParaPr>
        <m:oMath>
          <m:sSub>
            <m:sSubPr>
              <m:ctrlPr>
                <w:rPr>
                  <w:rFonts w:ascii="Cambria Math" w:hAnsi="Cambria Math"/>
                  <w:i/>
                  <w:shd w:val="clear" w:color="auto" w:fill="FFFFFF"/>
                </w:rPr>
              </m:ctrlPr>
            </m:sSubPr>
            <m:e>
              <m:r>
                <w:rPr>
                  <w:rFonts w:ascii="Cambria Math" w:hAnsi="Cambria Math"/>
                  <w:shd w:val="clear" w:color="auto" w:fill="FFFFFF"/>
                </w:rPr>
                <m:t>β</m:t>
              </m:r>
            </m:e>
            <m:sub>
              <m:r>
                <w:rPr>
                  <w:rFonts w:ascii="Cambria Math" w:hAnsi="Cambria Math"/>
                  <w:shd w:val="clear" w:color="auto" w:fill="FFFFFF"/>
                </w:rPr>
                <m:t>i,MOM</m:t>
              </m:r>
            </m:sub>
          </m:sSub>
          <m:r>
            <w:rPr>
              <w:rFonts w:ascii="Cambria Math" w:hAnsi="Cambria Math"/>
              <w:shd w:val="clear" w:color="auto" w:fill="FFFFFF"/>
            </w:rPr>
            <m:t xml:space="preserve">=beta value ofthe independent variable </m:t>
          </m:r>
          <m:sSub>
            <m:sSubPr>
              <m:ctrlPr>
                <w:rPr>
                  <w:rFonts w:ascii="Cambria Math" w:hAnsi="Cambria Math"/>
                  <w:i/>
                  <w:shd w:val="clear" w:color="auto" w:fill="FFFFFF"/>
                </w:rPr>
              </m:ctrlPr>
            </m:sSubPr>
            <m:e>
              <m:r>
                <w:rPr>
                  <w:rFonts w:ascii="Cambria Math" w:hAnsi="Cambria Math"/>
                  <w:shd w:val="clear" w:color="auto" w:fill="FFFFFF"/>
                </w:rPr>
                <m:t>MOM</m:t>
              </m:r>
            </m:e>
            <m:sub>
              <m:r>
                <w:rPr>
                  <w:rFonts w:ascii="Cambria Math" w:hAnsi="Cambria Math"/>
                  <w:shd w:val="clear" w:color="auto" w:fill="FFFFFF"/>
                </w:rPr>
                <m:t>t</m:t>
              </m:r>
            </m:sub>
          </m:sSub>
        </m:oMath>
      </m:oMathPara>
    </w:p>
    <w:p w14:paraId="3EDDCFE5" w14:textId="77777777" w:rsidR="003A62B6" w:rsidRPr="002A091D" w:rsidRDefault="002F1BC7" w:rsidP="00A46304">
      <w:pPr>
        <w:widowControl w:val="0"/>
        <w:autoSpaceDE w:val="0"/>
        <w:autoSpaceDN w:val="0"/>
        <w:adjustRightInd w:val="0"/>
        <w:spacing w:line="480" w:lineRule="auto"/>
        <w:jc w:val="both"/>
      </w:pPr>
      <w:r w:rsidRPr="002A091D">
        <w:t>We</w:t>
      </w:r>
      <w:r w:rsidR="003A62B6" w:rsidRPr="002A091D">
        <w:t xml:space="preserve"> use</w:t>
      </w:r>
      <w:r w:rsidRPr="002A091D">
        <w:t xml:space="preserve"> a</w:t>
      </w:r>
      <w:r w:rsidR="003A62B6" w:rsidRPr="002A091D">
        <w:t xml:space="preserve"> system-based estimation for the test of joint significance of 10 portfolios of alphas in order to mitigate potential errors in variable problems. Moreover, we examine alphas estimation through GMM with standard errors corrected for heteroscedasticity and serial correlation (</w:t>
      </w:r>
      <w:r w:rsidR="004F226D" w:rsidRPr="002A091D">
        <w:t xml:space="preserve">see for </w:t>
      </w:r>
      <w:r w:rsidR="00A60B9D" w:rsidRPr="002A091D">
        <w:t>example</w:t>
      </w:r>
      <w:r w:rsidR="004F226D" w:rsidRPr="002A091D">
        <w:t xml:space="preserve"> Florackis et al. (2011)</w:t>
      </w:r>
      <w:r w:rsidR="003A62B6" w:rsidRPr="002A091D">
        <w:t xml:space="preserve">. </w:t>
      </w:r>
    </w:p>
    <w:p w14:paraId="5E7D649F" w14:textId="77777777" w:rsidR="0065625F" w:rsidRPr="002A091D" w:rsidRDefault="00CD4E06" w:rsidP="00F82474">
      <w:pPr>
        <w:pStyle w:val="Heading1"/>
        <w:rPr>
          <w:shd w:val="clear" w:color="auto" w:fill="FFFFFF"/>
        </w:rPr>
      </w:pPr>
      <w:r w:rsidRPr="002A091D">
        <w:rPr>
          <w:shd w:val="clear" w:color="auto" w:fill="FFFFFF"/>
        </w:rPr>
        <w:t>Results</w:t>
      </w:r>
    </w:p>
    <w:p w14:paraId="0B8A1F33" w14:textId="77777777" w:rsidR="00A46304" w:rsidRPr="002A091D" w:rsidRDefault="00A46304" w:rsidP="00A46304">
      <w:pPr>
        <w:rPr>
          <w:lang w:val="en-GB" w:eastAsia="zh-CN"/>
        </w:rPr>
      </w:pPr>
    </w:p>
    <w:p w14:paraId="4CDBAF88" w14:textId="77777777" w:rsidR="00D10B26" w:rsidRPr="002A091D" w:rsidRDefault="00D10B26" w:rsidP="00F82474">
      <w:pPr>
        <w:pStyle w:val="Heading2"/>
        <w:rPr>
          <w:lang w:eastAsia="en-GB"/>
        </w:rPr>
      </w:pPr>
      <w:bookmarkStart w:id="20" w:name="_Toc489702894"/>
      <w:bookmarkStart w:id="21" w:name="_Toc489732477"/>
      <w:r w:rsidRPr="002A091D">
        <w:rPr>
          <w:lang w:eastAsia="en-GB"/>
        </w:rPr>
        <w:t>Alphas of Value-Weighted Portfolios Sorted by the Return-to-Volume (RtoV) Price Impact Ratio</w:t>
      </w:r>
      <w:bookmarkEnd w:id="20"/>
      <w:bookmarkEnd w:id="21"/>
    </w:p>
    <w:p w14:paraId="22E9E39A" w14:textId="77777777" w:rsidR="0065625F" w:rsidRPr="002A091D" w:rsidRDefault="0065625F" w:rsidP="00D10B26">
      <w:pPr>
        <w:spacing w:line="480" w:lineRule="auto"/>
        <w:jc w:val="both"/>
        <w:rPr>
          <w:lang w:eastAsia="en-GB"/>
        </w:rPr>
      </w:pPr>
    </w:p>
    <w:p w14:paraId="01CD53B4" w14:textId="77777777" w:rsidR="00D10B26" w:rsidRPr="002A091D" w:rsidRDefault="00D10B26" w:rsidP="00D10B26">
      <w:pPr>
        <w:spacing w:line="480" w:lineRule="auto"/>
        <w:jc w:val="both"/>
        <w:rPr>
          <w:lang w:eastAsia="en-GB"/>
        </w:rPr>
        <w:sectPr w:rsidR="00D10B26" w:rsidRPr="002A091D" w:rsidSect="0042500C">
          <w:pgSz w:w="11906" w:h="16838" w:code="9"/>
          <w:pgMar w:top="1440" w:right="1800" w:bottom="1440" w:left="1800" w:header="720" w:footer="720" w:gutter="0"/>
          <w:cols w:space="720"/>
          <w:docGrid w:linePitch="299"/>
        </w:sectPr>
      </w:pPr>
      <w:r w:rsidRPr="002A091D">
        <w:rPr>
          <w:lang w:eastAsia="en-GB"/>
        </w:rPr>
        <w:t>The CAPM alpha is interpret</w:t>
      </w:r>
      <w:r w:rsidR="006D3CA6" w:rsidRPr="002A091D">
        <w:rPr>
          <w:lang w:eastAsia="en-GB"/>
        </w:rPr>
        <w:t>ed as the positive RtoV premium in Table 4.</w:t>
      </w:r>
      <w:r w:rsidRPr="002A091D">
        <w:rPr>
          <w:lang w:eastAsia="en-GB"/>
        </w:rPr>
        <w:t xml:space="preserve"> P1 has the s</w:t>
      </w:r>
      <w:r w:rsidR="00632FC8" w:rsidRPr="002A091D">
        <w:rPr>
          <w:lang w:eastAsia="en-GB"/>
        </w:rPr>
        <w:t xml:space="preserve">mallest Jensen alpha (i.e. </w:t>
      </w:r>
      <w:r w:rsidR="00200D9C" w:rsidRPr="002A091D">
        <w:rPr>
          <w:lang w:eastAsia="en-GB"/>
        </w:rPr>
        <w:t>-</w:t>
      </w:r>
      <w:r w:rsidR="00632FC8" w:rsidRPr="002A091D">
        <w:rPr>
          <w:lang w:eastAsia="en-GB"/>
        </w:rPr>
        <w:t>0.</w:t>
      </w:r>
      <w:r w:rsidR="00041263" w:rsidRPr="002A091D">
        <w:rPr>
          <w:lang w:eastAsia="en-GB"/>
        </w:rPr>
        <w:t>14</w:t>
      </w:r>
      <w:r w:rsidR="00632FC8" w:rsidRPr="002A091D">
        <w:rPr>
          <w:lang w:eastAsia="en-GB"/>
        </w:rPr>
        <w:t xml:space="preserve">% </w:t>
      </w:r>
      <w:r w:rsidRPr="002A091D">
        <w:rPr>
          <w:lang w:eastAsia="en-GB"/>
        </w:rPr>
        <w:t>p.a.) in comparison with P1</w:t>
      </w:r>
      <w:r w:rsidR="00632FC8" w:rsidRPr="002A091D">
        <w:rPr>
          <w:lang w:eastAsia="en-GB"/>
        </w:rPr>
        <w:t>0, whic</w:t>
      </w:r>
      <w:r w:rsidR="001E23AC" w:rsidRPr="002A091D">
        <w:rPr>
          <w:lang w:eastAsia="en-GB"/>
        </w:rPr>
        <w:t xml:space="preserve">h shows the highest </w:t>
      </w:r>
      <w:r w:rsidR="00632FC8" w:rsidRPr="002A091D">
        <w:rPr>
          <w:lang w:eastAsia="en-GB"/>
        </w:rPr>
        <w:t>(1.</w:t>
      </w:r>
      <w:r w:rsidR="00041263" w:rsidRPr="002A091D">
        <w:rPr>
          <w:lang w:eastAsia="en-GB"/>
        </w:rPr>
        <w:t>34</w:t>
      </w:r>
      <w:r w:rsidR="00632FC8" w:rsidRPr="002A091D">
        <w:rPr>
          <w:lang w:eastAsia="en-GB"/>
        </w:rPr>
        <w:t xml:space="preserve">% </w:t>
      </w:r>
      <w:r w:rsidRPr="002A091D">
        <w:rPr>
          <w:lang w:eastAsia="en-GB"/>
        </w:rPr>
        <w:t xml:space="preserve">p.a.). Moreover, </w:t>
      </w:r>
      <w:r w:rsidR="003A3F51" w:rsidRPr="002A091D">
        <w:rPr>
          <w:lang w:eastAsia="en-GB"/>
        </w:rPr>
        <w:t xml:space="preserve">in the </w:t>
      </w:r>
      <w:r w:rsidR="00F05DB0" w:rsidRPr="002A091D">
        <w:rPr>
          <w:lang w:eastAsia="en-GB"/>
        </w:rPr>
        <w:t>CAPM there is</w:t>
      </w:r>
      <w:r w:rsidR="00876778" w:rsidRPr="002A091D">
        <w:rPr>
          <w:lang w:eastAsia="en-GB"/>
        </w:rPr>
        <w:t xml:space="preserve"> </w:t>
      </w:r>
      <w:r w:rsidR="00F05DB0" w:rsidRPr="002A091D">
        <w:rPr>
          <w:lang w:eastAsia="en-GB"/>
        </w:rPr>
        <w:t xml:space="preserve">a </w:t>
      </w:r>
      <w:r w:rsidR="007E57EB" w:rsidRPr="002A091D">
        <w:rPr>
          <w:lang w:eastAsia="en-GB"/>
        </w:rPr>
        <w:t xml:space="preserve">significant </w:t>
      </w:r>
      <w:r w:rsidR="00876778" w:rsidRPr="002A091D">
        <w:rPr>
          <w:lang w:eastAsia="en-GB"/>
        </w:rPr>
        <w:t>RtoV premium</w:t>
      </w:r>
      <w:r w:rsidR="00EF6B1D" w:rsidRPr="002A091D">
        <w:rPr>
          <w:lang w:eastAsia="en-GB"/>
        </w:rPr>
        <w:t xml:space="preserve"> at P3 and P10 at</w:t>
      </w:r>
      <w:r w:rsidR="00F05DB0" w:rsidRPr="002A091D">
        <w:rPr>
          <w:lang w:eastAsia="en-GB"/>
        </w:rPr>
        <w:t xml:space="preserve"> the 1% significance</w:t>
      </w:r>
      <w:r w:rsidR="00EF6B1D" w:rsidRPr="002A091D">
        <w:rPr>
          <w:lang w:eastAsia="en-GB"/>
        </w:rPr>
        <w:t xml:space="preserve"> level and P9 at</w:t>
      </w:r>
      <w:r w:rsidR="00F05DB0" w:rsidRPr="002A091D">
        <w:rPr>
          <w:lang w:eastAsia="en-GB"/>
        </w:rPr>
        <w:t xml:space="preserve"> the 10% significance</w:t>
      </w:r>
      <w:r w:rsidR="00EF6B1D" w:rsidRPr="002A091D">
        <w:rPr>
          <w:lang w:eastAsia="en-GB"/>
        </w:rPr>
        <w:t xml:space="preserve"> level</w:t>
      </w:r>
      <w:r w:rsidR="00876778" w:rsidRPr="002A091D">
        <w:rPr>
          <w:lang w:eastAsia="en-GB"/>
        </w:rPr>
        <w:t xml:space="preserve">. </w:t>
      </w:r>
      <w:r w:rsidR="007E57EB" w:rsidRPr="002A091D">
        <w:rPr>
          <w:lang w:eastAsia="en-GB"/>
        </w:rPr>
        <w:t xml:space="preserve">In addition, </w:t>
      </w:r>
      <w:r w:rsidR="00A60B9D" w:rsidRPr="002A091D">
        <w:rPr>
          <w:lang w:eastAsia="en-GB"/>
        </w:rPr>
        <w:t>the</w:t>
      </w:r>
      <w:r w:rsidR="00EF6B1D" w:rsidRPr="002A091D">
        <w:rPr>
          <w:lang w:eastAsia="en-GB"/>
        </w:rPr>
        <w:t xml:space="preserve"> strong</w:t>
      </w:r>
      <w:r w:rsidR="007E57EB" w:rsidRPr="002A091D">
        <w:rPr>
          <w:lang w:eastAsia="en-GB"/>
        </w:rPr>
        <w:t xml:space="preserve"> </w:t>
      </w:r>
      <w:r w:rsidR="009C3640" w:rsidRPr="002A091D">
        <w:rPr>
          <w:lang w:eastAsia="en-GB"/>
        </w:rPr>
        <w:t xml:space="preserve">significant </w:t>
      </w:r>
      <w:r w:rsidR="007E57EB" w:rsidRPr="002A091D">
        <w:rPr>
          <w:lang w:eastAsia="en-GB"/>
        </w:rPr>
        <w:t>evidence for the existence of this premium a</w:t>
      </w:r>
      <w:r w:rsidR="00F05DB0" w:rsidRPr="002A091D">
        <w:rPr>
          <w:lang w:eastAsia="en-GB"/>
        </w:rPr>
        <w:t>lso follows when Fama–French</w:t>
      </w:r>
      <w:r w:rsidR="00EF6B1D" w:rsidRPr="002A091D">
        <w:rPr>
          <w:lang w:eastAsia="en-GB"/>
        </w:rPr>
        <w:t xml:space="preserve"> (P3 </w:t>
      </w:r>
      <w:r w:rsidR="009C3640" w:rsidRPr="002A091D">
        <w:rPr>
          <w:lang w:eastAsia="en-GB"/>
        </w:rPr>
        <w:t xml:space="preserve">and P4 at 1% significance level, P5 at 5% significance level and P2 at 10% significance level) </w:t>
      </w:r>
      <w:r w:rsidR="00EF6B1D" w:rsidRPr="002A091D">
        <w:rPr>
          <w:lang w:eastAsia="en-GB"/>
        </w:rPr>
        <w:t>and</w:t>
      </w:r>
      <w:r w:rsidR="007E57EB" w:rsidRPr="002A091D">
        <w:rPr>
          <w:lang w:eastAsia="en-GB"/>
        </w:rPr>
        <w:t xml:space="preserve"> Carhart alphas are considered as measures of risk-adjusted performance</w:t>
      </w:r>
      <w:r w:rsidR="00EF6B1D" w:rsidRPr="002A091D">
        <w:rPr>
          <w:lang w:eastAsia="en-GB"/>
        </w:rPr>
        <w:t xml:space="preserve"> (P5 and P7 at 1% significance level)</w:t>
      </w:r>
      <w:r w:rsidR="007E57EB" w:rsidRPr="002A091D">
        <w:rPr>
          <w:lang w:eastAsia="en-GB"/>
        </w:rPr>
        <w:t>.</w:t>
      </w:r>
      <w:r w:rsidR="00963FD2" w:rsidRPr="002A091D">
        <w:rPr>
          <w:lang w:eastAsia="en-GB"/>
        </w:rPr>
        <w:t xml:space="preserve"> </w:t>
      </w:r>
      <w:r w:rsidRPr="002A091D">
        <w:rPr>
          <w:lang w:eastAsia="en-GB"/>
        </w:rPr>
        <w:t>Furthermore, the CAPM alphas</w:t>
      </w:r>
      <w:r w:rsidRPr="002A091D">
        <w:t xml:space="preserve"> shown as the risk-adjusted performance have a </w:t>
      </w:r>
      <w:r w:rsidR="00EF6B1D" w:rsidRPr="002A091D">
        <w:t xml:space="preserve">significant </w:t>
      </w:r>
      <w:r w:rsidR="00200D9C" w:rsidRPr="002A091D">
        <w:t>positive spread of 1.</w:t>
      </w:r>
      <w:r w:rsidR="00EF6B1D" w:rsidRPr="002A091D">
        <w:t>53</w:t>
      </w:r>
      <w:r w:rsidRPr="002A091D">
        <w:t>% p</w:t>
      </w:r>
      <w:r w:rsidR="00963FD2" w:rsidRPr="002A091D">
        <w:t xml:space="preserve">.a. (t = </w:t>
      </w:r>
      <w:r w:rsidR="00EF6B1D" w:rsidRPr="002A091D">
        <w:t>2.392</w:t>
      </w:r>
      <w:r w:rsidR="00963FD2" w:rsidRPr="002A091D">
        <w:t>)</w:t>
      </w:r>
      <w:r w:rsidR="006D3CA6" w:rsidRPr="002A091D">
        <w:t>.</w:t>
      </w:r>
    </w:p>
    <w:p w14:paraId="3D10E22E" w14:textId="77777777" w:rsidR="00D10B26" w:rsidRPr="002A091D" w:rsidRDefault="00D10B26" w:rsidP="00BA1B66">
      <w:pPr>
        <w:autoSpaceDE w:val="0"/>
        <w:autoSpaceDN w:val="0"/>
        <w:adjustRightInd w:val="0"/>
        <w:spacing w:line="480" w:lineRule="auto"/>
        <w:jc w:val="both"/>
      </w:pPr>
      <w:r w:rsidRPr="002A091D">
        <w:lastRenderedPageBreak/>
        <w:t>The spread of</w:t>
      </w:r>
      <w:r w:rsidR="001E23AC" w:rsidRPr="002A091D">
        <w:t xml:space="preserve"> Fama–F</w:t>
      </w:r>
      <w:r w:rsidR="00200D9C" w:rsidRPr="002A091D">
        <w:t>rench (P1</w:t>
      </w:r>
      <w:r w:rsidR="001E23AC" w:rsidRPr="002A091D">
        <w:t xml:space="preserve"> - P1</w:t>
      </w:r>
      <w:r w:rsidR="00200D9C" w:rsidRPr="002A091D">
        <w:t>0</w:t>
      </w:r>
      <w:r w:rsidR="001E23AC" w:rsidRPr="002A091D">
        <w:t>) is -</w:t>
      </w:r>
      <w:r w:rsidR="00C45C9D" w:rsidRPr="002A091D">
        <w:t>0.42%</w:t>
      </w:r>
      <w:r w:rsidRPr="002A091D">
        <w:t>, indicat</w:t>
      </w:r>
      <w:r w:rsidR="00BA1B66" w:rsidRPr="002A091D">
        <w:t>ing</w:t>
      </w:r>
      <w:r w:rsidRPr="002A091D">
        <w:t xml:space="preserve"> that all the </w:t>
      </w:r>
      <w:r w:rsidR="001E23AC" w:rsidRPr="002A091D">
        <w:t xml:space="preserve">stock </w:t>
      </w:r>
      <w:r w:rsidRPr="002A091D">
        <w:t>returns of the portfolios cannot beat the market benchmark return because of the negative alpha. Similarly, the Carhart alph</w:t>
      </w:r>
      <w:r w:rsidR="00200D9C" w:rsidRPr="002A091D">
        <w:t>a shows a negative spread of P1</w:t>
      </w:r>
      <w:r w:rsidRPr="002A091D">
        <w:t xml:space="preserve"> - P1</w:t>
      </w:r>
      <w:r w:rsidR="00200D9C" w:rsidRPr="002A091D">
        <w:t>0</w:t>
      </w:r>
      <w:r w:rsidR="008D68F7" w:rsidRPr="002A091D">
        <w:t xml:space="preserve"> (-0.</w:t>
      </w:r>
      <w:r w:rsidR="00C45C9D" w:rsidRPr="002A091D">
        <w:t>2</w:t>
      </w:r>
      <w:r w:rsidRPr="002A091D">
        <w:t>9</w:t>
      </w:r>
      <w:r w:rsidR="008D68F7" w:rsidRPr="002A091D">
        <w:t>00%</w:t>
      </w:r>
      <w:r w:rsidRPr="002A091D">
        <w:t xml:space="preserve">), indicating that on average the spread of the return from all the portfolios is less than </w:t>
      </w:r>
      <w:r w:rsidR="00A60B9D" w:rsidRPr="002A091D">
        <w:t>the market returns</w:t>
      </w:r>
      <w:r w:rsidRPr="002A091D">
        <w:t xml:space="preserve">. </w:t>
      </w:r>
      <w:r w:rsidR="00C45C9D" w:rsidRPr="002A091D">
        <w:t>Thus,</w:t>
      </w:r>
      <w:r w:rsidR="00EF76DD" w:rsidRPr="002A091D">
        <w:t xml:space="preserve"> neither the </w:t>
      </w:r>
      <w:r w:rsidRPr="002A091D">
        <w:t>Fama</w:t>
      </w:r>
      <w:r w:rsidRPr="002A091D">
        <w:rPr>
          <w:lang w:eastAsia="en-GB"/>
        </w:rPr>
        <w:t>–</w:t>
      </w:r>
      <w:r w:rsidRPr="002A091D">
        <w:t xml:space="preserve">French </w:t>
      </w:r>
      <w:r w:rsidR="00EF76DD" w:rsidRPr="002A091D">
        <w:t>nor the</w:t>
      </w:r>
      <w:r w:rsidRPr="002A091D">
        <w:t xml:space="preserve"> Carhart </w:t>
      </w:r>
      <w:r w:rsidR="00EF76DD" w:rsidRPr="002A091D">
        <w:t>models give</w:t>
      </w:r>
      <w:r w:rsidRPr="002A091D">
        <w:t xml:space="preserve"> statistically significant </w:t>
      </w:r>
      <w:r w:rsidR="00EF76DD" w:rsidRPr="002A091D">
        <w:t>results</w:t>
      </w:r>
      <w:r w:rsidRPr="002A091D">
        <w:t xml:space="preserve">.  </w:t>
      </w:r>
    </w:p>
    <w:p w14:paraId="4BC1C49F" w14:textId="77777777" w:rsidR="00D10B26" w:rsidRPr="002A091D" w:rsidRDefault="00D10B26" w:rsidP="00D10B26">
      <w:pPr>
        <w:autoSpaceDE w:val="0"/>
        <w:autoSpaceDN w:val="0"/>
        <w:adjustRightInd w:val="0"/>
        <w:spacing w:line="480" w:lineRule="auto"/>
        <w:jc w:val="both"/>
      </w:pPr>
    </w:p>
    <w:p w14:paraId="63A0E44C" w14:textId="77777777" w:rsidR="00D10B26" w:rsidRPr="002A091D" w:rsidRDefault="001764C8" w:rsidP="008D6843">
      <w:pPr>
        <w:spacing w:line="480" w:lineRule="auto"/>
        <w:jc w:val="both"/>
      </w:pPr>
      <w:r w:rsidRPr="002A091D">
        <w:t>Generally, all other portfolios</w:t>
      </w:r>
      <w:r w:rsidR="00D10B26" w:rsidRPr="002A091D">
        <w:t xml:space="preserve"> are </w:t>
      </w:r>
      <w:r w:rsidR="00AE1380" w:rsidRPr="002A091D">
        <w:t xml:space="preserve">individually </w:t>
      </w:r>
      <w:r w:rsidR="00D10B26" w:rsidRPr="002A091D">
        <w:t>insignificant based on the results of the t-tests</w:t>
      </w:r>
      <w:r w:rsidR="00200D9C" w:rsidRPr="002A091D">
        <w:t xml:space="preserve"> and spread (P1</w:t>
      </w:r>
      <w:r w:rsidR="00435907" w:rsidRPr="002A091D">
        <w:t>-P1</w:t>
      </w:r>
      <w:r w:rsidR="00200D9C" w:rsidRPr="002A091D">
        <w:t>0</w:t>
      </w:r>
      <w:r w:rsidR="00435907" w:rsidRPr="002A091D">
        <w:t>)</w:t>
      </w:r>
      <w:r w:rsidR="001E23AC" w:rsidRPr="002A091D">
        <w:t xml:space="preserve"> of all models</w:t>
      </w:r>
      <w:r w:rsidR="00D10B26" w:rsidRPr="002A091D">
        <w:t xml:space="preserve">. Therefore, the Wald test is adopted to test the joint significance of the estimated alphas of all 10 portfolios. None of the </w:t>
      </w:r>
      <w:r w:rsidR="002C2A26" w:rsidRPr="002A091D">
        <w:t>asset pricing models produce significant results</w:t>
      </w:r>
      <w:r w:rsidR="00D10B26" w:rsidRPr="002A091D">
        <w:t xml:space="preserve">. </w:t>
      </w:r>
      <w:r w:rsidR="002C2A26" w:rsidRPr="002A091D">
        <w:t xml:space="preserve">Overall, </w:t>
      </w:r>
      <w:r w:rsidR="008D6843" w:rsidRPr="002A091D">
        <w:t xml:space="preserve">we observe </w:t>
      </w:r>
      <w:r w:rsidR="002C2A26" w:rsidRPr="002A091D">
        <w:t xml:space="preserve">weak results based on alphas of value-weighted portfolios sorted by </w:t>
      </w:r>
      <w:r w:rsidR="00A60B9D" w:rsidRPr="002A091D">
        <w:t xml:space="preserve">the </w:t>
      </w:r>
      <w:r w:rsidR="002C2A26" w:rsidRPr="002A091D">
        <w:t xml:space="preserve">return-to-volume (RtoV) price impact ratio. </w:t>
      </w:r>
    </w:p>
    <w:p w14:paraId="2E631DF6" w14:textId="77777777" w:rsidR="006D3CA6" w:rsidRPr="002A091D" w:rsidRDefault="006D3CA6" w:rsidP="008D6843">
      <w:pPr>
        <w:spacing w:line="480" w:lineRule="auto"/>
        <w:jc w:val="both"/>
      </w:pPr>
    </w:p>
    <w:p w14:paraId="2B8144DA" w14:textId="77777777" w:rsidR="006D3CA6" w:rsidRPr="002A091D" w:rsidRDefault="006D3CA6" w:rsidP="006D3CA6">
      <w:pPr>
        <w:spacing w:line="480" w:lineRule="auto"/>
        <w:jc w:val="center"/>
        <w:rPr>
          <w:b/>
        </w:rPr>
      </w:pPr>
      <w:r w:rsidRPr="002A091D">
        <w:rPr>
          <w:b/>
        </w:rPr>
        <w:t>[INSERT TABLE 4 HERE]</w:t>
      </w:r>
    </w:p>
    <w:p w14:paraId="193B3AE9" w14:textId="77777777" w:rsidR="00963FD2" w:rsidRPr="002A091D" w:rsidRDefault="00963FD2" w:rsidP="008D6843">
      <w:pPr>
        <w:spacing w:line="480" w:lineRule="auto"/>
        <w:jc w:val="both"/>
      </w:pPr>
    </w:p>
    <w:p w14:paraId="104FBCB6" w14:textId="77777777" w:rsidR="00D10B26" w:rsidRPr="002A091D" w:rsidRDefault="00D10B26" w:rsidP="00F82474">
      <w:pPr>
        <w:pStyle w:val="Heading2"/>
        <w:rPr>
          <w:lang w:eastAsia="en-GB"/>
        </w:rPr>
      </w:pPr>
      <w:bookmarkStart w:id="22" w:name="_Toc489702900"/>
      <w:bookmarkStart w:id="23" w:name="_Toc489732483"/>
      <w:r w:rsidRPr="002A091D">
        <w:rPr>
          <w:lang w:eastAsia="en-GB"/>
        </w:rPr>
        <w:t>Alphas of Value-Weighted Portfolios Sorted by the Return-to-Turnover Rate (RtoTR) Price Impact Ratio</w:t>
      </w:r>
      <w:bookmarkEnd w:id="22"/>
      <w:bookmarkEnd w:id="23"/>
    </w:p>
    <w:p w14:paraId="5E075135" w14:textId="77777777" w:rsidR="007306B6" w:rsidRPr="002A091D" w:rsidRDefault="007306B6" w:rsidP="006D3CA6">
      <w:pPr>
        <w:spacing w:line="480" w:lineRule="auto"/>
        <w:rPr>
          <w:lang w:eastAsia="en-GB"/>
        </w:rPr>
      </w:pPr>
    </w:p>
    <w:p w14:paraId="59C335D8" w14:textId="77777777" w:rsidR="00351499" w:rsidRPr="002A091D" w:rsidRDefault="00351499" w:rsidP="005F6EC8">
      <w:pPr>
        <w:spacing w:line="480" w:lineRule="auto"/>
        <w:jc w:val="both"/>
        <w:rPr>
          <w:lang w:eastAsia="en-GB"/>
        </w:rPr>
      </w:pPr>
      <w:r w:rsidRPr="002A091D">
        <w:rPr>
          <w:lang w:eastAsia="en-GB"/>
        </w:rPr>
        <w:t>The results are entirely di</w:t>
      </w:r>
      <w:r w:rsidR="006D3CA6" w:rsidRPr="002A091D">
        <w:rPr>
          <w:lang w:eastAsia="en-GB"/>
        </w:rPr>
        <w:t>fferent when implementing RtoTR, displayed in Table 5.</w:t>
      </w:r>
      <w:r w:rsidRPr="002A091D">
        <w:rPr>
          <w:lang w:eastAsia="en-GB"/>
        </w:rPr>
        <w:t xml:space="preserve"> </w:t>
      </w:r>
      <w:r w:rsidR="00A60B9D" w:rsidRPr="002A091D">
        <w:rPr>
          <w:lang w:eastAsia="en-GB"/>
        </w:rPr>
        <w:t xml:space="preserve">The </w:t>
      </w:r>
      <w:r w:rsidRPr="002A091D">
        <w:rPr>
          <w:lang w:eastAsia="en-GB"/>
        </w:rPr>
        <w:t>CAPM cannot completely account for the significant Rto</w:t>
      </w:r>
      <w:r w:rsidR="00CA3B92" w:rsidRPr="002A091D">
        <w:rPr>
          <w:lang w:eastAsia="en-GB"/>
        </w:rPr>
        <w:t>TR</w:t>
      </w:r>
      <w:r w:rsidRPr="002A091D">
        <w:rPr>
          <w:lang w:eastAsia="en-GB"/>
        </w:rPr>
        <w:t xml:space="preserve"> premium. However, this weak evidence for the existence of this premium disappear</w:t>
      </w:r>
      <w:r w:rsidR="000024FE" w:rsidRPr="002A091D">
        <w:rPr>
          <w:lang w:eastAsia="en-GB"/>
        </w:rPr>
        <w:t>s</w:t>
      </w:r>
      <w:r w:rsidRPr="002A091D">
        <w:rPr>
          <w:lang w:eastAsia="en-GB"/>
        </w:rPr>
        <w:t xml:space="preserve"> when Fama–French or Carhart alphas are considered as measures of risk-adjusted performance. </w:t>
      </w:r>
      <w:r w:rsidR="00A60B9D" w:rsidRPr="002A091D">
        <w:rPr>
          <w:lang w:eastAsia="en-GB"/>
        </w:rPr>
        <w:t>This</w:t>
      </w:r>
      <w:r w:rsidRPr="002A091D">
        <w:rPr>
          <w:lang w:eastAsia="en-GB"/>
        </w:rPr>
        <w:t xml:space="preserve"> indicat</w:t>
      </w:r>
      <w:r w:rsidR="00A60B9D" w:rsidRPr="002A091D">
        <w:rPr>
          <w:lang w:eastAsia="en-GB"/>
        </w:rPr>
        <w:t>es</w:t>
      </w:r>
      <w:r w:rsidRPr="002A091D">
        <w:rPr>
          <w:lang w:eastAsia="en-GB"/>
        </w:rPr>
        <w:t xml:space="preserve"> that </w:t>
      </w:r>
      <w:r w:rsidR="00A60B9D" w:rsidRPr="002A091D">
        <w:rPr>
          <w:lang w:eastAsia="en-GB"/>
        </w:rPr>
        <w:t xml:space="preserve">the </w:t>
      </w:r>
      <w:r w:rsidR="003F754B" w:rsidRPr="002A091D">
        <w:t>Florackis et al. (2011) price impact ratio</w:t>
      </w:r>
      <w:r w:rsidR="000024FE" w:rsidRPr="002A091D">
        <w:t xml:space="preserve"> is superior </w:t>
      </w:r>
      <w:r w:rsidR="4743435C" w:rsidRPr="002A091D">
        <w:t>for</w:t>
      </w:r>
      <w:r w:rsidR="003F754B" w:rsidRPr="002A091D">
        <w:t xml:space="preserve"> </w:t>
      </w:r>
      <w:r w:rsidR="000024FE" w:rsidRPr="002A091D">
        <w:t>modelling</w:t>
      </w:r>
      <w:r w:rsidR="00A60B9D" w:rsidRPr="002A091D">
        <w:t xml:space="preserve"> the</w:t>
      </w:r>
      <w:r w:rsidR="003F754B" w:rsidRPr="002A091D">
        <w:t xml:space="preserve"> </w:t>
      </w:r>
      <w:r w:rsidR="003F6664" w:rsidRPr="002A091D">
        <w:t>PSX</w:t>
      </w:r>
      <w:r w:rsidR="003F754B" w:rsidRPr="002A091D">
        <w:t>.</w:t>
      </w:r>
    </w:p>
    <w:p w14:paraId="30F58646" w14:textId="77777777" w:rsidR="00351499" w:rsidRPr="002A091D" w:rsidRDefault="00351499" w:rsidP="000C26E5">
      <w:pPr>
        <w:spacing w:line="480" w:lineRule="auto"/>
        <w:jc w:val="both"/>
      </w:pPr>
    </w:p>
    <w:p w14:paraId="562CE6FF" w14:textId="77777777" w:rsidR="00931A82" w:rsidRPr="002A091D" w:rsidRDefault="003F754B" w:rsidP="00931A82">
      <w:pPr>
        <w:spacing w:line="480" w:lineRule="auto"/>
        <w:jc w:val="both"/>
      </w:pPr>
      <w:r w:rsidRPr="002A091D">
        <w:t>Moreover, further analysis indicating that Portfolio</w:t>
      </w:r>
      <w:r w:rsidR="00D10B26" w:rsidRPr="002A091D">
        <w:t xml:space="preserve"> P1 gives the highest </w:t>
      </w:r>
      <w:r w:rsidR="00AE1380" w:rsidRPr="002A091D">
        <w:t>values</w:t>
      </w:r>
      <w:r w:rsidR="00D10B26" w:rsidRPr="002A091D">
        <w:t xml:space="preserve"> of the estimated alpha taking into consideration all three asset-pricing models. </w:t>
      </w:r>
      <w:r w:rsidR="000C26E5" w:rsidRPr="002A091D">
        <w:t>F</w:t>
      </w:r>
      <w:r w:rsidR="00D10B26" w:rsidRPr="002A091D">
        <w:t xml:space="preserve">rom P1 to P10, the alpha estimates noticeably decline. P7 </w:t>
      </w:r>
      <w:r w:rsidR="00AE1380" w:rsidRPr="002A091D">
        <w:t>has</w:t>
      </w:r>
      <w:r w:rsidR="00D10B26" w:rsidRPr="002A091D">
        <w:t xml:space="preserve"> the lowest Fama</w:t>
      </w:r>
      <w:r w:rsidR="00D10B26" w:rsidRPr="002A091D">
        <w:rPr>
          <w:lang w:eastAsia="en-GB"/>
        </w:rPr>
        <w:t>–</w:t>
      </w:r>
      <w:r w:rsidRPr="002A091D">
        <w:t>French alpha estimate (</w:t>
      </w:r>
      <w:r w:rsidR="00C6752E" w:rsidRPr="002A091D">
        <w:t>-0.97%</w:t>
      </w:r>
      <w:r w:rsidR="00D10B26" w:rsidRPr="002A091D">
        <w:t xml:space="preserve">), and the </w:t>
      </w:r>
      <w:r w:rsidR="00D10B26" w:rsidRPr="002A091D">
        <w:lastRenderedPageBreak/>
        <w:t>lowest alpha estimates</w:t>
      </w:r>
      <w:r w:rsidR="00D01F15" w:rsidRPr="002A091D">
        <w:t xml:space="preserve"> of</w:t>
      </w:r>
      <w:r w:rsidR="00D10B26" w:rsidRPr="002A091D">
        <w:t xml:space="preserve"> </w:t>
      </w:r>
      <w:r w:rsidRPr="002A091D">
        <w:t>Carhart alpha</w:t>
      </w:r>
      <w:r w:rsidR="00C6752E" w:rsidRPr="002A091D">
        <w:t xml:space="preserve"> is P7 as well (-0.97%)</w:t>
      </w:r>
      <w:r w:rsidR="00D10B26" w:rsidRPr="002A091D">
        <w:t>. Moreover, the premium, that</w:t>
      </w:r>
      <w:r w:rsidR="00D01F15" w:rsidRPr="002A091D">
        <w:t xml:space="preserve"> is</w:t>
      </w:r>
      <w:r w:rsidR="00C6752E" w:rsidRPr="002A091D">
        <w:t xml:space="preserve"> P1 to P10, is</w:t>
      </w:r>
      <w:r w:rsidR="00D10B26" w:rsidRPr="002A091D">
        <w:t xml:space="preserve"> </w:t>
      </w:r>
      <w:r w:rsidR="00C6752E" w:rsidRPr="002A091D">
        <w:t>negative</w:t>
      </w:r>
      <w:r w:rsidR="00D10B26" w:rsidRPr="002A091D">
        <w:t xml:space="preserve"> for the Fama–French specification of </w:t>
      </w:r>
      <w:r w:rsidR="00C6752E" w:rsidRPr="002A091D">
        <w:t>-1.60% p.a.</w:t>
      </w:r>
      <w:r w:rsidR="00D10B26" w:rsidRPr="002A091D">
        <w:t xml:space="preserve"> (t = </w:t>
      </w:r>
      <w:r w:rsidR="00C6752E" w:rsidRPr="002A091D">
        <w:t>-1.8336)</w:t>
      </w:r>
      <w:r w:rsidR="00D10B26" w:rsidRPr="002A091D">
        <w:t xml:space="preserve"> and the Carhart model</w:t>
      </w:r>
      <w:r w:rsidR="007A7FAC" w:rsidRPr="002A091D">
        <w:t xml:space="preserve"> indicates significant results</w:t>
      </w:r>
      <w:r w:rsidR="00D10B26" w:rsidRPr="002A091D">
        <w:t xml:space="preserve"> of </w:t>
      </w:r>
      <w:r w:rsidR="00C6752E" w:rsidRPr="002A091D">
        <w:t>-1.73%</w:t>
      </w:r>
      <w:r w:rsidR="00D10B26" w:rsidRPr="002A091D">
        <w:t xml:space="preserve"> (</w:t>
      </w:r>
      <w:r w:rsidR="00C6752E" w:rsidRPr="002A091D">
        <w:t>t= -1.8671*</w:t>
      </w:r>
      <w:r w:rsidR="00D10B26" w:rsidRPr="002A091D">
        <w:t xml:space="preserve">). </w:t>
      </w:r>
    </w:p>
    <w:p w14:paraId="13A6ADFD" w14:textId="77777777" w:rsidR="00931A82" w:rsidRPr="002A091D" w:rsidRDefault="00931A82" w:rsidP="00931A82">
      <w:pPr>
        <w:spacing w:line="480" w:lineRule="auto"/>
        <w:jc w:val="both"/>
      </w:pPr>
    </w:p>
    <w:p w14:paraId="7C6D8538" w14:textId="77777777" w:rsidR="009008D8" w:rsidRPr="002A091D" w:rsidRDefault="008F796C" w:rsidP="00931A82">
      <w:pPr>
        <w:spacing w:line="480" w:lineRule="auto"/>
        <w:jc w:val="both"/>
      </w:pPr>
      <w:r w:rsidRPr="002A091D">
        <w:t xml:space="preserve">Comparing the two price impact ratios </w:t>
      </w:r>
      <w:r w:rsidR="005F6EC8" w:rsidRPr="002A091D">
        <w:t>yield some very interesting results. T</w:t>
      </w:r>
      <w:r w:rsidR="009008D8" w:rsidRPr="002A091D">
        <w:t xml:space="preserve">able 5 </w:t>
      </w:r>
      <w:r w:rsidR="00B82B20" w:rsidRPr="002A091D">
        <w:t xml:space="preserve">illustrates </w:t>
      </w:r>
      <w:r w:rsidR="009008D8" w:rsidRPr="002A091D">
        <w:t xml:space="preserve">some </w:t>
      </w:r>
      <w:r w:rsidR="1C2BDA45" w:rsidRPr="002A091D">
        <w:t>important</w:t>
      </w:r>
      <w:r w:rsidR="009A2788" w:rsidRPr="002A091D">
        <w:t xml:space="preserve"> </w:t>
      </w:r>
      <w:r w:rsidR="00DF7A6B" w:rsidRPr="002A091D">
        <w:t>findings</w:t>
      </w:r>
      <w:r w:rsidR="009A2788" w:rsidRPr="002A091D">
        <w:t xml:space="preserve"> because</w:t>
      </w:r>
      <w:r w:rsidR="005F6EC8" w:rsidRPr="002A091D">
        <w:t xml:space="preserve"> the</w:t>
      </w:r>
      <w:r w:rsidR="009A2788" w:rsidRPr="002A091D">
        <w:t xml:space="preserve"> Florackis et al. (2011) ratio incorporates trading frequency in the proposed pric</w:t>
      </w:r>
      <w:r w:rsidR="003F45CC" w:rsidRPr="002A091D">
        <w:t>e impact ratio. Our results report</w:t>
      </w:r>
      <w:r w:rsidR="009A2788" w:rsidRPr="002A091D">
        <w:t xml:space="preserve"> that even</w:t>
      </w:r>
      <w:r w:rsidR="009008D8" w:rsidRPr="002A091D">
        <w:t xml:space="preserve"> after</w:t>
      </w:r>
      <w:r w:rsidR="009A2788" w:rsidRPr="002A091D">
        <w:t xml:space="preserve"> adjusting for market size, value and momentum risk, </w:t>
      </w:r>
      <w:r w:rsidR="00CB440A" w:rsidRPr="002A091D">
        <w:t xml:space="preserve">stocks having very high turnover rates and low RtoTR values </w:t>
      </w:r>
      <w:r w:rsidR="457B0617" w:rsidRPr="002A091D">
        <w:t>show</w:t>
      </w:r>
      <w:r w:rsidR="00CB440A" w:rsidRPr="002A091D">
        <w:t xml:space="preserve"> large premia. </w:t>
      </w:r>
      <w:r w:rsidR="009008D8" w:rsidRPr="002A091D">
        <w:t>This result</w:t>
      </w:r>
      <w:r w:rsidR="00CB440A" w:rsidRPr="002A091D">
        <w:t xml:space="preserve"> </w:t>
      </w:r>
      <w:r w:rsidR="005F6EC8" w:rsidRPr="002A091D">
        <w:t>implies</w:t>
      </w:r>
      <w:r w:rsidR="00CB440A" w:rsidRPr="002A091D">
        <w:t xml:space="preserve"> that </w:t>
      </w:r>
      <w:r w:rsidR="00AE1380" w:rsidRPr="002A091D">
        <w:t xml:space="preserve">the </w:t>
      </w:r>
      <w:r w:rsidR="00CB440A" w:rsidRPr="002A091D">
        <w:t>trading frequency effect dominate</w:t>
      </w:r>
      <w:r w:rsidR="00AE1380" w:rsidRPr="002A091D">
        <w:t>s</w:t>
      </w:r>
      <w:r w:rsidR="00CB440A" w:rsidRPr="002A091D">
        <w:t xml:space="preserve"> th</w:t>
      </w:r>
      <w:r w:rsidR="003F45CC" w:rsidRPr="002A091D">
        <w:t>e transaction cost impact</w:t>
      </w:r>
      <w:r w:rsidR="00CB440A" w:rsidRPr="002A091D">
        <w:t xml:space="preserve"> and also low transaction cost</w:t>
      </w:r>
      <w:r w:rsidR="003F45CC" w:rsidRPr="002A091D">
        <w:t>s</w:t>
      </w:r>
      <w:r w:rsidR="00CB440A" w:rsidRPr="002A091D">
        <w:t xml:space="preserve"> may </w:t>
      </w:r>
      <w:r w:rsidR="00AE1380" w:rsidRPr="002A091D">
        <w:t>cause</w:t>
      </w:r>
      <w:r w:rsidR="00CB440A" w:rsidRPr="002A091D">
        <w:t xml:space="preserve"> high premia if they are frequently incurred. The results are strongly in line with fundamental theoretical results </w:t>
      </w:r>
      <w:r w:rsidR="00351499" w:rsidRPr="002A091D">
        <w:t>of Amihud</w:t>
      </w:r>
      <w:r w:rsidR="00CB440A" w:rsidRPr="002A091D">
        <w:t xml:space="preserve"> and Mendelson (1986a)</w:t>
      </w:r>
      <w:r w:rsidR="009A2788" w:rsidRPr="002A091D">
        <w:t xml:space="preserve"> </w:t>
      </w:r>
      <w:r w:rsidR="00CB440A" w:rsidRPr="002A091D">
        <w:t>and Florackis et al. (2011</w:t>
      </w:r>
      <w:r w:rsidR="009008D8" w:rsidRPr="002A091D">
        <w:t xml:space="preserve">). As per Florackis et al. (2011), our findings </w:t>
      </w:r>
      <w:r w:rsidR="4E339B16" w:rsidRPr="002A091D">
        <w:t>support</w:t>
      </w:r>
      <w:r w:rsidR="009008D8" w:rsidRPr="002A091D">
        <w:t xml:space="preserve"> the argument that ignoring the trading frequency effect would be misleading, while evaluating each effect in isolation may lead to inconclusive results</w:t>
      </w:r>
      <w:r w:rsidR="00AE1380" w:rsidRPr="002A091D">
        <w:t>.</w:t>
      </w:r>
      <w:r w:rsidR="009008D8" w:rsidRPr="002A091D">
        <w:t xml:space="preserve"> </w:t>
      </w:r>
      <w:r w:rsidR="00AE1380" w:rsidRPr="002A091D">
        <w:t>T</w:t>
      </w:r>
      <w:r w:rsidR="009008D8" w:rsidRPr="002A091D">
        <w:t>herefore, one should consider trading cost and frequency effects jointly in conducting asset pricing investigation</w:t>
      </w:r>
      <w:r w:rsidR="00DF7A6B" w:rsidRPr="002A091D">
        <w:t>s</w:t>
      </w:r>
      <w:r w:rsidR="009008D8" w:rsidRPr="002A091D">
        <w:t xml:space="preserve">. </w:t>
      </w:r>
    </w:p>
    <w:p w14:paraId="109CAC09" w14:textId="77777777" w:rsidR="00D10B26" w:rsidRPr="002A091D" w:rsidRDefault="000C26E5" w:rsidP="38AC33BA">
      <w:pPr>
        <w:spacing w:before="100" w:beforeAutospacing="1" w:after="100" w:afterAutospacing="1" w:line="480" w:lineRule="auto"/>
        <w:jc w:val="both"/>
      </w:pPr>
      <w:r w:rsidRPr="002A091D">
        <w:t xml:space="preserve">The </w:t>
      </w:r>
      <w:r w:rsidR="00D10B26" w:rsidRPr="002A091D">
        <w:t xml:space="preserve">premium is </w:t>
      </w:r>
      <w:r w:rsidR="00DF7A6B" w:rsidRPr="002A091D">
        <w:t>an</w:t>
      </w:r>
      <w:r w:rsidR="00D10B26" w:rsidRPr="002A091D">
        <w:t xml:space="preserve"> indication that overall t</w:t>
      </w:r>
      <w:r w:rsidR="00761DE8" w:rsidRPr="002A091D">
        <w:t>he 10 portfolios have</w:t>
      </w:r>
      <w:r w:rsidR="00743E59" w:rsidRPr="002A091D">
        <w:t xml:space="preserve"> statistically significant </w:t>
      </w:r>
      <w:r w:rsidR="00D10B26" w:rsidRPr="002A091D">
        <w:t>spread</w:t>
      </w:r>
      <w:r w:rsidR="5DC6765F" w:rsidRPr="002A091D">
        <w:t>s</w:t>
      </w:r>
      <w:r w:rsidR="00D10B26" w:rsidRPr="002A091D">
        <w:t xml:space="preserve"> and </w:t>
      </w:r>
      <w:r w:rsidR="5B6DD581" w:rsidRPr="002A091D">
        <w:t>the difference between P10</w:t>
      </w:r>
      <w:r w:rsidR="016673C5" w:rsidRPr="002A091D">
        <w:t xml:space="preserve"> and P1 shows an ability to</w:t>
      </w:r>
      <w:r w:rsidR="00743E59" w:rsidRPr="002A091D">
        <w:t xml:space="preserve"> </w:t>
      </w:r>
      <w:r w:rsidR="00D10B26" w:rsidRPr="002A091D">
        <w:t xml:space="preserve">perform above the benchmark </w:t>
      </w:r>
      <w:r w:rsidR="00AE1380" w:rsidRPr="002A091D">
        <w:t>by</w:t>
      </w:r>
      <w:r w:rsidR="005F6EC8" w:rsidRPr="002A091D">
        <w:t xml:space="preserve"> approximately</w:t>
      </w:r>
      <w:r w:rsidR="00ED0A33" w:rsidRPr="002A091D">
        <w:t xml:space="preserve"> </w:t>
      </w:r>
      <w:r w:rsidR="00761DE8" w:rsidRPr="002A091D">
        <w:t>1.60</w:t>
      </w:r>
      <w:r w:rsidR="00ED0A33" w:rsidRPr="002A091D">
        <w:t>% p.a. based on</w:t>
      </w:r>
      <w:r w:rsidR="00D10B26" w:rsidRPr="002A091D">
        <w:t xml:space="preserve"> </w:t>
      </w:r>
      <w:r w:rsidR="00AE1380" w:rsidRPr="002A091D">
        <w:t xml:space="preserve">the </w:t>
      </w:r>
      <w:r w:rsidR="00D10B26" w:rsidRPr="002A091D">
        <w:t>Fama</w:t>
      </w:r>
      <w:r w:rsidR="00D10B26" w:rsidRPr="002A091D">
        <w:rPr>
          <w:lang w:eastAsia="en-GB"/>
        </w:rPr>
        <w:t>–</w:t>
      </w:r>
      <w:r w:rsidR="00D10B26" w:rsidRPr="002A091D">
        <w:t>French mod</w:t>
      </w:r>
      <w:r w:rsidR="00ED0A33" w:rsidRPr="002A091D">
        <w:t xml:space="preserve">el and </w:t>
      </w:r>
      <w:r w:rsidR="00AE1380" w:rsidRPr="002A091D">
        <w:t xml:space="preserve">by </w:t>
      </w:r>
      <w:r w:rsidR="00ED0A33" w:rsidRPr="002A091D">
        <w:t>1.</w:t>
      </w:r>
      <w:r w:rsidR="00761DE8" w:rsidRPr="002A091D">
        <w:t>7</w:t>
      </w:r>
      <w:r w:rsidR="00ED0A33" w:rsidRPr="002A091D">
        <w:t>3% on</w:t>
      </w:r>
      <w:r w:rsidR="00D10B26" w:rsidRPr="002A091D">
        <w:t xml:space="preserve"> the Carhart model. Another way to present these results is to endorse in risk-adjusted terms that </w:t>
      </w:r>
      <w:r w:rsidR="00AE1380" w:rsidRPr="002A091D">
        <w:t>a</w:t>
      </w:r>
      <w:r w:rsidR="00D10B26" w:rsidRPr="002A091D">
        <w:t xml:space="preserve"> remarkable performance of stocks is evident in stocks with low RtoTR values compar</w:t>
      </w:r>
      <w:r w:rsidR="00AE1380" w:rsidRPr="002A091D">
        <w:t>ed</w:t>
      </w:r>
      <w:r w:rsidR="00D10B26" w:rsidRPr="002A091D">
        <w:t xml:space="preserve"> to stocks with high RtoTR values. The Wald test for the </w:t>
      </w:r>
      <w:r w:rsidR="006F3913" w:rsidRPr="002A091D">
        <w:t xml:space="preserve">CAPM, </w:t>
      </w:r>
      <w:r w:rsidR="00D10B26" w:rsidRPr="002A091D">
        <w:t>Fama</w:t>
      </w:r>
      <w:r w:rsidR="00D10B26" w:rsidRPr="002A091D">
        <w:rPr>
          <w:lang w:eastAsia="en-GB"/>
        </w:rPr>
        <w:t>–</w:t>
      </w:r>
      <w:r w:rsidR="00D10B26" w:rsidRPr="002A091D">
        <w:t>Fre</w:t>
      </w:r>
      <w:r w:rsidR="006F3913" w:rsidRPr="002A091D">
        <w:t>nch and Carhart alphas do not reject</w:t>
      </w:r>
      <w:r w:rsidR="00D10B26" w:rsidRPr="002A091D">
        <w:t xml:space="preserve"> the null hypothesis of joint zero alpha estimates. </w:t>
      </w:r>
    </w:p>
    <w:p w14:paraId="65807DF4" w14:textId="77777777" w:rsidR="006D3CA6" w:rsidRPr="002A091D" w:rsidRDefault="006D3CA6" w:rsidP="006D3CA6">
      <w:pPr>
        <w:spacing w:line="480" w:lineRule="auto"/>
        <w:jc w:val="center"/>
        <w:rPr>
          <w:b/>
          <w:lang w:eastAsia="en-GB"/>
        </w:rPr>
      </w:pPr>
      <w:r w:rsidRPr="002A091D">
        <w:rPr>
          <w:b/>
          <w:lang w:eastAsia="en-GB"/>
        </w:rPr>
        <w:t xml:space="preserve">[INSERT TABLE 5 HERE] </w:t>
      </w:r>
    </w:p>
    <w:p w14:paraId="0D6CEBAF" w14:textId="77777777" w:rsidR="006D3CA6" w:rsidRPr="002A091D" w:rsidRDefault="006D3CA6" w:rsidP="006D3CA6">
      <w:pPr>
        <w:spacing w:line="480" w:lineRule="auto"/>
        <w:jc w:val="center"/>
        <w:rPr>
          <w:b/>
          <w:lang w:eastAsia="en-GB"/>
        </w:rPr>
      </w:pPr>
    </w:p>
    <w:p w14:paraId="269A5D96" w14:textId="77777777" w:rsidR="00D10B26" w:rsidRPr="002A091D" w:rsidRDefault="00D10B26" w:rsidP="00F82474">
      <w:pPr>
        <w:pStyle w:val="Heading2"/>
        <w:rPr>
          <w:lang w:eastAsia="en-GB"/>
        </w:rPr>
      </w:pPr>
      <w:bookmarkStart w:id="24" w:name="_Toc489702901"/>
      <w:bookmarkStart w:id="25" w:name="_Toc489732484"/>
      <w:r w:rsidRPr="002A091D">
        <w:rPr>
          <w:lang w:eastAsia="en-GB"/>
        </w:rPr>
        <w:lastRenderedPageBreak/>
        <w:t>Robustness Test – Alphas of Equally Weighted Portfolios Sorted by the Return-to-Turnover Rate (RtoTR) Price Impact Ratio (Robustness of the Results)</w:t>
      </w:r>
      <w:bookmarkEnd w:id="24"/>
      <w:bookmarkEnd w:id="25"/>
      <w:r w:rsidRPr="002A091D">
        <w:rPr>
          <w:lang w:eastAsia="en-GB"/>
        </w:rPr>
        <w:t xml:space="preserve"> </w:t>
      </w:r>
    </w:p>
    <w:p w14:paraId="0B050223" w14:textId="77777777" w:rsidR="0044391A" w:rsidRPr="002A091D" w:rsidRDefault="0044391A" w:rsidP="00750363">
      <w:pPr>
        <w:spacing w:line="480" w:lineRule="auto"/>
        <w:jc w:val="both"/>
        <w:rPr>
          <w:lang w:eastAsia="en-GB"/>
        </w:rPr>
      </w:pPr>
    </w:p>
    <w:p w14:paraId="5A2FA67F" w14:textId="77777777" w:rsidR="00D10B26" w:rsidRPr="002A091D" w:rsidRDefault="00750363" w:rsidP="00750363">
      <w:pPr>
        <w:spacing w:line="480" w:lineRule="auto"/>
        <w:jc w:val="both"/>
        <w:rPr>
          <w:color w:val="000000" w:themeColor="text1"/>
          <w:lang w:eastAsia="en-GB"/>
        </w:rPr>
      </w:pPr>
      <w:r w:rsidRPr="002A091D">
        <w:rPr>
          <w:color w:val="000000" w:themeColor="text1"/>
          <w:lang w:eastAsia="en-GB"/>
        </w:rPr>
        <w:t xml:space="preserve">In the </w:t>
      </w:r>
      <w:r w:rsidR="00D10B26" w:rsidRPr="002A091D">
        <w:rPr>
          <w:color w:val="000000" w:themeColor="text1"/>
          <w:lang w:eastAsia="en-GB"/>
        </w:rPr>
        <w:t xml:space="preserve">robustness </w:t>
      </w:r>
      <w:r w:rsidR="00CC5BA5" w:rsidRPr="002A091D">
        <w:rPr>
          <w:color w:val="000000" w:themeColor="text1"/>
          <w:lang w:eastAsia="en-GB"/>
        </w:rPr>
        <w:t>section</w:t>
      </w:r>
      <w:r w:rsidR="00761DE8" w:rsidRPr="002A091D">
        <w:rPr>
          <w:color w:val="000000" w:themeColor="text1"/>
          <w:lang w:eastAsia="en-GB"/>
        </w:rPr>
        <w:t>,</w:t>
      </w:r>
      <w:r w:rsidR="003F754B" w:rsidRPr="002A091D">
        <w:rPr>
          <w:color w:val="000000" w:themeColor="text1"/>
          <w:lang w:eastAsia="en-GB"/>
        </w:rPr>
        <w:t xml:space="preserve"> we</w:t>
      </w:r>
      <w:r w:rsidRPr="002A091D">
        <w:rPr>
          <w:color w:val="000000" w:themeColor="text1"/>
          <w:lang w:eastAsia="en-GB"/>
        </w:rPr>
        <w:t xml:space="preserve"> use </w:t>
      </w:r>
      <w:r w:rsidR="00D10B26" w:rsidRPr="002A091D">
        <w:rPr>
          <w:color w:val="000000" w:themeColor="text1"/>
          <w:lang w:eastAsia="en-GB"/>
        </w:rPr>
        <w:t xml:space="preserve">equally weighted portfolios arranged by the RtoTR ratio. </w:t>
      </w:r>
      <w:r w:rsidR="00761DE8" w:rsidRPr="002A091D">
        <w:rPr>
          <w:color w:val="000000" w:themeColor="text1"/>
          <w:lang w:eastAsia="en-GB"/>
        </w:rPr>
        <w:t>Equally</w:t>
      </w:r>
      <w:r w:rsidRPr="002A091D">
        <w:rPr>
          <w:color w:val="000000" w:themeColor="text1"/>
          <w:lang w:eastAsia="en-GB"/>
        </w:rPr>
        <w:t xml:space="preserve"> </w:t>
      </w:r>
      <w:r w:rsidR="00D10B26" w:rsidRPr="002A091D">
        <w:rPr>
          <w:color w:val="000000" w:themeColor="text1"/>
          <w:lang w:eastAsia="en-GB"/>
        </w:rPr>
        <w:t>weighted returns have superior performance in relation to value-weighted returns in explaining the return</w:t>
      </w:r>
      <w:r w:rsidR="00743E59" w:rsidRPr="002A091D">
        <w:rPr>
          <w:color w:val="000000" w:themeColor="text1"/>
          <w:lang w:eastAsia="en-GB"/>
        </w:rPr>
        <w:t xml:space="preserve">s by the three-factor model. </w:t>
      </w:r>
      <w:r w:rsidR="00D10B26" w:rsidRPr="002A091D">
        <w:rPr>
          <w:color w:val="000000" w:themeColor="text1"/>
          <w:lang w:eastAsia="en-GB"/>
        </w:rPr>
        <w:t>Lakonishkok, Shliefer and Vishny (1994) and Munesh</w:t>
      </w:r>
      <w:r w:rsidR="005F6EC8" w:rsidRPr="002A091D">
        <w:rPr>
          <w:color w:val="000000" w:themeColor="text1"/>
          <w:lang w:eastAsia="en-GB"/>
        </w:rPr>
        <w:t xml:space="preserve"> and Segal (2001) also suggest</w:t>
      </w:r>
      <w:r w:rsidR="00D10B26" w:rsidRPr="002A091D">
        <w:rPr>
          <w:color w:val="000000" w:themeColor="text1"/>
          <w:lang w:eastAsia="en-GB"/>
        </w:rPr>
        <w:t xml:space="preserve"> the use of equally weighted portfolios. </w:t>
      </w:r>
    </w:p>
    <w:p w14:paraId="71132F4C" w14:textId="77777777" w:rsidR="005F6EC8" w:rsidRPr="002A091D" w:rsidRDefault="005F6EC8" w:rsidP="0044391A">
      <w:pPr>
        <w:tabs>
          <w:tab w:val="left" w:pos="1569"/>
        </w:tabs>
        <w:spacing w:line="480" w:lineRule="auto"/>
        <w:jc w:val="both"/>
        <w:rPr>
          <w:lang w:eastAsia="en-GB"/>
        </w:rPr>
      </w:pPr>
    </w:p>
    <w:p w14:paraId="080A7CA9" w14:textId="77777777" w:rsidR="00A27CA4" w:rsidRPr="002A091D" w:rsidRDefault="008079BD" w:rsidP="0044391A">
      <w:pPr>
        <w:tabs>
          <w:tab w:val="left" w:pos="1569"/>
        </w:tabs>
        <w:spacing w:line="480" w:lineRule="auto"/>
        <w:jc w:val="both"/>
      </w:pPr>
      <w:r w:rsidRPr="002A091D">
        <w:rPr>
          <w:lang w:eastAsia="en-GB"/>
        </w:rPr>
        <w:t>In order to examine</w:t>
      </w:r>
      <w:r w:rsidR="00DF7A6B" w:rsidRPr="002A091D">
        <w:rPr>
          <w:lang w:eastAsia="en-GB"/>
        </w:rPr>
        <w:t xml:space="preserve"> t</w:t>
      </w:r>
      <w:r w:rsidR="000C26E5" w:rsidRPr="002A091D">
        <w:rPr>
          <w:lang w:eastAsia="en-GB"/>
        </w:rPr>
        <w:t xml:space="preserve">he </w:t>
      </w:r>
      <w:r w:rsidR="00A27CA4" w:rsidRPr="002A091D">
        <w:rPr>
          <w:lang w:eastAsia="en-GB"/>
        </w:rPr>
        <w:t xml:space="preserve">robustness of the earlier alpha value-weighted results based on RtoTR, </w:t>
      </w:r>
      <w:r w:rsidR="00DF7A6B" w:rsidRPr="002A091D">
        <w:rPr>
          <w:lang w:eastAsia="en-GB"/>
        </w:rPr>
        <w:t>Table 6</w:t>
      </w:r>
      <w:r w:rsidR="00761DE8" w:rsidRPr="002A091D">
        <w:rPr>
          <w:lang w:eastAsia="en-GB"/>
        </w:rPr>
        <w:t xml:space="preserve"> calculates and</w:t>
      </w:r>
      <w:r w:rsidR="00A27CA4" w:rsidRPr="002A091D">
        <w:rPr>
          <w:lang w:eastAsia="en-GB"/>
        </w:rPr>
        <w:t xml:space="preserve"> measure the risk-adjusted performance of the equally weighted portfolios developed on the grounds of the RtoTR ratio. The premium (P1 - P10) is significantly positive for the </w:t>
      </w:r>
      <w:r w:rsidR="00A27CA4" w:rsidRPr="002A091D">
        <w:t>Fama</w:t>
      </w:r>
      <w:r w:rsidR="00A27CA4" w:rsidRPr="002A091D">
        <w:rPr>
          <w:lang w:eastAsia="en-GB"/>
        </w:rPr>
        <w:t>–</w:t>
      </w:r>
      <w:r w:rsidR="00A27CA4" w:rsidRPr="002A091D">
        <w:t>French specific</w:t>
      </w:r>
      <w:r w:rsidR="00861863" w:rsidRPr="002A091D">
        <w:t>ation of 0.665% p.a. (t = 1.67</w:t>
      </w:r>
      <w:r w:rsidR="00A27CA4" w:rsidRPr="002A091D">
        <w:t>) and the Car</w:t>
      </w:r>
      <w:r w:rsidR="00861863" w:rsidRPr="002A091D">
        <w:t>hart model of 0.590% (t = 1.98001</w:t>
      </w:r>
      <w:r w:rsidR="00A27CA4" w:rsidRPr="002A091D">
        <w:t xml:space="preserve">). </w:t>
      </w:r>
      <w:r w:rsidRPr="002A091D">
        <w:t xml:space="preserve">This indicates </w:t>
      </w:r>
      <w:r w:rsidR="00A27CA4" w:rsidRPr="002A091D">
        <w:t xml:space="preserve">that the premium is </w:t>
      </w:r>
      <w:r w:rsidR="00DF7A6B" w:rsidRPr="002A091D">
        <w:t>an</w:t>
      </w:r>
      <w:r w:rsidR="00A27CA4" w:rsidRPr="002A091D">
        <w:t xml:space="preserve"> indication that the overall portfolios have a positive spread and perf</w:t>
      </w:r>
      <w:r w:rsidRPr="002A091D">
        <w:t>orm above the benchmark of approximately</w:t>
      </w:r>
      <w:r w:rsidR="00A27CA4" w:rsidRPr="002A091D">
        <w:t xml:space="preserve"> 0.665% p.a. market</w:t>
      </w:r>
      <w:r w:rsidRPr="002A091D">
        <w:t>,</w:t>
      </w:r>
      <w:r w:rsidR="00A27CA4" w:rsidRPr="002A091D">
        <w:t xml:space="preserve"> returns based on the Fama</w:t>
      </w:r>
      <w:r w:rsidR="00A27CA4" w:rsidRPr="002A091D">
        <w:rPr>
          <w:lang w:eastAsia="en-GB"/>
        </w:rPr>
        <w:t>–</w:t>
      </w:r>
      <w:r w:rsidR="00A27CA4" w:rsidRPr="002A091D">
        <w:t xml:space="preserve">French model and 0.590% based on the Carhart model. </w:t>
      </w:r>
    </w:p>
    <w:p w14:paraId="155D113A" w14:textId="77777777" w:rsidR="006D3CA6" w:rsidRPr="002A091D" w:rsidRDefault="006D3CA6" w:rsidP="0044391A">
      <w:pPr>
        <w:tabs>
          <w:tab w:val="left" w:pos="1569"/>
        </w:tabs>
        <w:spacing w:line="480" w:lineRule="auto"/>
        <w:jc w:val="both"/>
      </w:pPr>
    </w:p>
    <w:p w14:paraId="2E6A8988" w14:textId="77777777" w:rsidR="006D3CA6" w:rsidRPr="002A091D" w:rsidRDefault="006D3CA6" w:rsidP="0044391A">
      <w:pPr>
        <w:tabs>
          <w:tab w:val="left" w:pos="1569"/>
        </w:tabs>
        <w:spacing w:line="480" w:lineRule="auto"/>
        <w:jc w:val="both"/>
      </w:pPr>
    </w:p>
    <w:p w14:paraId="482AE75E" w14:textId="77777777" w:rsidR="006D3CA6" w:rsidRPr="002A091D" w:rsidRDefault="006D3CA6" w:rsidP="006D3CA6">
      <w:pPr>
        <w:tabs>
          <w:tab w:val="left" w:pos="1569"/>
        </w:tabs>
        <w:spacing w:line="480" w:lineRule="auto"/>
        <w:jc w:val="center"/>
        <w:rPr>
          <w:b/>
          <w:lang w:eastAsia="en-GB"/>
        </w:rPr>
      </w:pPr>
      <w:r w:rsidRPr="002A091D">
        <w:rPr>
          <w:b/>
          <w:lang w:eastAsia="en-GB"/>
        </w:rPr>
        <w:t>[INSERT TABLE 6 HERE]</w:t>
      </w:r>
    </w:p>
    <w:p w14:paraId="30FAED7F" w14:textId="77777777" w:rsidR="00D87EDD" w:rsidRPr="002A091D" w:rsidRDefault="00D87EDD" w:rsidP="00A27CA4">
      <w:pPr>
        <w:spacing w:line="480" w:lineRule="auto"/>
        <w:jc w:val="both"/>
        <w:sectPr w:rsidR="00D87EDD" w:rsidRPr="002A091D" w:rsidSect="00191773">
          <w:pgSz w:w="11906" w:h="16838"/>
          <w:pgMar w:top="1440" w:right="1440" w:bottom="1440" w:left="1440" w:header="708" w:footer="708" w:gutter="0"/>
          <w:cols w:space="708"/>
          <w:docGrid w:linePitch="360"/>
        </w:sectPr>
      </w:pPr>
    </w:p>
    <w:p w14:paraId="2575EDA4" w14:textId="77777777" w:rsidR="00A27CA4" w:rsidRPr="002A091D" w:rsidRDefault="00A27CA4" w:rsidP="00F82474">
      <w:pPr>
        <w:pStyle w:val="Heading1"/>
      </w:pPr>
      <w:bookmarkStart w:id="26" w:name="_Toc489702905"/>
      <w:bookmarkStart w:id="27" w:name="_Toc489732488"/>
      <w:r w:rsidRPr="002A091D">
        <w:lastRenderedPageBreak/>
        <w:t>Conclusion</w:t>
      </w:r>
      <w:bookmarkEnd w:id="26"/>
      <w:bookmarkEnd w:id="27"/>
      <w:r w:rsidRPr="002A091D">
        <w:t xml:space="preserve"> </w:t>
      </w:r>
    </w:p>
    <w:p w14:paraId="382A7183" w14:textId="77777777" w:rsidR="00314DE8" w:rsidRPr="002A091D" w:rsidRDefault="00314DE8" w:rsidP="00314DE8"/>
    <w:p w14:paraId="4F518CA0" w14:textId="77777777" w:rsidR="00A27CA4" w:rsidRPr="002A091D" w:rsidRDefault="000C26E5" w:rsidP="00227ADE">
      <w:pPr>
        <w:spacing w:line="480" w:lineRule="auto"/>
        <w:jc w:val="both"/>
      </w:pPr>
      <w:r w:rsidRPr="002A091D">
        <w:t xml:space="preserve">The </w:t>
      </w:r>
      <w:r w:rsidR="00314DE8" w:rsidRPr="002A091D">
        <w:t>study</w:t>
      </w:r>
      <w:r w:rsidRPr="002A091D">
        <w:t xml:space="preserve"> </w:t>
      </w:r>
      <w:r w:rsidR="00A27CA4" w:rsidRPr="002A091D">
        <w:t xml:space="preserve">is based on </w:t>
      </w:r>
      <w:r w:rsidR="00CD5C1F" w:rsidRPr="002A091D">
        <w:t xml:space="preserve">two price impact ratios, </w:t>
      </w:r>
      <w:r w:rsidR="00A27CA4" w:rsidRPr="002A091D">
        <w:t>Amihud’s (2002) return-to-volume ratio (RtoV) and</w:t>
      </w:r>
      <w:r w:rsidR="00314DE8" w:rsidRPr="002A091D">
        <w:t xml:space="preserve"> </w:t>
      </w:r>
      <w:r w:rsidR="00C52C57" w:rsidRPr="002A091D">
        <w:t xml:space="preserve">an </w:t>
      </w:r>
      <w:r w:rsidR="00314DE8" w:rsidRPr="002A091D">
        <w:t>alternative</w:t>
      </w:r>
      <w:r w:rsidR="00A27CA4" w:rsidRPr="002A091D">
        <w:t xml:space="preserve"> new price impact ratio, return to turnover (RtoTR), </w:t>
      </w:r>
      <w:r w:rsidR="00227ADE" w:rsidRPr="002A091D">
        <w:t xml:space="preserve">developed </w:t>
      </w:r>
      <w:r w:rsidR="00A27CA4" w:rsidRPr="002A091D">
        <w:t xml:space="preserve">by Florackis et al. (2011). </w:t>
      </w:r>
      <w:r w:rsidR="00CF6D3C" w:rsidRPr="002A091D">
        <w:t xml:space="preserve">The </w:t>
      </w:r>
      <w:r w:rsidR="00474F5C" w:rsidRPr="002A091D">
        <w:t>paper</w:t>
      </w:r>
      <w:r w:rsidR="00CF6D3C" w:rsidRPr="002A091D">
        <w:t xml:space="preserve"> comprises a sample of common stocks collected from the 386 companies listed on the PSX fr</w:t>
      </w:r>
      <w:r w:rsidR="00A34C7F" w:rsidRPr="002A091D">
        <w:t>om January 2005 to December 2019</w:t>
      </w:r>
      <w:r w:rsidR="00CF6D3C" w:rsidRPr="002A091D">
        <w:t xml:space="preserve">. </w:t>
      </w:r>
      <w:r w:rsidR="005A6FCD" w:rsidRPr="002A091D">
        <w:t xml:space="preserve">A </w:t>
      </w:r>
      <w:r w:rsidR="00A27CA4" w:rsidRPr="002A091D">
        <w:t xml:space="preserve">major contribution of this </w:t>
      </w:r>
      <w:r w:rsidR="00FD6C26" w:rsidRPr="002A091D">
        <w:t>paper</w:t>
      </w:r>
      <w:r w:rsidR="008079BD" w:rsidRPr="002A091D">
        <w:t xml:space="preserve"> is the examination of both</w:t>
      </w:r>
      <w:r w:rsidR="00A27CA4" w:rsidRPr="002A091D">
        <w:t xml:space="preserve"> price impact ratios in an emerging market, namely the Pakistani stock market</w:t>
      </w:r>
      <w:r w:rsidR="00FD6C26" w:rsidRPr="002A091D">
        <w:t xml:space="preserve">. </w:t>
      </w:r>
      <w:r w:rsidR="00474F5C" w:rsidRPr="002A091D">
        <w:t>The rationale of this research</w:t>
      </w:r>
      <w:r w:rsidR="000F64DD" w:rsidRPr="002A091D">
        <w:t xml:space="preserve"> </w:t>
      </w:r>
      <w:r w:rsidR="00C52C57" w:rsidRPr="002A091D">
        <w:t xml:space="preserve">is </w:t>
      </w:r>
      <w:r w:rsidR="000F64DD" w:rsidRPr="002A091D">
        <w:t xml:space="preserve">based on two </w:t>
      </w:r>
      <w:r w:rsidR="00227ADE" w:rsidRPr="002A091D">
        <w:t>factors</w:t>
      </w:r>
      <w:r w:rsidR="000F64DD" w:rsidRPr="002A091D">
        <w:t xml:space="preserve">. First, the trading volume of each stock in monetary terms </w:t>
      </w:r>
      <w:r w:rsidR="00227ADE" w:rsidRPr="002A091D">
        <w:t>show</w:t>
      </w:r>
      <w:r w:rsidR="00C52C57" w:rsidRPr="002A091D">
        <w:t>s</w:t>
      </w:r>
      <w:r w:rsidR="00227ADE" w:rsidRPr="002A091D">
        <w:t xml:space="preserve"> a </w:t>
      </w:r>
      <w:r w:rsidR="000F64DD" w:rsidRPr="002A091D">
        <w:t xml:space="preserve">positive relationship </w:t>
      </w:r>
      <w:r w:rsidR="00C52C57" w:rsidRPr="002A091D">
        <w:t>with</w:t>
      </w:r>
      <w:r w:rsidR="000F64DD" w:rsidRPr="002A091D">
        <w:t xml:space="preserve"> market value, suggesting that it is not comparable across stocks with different market values. </w:t>
      </w:r>
      <w:r w:rsidR="00227ADE" w:rsidRPr="002A091D">
        <w:t>Consequently,</w:t>
      </w:r>
      <w:r w:rsidR="00DB78E3" w:rsidRPr="002A091D">
        <w:t xml:space="preserve"> </w:t>
      </w:r>
      <w:r w:rsidR="00C52C57" w:rsidRPr="002A091D">
        <w:t xml:space="preserve">the </w:t>
      </w:r>
      <w:r w:rsidR="008079BD" w:rsidRPr="002A091D">
        <w:t>RtoV</w:t>
      </w:r>
      <w:r w:rsidR="00DB78E3" w:rsidRPr="002A091D">
        <w:t xml:space="preserve"> has limited capability to differentiate illiquidity from size effects in asset pricing. On th</w:t>
      </w:r>
      <w:r w:rsidR="008079BD" w:rsidRPr="002A091D">
        <w:t>e other hand, the</w:t>
      </w:r>
      <w:r w:rsidR="00DB78E3" w:rsidRPr="002A091D">
        <w:t xml:space="preserve"> RtoTR has distinct features to overcome the limitations of </w:t>
      </w:r>
      <w:r w:rsidR="00C52C57" w:rsidRPr="002A091D">
        <w:t xml:space="preserve">the </w:t>
      </w:r>
      <w:r w:rsidR="00DB78E3" w:rsidRPr="002A091D">
        <w:t xml:space="preserve">RtoV ratio. </w:t>
      </w:r>
      <w:r w:rsidR="000F64DD" w:rsidRPr="002A091D">
        <w:t xml:space="preserve">  </w:t>
      </w:r>
      <w:r w:rsidR="00314DE8" w:rsidRPr="002A091D">
        <w:t xml:space="preserve"> </w:t>
      </w:r>
    </w:p>
    <w:p w14:paraId="068CAE65" w14:textId="77777777" w:rsidR="00314DE8" w:rsidRPr="002A091D" w:rsidRDefault="00314DE8" w:rsidP="00A27CA4">
      <w:pPr>
        <w:spacing w:line="480" w:lineRule="auto"/>
        <w:jc w:val="both"/>
      </w:pPr>
    </w:p>
    <w:p w14:paraId="5E0B0B1E" w14:textId="77777777" w:rsidR="00510D46" w:rsidRPr="002A091D" w:rsidRDefault="00474F5C" w:rsidP="00A27CA4">
      <w:pPr>
        <w:spacing w:line="480" w:lineRule="auto"/>
        <w:jc w:val="both"/>
        <w:rPr>
          <w:lang w:eastAsia="en-GB"/>
        </w:rPr>
      </w:pPr>
      <w:r w:rsidRPr="002A091D">
        <w:t>We</w:t>
      </w:r>
      <w:r w:rsidR="00510D46" w:rsidRPr="002A091D">
        <w:t xml:space="preserve"> propose</w:t>
      </w:r>
      <w:r w:rsidR="00DF7A6B" w:rsidRPr="002A091D">
        <w:t xml:space="preserve"> that the</w:t>
      </w:r>
      <w:r w:rsidR="00510D46" w:rsidRPr="002A091D">
        <w:t xml:space="preserve"> </w:t>
      </w:r>
      <w:r w:rsidR="00B63797" w:rsidRPr="002A091D">
        <w:t xml:space="preserve">Florackis et al. (2011) </w:t>
      </w:r>
      <w:r w:rsidR="00510D46" w:rsidRPr="002A091D">
        <w:t xml:space="preserve">RtoTR ratio has strong evidence </w:t>
      </w:r>
      <w:r w:rsidR="30143414" w:rsidRPr="002A091D">
        <w:t xml:space="preserve">in its favor </w:t>
      </w:r>
      <w:r w:rsidR="00510D46" w:rsidRPr="002A091D">
        <w:t xml:space="preserve">in the context of </w:t>
      </w:r>
      <w:r w:rsidR="00DF7A6B" w:rsidRPr="002A091D">
        <w:t xml:space="preserve">the </w:t>
      </w:r>
      <w:r w:rsidR="003F6664" w:rsidRPr="002A091D">
        <w:t>PSX</w:t>
      </w:r>
      <w:r w:rsidR="003F26A7" w:rsidRPr="002A091D">
        <w:t xml:space="preserve"> </w:t>
      </w:r>
      <w:r w:rsidR="00DF7A6B" w:rsidRPr="002A091D">
        <w:t>when</w:t>
      </w:r>
      <w:r w:rsidR="003F26A7" w:rsidRPr="002A091D">
        <w:t xml:space="preserve"> compar</w:t>
      </w:r>
      <w:r w:rsidR="00DF7A6B" w:rsidRPr="002A091D">
        <w:t>ed</w:t>
      </w:r>
      <w:r w:rsidR="003F26A7" w:rsidRPr="002A091D">
        <w:t xml:space="preserve"> with </w:t>
      </w:r>
      <w:r w:rsidR="00DF7A6B" w:rsidRPr="002A091D">
        <w:t xml:space="preserve">the </w:t>
      </w:r>
      <w:r w:rsidR="003F26A7" w:rsidRPr="002A091D">
        <w:t>Amihud (2002) RtoV ratio</w:t>
      </w:r>
      <w:r w:rsidR="00510D46" w:rsidRPr="002A091D">
        <w:t xml:space="preserve">. </w:t>
      </w:r>
      <w:r w:rsidR="00DF7A6B" w:rsidRPr="002A091D">
        <w:t>When</w:t>
      </w:r>
      <w:r w:rsidR="00510D46" w:rsidRPr="002A091D">
        <w:t xml:space="preserve"> implementing </w:t>
      </w:r>
      <w:r w:rsidR="00DF7A6B" w:rsidRPr="002A091D">
        <w:t xml:space="preserve">the </w:t>
      </w:r>
      <w:r w:rsidR="00510D46" w:rsidRPr="002A091D">
        <w:t xml:space="preserve">RtoTR </w:t>
      </w:r>
      <w:r w:rsidR="24BA5191" w:rsidRPr="002A091D">
        <w:t xml:space="preserve">RtoV? </w:t>
      </w:r>
      <w:r w:rsidR="00510D46" w:rsidRPr="002A091D">
        <w:t xml:space="preserve">price impact ratio, </w:t>
      </w:r>
      <w:r w:rsidR="43FA7DDC" w:rsidRPr="002A091D">
        <w:t xml:space="preserve">the </w:t>
      </w:r>
      <w:r w:rsidR="00510D46" w:rsidRPr="002A091D">
        <w:rPr>
          <w:lang w:eastAsia="en-GB"/>
        </w:rPr>
        <w:t xml:space="preserve">CAPM cannot completely account for the significant </w:t>
      </w:r>
      <w:r w:rsidR="10864D4E" w:rsidRPr="002A091D">
        <w:rPr>
          <w:lang w:eastAsia="en-GB"/>
        </w:rPr>
        <w:t>RtoV?</w:t>
      </w:r>
      <w:r w:rsidR="00510D46" w:rsidRPr="002A091D">
        <w:rPr>
          <w:lang w:eastAsia="en-GB"/>
        </w:rPr>
        <w:t xml:space="preserve"> premium. However, this weak evidence for the existence of this premium disappear</w:t>
      </w:r>
      <w:r w:rsidR="624F7FF0" w:rsidRPr="002A091D">
        <w:rPr>
          <w:lang w:eastAsia="en-GB"/>
        </w:rPr>
        <w:t>s</w:t>
      </w:r>
      <w:r w:rsidR="00510D46" w:rsidRPr="002A091D">
        <w:rPr>
          <w:lang w:eastAsia="en-GB"/>
        </w:rPr>
        <w:t xml:space="preserve"> when Fama–French or Carhart alphas are considered as measures of risk-adjusted performance. Moreover, </w:t>
      </w:r>
      <w:r w:rsidR="00DF7A6B" w:rsidRPr="002A091D">
        <w:rPr>
          <w:lang w:eastAsia="en-GB"/>
        </w:rPr>
        <w:t xml:space="preserve">the </w:t>
      </w:r>
      <w:r w:rsidR="00510D46" w:rsidRPr="002A091D">
        <w:rPr>
          <w:lang w:eastAsia="en-GB"/>
        </w:rPr>
        <w:t xml:space="preserve">RtoV </w:t>
      </w:r>
      <w:r w:rsidR="00A34C7F" w:rsidRPr="002A091D">
        <w:rPr>
          <w:lang w:eastAsia="en-GB"/>
        </w:rPr>
        <w:t xml:space="preserve">ratio has weak </w:t>
      </w:r>
      <w:r w:rsidR="6EE3B351" w:rsidRPr="002A091D">
        <w:rPr>
          <w:lang w:eastAsia="en-GB"/>
        </w:rPr>
        <w:t xml:space="preserve">supporting </w:t>
      </w:r>
      <w:r w:rsidR="00A34C7F" w:rsidRPr="002A091D">
        <w:rPr>
          <w:lang w:eastAsia="en-GB"/>
        </w:rPr>
        <w:t xml:space="preserve">evidence </w:t>
      </w:r>
      <w:r w:rsidR="53AA01ED" w:rsidRPr="002A091D">
        <w:rPr>
          <w:lang w:eastAsia="en-GB"/>
        </w:rPr>
        <w:t>using</w:t>
      </w:r>
      <w:r w:rsidR="008079BD" w:rsidRPr="002A091D">
        <w:rPr>
          <w:lang w:eastAsia="en-GB"/>
        </w:rPr>
        <w:t xml:space="preserve"> the</w:t>
      </w:r>
      <w:r w:rsidR="00510D46" w:rsidRPr="002A091D">
        <w:rPr>
          <w:lang w:eastAsia="en-GB"/>
        </w:rPr>
        <w:t xml:space="preserve"> Fama French </w:t>
      </w:r>
      <w:r w:rsidR="00B63797" w:rsidRPr="002A091D">
        <w:rPr>
          <w:lang w:eastAsia="en-GB"/>
        </w:rPr>
        <w:t xml:space="preserve">three factor </w:t>
      </w:r>
      <w:r w:rsidR="00BB29D2" w:rsidRPr="002A091D">
        <w:rPr>
          <w:lang w:eastAsia="en-GB"/>
        </w:rPr>
        <w:t>and Cahar</w:t>
      </w:r>
      <w:r w:rsidR="00510D46" w:rsidRPr="002A091D">
        <w:rPr>
          <w:lang w:eastAsia="en-GB"/>
        </w:rPr>
        <w:t xml:space="preserve">t </w:t>
      </w:r>
      <w:r w:rsidR="00B63797" w:rsidRPr="002A091D">
        <w:rPr>
          <w:lang w:eastAsia="en-GB"/>
        </w:rPr>
        <w:t xml:space="preserve">four factor </w:t>
      </w:r>
      <w:r w:rsidR="00510D46" w:rsidRPr="002A091D">
        <w:rPr>
          <w:lang w:eastAsia="en-GB"/>
        </w:rPr>
        <w:t xml:space="preserve">models. </w:t>
      </w:r>
    </w:p>
    <w:p w14:paraId="68B6611A" w14:textId="77777777" w:rsidR="00B63797" w:rsidRPr="002A091D" w:rsidRDefault="00B63797" w:rsidP="00A27CA4">
      <w:pPr>
        <w:spacing w:line="480" w:lineRule="auto"/>
        <w:jc w:val="both"/>
      </w:pPr>
    </w:p>
    <w:p w14:paraId="37B80F2B" w14:textId="77777777" w:rsidR="00A27CA4" w:rsidRPr="002A091D" w:rsidRDefault="00A27CA4" w:rsidP="00CC3AEA">
      <w:pPr>
        <w:spacing w:line="480" w:lineRule="auto"/>
        <w:jc w:val="both"/>
      </w:pPr>
      <w:r w:rsidRPr="002A091D">
        <w:t xml:space="preserve">The criticism </w:t>
      </w:r>
      <w:r w:rsidR="00DF7A6B" w:rsidRPr="002A091D">
        <w:t>made</w:t>
      </w:r>
      <w:r w:rsidRPr="002A091D">
        <w:t xml:space="preserve"> by Florackis et al. (2011) of </w:t>
      </w:r>
      <w:r w:rsidR="00DF7A6B" w:rsidRPr="002A091D">
        <w:t xml:space="preserve">the </w:t>
      </w:r>
      <w:r w:rsidRPr="002A091D">
        <w:t xml:space="preserve">Amihud’s RtoV ratio is </w:t>
      </w:r>
      <w:r w:rsidR="00227ADE" w:rsidRPr="002A091D">
        <w:t>realistic</w:t>
      </w:r>
      <w:r w:rsidR="00BB29D2" w:rsidRPr="002A091D">
        <w:t>, and</w:t>
      </w:r>
      <w:r w:rsidRPr="002A091D">
        <w:t xml:space="preserve"> </w:t>
      </w:r>
      <w:r w:rsidR="00227ADE" w:rsidRPr="002A091D">
        <w:t xml:space="preserve">is </w:t>
      </w:r>
      <w:r w:rsidRPr="002A091D">
        <w:t xml:space="preserve">based on the trading volume of stocks in monetary terms, </w:t>
      </w:r>
      <w:r w:rsidR="00CC3AEA" w:rsidRPr="002A091D">
        <w:t xml:space="preserve">which </w:t>
      </w:r>
      <w:r w:rsidRPr="002A091D">
        <w:t xml:space="preserve">has a strong correlation with </w:t>
      </w:r>
      <w:r w:rsidR="00DF7A6B" w:rsidRPr="002A091D">
        <w:t>stock</w:t>
      </w:r>
      <w:r w:rsidRPr="002A091D">
        <w:t xml:space="preserve"> market value and </w:t>
      </w:r>
      <w:r w:rsidR="00C52C57" w:rsidRPr="002A091D">
        <w:t>thus</w:t>
      </w:r>
      <w:r w:rsidRPr="002A091D">
        <w:t xml:space="preserve"> creates a size bias. Florackis et al.’s (2011) RtoTR ratio is free from this bias and has the advantage of examining the cross-sectional variability in trading frequency.   </w:t>
      </w:r>
    </w:p>
    <w:p w14:paraId="2B2AAD9A" w14:textId="77777777" w:rsidR="005D4A35" w:rsidRPr="002A091D" w:rsidRDefault="00DC31AB" w:rsidP="005D4A35">
      <w:pPr>
        <w:spacing w:line="480" w:lineRule="auto"/>
        <w:jc w:val="both"/>
        <w:rPr>
          <w:color w:val="000000" w:themeColor="text1"/>
        </w:rPr>
      </w:pPr>
      <w:r w:rsidRPr="002A091D">
        <w:rPr>
          <w:color w:val="000000" w:themeColor="text1"/>
        </w:rPr>
        <w:lastRenderedPageBreak/>
        <w:t>This research will add value</w:t>
      </w:r>
      <w:r w:rsidR="005D4A35" w:rsidRPr="002A091D">
        <w:rPr>
          <w:color w:val="000000" w:themeColor="text1"/>
        </w:rPr>
        <w:t xml:space="preserve"> towards existing shareholders and stakeholders </w:t>
      </w:r>
      <w:r w:rsidR="4DB11E2A" w:rsidRPr="002A091D">
        <w:rPr>
          <w:color w:val="000000" w:themeColor="text1"/>
        </w:rPr>
        <w:t xml:space="preserve">and help them </w:t>
      </w:r>
      <w:r w:rsidR="005D4A35" w:rsidRPr="002A091D">
        <w:rPr>
          <w:color w:val="000000" w:themeColor="text1"/>
        </w:rPr>
        <w:t>to build invest</w:t>
      </w:r>
      <w:r w:rsidR="5EF1BC56" w:rsidRPr="002A091D">
        <w:rPr>
          <w:color w:val="000000" w:themeColor="text1"/>
        </w:rPr>
        <w:t>ment</w:t>
      </w:r>
      <w:r w:rsidR="005D4A35" w:rsidRPr="002A091D">
        <w:rPr>
          <w:color w:val="000000" w:themeColor="text1"/>
        </w:rPr>
        <w:t xml:space="preserve"> strategies based on</w:t>
      </w:r>
      <w:r w:rsidR="00476214" w:rsidRPr="002A091D">
        <w:rPr>
          <w:color w:val="000000" w:themeColor="text1"/>
        </w:rPr>
        <w:t xml:space="preserve"> the</w:t>
      </w:r>
      <w:r w:rsidR="005D4A35" w:rsidRPr="002A091D">
        <w:rPr>
          <w:color w:val="000000" w:themeColor="text1"/>
        </w:rPr>
        <w:t xml:space="preserve"> recent performanc</w:t>
      </w:r>
      <w:r w:rsidR="00476214" w:rsidRPr="002A091D">
        <w:rPr>
          <w:color w:val="000000" w:themeColor="text1"/>
        </w:rPr>
        <w:t>e of the PSX, which has been outstanding. It</w:t>
      </w:r>
      <w:r w:rsidR="005D4A35" w:rsidRPr="002A091D">
        <w:rPr>
          <w:color w:val="000000" w:themeColor="text1"/>
        </w:rPr>
        <w:t xml:space="preserve"> has become a top performer in all the Asian market</w:t>
      </w:r>
      <w:r w:rsidR="00476214" w:rsidRPr="002A091D">
        <w:rPr>
          <w:color w:val="000000" w:themeColor="text1"/>
        </w:rPr>
        <w:t>s, generating 46% growth in</w:t>
      </w:r>
      <w:r w:rsidR="005D4A35" w:rsidRPr="002A091D">
        <w:rPr>
          <w:color w:val="000000" w:themeColor="text1"/>
        </w:rPr>
        <w:t xml:space="preserve"> 2016. Moreover, </w:t>
      </w:r>
      <w:r w:rsidR="00BD7399" w:rsidRPr="002A091D">
        <w:rPr>
          <w:color w:val="000000" w:themeColor="text1"/>
        </w:rPr>
        <w:t>improved</w:t>
      </w:r>
      <w:r w:rsidR="005D4A35" w:rsidRPr="002A091D">
        <w:rPr>
          <w:color w:val="000000" w:themeColor="text1"/>
        </w:rPr>
        <w:t xml:space="preserve"> market efficiency and liquidity would make the market more attractive. Therefore, the current study helps to take the market towards the next level that is, becoming a developed market by 2025, by enabling a transparent flow of information to all investors and increasing the size of the market by building confidence among local and global investors. </w:t>
      </w:r>
    </w:p>
    <w:p w14:paraId="1F52C3A4" w14:textId="77777777" w:rsidR="005D4A35" w:rsidRPr="002A091D" w:rsidRDefault="005D4A35" w:rsidP="005D4A35">
      <w:pPr>
        <w:spacing w:line="480" w:lineRule="auto"/>
        <w:jc w:val="both"/>
      </w:pPr>
    </w:p>
    <w:p w14:paraId="45282420" w14:textId="77777777" w:rsidR="005D4A35" w:rsidRPr="002A091D" w:rsidRDefault="005D4A35" w:rsidP="005D4A35">
      <w:pPr>
        <w:spacing w:line="480" w:lineRule="auto"/>
        <w:jc w:val="both"/>
      </w:pPr>
      <w:r w:rsidRPr="002A091D">
        <w:t>The current growth in the stock market is also a perfect example of the potential within the market, and it is important to find the t</w:t>
      </w:r>
      <w:r w:rsidR="0062310A" w:rsidRPr="002A091D">
        <w:t>rue prices of assets through</w:t>
      </w:r>
      <w:r w:rsidRPr="002A091D">
        <w:t xml:space="preserve"> demand and supply of the market. As a </w:t>
      </w:r>
      <w:r w:rsidR="0062310A" w:rsidRPr="002A091D">
        <w:t>result,</w:t>
      </w:r>
      <w:r w:rsidRPr="002A091D">
        <w:t xml:space="preserve"> it will definitely encourage more investment, transparency and growth in the Pakistani economy.    </w:t>
      </w:r>
    </w:p>
    <w:p w14:paraId="2FFEA649" w14:textId="77777777" w:rsidR="00A27CA4" w:rsidRPr="002A091D" w:rsidRDefault="00A27CA4" w:rsidP="00A27CA4">
      <w:pPr>
        <w:spacing w:line="480" w:lineRule="auto"/>
        <w:jc w:val="both"/>
      </w:pPr>
    </w:p>
    <w:p w14:paraId="573DFD02" w14:textId="77777777" w:rsidR="00BD7399" w:rsidRPr="002A091D" w:rsidRDefault="005D4A35" w:rsidP="005D4A35">
      <w:pPr>
        <w:autoSpaceDE w:val="0"/>
        <w:autoSpaceDN w:val="0"/>
        <w:adjustRightInd w:val="0"/>
        <w:spacing w:line="480" w:lineRule="auto"/>
        <w:jc w:val="both"/>
        <w:rPr>
          <w:color w:val="000000"/>
        </w:rPr>
      </w:pPr>
      <w:r w:rsidRPr="002A091D">
        <w:rPr>
          <w:color w:val="000000"/>
        </w:rPr>
        <w:t>The policy recommendations for authority and regulators</w:t>
      </w:r>
      <w:r w:rsidR="00BD7399" w:rsidRPr="002A091D">
        <w:rPr>
          <w:color w:val="000000"/>
        </w:rPr>
        <w:t xml:space="preserve"> is to take</w:t>
      </w:r>
      <w:r w:rsidRPr="002A091D">
        <w:rPr>
          <w:color w:val="000000"/>
        </w:rPr>
        <w:t xml:space="preserve"> steps to enhance the liquidity within the market,</w:t>
      </w:r>
      <w:r w:rsidR="00BD7399" w:rsidRPr="002A091D">
        <w:rPr>
          <w:color w:val="000000"/>
        </w:rPr>
        <w:t xml:space="preserve"> by</w:t>
      </w:r>
      <w:r w:rsidRPr="002A091D">
        <w:rPr>
          <w:color w:val="000000"/>
        </w:rPr>
        <w:t xml:space="preserve"> increasing the buying and selling volume in a transparent manner. Further, it is necessary to limit family ownership and welcome new industries for listing to the Pakistan Stock Exchange.</w:t>
      </w:r>
    </w:p>
    <w:p w14:paraId="0020224D" w14:textId="77777777" w:rsidR="005D4A35" w:rsidRPr="002A091D" w:rsidRDefault="00BD7399" w:rsidP="005D4A35">
      <w:pPr>
        <w:autoSpaceDE w:val="0"/>
        <w:autoSpaceDN w:val="0"/>
        <w:adjustRightInd w:val="0"/>
        <w:spacing w:line="480" w:lineRule="auto"/>
        <w:jc w:val="both"/>
        <w:rPr>
          <w:color w:val="000000"/>
        </w:rPr>
      </w:pPr>
      <w:r w:rsidRPr="002A091D">
        <w:rPr>
          <w:color w:val="000000" w:themeColor="text1"/>
        </w:rPr>
        <w:t>Appropriate</w:t>
      </w:r>
      <w:r w:rsidR="0062310A" w:rsidRPr="002A091D">
        <w:rPr>
          <w:color w:val="000000" w:themeColor="text1"/>
        </w:rPr>
        <w:t xml:space="preserve"> regulations should be</w:t>
      </w:r>
      <w:r w:rsidRPr="002A091D">
        <w:rPr>
          <w:color w:val="000000" w:themeColor="text1"/>
        </w:rPr>
        <w:t xml:space="preserve"> put</w:t>
      </w:r>
      <w:r w:rsidR="005D4A35" w:rsidRPr="002A091D">
        <w:rPr>
          <w:color w:val="000000" w:themeColor="text1"/>
        </w:rPr>
        <w:t xml:space="preserve"> in place to enhance the equity base of companies, which will ultimately increase the corporate debt market. Moreover, for common </w:t>
      </w:r>
      <w:r w:rsidR="6B7CEB74" w:rsidRPr="002A091D">
        <w:rPr>
          <w:color w:val="000000" w:themeColor="text1"/>
        </w:rPr>
        <w:t xml:space="preserve">stock </w:t>
      </w:r>
      <w:r w:rsidR="005D4A35" w:rsidRPr="002A091D">
        <w:rPr>
          <w:color w:val="000000" w:themeColor="text1"/>
        </w:rPr>
        <w:t xml:space="preserve">investors all companies should disclose correct, accurate and understandable financial reports. There is a need to improve the market norms by keeping checks on insider trading by directors and senior executives of companies, and they should be </w:t>
      </w:r>
      <w:r w:rsidR="03954CDF" w:rsidRPr="002A091D">
        <w:rPr>
          <w:color w:val="000000" w:themeColor="text1"/>
        </w:rPr>
        <w:t>obliged</w:t>
      </w:r>
      <w:r w:rsidR="005D4A35" w:rsidRPr="002A091D">
        <w:rPr>
          <w:color w:val="000000" w:themeColor="text1"/>
        </w:rPr>
        <w:t xml:space="preserve"> to disclose their sales and purchases</w:t>
      </w:r>
      <w:r w:rsidRPr="002A091D">
        <w:rPr>
          <w:color w:val="000000" w:themeColor="text1"/>
        </w:rPr>
        <w:t xml:space="preserve"> (see</w:t>
      </w:r>
      <w:r w:rsidR="007152EB" w:rsidRPr="002A091D">
        <w:rPr>
          <w:color w:val="000000" w:themeColor="text1"/>
        </w:rPr>
        <w:t xml:space="preserve"> e.g. see Rehman et al. 2019 and Binner et al., 2018)</w:t>
      </w:r>
      <w:r w:rsidR="005D4A35" w:rsidRPr="002A091D">
        <w:rPr>
          <w:color w:val="000000" w:themeColor="text1"/>
        </w:rPr>
        <w:t xml:space="preserve">. </w:t>
      </w:r>
      <w:r w:rsidR="0062310A" w:rsidRPr="002A091D">
        <w:rPr>
          <w:color w:val="000000" w:themeColor="text1"/>
        </w:rPr>
        <w:t xml:space="preserve">Moreover, </w:t>
      </w:r>
      <w:r w:rsidR="009B2A9E" w:rsidRPr="002A091D">
        <w:rPr>
          <w:color w:val="000000" w:themeColor="text1"/>
        </w:rPr>
        <w:t>we</w:t>
      </w:r>
      <w:r w:rsidRPr="002A091D">
        <w:rPr>
          <w:color w:val="000000" w:themeColor="text1"/>
        </w:rPr>
        <w:t xml:space="preserve"> also provide</w:t>
      </w:r>
      <w:r w:rsidR="00F84421" w:rsidRPr="002A091D">
        <w:rPr>
          <w:color w:val="000000" w:themeColor="text1"/>
        </w:rPr>
        <w:t xml:space="preserve"> </w:t>
      </w:r>
      <w:r w:rsidR="00F84421" w:rsidRPr="002A091D">
        <w:rPr>
          <w:color w:val="000000" w:themeColor="text1"/>
        </w:rPr>
        <w:lastRenderedPageBreak/>
        <w:t xml:space="preserve">recommendations to expand our research idea </w:t>
      </w:r>
      <w:r w:rsidR="00F84421" w:rsidRPr="002A091D">
        <w:t>to</w:t>
      </w:r>
      <w:r w:rsidR="0062310A" w:rsidRPr="002A091D">
        <w:t xml:space="preserve"> pre and post </w:t>
      </w:r>
      <w:r w:rsidR="00F84421" w:rsidRPr="002A091D">
        <w:t xml:space="preserve">financial </w:t>
      </w:r>
      <w:r w:rsidR="0062310A" w:rsidRPr="002A091D">
        <w:t xml:space="preserve">crisis </w:t>
      </w:r>
      <w:r w:rsidRPr="002A091D">
        <w:t>and its liquidity position. This</w:t>
      </w:r>
      <w:r w:rsidR="00F84421" w:rsidRPr="002A091D">
        <w:t xml:space="preserve"> will widen the spectrum of the stakeholders. </w:t>
      </w:r>
    </w:p>
    <w:p w14:paraId="6BD09F04" w14:textId="77777777" w:rsidR="00F832F9" w:rsidRPr="002A091D" w:rsidRDefault="00F832F9" w:rsidP="00F832F9">
      <w:pPr>
        <w:pStyle w:val="Heading1"/>
      </w:pPr>
      <w:bookmarkStart w:id="28" w:name="_Toc489732522"/>
      <w:r w:rsidRPr="002A091D">
        <w:t>References</w:t>
      </w:r>
      <w:bookmarkEnd w:id="28"/>
    </w:p>
    <w:p w14:paraId="3D713B64" w14:textId="77777777" w:rsidR="00F832F9" w:rsidRPr="002A091D" w:rsidRDefault="00F832F9" w:rsidP="00F832F9"/>
    <w:p w14:paraId="3C003296" w14:textId="77777777" w:rsidR="00F832F9" w:rsidRPr="002A091D" w:rsidRDefault="00252AE6" w:rsidP="00F832F9">
      <w:pPr>
        <w:widowControl w:val="0"/>
        <w:autoSpaceDE w:val="0"/>
        <w:autoSpaceDN w:val="0"/>
        <w:adjustRightInd w:val="0"/>
        <w:spacing w:after="200" w:line="480" w:lineRule="auto"/>
        <w:jc w:val="both"/>
        <w:rPr>
          <w:noProof/>
        </w:rPr>
      </w:pPr>
      <w:r w:rsidRPr="002A091D">
        <w:fldChar w:fldCharType="begin" w:fldLock="1"/>
      </w:r>
      <w:r w:rsidR="00F832F9" w:rsidRPr="002A091D">
        <w:instrText xml:space="preserve">ADDIN Mendeley Bibliography CSL_BIBLIOGRAPHY </w:instrText>
      </w:r>
      <w:r w:rsidRPr="002A091D">
        <w:fldChar w:fldCharType="separate"/>
      </w:r>
      <w:r w:rsidR="00F832F9" w:rsidRPr="002A091D">
        <w:rPr>
          <w:noProof/>
        </w:rPr>
        <w:t xml:space="preserve">Acharya, V. and Pedersen, L. (2005) ‘Asset pricing with liquidity risk’, </w:t>
      </w:r>
      <w:r w:rsidR="00F832F9" w:rsidRPr="002A091D">
        <w:rPr>
          <w:i/>
          <w:iCs/>
          <w:noProof/>
        </w:rPr>
        <w:t xml:space="preserve">Journal of </w:t>
      </w:r>
      <w:r w:rsidR="005A6FCD" w:rsidRPr="002A091D">
        <w:rPr>
          <w:i/>
          <w:iCs/>
          <w:noProof/>
        </w:rPr>
        <w:t xml:space="preserve">Financial </w:t>
      </w:r>
      <w:r w:rsidR="00F832F9" w:rsidRPr="002A091D">
        <w:rPr>
          <w:i/>
          <w:iCs/>
          <w:noProof/>
        </w:rPr>
        <w:t>Economics</w:t>
      </w:r>
      <w:r w:rsidR="00F832F9" w:rsidRPr="002A091D">
        <w:rPr>
          <w:noProof/>
        </w:rPr>
        <w:t>, 77(2), pp. 375–410.</w:t>
      </w:r>
    </w:p>
    <w:p w14:paraId="6EA1745D" w14:textId="77777777" w:rsidR="00F832F9" w:rsidRPr="002A091D" w:rsidRDefault="00F832F9" w:rsidP="00FB25C3">
      <w:pPr>
        <w:widowControl w:val="0"/>
        <w:autoSpaceDE w:val="0"/>
        <w:autoSpaceDN w:val="0"/>
        <w:adjustRightInd w:val="0"/>
        <w:spacing w:after="200" w:line="480" w:lineRule="auto"/>
        <w:jc w:val="both"/>
        <w:rPr>
          <w:noProof/>
        </w:rPr>
      </w:pPr>
      <w:r w:rsidRPr="002A091D">
        <w:rPr>
          <w:noProof/>
        </w:rPr>
        <w:t xml:space="preserve">Amihud, Y. (2002) ‘Illiquidity and stock returns: cross-section and time-series effects’, </w:t>
      </w:r>
      <w:r w:rsidRPr="002A091D">
        <w:rPr>
          <w:i/>
          <w:iCs/>
          <w:noProof/>
        </w:rPr>
        <w:t xml:space="preserve">Journal of </w:t>
      </w:r>
      <w:r w:rsidR="005A6FCD" w:rsidRPr="002A091D">
        <w:rPr>
          <w:i/>
          <w:iCs/>
          <w:noProof/>
        </w:rPr>
        <w:t xml:space="preserve">Financial </w:t>
      </w:r>
      <w:r w:rsidR="00FB25C3" w:rsidRPr="002A091D">
        <w:rPr>
          <w:i/>
          <w:iCs/>
          <w:noProof/>
        </w:rPr>
        <w:t>Markets</w:t>
      </w:r>
      <w:r w:rsidRPr="002A091D">
        <w:rPr>
          <w:noProof/>
        </w:rPr>
        <w:t>, 5(1), pp. 31–56.</w:t>
      </w:r>
    </w:p>
    <w:p w14:paraId="42FA05C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Amihud, Y. and Mendelson, H. (1986a) ‘Asset pricing and the bid-ask spread’, </w:t>
      </w:r>
      <w:r w:rsidRPr="002A091D">
        <w:rPr>
          <w:i/>
          <w:iCs/>
          <w:noProof/>
        </w:rPr>
        <w:t xml:space="preserve">Journal of </w:t>
      </w:r>
      <w:r w:rsidR="005A6FCD" w:rsidRPr="002A091D">
        <w:rPr>
          <w:i/>
          <w:iCs/>
          <w:noProof/>
        </w:rPr>
        <w:t xml:space="preserve">Financial </w:t>
      </w:r>
      <w:r w:rsidRPr="002A091D">
        <w:rPr>
          <w:i/>
          <w:iCs/>
          <w:noProof/>
        </w:rPr>
        <w:t>Economics</w:t>
      </w:r>
      <w:r w:rsidRPr="002A091D">
        <w:rPr>
          <w:noProof/>
        </w:rPr>
        <w:t>, 17(2), pp. 223–249.</w:t>
      </w:r>
    </w:p>
    <w:p w14:paraId="0CBB7B3B"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Amihud, Y. and Mendelson, H. (1986b) ‘Liquidity and stock returns’, </w:t>
      </w:r>
      <w:r w:rsidRPr="002A091D">
        <w:rPr>
          <w:i/>
          <w:iCs/>
          <w:noProof/>
        </w:rPr>
        <w:t>Financial Analysts Journal</w:t>
      </w:r>
      <w:r w:rsidRPr="002A091D">
        <w:rPr>
          <w:noProof/>
        </w:rPr>
        <w:t>, 42(3), p. 1986.</w:t>
      </w:r>
    </w:p>
    <w:p w14:paraId="0F73502B"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Amihud, Y. and Mendelson, H. (1991) ‘Liquidity, maturity, and the yields on US Treasury securities’, </w:t>
      </w:r>
      <w:r w:rsidRPr="002A091D">
        <w:rPr>
          <w:i/>
          <w:iCs/>
          <w:noProof/>
        </w:rPr>
        <w:t>The Journal of Finance</w:t>
      </w:r>
      <w:r w:rsidRPr="002A091D">
        <w:rPr>
          <w:noProof/>
        </w:rPr>
        <w:t>, 46(4), pp. 1411–1425.</w:t>
      </w:r>
    </w:p>
    <w:p w14:paraId="55D72AE8" w14:textId="77777777" w:rsidR="009C1342" w:rsidRPr="002A091D" w:rsidRDefault="009C1342" w:rsidP="00F832F9">
      <w:pPr>
        <w:widowControl w:val="0"/>
        <w:autoSpaceDE w:val="0"/>
        <w:autoSpaceDN w:val="0"/>
        <w:adjustRightInd w:val="0"/>
        <w:spacing w:after="200" w:line="480" w:lineRule="auto"/>
        <w:jc w:val="both"/>
        <w:rPr>
          <w:noProof/>
        </w:rPr>
      </w:pPr>
      <w:r w:rsidRPr="002A091D">
        <w:rPr>
          <w:noProof/>
        </w:rPr>
        <w:t xml:space="preserve">Anderson, R.G., Binner, J.M., Hagströmer, B. and Nilsson, B., 2015. Does commonality in illiquidity matter to investors? (No. 2015-02). </w:t>
      </w:r>
      <w:r w:rsidRPr="002A091D">
        <w:rPr>
          <w:i/>
          <w:noProof/>
        </w:rPr>
        <w:t>Birmingham Business School Discussion Paper Series</w:t>
      </w:r>
      <w:r w:rsidRPr="002A091D">
        <w:rPr>
          <w:noProof/>
        </w:rPr>
        <w:t>.</w:t>
      </w:r>
    </w:p>
    <w:p w14:paraId="3A95E358"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Ang, A. </w:t>
      </w:r>
      <w:r w:rsidRPr="002A091D">
        <w:rPr>
          <w:i/>
          <w:iCs/>
          <w:noProof/>
        </w:rPr>
        <w:t>et al.</w:t>
      </w:r>
      <w:r w:rsidRPr="002A091D">
        <w:rPr>
          <w:noProof/>
        </w:rPr>
        <w:t xml:space="preserve"> (2006) ‘The cross‐section of volatility and expected returns’, </w:t>
      </w:r>
      <w:r w:rsidRPr="002A091D">
        <w:rPr>
          <w:i/>
          <w:iCs/>
          <w:noProof/>
        </w:rPr>
        <w:t>The Journal of Finance</w:t>
      </w:r>
      <w:r w:rsidRPr="002A091D">
        <w:rPr>
          <w:noProof/>
        </w:rPr>
        <w:t>, 61(1), pp. 259–299.</w:t>
      </w:r>
    </w:p>
    <w:p w14:paraId="233F716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Avramov, D., Cheng, S. and Hameed, A. (2015) </w:t>
      </w:r>
      <w:r w:rsidRPr="002A091D">
        <w:rPr>
          <w:i/>
          <w:iCs/>
          <w:noProof/>
        </w:rPr>
        <w:t>Mispriced Stocks and Mutual Fund Performance</w:t>
      </w:r>
      <w:r w:rsidR="003F26A7" w:rsidRPr="002A091D">
        <w:rPr>
          <w:i/>
          <w:iCs/>
          <w:noProof/>
        </w:rPr>
        <w:t xml:space="preserve"> </w:t>
      </w:r>
      <w:r w:rsidR="003F26A7" w:rsidRPr="002A091D">
        <w:rPr>
          <w:i/>
          <w:noProof/>
        </w:rPr>
        <w:t xml:space="preserve">working paper, </w:t>
      </w:r>
      <w:r w:rsidR="00D53240" w:rsidRPr="002A091D">
        <w:rPr>
          <w:i/>
          <w:noProof/>
        </w:rPr>
        <w:t xml:space="preserve">Queen's </w:t>
      </w:r>
      <w:r w:rsidR="003F26A7" w:rsidRPr="002A091D">
        <w:rPr>
          <w:i/>
          <w:noProof/>
        </w:rPr>
        <w:t xml:space="preserve">University </w:t>
      </w:r>
      <w:r w:rsidR="00D53240" w:rsidRPr="002A091D">
        <w:rPr>
          <w:i/>
          <w:noProof/>
        </w:rPr>
        <w:t>Belfast</w:t>
      </w:r>
      <w:r w:rsidRPr="002A091D">
        <w:rPr>
          <w:noProof/>
        </w:rPr>
        <w:t>.</w:t>
      </w:r>
    </w:p>
    <w:p w14:paraId="53ED318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Barinov, A. (2011) ‘Idiosyncratic volatility, growth options, and the cross-section of returns’.</w:t>
      </w:r>
      <w:r w:rsidR="003F26A7" w:rsidRPr="002A091D">
        <w:rPr>
          <w:noProof/>
        </w:rPr>
        <w:t xml:space="preserve"> </w:t>
      </w:r>
      <w:r w:rsidR="003F26A7" w:rsidRPr="002A091D">
        <w:rPr>
          <w:i/>
          <w:noProof/>
        </w:rPr>
        <w:t>working paper, University of Georgia</w:t>
      </w:r>
      <w:r w:rsidR="003F26A7" w:rsidRPr="002A091D">
        <w:rPr>
          <w:noProof/>
        </w:rPr>
        <w:t>, 2(1), pp. (1-64)</w:t>
      </w:r>
    </w:p>
    <w:p w14:paraId="4D914CED"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lastRenderedPageBreak/>
        <w:t xml:space="preserve">Barry, C. and Brown, S. (1984) ‘Differential information and the small firm effect’, </w:t>
      </w:r>
      <w:r w:rsidRPr="002A091D">
        <w:rPr>
          <w:i/>
          <w:iCs/>
          <w:noProof/>
        </w:rPr>
        <w:t>Journal of Financial Economics</w:t>
      </w:r>
      <w:r w:rsidRPr="002A091D">
        <w:rPr>
          <w:noProof/>
        </w:rPr>
        <w:t>, 13(2), pp. 283–294.</w:t>
      </w:r>
    </w:p>
    <w:p w14:paraId="5A40EDDF" w14:textId="77777777" w:rsidR="008F01C6" w:rsidRPr="002A091D" w:rsidRDefault="008F01C6" w:rsidP="008F01C6">
      <w:pPr>
        <w:pStyle w:val="CommentText"/>
        <w:spacing w:line="480" w:lineRule="auto"/>
        <w:jc w:val="both"/>
        <w:rPr>
          <w:rFonts w:ascii="Times New Roman" w:hAnsi="Times New Roman" w:cs="Times New Roman"/>
          <w:sz w:val="24"/>
          <w:szCs w:val="24"/>
        </w:rPr>
      </w:pPr>
      <w:r w:rsidRPr="002A091D">
        <w:rPr>
          <w:rFonts w:ascii="Times New Roman" w:hAnsi="Times New Roman" w:cs="Times New Roman"/>
          <w:sz w:val="24"/>
          <w:szCs w:val="24"/>
        </w:rPr>
        <w:t>Bekaert, G., Harvey, C.R. and Lundblad, C., 2007. 'Liquidity and expected returns: Lessons from emerging markets'. </w:t>
      </w:r>
      <w:r w:rsidRPr="002A091D">
        <w:rPr>
          <w:rFonts w:ascii="Times New Roman" w:hAnsi="Times New Roman" w:cs="Times New Roman"/>
          <w:i/>
          <w:sz w:val="24"/>
          <w:szCs w:val="24"/>
        </w:rPr>
        <w:t>The Review of Financial Studies</w:t>
      </w:r>
      <w:r w:rsidRPr="002A091D">
        <w:rPr>
          <w:rFonts w:ascii="Times New Roman" w:hAnsi="Times New Roman" w:cs="Times New Roman"/>
          <w:sz w:val="24"/>
          <w:szCs w:val="24"/>
        </w:rPr>
        <w:t>, 20(6), pp.1783-1831.</w:t>
      </w:r>
    </w:p>
    <w:p w14:paraId="07F272AF"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Bhanot, K. and Kadapakkam, P. (2006) ‘Anatomy of a government intervention in index stocks: Price pressure or information effects?’, </w:t>
      </w:r>
      <w:r w:rsidRPr="002A091D">
        <w:rPr>
          <w:i/>
          <w:iCs/>
          <w:noProof/>
        </w:rPr>
        <w:t>The Journal of Business</w:t>
      </w:r>
      <w:r w:rsidRPr="002A091D">
        <w:rPr>
          <w:noProof/>
        </w:rPr>
        <w:t>, 79(2), pp. 963–986.</w:t>
      </w:r>
    </w:p>
    <w:p w14:paraId="7B2661E9" w14:textId="77777777" w:rsidR="007152EB" w:rsidRPr="002A091D" w:rsidRDefault="007152EB" w:rsidP="00F832F9">
      <w:pPr>
        <w:widowControl w:val="0"/>
        <w:autoSpaceDE w:val="0"/>
        <w:autoSpaceDN w:val="0"/>
        <w:adjustRightInd w:val="0"/>
        <w:spacing w:after="200" w:line="480" w:lineRule="auto"/>
        <w:jc w:val="both"/>
        <w:rPr>
          <w:noProof/>
        </w:rPr>
      </w:pPr>
      <w:r w:rsidRPr="002A091D">
        <w:rPr>
          <w:noProof/>
        </w:rPr>
        <w:t>Binner, J.M., Chaudhry, S., Kelly, L. and Swofford, J.L., 2018. “Risky” monetary aggregates for the UK and US. </w:t>
      </w:r>
      <w:r w:rsidRPr="002A091D">
        <w:rPr>
          <w:i/>
          <w:noProof/>
        </w:rPr>
        <w:t>Journal of International Money and Finance</w:t>
      </w:r>
      <w:r w:rsidRPr="002A091D">
        <w:rPr>
          <w:noProof/>
        </w:rPr>
        <w:t>, 89, pp.127-138.</w:t>
      </w:r>
    </w:p>
    <w:p w14:paraId="0A872CA5" w14:textId="77777777" w:rsidR="00F20F4D" w:rsidRPr="002A091D" w:rsidRDefault="00F20F4D" w:rsidP="003B6B49">
      <w:pPr>
        <w:widowControl w:val="0"/>
        <w:autoSpaceDE w:val="0"/>
        <w:autoSpaceDN w:val="0"/>
        <w:adjustRightInd w:val="0"/>
        <w:spacing w:after="200" w:line="480" w:lineRule="auto"/>
        <w:jc w:val="both"/>
        <w:rPr>
          <w:noProof/>
        </w:rPr>
      </w:pPr>
      <w:r w:rsidRPr="002A091D">
        <w:rPr>
          <w:noProof/>
        </w:rPr>
        <w:t>Bloomberg. 201</w:t>
      </w:r>
      <w:r w:rsidR="003B6B49" w:rsidRPr="002A091D">
        <w:rPr>
          <w:noProof/>
        </w:rPr>
        <w:t>7</w:t>
      </w:r>
      <w:r w:rsidRPr="002A091D">
        <w:rPr>
          <w:noProof/>
        </w:rPr>
        <w:t>. </w:t>
      </w:r>
      <w:r w:rsidRPr="002A091D">
        <w:rPr>
          <w:i/>
          <w:iCs/>
          <w:noProof/>
        </w:rPr>
        <w:t>Bloomberg</w:t>
      </w:r>
      <w:r w:rsidR="00AE27C1" w:rsidRPr="002A091D">
        <w:rPr>
          <w:noProof/>
        </w:rPr>
        <w:t>. [Online</w:t>
      </w:r>
      <w:r w:rsidRPr="002A091D">
        <w:rPr>
          <w:noProof/>
        </w:rPr>
        <w:t>] Available</w:t>
      </w:r>
    </w:p>
    <w:p w14:paraId="7EC8794C" w14:textId="77777777" w:rsidR="00F20F4D" w:rsidRPr="002A091D" w:rsidRDefault="00F20F4D" w:rsidP="00D87EDD">
      <w:pPr>
        <w:widowControl w:val="0"/>
        <w:autoSpaceDE w:val="0"/>
        <w:autoSpaceDN w:val="0"/>
        <w:adjustRightInd w:val="0"/>
        <w:spacing w:after="200" w:line="480" w:lineRule="auto"/>
        <w:jc w:val="both"/>
        <w:rPr>
          <w:i/>
          <w:iCs/>
          <w:noProof/>
        </w:rPr>
      </w:pPr>
      <w:r w:rsidRPr="002A091D">
        <w:rPr>
          <w:noProof/>
        </w:rPr>
        <w:t>at: https://www.bloomberg.com/news/articles/2017-01-10/history-shows-world-s-best-stock-gains-arise-in-emerging-markets.</w:t>
      </w:r>
      <w:r w:rsidRPr="002A091D">
        <w:rPr>
          <w:i/>
          <w:iCs/>
          <w:noProof/>
        </w:rPr>
        <w:t>[Accessed 28 August 2017].</w:t>
      </w:r>
    </w:p>
    <w:p w14:paraId="6BE26420" w14:textId="77777777" w:rsidR="008F01C6" w:rsidRPr="002A091D" w:rsidRDefault="008F01C6" w:rsidP="008F01C6">
      <w:pPr>
        <w:pStyle w:val="CommentText"/>
        <w:spacing w:line="480" w:lineRule="auto"/>
        <w:jc w:val="both"/>
        <w:rPr>
          <w:rFonts w:ascii="Times New Roman" w:hAnsi="Times New Roman" w:cs="Times New Roman"/>
          <w:sz w:val="24"/>
          <w:szCs w:val="24"/>
        </w:rPr>
      </w:pPr>
      <w:r w:rsidRPr="002A091D">
        <w:rPr>
          <w:rFonts w:ascii="Times New Roman" w:hAnsi="Times New Roman" w:cs="Times New Roman"/>
          <w:sz w:val="24"/>
          <w:szCs w:val="24"/>
        </w:rPr>
        <w:t>Brennan, M.J. and Subrahmanyam, A., 1996. 'Market microstructure and asset pricing: On the compensation for illiquidity in stock returns'. </w:t>
      </w:r>
      <w:r w:rsidRPr="002A091D">
        <w:rPr>
          <w:rFonts w:ascii="Times New Roman" w:hAnsi="Times New Roman" w:cs="Times New Roman"/>
          <w:i/>
          <w:sz w:val="24"/>
          <w:szCs w:val="24"/>
        </w:rPr>
        <w:t>Journal of Financial Economics</w:t>
      </w:r>
      <w:r w:rsidRPr="002A091D">
        <w:rPr>
          <w:rFonts w:ascii="Times New Roman" w:hAnsi="Times New Roman" w:cs="Times New Roman"/>
          <w:sz w:val="24"/>
          <w:szCs w:val="24"/>
        </w:rPr>
        <w:t>, 41(3), pp.441-464.</w:t>
      </w:r>
    </w:p>
    <w:p w14:paraId="672801DB"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Brennan, M., Chordia, T. and Subrahmanyam, A. (1998) ‘Alternative factor specifications, security characteristics, and the cross-section of expected stock returns’, </w:t>
      </w:r>
      <w:r w:rsidRPr="002A091D">
        <w:rPr>
          <w:i/>
          <w:iCs/>
          <w:noProof/>
        </w:rPr>
        <w:t>Journal of Financial Economics</w:t>
      </w:r>
      <w:r w:rsidRPr="002A091D">
        <w:rPr>
          <w:noProof/>
        </w:rPr>
        <w:t>, 49(3), pp. 345–373.</w:t>
      </w:r>
    </w:p>
    <w:p w14:paraId="04DC0D7F"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Campbell, J. and Ammer, J. (1993) ‘What moves the stock and bond markets? A variance decomposition for long‐term asset returns’, </w:t>
      </w:r>
      <w:r w:rsidRPr="002A091D">
        <w:rPr>
          <w:i/>
          <w:iCs/>
          <w:noProof/>
        </w:rPr>
        <w:t>The Journal of Finance</w:t>
      </w:r>
      <w:r w:rsidRPr="002A091D">
        <w:rPr>
          <w:noProof/>
        </w:rPr>
        <w:t>, 48(1), pp. 3–37.</w:t>
      </w:r>
    </w:p>
    <w:p w14:paraId="08FE79F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Carhart, M. (1997) ‘On persistence in mutual fund performance’, </w:t>
      </w:r>
      <w:r w:rsidRPr="002A091D">
        <w:rPr>
          <w:i/>
          <w:iCs/>
          <w:noProof/>
        </w:rPr>
        <w:t xml:space="preserve">The Journal of </w:t>
      </w:r>
      <w:r w:rsidR="00D53240" w:rsidRPr="002A091D">
        <w:rPr>
          <w:i/>
          <w:iCs/>
          <w:noProof/>
        </w:rPr>
        <w:t>F</w:t>
      </w:r>
      <w:r w:rsidRPr="002A091D">
        <w:rPr>
          <w:i/>
          <w:iCs/>
          <w:noProof/>
        </w:rPr>
        <w:t>inance</w:t>
      </w:r>
      <w:r w:rsidRPr="002A091D">
        <w:rPr>
          <w:noProof/>
        </w:rPr>
        <w:t>, 52(1), pp. 57–82.</w:t>
      </w:r>
    </w:p>
    <w:p w14:paraId="25989387" w14:textId="77777777" w:rsidR="008F01C6" w:rsidRPr="002A091D" w:rsidRDefault="008F01C6" w:rsidP="00F832F9">
      <w:pPr>
        <w:widowControl w:val="0"/>
        <w:autoSpaceDE w:val="0"/>
        <w:autoSpaceDN w:val="0"/>
        <w:adjustRightInd w:val="0"/>
        <w:spacing w:after="200" w:line="480" w:lineRule="auto"/>
        <w:jc w:val="both"/>
        <w:rPr>
          <w:noProof/>
        </w:rPr>
      </w:pPr>
      <w:r w:rsidRPr="002A091D">
        <w:rPr>
          <w:noProof/>
        </w:rPr>
        <w:t xml:space="preserve">Chalmers, J.M. and Kadlec, G.B., 1998. 'An empirical examination of the amortized </w:t>
      </w:r>
      <w:r w:rsidRPr="002A091D">
        <w:rPr>
          <w:noProof/>
        </w:rPr>
        <w:lastRenderedPageBreak/>
        <w:t>spread1'. </w:t>
      </w:r>
      <w:r w:rsidRPr="002A091D">
        <w:rPr>
          <w:i/>
          <w:noProof/>
        </w:rPr>
        <w:t>Journal of Financial Economics</w:t>
      </w:r>
      <w:r w:rsidRPr="002A091D">
        <w:rPr>
          <w:noProof/>
        </w:rPr>
        <w:t>, 48(2), pp.159-188.</w:t>
      </w:r>
    </w:p>
    <w:p w14:paraId="69606361"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Chen, G., Firth, M. and Gao, N. (2002) ‘The information content of concurrently announced earnings, cash dividends, and stock dividends: an investigation of the Chinese stock market’, </w:t>
      </w:r>
      <w:r w:rsidRPr="002A091D">
        <w:rPr>
          <w:i/>
          <w:iCs/>
          <w:noProof/>
        </w:rPr>
        <w:t>Journal of International Financial</w:t>
      </w:r>
      <w:r w:rsidRPr="002A091D">
        <w:rPr>
          <w:noProof/>
        </w:rPr>
        <w:t>, 13(2), pp. 101–124.</w:t>
      </w:r>
    </w:p>
    <w:p w14:paraId="31D1691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Chordia, T., Goyal, A., Sadka, G., Sadka, R. and Shivakumar, L., 2009. Liquidity and the post-earnings-announcement drift. </w:t>
      </w:r>
      <w:r w:rsidRPr="002A091D">
        <w:rPr>
          <w:i/>
          <w:iCs/>
          <w:noProof/>
        </w:rPr>
        <w:t>Financial Analysts Journal,</w:t>
      </w:r>
      <w:r w:rsidRPr="002A091D">
        <w:rPr>
          <w:rFonts w:ascii="Arial" w:hAnsi="Arial" w:cs="Arial"/>
          <w:color w:val="222222"/>
          <w:sz w:val="20"/>
          <w:szCs w:val="20"/>
          <w:shd w:val="clear" w:color="auto" w:fill="FFFFFF"/>
        </w:rPr>
        <w:t> </w:t>
      </w:r>
      <w:r w:rsidRPr="002A091D">
        <w:rPr>
          <w:noProof/>
        </w:rPr>
        <w:t>65(4), pp.18-32.</w:t>
      </w:r>
    </w:p>
    <w:p w14:paraId="49B86912"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Chordia, T., Roll, R. and Subrahmanyam, A. (2000) ‘Commonality in liquidity’, </w:t>
      </w:r>
      <w:r w:rsidRPr="002A091D">
        <w:rPr>
          <w:i/>
          <w:iCs/>
          <w:noProof/>
        </w:rPr>
        <w:t xml:space="preserve">Journal of </w:t>
      </w:r>
      <w:r w:rsidR="00D53240" w:rsidRPr="002A091D">
        <w:rPr>
          <w:i/>
          <w:iCs/>
          <w:noProof/>
        </w:rPr>
        <w:t>F</w:t>
      </w:r>
      <w:r w:rsidRPr="002A091D">
        <w:rPr>
          <w:i/>
          <w:iCs/>
          <w:noProof/>
        </w:rPr>
        <w:t xml:space="preserve">inancial </w:t>
      </w:r>
      <w:r w:rsidR="00D53240" w:rsidRPr="002A091D">
        <w:rPr>
          <w:i/>
          <w:iCs/>
          <w:noProof/>
        </w:rPr>
        <w:t>E</w:t>
      </w:r>
      <w:r w:rsidRPr="002A091D">
        <w:rPr>
          <w:i/>
          <w:iCs/>
          <w:noProof/>
        </w:rPr>
        <w:t>conomics</w:t>
      </w:r>
      <w:r w:rsidRPr="002A091D">
        <w:rPr>
          <w:noProof/>
        </w:rPr>
        <w:t>, 56(1), pp. 3–28.</w:t>
      </w:r>
    </w:p>
    <w:p w14:paraId="42A3C4B6"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Chordia, T., Roll, R. and Subrahmanyam, A. (2001) ‘Market liquidity and trading activity’, </w:t>
      </w:r>
      <w:r w:rsidRPr="002A091D">
        <w:rPr>
          <w:i/>
          <w:iCs/>
          <w:noProof/>
        </w:rPr>
        <w:t>The Journal of Finance</w:t>
      </w:r>
      <w:r w:rsidRPr="002A091D">
        <w:rPr>
          <w:noProof/>
        </w:rPr>
        <w:t>, 56(2), pp. 501–530.</w:t>
      </w:r>
    </w:p>
    <w:p w14:paraId="1FBE468C"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Chordia, T., Subrahmanyam, A. and Tong, Q. (2014) ‘Have capital market anomalies attenuated in the recent era of high liquidity and trading activity?’, </w:t>
      </w:r>
      <w:r w:rsidR="00D53240" w:rsidRPr="002A091D">
        <w:rPr>
          <w:i/>
          <w:iCs/>
          <w:noProof/>
        </w:rPr>
        <w:t>Journal of Accounting and Economics</w:t>
      </w:r>
      <w:r w:rsidR="00D53240" w:rsidRPr="002A091D">
        <w:rPr>
          <w:noProof/>
        </w:rPr>
        <w:t>, 58(1), pp. 41–58</w:t>
      </w:r>
      <w:r w:rsidRPr="002A091D">
        <w:rPr>
          <w:noProof/>
        </w:rPr>
        <w:t>.</w:t>
      </w:r>
    </w:p>
    <w:p w14:paraId="61A526D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Cochrane, J. (2005a) </w:t>
      </w:r>
      <w:r w:rsidRPr="002A091D">
        <w:rPr>
          <w:i/>
          <w:iCs/>
          <w:noProof/>
        </w:rPr>
        <w:t>NBER asset pricing program review: liquidity, trading, and asset prices</w:t>
      </w:r>
      <w:r w:rsidRPr="002A091D">
        <w:rPr>
          <w:noProof/>
        </w:rPr>
        <w:t>.</w:t>
      </w:r>
    </w:p>
    <w:p w14:paraId="17CF4ED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Cochrane, J. (2005b) ‘The risk and return of venture capital’, </w:t>
      </w:r>
      <w:r w:rsidR="00D53240" w:rsidRPr="002A091D">
        <w:rPr>
          <w:i/>
          <w:iCs/>
          <w:noProof/>
        </w:rPr>
        <w:t>Journal of F</w:t>
      </w:r>
      <w:r w:rsidRPr="002A091D">
        <w:rPr>
          <w:i/>
          <w:iCs/>
          <w:noProof/>
        </w:rPr>
        <w:t xml:space="preserve">inancial </w:t>
      </w:r>
      <w:r w:rsidR="00D53240" w:rsidRPr="002A091D">
        <w:rPr>
          <w:i/>
          <w:iCs/>
          <w:noProof/>
        </w:rPr>
        <w:t>E</w:t>
      </w:r>
      <w:r w:rsidRPr="002A091D">
        <w:rPr>
          <w:i/>
          <w:iCs/>
          <w:noProof/>
        </w:rPr>
        <w:t>conomics</w:t>
      </w:r>
      <w:r w:rsidRPr="002A091D">
        <w:rPr>
          <w:noProof/>
        </w:rPr>
        <w:t>, 75(1), pp. 3–52.</w:t>
      </w:r>
    </w:p>
    <w:p w14:paraId="070F3318"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Datar, V., Naik, N. and Radcliffe, R. (1998) ‘Liquidity and stock returns: An alternative test’, </w:t>
      </w:r>
      <w:r w:rsidRPr="002A091D">
        <w:rPr>
          <w:i/>
          <w:iCs/>
          <w:noProof/>
        </w:rPr>
        <w:t>Journal of Financial Markets</w:t>
      </w:r>
      <w:r w:rsidRPr="002A091D">
        <w:rPr>
          <w:noProof/>
        </w:rPr>
        <w:t>, 1(2), pp. 203–219.</w:t>
      </w:r>
    </w:p>
    <w:p w14:paraId="6D27D5AA" w14:textId="77777777" w:rsidR="006F6534" w:rsidRPr="002A091D" w:rsidRDefault="006F6534" w:rsidP="00F832F9">
      <w:pPr>
        <w:widowControl w:val="0"/>
        <w:autoSpaceDE w:val="0"/>
        <w:autoSpaceDN w:val="0"/>
        <w:adjustRightInd w:val="0"/>
        <w:spacing w:after="200" w:line="480" w:lineRule="auto"/>
        <w:jc w:val="both"/>
        <w:rPr>
          <w:noProof/>
        </w:rPr>
      </w:pPr>
      <w:r w:rsidRPr="002A091D">
        <w:rPr>
          <w:noProof/>
        </w:rPr>
        <w:t>Fama, E.F. and French, K.R., 2016. Dissecting anomalies with a five-factor model. </w:t>
      </w:r>
      <w:r w:rsidRPr="002A091D">
        <w:rPr>
          <w:i/>
          <w:noProof/>
        </w:rPr>
        <w:t>The Review of Financial Studies</w:t>
      </w:r>
      <w:r w:rsidRPr="002A091D">
        <w:rPr>
          <w:noProof/>
        </w:rPr>
        <w:t>, 29(1), pp.69-103.</w:t>
      </w:r>
    </w:p>
    <w:p w14:paraId="2C3CD292" w14:textId="77777777" w:rsidR="006F6534" w:rsidRPr="002A091D" w:rsidRDefault="006F6534" w:rsidP="006F6534">
      <w:pPr>
        <w:widowControl w:val="0"/>
        <w:autoSpaceDE w:val="0"/>
        <w:autoSpaceDN w:val="0"/>
        <w:adjustRightInd w:val="0"/>
        <w:spacing w:after="200" w:line="480" w:lineRule="auto"/>
        <w:jc w:val="both"/>
        <w:rPr>
          <w:noProof/>
        </w:rPr>
      </w:pPr>
      <w:r w:rsidRPr="002A091D">
        <w:rPr>
          <w:noProof/>
        </w:rPr>
        <w:t xml:space="preserve">Fama, E. and French, K. (1993) ‘Common risk factors in the returns on stocks and bonds’, </w:t>
      </w:r>
      <w:r w:rsidRPr="002A091D">
        <w:rPr>
          <w:i/>
          <w:iCs/>
          <w:noProof/>
        </w:rPr>
        <w:t>Journal of Financial Economics</w:t>
      </w:r>
      <w:r w:rsidRPr="002A091D">
        <w:rPr>
          <w:noProof/>
        </w:rPr>
        <w:t>, 33(1), pp. 3-56.</w:t>
      </w:r>
    </w:p>
    <w:p w14:paraId="3466EF99" w14:textId="77777777" w:rsidR="006F6534" w:rsidRPr="002A091D" w:rsidRDefault="006F6534" w:rsidP="006F6534">
      <w:pPr>
        <w:widowControl w:val="0"/>
        <w:autoSpaceDE w:val="0"/>
        <w:autoSpaceDN w:val="0"/>
        <w:adjustRightInd w:val="0"/>
        <w:spacing w:after="200" w:line="480" w:lineRule="auto"/>
        <w:jc w:val="both"/>
        <w:rPr>
          <w:noProof/>
        </w:rPr>
      </w:pPr>
      <w:r w:rsidRPr="002A091D">
        <w:rPr>
          <w:noProof/>
        </w:rPr>
        <w:lastRenderedPageBreak/>
        <w:t xml:space="preserve">Fama, E. and French, K. (1996) ‘The CAPM is wanted, dead or alive’, </w:t>
      </w:r>
      <w:r w:rsidRPr="002A091D">
        <w:rPr>
          <w:i/>
          <w:iCs/>
          <w:noProof/>
        </w:rPr>
        <w:t>The Journal of Finance</w:t>
      </w:r>
      <w:r w:rsidRPr="002A091D">
        <w:rPr>
          <w:noProof/>
        </w:rPr>
        <w:t>, 51(5), pp. 1947–1958.</w:t>
      </w:r>
    </w:p>
    <w:p w14:paraId="6C02A22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Florackis, C., Gregoriou, A. and Kostakis, A. (2011) ‘Trading frequency and asset pricing on the London Stock Exchange: Evidence from a new price impact ratio’, </w:t>
      </w:r>
      <w:r w:rsidRPr="002A091D">
        <w:rPr>
          <w:i/>
          <w:iCs/>
          <w:noProof/>
        </w:rPr>
        <w:t>Journal of Banking &amp; Finance</w:t>
      </w:r>
      <w:r w:rsidRPr="002A091D">
        <w:rPr>
          <w:noProof/>
        </w:rPr>
        <w:t>, 35(12), pp. 3335–3350.</w:t>
      </w:r>
    </w:p>
    <w:p w14:paraId="3C130596" w14:textId="77777777" w:rsidR="00F832F9" w:rsidRPr="002A091D" w:rsidRDefault="00F832F9" w:rsidP="00F832F9">
      <w:pPr>
        <w:widowControl w:val="0"/>
        <w:autoSpaceDE w:val="0"/>
        <w:autoSpaceDN w:val="0"/>
        <w:adjustRightInd w:val="0"/>
        <w:spacing w:after="200" w:line="480" w:lineRule="auto"/>
        <w:jc w:val="both"/>
        <w:rPr>
          <w:noProof/>
          <w:lang w:val="de-DE"/>
        </w:rPr>
      </w:pPr>
      <w:r w:rsidRPr="002A091D">
        <w:rPr>
          <w:noProof/>
          <w:lang w:val="de-DE"/>
        </w:rPr>
        <w:t xml:space="preserve">Glaser, M., Nöth, M. and Weber, M. (2003) </w:t>
      </w:r>
      <w:r w:rsidRPr="002A091D">
        <w:rPr>
          <w:i/>
          <w:iCs/>
          <w:noProof/>
          <w:lang w:val="de-DE"/>
        </w:rPr>
        <w:t>Behavioral finance</w:t>
      </w:r>
      <w:r w:rsidRPr="002A091D">
        <w:rPr>
          <w:noProof/>
          <w:lang w:val="de-DE"/>
        </w:rPr>
        <w:t xml:space="preserve">, </w:t>
      </w:r>
      <w:r w:rsidRPr="002A091D">
        <w:rPr>
          <w:i/>
          <w:iCs/>
          <w:noProof/>
          <w:lang w:val="de-DE"/>
        </w:rPr>
        <w:t>Rationalitätskonzepte, Entscheidungsverhalten und ökonomische Modellierung</w:t>
      </w:r>
      <w:r w:rsidR="00D53240" w:rsidRPr="002A091D">
        <w:rPr>
          <w:i/>
          <w:iCs/>
          <w:noProof/>
          <w:lang w:val="de-DE"/>
        </w:rPr>
        <w:t xml:space="preserve"> </w:t>
      </w:r>
      <w:r w:rsidR="00D53240" w:rsidRPr="002A091D">
        <w:rPr>
          <w:iCs/>
          <w:noProof/>
          <w:lang w:val="de-DE"/>
        </w:rPr>
        <w:t>3(4), pp. 03-29</w:t>
      </w:r>
      <w:r w:rsidRPr="002A091D">
        <w:rPr>
          <w:noProof/>
          <w:lang w:val="de-DE"/>
        </w:rPr>
        <w:t>.</w:t>
      </w:r>
    </w:p>
    <w:p w14:paraId="40CA227C"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lang w:val="de-DE"/>
        </w:rPr>
        <w:t xml:space="preserve">Goyenko, R.Y. and Ukhov, A.D., 2009. </w:t>
      </w:r>
      <w:r w:rsidRPr="002A091D">
        <w:rPr>
          <w:noProof/>
        </w:rPr>
        <w:t>Stock and bond market liquidity:</w:t>
      </w:r>
      <w:r w:rsidRPr="002A091D">
        <w:rPr>
          <w:rFonts w:ascii="Arial" w:hAnsi="Arial" w:cs="Arial"/>
          <w:color w:val="222222"/>
          <w:sz w:val="20"/>
          <w:szCs w:val="20"/>
          <w:shd w:val="clear" w:color="auto" w:fill="FFFFFF"/>
        </w:rPr>
        <w:t xml:space="preserve"> </w:t>
      </w:r>
      <w:r w:rsidRPr="002A091D">
        <w:rPr>
          <w:noProof/>
        </w:rPr>
        <w:t>A long-run empirical analysis.</w:t>
      </w:r>
      <w:r w:rsidRPr="002A091D">
        <w:rPr>
          <w:i/>
          <w:iCs/>
          <w:noProof/>
        </w:rPr>
        <w:t> Journal of Financial and Quantitative Analysis</w:t>
      </w:r>
      <w:r w:rsidRPr="002A091D">
        <w:rPr>
          <w:rFonts w:ascii="Arial" w:hAnsi="Arial" w:cs="Arial"/>
          <w:color w:val="222222"/>
          <w:sz w:val="20"/>
          <w:szCs w:val="20"/>
          <w:shd w:val="clear" w:color="auto" w:fill="FFFFFF"/>
        </w:rPr>
        <w:t>, </w:t>
      </w:r>
      <w:r w:rsidRPr="002A091D">
        <w:rPr>
          <w:noProof/>
        </w:rPr>
        <w:t>44(1), pp.189-212.</w:t>
      </w:r>
    </w:p>
    <w:p w14:paraId="2599C478"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Grinblatt, M. and Moskowitz, T. (1999) ‘Do industries explain momentum’, </w:t>
      </w:r>
      <w:r w:rsidRPr="002A091D">
        <w:rPr>
          <w:i/>
          <w:iCs/>
          <w:noProof/>
        </w:rPr>
        <w:t>Journal of Finance</w:t>
      </w:r>
      <w:r w:rsidRPr="002A091D">
        <w:rPr>
          <w:noProof/>
        </w:rPr>
        <w:t>, 54(4), pp. 1249–1290.</w:t>
      </w:r>
    </w:p>
    <w:p w14:paraId="1712E5C5"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Grundy, B. and Martin, J. (2001) ‘Understanding the nature of the risks and the source of the rewards to momentum investing’, </w:t>
      </w:r>
      <w:r w:rsidRPr="002A091D">
        <w:rPr>
          <w:i/>
          <w:iCs/>
          <w:noProof/>
        </w:rPr>
        <w:t>The Review of Financial Studies</w:t>
      </w:r>
      <w:r w:rsidRPr="002A091D">
        <w:rPr>
          <w:noProof/>
        </w:rPr>
        <w:t>, 14(1), pp. 29–78.</w:t>
      </w:r>
    </w:p>
    <w:p w14:paraId="4B05768E"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Harris, L. and Gurel, E., 1986. Price and volume effects associated with changes in the S&amp;P 500 list: New evidence for the existence of price pressures.</w:t>
      </w:r>
      <w:r w:rsidRPr="002A091D">
        <w:rPr>
          <w:rFonts w:ascii="Arial" w:hAnsi="Arial" w:cs="Arial"/>
          <w:color w:val="222222"/>
          <w:sz w:val="20"/>
          <w:szCs w:val="20"/>
          <w:shd w:val="clear" w:color="auto" w:fill="FFFFFF"/>
        </w:rPr>
        <w:t> </w:t>
      </w:r>
      <w:r w:rsidRPr="002A091D">
        <w:rPr>
          <w:i/>
          <w:iCs/>
          <w:noProof/>
        </w:rPr>
        <w:t>The Journal of Finance, 41(4),</w:t>
      </w:r>
      <w:r w:rsidRPr="002A091D">
        <w:rPr>
          <w:rFonts w:ascii="Arial" w:hAnsi="Arial" w:cs="Arial"/>
          <w:color w:val="222222"/>
          <w:sz w:val="20"/>
          <w:szCs w:val="20"/>
          <w:shd w:val="clear" w:color="auto" w:fill="FFFFFF"/>
        </w:rPr>
        <w:t xml:space="preserve"> </w:t>
      </w:r>
      <w:r w:rsidRPr="002A091D">
        <w:rPr>
          <w:noProof/>
        </w:rPr>
        <w:t>pp.815-829.</w:t>
      </w:r>
    </w:p>
    <w:p w14:paraId="2BA20412" w14:textId="77777777" w:rsidR="00FF2D99" w:rsidRPr="002A091D" w:rsidRDefault="00FF2D99" w:rsidP="00F832F9">
      <w:pPr>
        <w:widowControl w:val="0"/>
        <w:autoSpaceDE w:val="0"/>
        <w:autoSpaceDN w:val="0"/>
        <w:adjustRightInd w:val="0"/>
        <w:spacing w:after="200" w:line="480" w:lineRule="auto"/>
        <w:jc w:val="both"/>
        <w:rPr>
          <w:noProof/>
        </w:rPr>
      </w:pPr>
      <w:r w:rsidRPr="002A091D">
        <w:rPr>
          <w:noProof/>
        </w:rPr>
        <w:t>Heflin, F. and Shaw, K.W., 2000. 'Blockholder ownership and market liquidity'. </w:t>
      </w:r>
      <w:r w:rsidRPr="002A091D">
        <w:rPr>
          <w:i/>
          <w:noProof/>
        </w:rPr>
        <w:t>Journal of Financial and Quantitative Analysis</w:t>
      </w:r>
      <w:r w:rsidRPr="002A091D">
        <w:rPr>
          <w:noProof/>
        </w:rPr>
        <w:t>, 35(4), pp.621-633.</w:t>
      </w:r>
    </w:p>
    <w:p w14:paraId="01830241"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Huberman, G. and Halka, D., 2001. Systematic liquidity</w:t>
      </w:r>
      <w:r w:rsidRPr="002A091D">
        <w:rPr>
          <w:rFonts w:ascii="Arial" w:hAnsi="Arial" w:cs="Arial"/>
          <w:color w:val="222222"/>
          <w:sz w:val="20"/>
          <w:szCs w:val="20"/>
          <w:shd w:val="clear" w:color="auto" w:fill="FFFFFF"/>
        </w:rPr>
        <w:t>. </w:t>
      </w:r>
      <w:r w:rsidRPr="002A091D">
        <w:rPr>
          <w:i/>
          <w:iCs/>
          <w:noProof/>
        </w:rPr>
        <w:t xml:space="preserve">Journal of Financial Research, 24(2), </w:t>
      </w:r>
      <w:r w:rsidRPr="002A091D">
        <w:rPr>
          <w:noProof/>
        </w:rPr>
        <w:t>pp.161-178.</w:t>
      </w:r>
    </w:p>
    <w:p w14:paraId="19FA37AE" w14:textId="77777777" w:rsidR="00327ED0" w:rsidRPr="002A091D" w:rsidRDefault="00327ED0" w:rsidP="00F832F9">
      <w:pPr>
        <w:widowControl w:val="0"/>
        <w:autoSpaceDE w:val="0"/>
        <w:autoSpaceDN w:val="0"/>
        <w:adjustRightInd w:val="0"/>
        <w:spacing w:after="200" w:line="480" w:lineRule="auto"/>
        <w:jc w:val="both"/>
        <w:rPr>
          <w:noProof/>
        </w:rPr>
      </w:pPr>
      <w:r w:rsidRPr="002A091D">
        <w:rPr>
          <w:noProof/>
        </w:rPr>
        <w:t>Hudson, R.S. and Gregoriou, A., 2015. Calculating and comparing security returns is harder than you think: A comparison between logarithmic and simple returns. </w:t>
      </w:r>
      <w:r w:rsidRPr="002A091D">
        <w:rPr>
          <w:i/>
          <w:noProof/>
        </w:rPr>
        <w:t xml:space="preserve">International Review of </w:t>
      </w:r>
      <w:r w:rsidRPr="002A091D">
        <w:rPr>
          <w:i/>
          <w:noProof/>
        </w:rPr>
        <w:lastRenderedPageBreak/>
        <w:t>Financial Analysis</w:t>
      </w:r>
      <w:r w:rsidRPr="002A091D">
        <w:rPr>
          <w:noProof/>
        </w:rPr>
        <w:t>, 38(1), pp.151-162.</w:t>
      </w:r>
    </w:p>
    <w:p w14:paraId="2F36CD4E"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Jegadeesh, N. (1990) ‘Evidence of predictable behavior of security returns’, </w:t>
      </w:r>
      <w:r w:rsidRPr="002A091D">
        <w:rPr>
          <w:i/>
          <w:iCs/>
          <w:noProof/>
        </w:rPr>
        <w:t xml:space="preserve">The Journal of </w:t>
      </w:r>
      <w:r w:rsidR="00D53240" w:rsidRPr="002A091D">
        <w:rPr>
          <w:i/>
          <w:iCs/>
          <w:noProof/>
        </w:rPr>
        <w:t>F</w:t>
      </w:r>
      <w:r w:rsidRPr="002A091D">
        <w:rPr>
          <w:i/>
          <w:iCs/>
          <w:noProof/>
        </w:rPr>
        <w:t>inance</w:t>
      </w:r>
      <w:r w:rsidRPr="002A091D">
        <w:rPr>
          <w:noProof/>
        </w:rPr>
        <w:t>, 45(3), pp. 881–898.</w:t>
      </w:r>
    </w:p>
    <w:p w14:paraId="646EE61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Jegadeesh, N. and Titman, S. (1993) ‘Returns to buying winners and selling losers: Implications for stock market efficiency’, </w:t>
      </w:r>
      <w:r w:rsidRPr="002A091D">
        <w:rPr>
          <w:i/>
          <w:iCs/>
          <w:noProof/>
        </w:rPr>
        <w:t xml:space="preserve">The Journal of </w:t>
      </w:r>
      <w:r w:rsidR="00D53240" w:rsidRPr="002A091D">
        <w:rPr>
          <w:i/>
          <w:iCs/>
          <w:noProof/>
        </w:rPr>
        <w:t>F</w:t>
      </w:r>
      <w:r w:rsidRPr="002A091D">
        <w:rPr>
          <w:i/>
          <w:iCs/>
          <w:noProof/>
        </w:rPr>
        <w:t>inance</w:t>
      </w:r>
      <w:r w:rsidRPr="002A091D">
        <w:rPr>
          <w:noProof/>
        </w:rPr>
        <w:t>, 48(1), pp. 65–91.</w:t>
      </w:r>
    </w:p>
    <w:p w14:paraId="0D7CE944"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lang w:val="pl-PL"/>
        </w:rPr>
        <w:t xml:space="preserve">Korajczyk, R.A. and Sadka, R., 2004. </w:t>
      </w:r>
      <w:r w:rsidRPr="002A091D">
        <w:rPr>
          <w:noProof/>
        </w:rPr>
        <w:t>Are momentum profits robust to trading costs?. </w:t>
      </w:r>
      <w:r w:rsidRPr="002A091D">
        <w:rPr>
          <w:i/>
          <w:iCs/>
          <w:noProof/>
        </w:rPr>
        <w:t>The Journal of Finance</w:t>
      </w:r>
      <w:r w:rsidRPr="002A091D">
        <w:rPr>
          <w:rFonts w:ascii="Arial" w:hAnsi="Arial" w:cs="Arial"/>
          <w:color w:val="222222"/>
          <w:sz w:val="20"/>
          <w:szCs w:val="20"/>
          <w:shd w:val="clear" w:color="auto" w:fill="FFFFFF"/>
        </w:rPr>
        <w:t>, </w:t>
      </w:r>
      <w:r w:rsidRPr="002A091D">
        <w:rPr>
          <w:noProof/>
        </w:rPr>
        <w:t>59(3), pp.1039-1082.</w:t>
      </w:r>
    </w:p>
    <w:p w14:paraId="0C0D91A6" w14:textId="77777777" w:rsidR="00740866" w:rsidRPr="002A091D" w:rsidRDefault="00740866" w:rsidP="00F832F9">
      <w:pPr>
        <w:widowControl w:val="0"/>
        <w:autoSpaceDE w:val="0"/>
        <w:autoSpaceDN w:val="0"/>
        <w:adjustRightInd w:val="0"/>
        <w:spacing w:after="200" w:line="480" w:lineRule="auto"/>
        <w:jc w:val="both"/>
        <w:rPr>
          <w:noProof/>
        </w:rPr>
      </w:pPr>
      <w:r w:rsidRPr="002A091D">
        <w:rPr>
          <w:noProof/>
        </w:rPr>
        <w:t>Khan, N.U., Jehan, Q.U.A.S. and Shah, A., 2017. Impact of taxation on dividend policy: Evidence from Pakistan.</w:t>
      </w:r>
      <w:r w:rsidRPr="002A091D">
        <w:rPr>
          <w:i/>
          <w:iCs/>
          <w:noProof/>
        </w:rPr>
        <w:t xml:space="preserve"> Research in International Business and Finance</w:t>
      </w:r>
      <w:r w:rsidRPr="002A091D">
        <w:rPr>
          <w:noProof/>
        </w:rPr>
        <w:t>, 42, pp.365-375.</w:t>
      </w:r>
    </w:p>
    <w:p w14:paraId="7F994CC4" w14:textId="77777777" w:rsidR="00BF42CB" w:rsidRPr="002A091D" w:rsidRDefault="00BF42CB" w:rsidP="00F832F9">
      <w:pPr>
        <w:widowControl w:val="0"/>
        <w:autoSpaceDE w:val="0"/>
        <w:autoSpaceDN w:val="0"/>
        <w:adjustRightInd w:val="0"/>
        <w:spacing w:after="200" w:line="480" w:lineRule="auto"/>
        <w:jc w:val="both"/>
        <w:rPr>
          <w:noProof/>
        </w:rPr>
      </w:pPr>
      <w:r w:rsidRPr="002A091D">
        <w:rPr>
          <w:noProof/>
        </w:rPr>
        <w:t>Khan, K., Nasir, M.A. and Rossi, M., 2017. The calendar anomalies on performance and volatility of stock market: the effects of Ramadan on Karachi Stock Exchange. </w:t>
      </w:r>
      <w:r w:rsidRPr="002A091D">
        <w:rPr>
          <w:i/>
          <w:noProof/>
        </w:rPr>
        <w:t>Global Business and Economics Review</w:t>
      </w:r>
      <w:r w:rsidRPr="002A091D">
        <w:rPr>
          <w:noProof/>
        </w:rPr>
        <w:t>, 19(1), pp.54-69.</w:t>
      </w:r>
    </w:p>
    <w:p w14:paraId="3722F5A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Kyle, A. (1985) ‘Continuous auctions and insider trading’, </w:t>
      </w:r>
      <w:r w:rsidRPr="002A091D">
        <w:rPr>
          <w:i/>
          <w:iCs/>
          <w:noProof/>
        </w:rPr>
        <w:t>Econometrica: Journal of the Econometric Society</w:t>
      </w:r>
      <w:r w:rsidRPr="002A091D">
        <w:rPr>
          <w:noProof/>
        </w:rPr>
        <w:t>, pp. 1315–1335.</w:t>
      </w:r>
    </w:p>
    <w:p w14:paraId="5336408F" w14:textId="77777777" w:rsidR="007306B6" w:rsidRPr="002A091D" w:rsidRDefault="007306B6" w:rsidP="00F832F9">
      <w:pPr>
        <w:widowControl w:val="0"/>
        <w:autoSpaceDE w:val="0"/>
        <w:autoSpaceDN w:val="0"/>
        <w:adjustRightInd w:val="0"/>
        <w:spacing w:after="200" w:line="480" w:lineRule="auto"/>
        <w:jc w:val="both"/>
        <w:rPr>
          <w:noProof/>
        </w:rPr>
      </w:pPr>
      <w:r w:rsidRPr="002A091D">
        <w:rPr>
          <w:noProof/>
        </w:rPr>
        <w:t>Lakonishok, J., Shleifer, A. and Vishny, R.W., 1994. 'Contrarian investment, extrapolation, and risk'. </w:t>
      </w:r>
      <w:r w:rsidRPr="002A091D">
        <w:rPr>
          <w:i/>
          <w:noProof/>
        </w:rPr>
        <w:t>The journal of Finance</w:t>
      </w:r>
      <w:r w:rsidRPr="002A091D">
        <w:rPr>
          <w:noProof/>
        </w:rPr>
        <w:t>, 49(5), pp.1541-1578.</w:t>
      </w:r>
    </w:p>
    <w:p w14:paraId="63579FB0"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Lee, C. and Swaminathan, B. (2000) ‘Price momentum and trading volume’, </w:t>
      </w:r>
      <w:r w:rsidRPr="002A091D">
        <w:rPr>
          <w:i/>
          <w:iCs/>
          <w:noProof/>
        </w:rPr>
        <w:t>Journal of Finance</w:t>
      </w:r>
      <w:r w:rsidRPr="002A091D">
        <w:rPr>
          <w:noProof/>
        </w:rPr>
        <w:t>, 55(5), pp. 2017–2069.</w:t>
      </w:r>
    </w:p>
    <w:p w14:paraId="339618CD" w14:textId="77777777" w:rsidR="00282F4A" w:rsidRPr="002A091D" w:rsidRDefault="00282F4A" w:rsidP="00F832F9">
      <w:pPr>
        <w:widowControl w:val="0"/>
        <w:autoSpaceDE w:val="0"/>
        <w:autoSpaceDN w:val="0"/>
        <w:adjustRightInd w:val="0"/>
        <w:spacing w:after="200" w:line="480" w:lineRule="auto"/>
        <w:jc w:val="both"/>
        <w:rPr>
          <w:noProof/>
        </w:rPr>
      </w:pPr>
      <w:r w:rsidRPr="002A091D">
        <w:rPr>
          <w:noProof/>
        </w:rPr>
        <w:t>Le, H. and Gregoriou, A., 2020. How do you capture liquidity? A review of the literature on low‐frequency stock liquidity. </w:t>
      </w:r>
      <w:r w:rsidRPr="002A091D">
        <w:rPr>
          <w:i/>
          <w:noProof/>
        </w:rPr>
        <w:t>Journal of Economic Surveys</w:t>
      </w:r>
      <w:r w:rsidRPr="002A091D">
        <w:rPr>
          <w:noProof/>
        </w:rPr>
        <w:t>.</w:t>
      </w:r>
    </w:p>
    <w:p w14:paraId="20423F99"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Liu, S. (2000) ‘Changes in the Nikkei 500: New evidence for downward sloping demand curves for stocks’, </w:t>
      </w:r>
      <w:r w:rsidRPr="002A091D">
        <w:rPr>
          <w:i/>
          <w:iCs/>
          <w:noProof/>
        </w:rPr>
        <w:t>International Review of Finance</w:t>
      </w:r>
      <w:r w:rsidRPr="002A091D">
        <w:rPr>
          <w:noProof/>
        </w:rPr>
        <w:t>, 1(4), pp. 245–267.</w:t>
      </w:r>
    </w:p>
    <w:p w14:paraId="288EA33B"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lastRenderedPageBreak/>
        <w:t xml:space="preserve">Liu, S. (2006) ‘The impacts of index rebalancing and their implications: Some new evidence from Japan’, </w:t>
      </w:r>
      <w:r w:rsidRPr="002A091D">
        <w:rPr>
          <w:i/>
          <w:iCs/>
          <w:noProof/>
        </w:rPr>
        <w:t>Journal of International Financial Markets, Institutions</w:t>
      </w:r>
      <w:r w:rsidRPr="002A091D">
        <w:rPr>
          <w:noProof/>
        </w:rPr>
        <w:t>, 16(3), pp. 246–269.</w:t>
      </w:r>
    </w:p>
    <w:p w14:paraId="0318CF5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Lo, A. (1997) </w:t>
      </w:r>
      <w:r w:rsidRPr="002A091D">
        <w:rPr>
          <w:i/>
          <w:iCs/>
          <w:noProof/>
        </w:rPr>
        <w:t>Market Efficiency</w:t>
      </w:r>
      <w:r w:rsidR="00D53240" w:rsidRPr="002A091D">
        <w:rPr>
          <w:i/>
          <w:iCs/>
          <w:noProof/>
        </w:rPr>
        <w:t>.</w:t>
      </w:r>
      <w:r w:rsidR="00D53240" w:rsidRPr="002A091D">
        <w:rPr>
          <w:i/>
          <w:noProof/>
        </w:rPr>
        <w:t xml:space="preserve"> Edward Elgar Publishing</w:t>
      </w:r>
      <w:r w:rsidRPr="002A091D">
        <w:rPr>
          <w:noProof/>
        </w:rPr>
        <w:t>.</w:t>
      </w:r>
    </w:p>
    <w:p w14:paraId="69D6622A" w14:textId="77777777" w:rsidR="00FF2D99" w:rsidRPr="002A091D" w:rsidRDefault="00FF2D99" w:rsidP="00F832F9">
      <w:pPr>
        <w:widowControl w:val="0"/>
        <w:autoSpaceDE w:val="0"/>
        <w:autoSpaceDN w:val="0"/>
        <w:adjustRightInd w:val="0"/>
        <w:spacing w:after="200" w:line="480" w:lineRule="auto"/>
        <w:jc w:val="both"/>
        <w:rPr>
          <w:noProof/>
        </w:rPr>
      </w:pPr>
      <w:r w:rsidRPr="002A091D">
        <w:rPr>
          <w:noProof/>
        </w:rPr>
        <w:t>Loderer, C. and Roth, L., 2005. The pricing discount for limited liquidity: 'Evidence from SWX Swiss Exchange and the Nasdaq'. </w:t>
      </w:r>
      <w:r w:rsidRPr="002A091D">
        <w:rPr>
          <w:i/>
          <w:noProof/>
        </w:rPr>
        <w:t>Journal of Empirical Finance</w:t>
      </w:r>
      <w:r w:rsidRPr="002A091D">
        <w:rPr>
          <w:noProof/>
        </w:rPr>
        <w:t>, 12(2), pp.239-268.</w:t>
      </w:r>
    </w:p>
    <w:p w14:paraId="6080DC3F"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Næs, R., Skjeltorp, J. and Ødegaard, B. (2011) ‘Stock market liquidity and the business cycle’, </w:t>
      </w:r>
      <w:r w:rsidRPr="002A091D">
        <w:rPr>
          <w:i/>
          <w:iCs/>
          <w:noProof/>
        </w:rPr>
        <w:t>The Journal of Finance</w:t>
      </w:r>
      <w:r w:rsidRPr="002A091D">
        <w:rPr>
          <w:noProof/>
        </w:rPr>
        <w:t>, 66(1), pp. 139–176.</w:t>
      </w:r>
    </w:p>
    <w:p w14:paraId="4A8E387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Nguyen, D., Mishra, S., Prakash, A. and Ghosh, D.K., 2007. Liquidty and asset pricing under the three</w:t>
      </w:r>
      <w:r w:rsidRPr="002A091D">
        <w:rPr>
          <w:rFonts w:ascii="Cambria Math" w:hAnsi="Cambria Math" w:cs="Cambria Math"/>
          <w:noProof/>
        </w:rPr>
        <w:t>‐moment</w:t>
      </w:r>
      <w:r w:rsidRPr="002A091D">
        <w:rPr>
          <w:noProof/>
        </w:rPr>
        <w:t xml:space="preserve"> CAPM paradigm.</w:t>
      </w:r>
      <w:r w:rsidRPr="002A091D">
        <w:rPr>
          <w:rFonts w:ascii="Arial" w:hAnsi="Arial" w:cs="Arial"/>
          <w:color w:val="222222"/>
          <w:sz w:val="20"/>
          <w:szCs w:val="20"/>
          <w:shd w:val="clear" w:color="auto" w:fill="FFFFFF"/>
        </w:rPr>
        <w:t> </w:t>
      </w:r>
      <w:r w:rsidRPr="002A091D">
        <w:rPr>
          <w:i/>
          <w:iCs/>
          <w:noProof/>
        </w:rPr>
        <w:t>Journal of Financial Research, </w:t>
      </w:r>
      <w:r w:rsidRPr="002A091D">
        <w:rPr>
          <w:noProof/>
        </w:rPr>
        <w:t>30(3), pp.379-398.</w:t>
      </w:r>
    </w:p>
    <w:p w14:paraId="4D186C44"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O’Hara, M. (2004) ‘Presidential address: Liquidity and price discovery’, </w:t>
      </w:r>
      <w:r w:rsidRPr="002A091D">
        <w:rPr>
          <w:i/>
          <w:iCs/>
          <w:noProof/>
        </w:rPr>
        <w:t>The Journal of Finance</w:t>
      </w:r>
      <w:r w:rsidRPr="002A091D">
        <w:rPr>
          <w:noProof/>
        </w:rPr>
        <w:t>, 58(4), pp. 1335–1354.</w:t>
      </w:r>
    </w:p>
    <w:p w14:paraId="3CFE5A66"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Pástor, Ľ. and Stambaugh, R. (2003) ‘Liquidity risk and expected stock returns’, </w:t>
      </w:r>
      <w:r w:rsidR="00D53240" w:rsidRPr="002A091D">
        <w:rPr>
          <w:i/>
          <w:iCs/>
          <w:noProof/>
        </w:rPr>
        <w:t>Journal of Political E</w:t>
      </w:r>
      <w:r w:rsidRPr="002A091D">
        <w:rPr>
          <w:i/>
          <w:iCs/>
          <w:noProof/>
        </w:rPr>
        <w:t>conomy</w:t>
      </w:r>
      <w:r w:rsidRPr="002A091D">
        <w:rPr>
          <w:noProof/>
        </w:rPr>
        <w:t>, 111(3), pp. 642–685.</w:t>
      </w:r>
    </w:p>
    <w:p w14:paraId="04DED1E7"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Pereira, J. and Zhang, H. (2010) ‘Stock returns and the volatility of liquidity’, </w:t>
      </w:r>
      <w:r w:rsidRPr="002A091D">
        <w:rPr>
          <w:i/>
          <w:iCs/>
          <w:noProof/>
        </w:rPr>
        <w:t>Journal of Financial and Quantitative</w:t>
      </w:r>
      <w:r w:rsidRPr="002A091D">
        <w:rPr>
          <w:noProof/>
        </w:rPr>
        <w:t>, 45(4), pp. 1077–1110.</w:t>
      </w:r>
    </w:p>
    <w:p w14:paraId="73272C09" w14:textId="77777777" w:rsidR="00B51C1D" w:rsidRPr="002A091D" w:rsidRDefault="00B51C1D" w:rsidP="00F832F9">
      <w:pPr>
        <w:widowControl w:val="0"/>
        <w:autoSpaceDE w:val="0"/>
        <w:autoSpaceDN w:val="0"/>
        <w:adjustRightInd w:val="0"/>
        <w:spacing w:after="200" w:line="480" w:lineRule="auto"/>
        <w:jc w:val="both"/>
        <w:rPr>
          <w:noProof/>
        </w:rPr>
      </w:pPr>
      <w:r w:rsidRPr="002A091D">
        <w:rPr>
          <w:noProof/>
        </w:rPr>
        <w:t>Rehman, A., Chaudhry, S.M. and Hussain, S.M., 2019. Transmission of a global financial crisis shock to an emerging economy. </w:t>
      </w:r>
      <w:r w:rsidRPr="002A091D">
        <w:rPr>
          <w:i/>
          <w:noProof/>
        </w:rPr>
        <w:t>International Journal of Finance &amp; Economics</w:t>
      </w:r>
      <w:r w:rsidRPr="002A091D">
        <w:rPr>
          <w:noProof/>
        </w:rPr>
        <w:t>, 24(2), pp.740-760.</w:t>
      </w:r>
    </w:p>
    <w:p w14:paraId="40D13A0C" w14:textId="77777777" w:rsidR="00740866" w:rsidRPr="002A091D" w:rsidRDefault="00740866" w:rsidP="00740866">
      <w:pPr>
        <w:widowControl w:val="0"/>
        <w:autoSpaceDE w:val="0"/>
        <w:autoSpaceDN w:val="0"/>
        <w:adjustRightInd w:val="0"/>
        <w:spacing w:after="200" w:line="480" w:lineRule="auto"/>
        <w:jc w:val="both"/>
        <w:rPr>
          <w:noProof/>
        </w:rPr>
      </w:pPr>
      <w:r w:rsidRPr="002A091D">
        <w:rPr>
          <w:noProof/>
        </w:rPr>
        <w:t xml:space="preserve">Shah, M.U.D., Shah, A. and Khan, S.U., 2017. Herding behavior in the Pakistan stock exchange: Some new insights. </w:t>
      </w:r>
      <w:r w:rsidRPr="002A091D">
        <w:rPr>
          <w:i/>
          <w:iCs/>
          <w:noProof/>
        </w:rPr>
        <w:t>Research in International Business and Finance,</w:t>
      </w:r>
      <w:r w:rsidRPr="002A091D">
        <w:rPr>
          <w:noProof/>
        </w:rPr>
        <w:t xml:space="preserve"> 42, pp.865-873.</w:t>
      </w:r>
    </w:p>
    <w:p w14:paraId="35ACC40A"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Sadka, R. (2003) </w:t>
      </w:r>
      <w:r w:rsidRPr="002A091D">
        <w:rPr>
          <w:i/>
          <w:iCs/>
          <w:noProof/>
        </w:rPr>
        <w:t>Liquidity risk and asset pricing</w:t>
      </w:r>
      <w:r w:rsidRPr="002A091D">
        <w:rPr>
          <w:noProof/>
        </w:rPr>
        <w:t xml:space="preserve">, </w:t>
      </w:r>
      <w:r w:rsidRPr="002A091D">
        <w:rPr>
          <w:i/>
          <w:iCs/>
          <w:noProof/>
        </w:rPr>
        <w:t>working paper. Northwestern University</w:t>
      </w:r>
      <w:r w:rsidRPr="002A091D">
        <w:rPr>
          <w:noProof/>
        </w:rPr>
        <w:t>.</w:t>
      </w:r>
    </w:p>
    <w:p w14:paraId="3FE979C4"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lastRenderedPageBreak/>
        <w:t xml:space="preserve">Stoll, H. (2000) ‘Presidential address: friction’, </w:t>
      </w:r>
      <w:r w:rsidRPr="002A091D">
        <w:rPr>
          <w:i/>
          <w:iCs/>
          <w:noProof/>
        </w:rPr>
        <w:t>The Journal of Finance</w:t>
      </w:r>
      <w:r w:rsidRPr="002A091D">
        <w:rPr>
          <w:noProof/>
        </w:rPr>
        <w:t>, 55(4), pp. 1479–1514.</w:t>
      </w:r>
    </w:p>
    <w:p w14:paraId="7AF12EA3" w14:textId="77777777" w:rsidR="00F832F9" w:rsidRPr="002A091D" w:rsidRDefault="00F832F9" w:rsidP="00F832F9">
      <w:pPr>
        <w:widowControl w:val="0"/>
        <w:autoSpaceDE w:val="0"/>
        <w:autoSpaceDN w:val="0"/>
        <w:adjustRightInd w:val="0"/>
        <w:spacing w:after="200" w:line="480" w:lineRule="auto"/>
        <w:jc w:val="both"/>
        <w:rPr>
          <w:noProof/>
        </w:rPr>
      </w:pPr>
      <w:r w:rsidRPr="002A091D">
        <w:rPr>
          <w:noProof/>
        </w:rPr>
        <w:t xml:space="preserve">Su, J., Cheung, A. and Roca, E. (2013) ‘Lag selection of the augmented Kapetanios-Shin-Snell nonlinear unit root test’, </w:t>
      </w:r>
      <w:r w:rsidRPr="002A091D">
        <w:rPr>
          <w:i/>
          <w:iCs/>
          <w:noProof/>
        </w:rPr>
        <w:t>Journal of Mathematics and</w:t>
      </w:r>
      <w:r w:rsidRPr="002A091D">
        <w:rPr>
          <w:noProof/>
        </w:rPr>
        <w:t>, 9(2), pp. 102–111.</w:t>
      </w:r>
    </w:p>
    <w:p w14:paraId="11972CA3" w14:textId="77777777" w:rsidR="00814ABB" w:rsidRPr="002A091D" w:rsidRDefault="00814ABB" w:rsidP="00F832F9">
      <w:pPr>
        <w:widowControl w:val="0"/>
        <w:autoSpaceDE w:val="0"/>
        <w:autoSpaceDN w:val="0"/>
        <w:adjustRightInd w:val="0"/>
        <w:spacing w:after="200" w:line="480" w:lineRule="auto"/>
        <w:jc w:val="both"/>
        <w:rPr>
          <w:noProof/>
        </w:rPr>
      </w:pPr>
      <w:r w:rsidRPr="002A091D">
        <w:rPr>
          <w:noProof/>
        </w:rPr>
        <w:t xml:space="preserve">Sun, Q., Tong, W.H. and Yan, Y., </w:t>
      </w:r>
      <w:r w:rsidR="002B3CAF" w:rsidRPr="002A091D">
        <w:rPr>
          <w:noProof/>
        </w:rPr>
        <w:t>(</w:t>
      </w:r>
      <w:r w:rsidRPr="002A091D">
        <w:rPr>
          <w:noProof/>
        </w:rPr>
        <w:t>2009</w:t>
      </w:r>
      <w:r w:rsidR="002B3CAF" w:rsidRPr="002A091D">
        <w:rPr>
          <w:noProof/>
        </w:rPr>
        <w:t>)</w:t>
      </w:r>
      <w:r w:rsidRPr="002A091D">
        <w:rPr>
          <w:noProof/>
        </w:rPr>
        <w:t>. Market liberalization within a country. </w:t>
      </w:r>
      <w:r w:rsidRPr="002A091D">
        <w:rPr>
          <w:i/>
          <w:noProof/>
        </w:rPr>
        <w:t>Journal of Empirical Finance</w:t>
      </w:r>
      <w:r w:rsidRPr="002A091D">
        <w:rPr>
          <w:noProof/>
        </w:rPr>
        <w:t>, 16(1), pp.18-41.</w:t>
      </w:r>
    </w:p>
    <w:p w14:paraId="6F9821C8" w14:textId="77777777" w:rsidR="00C3707A" w:rsidRPr="002A091D" w:rsidRDefault="002B3CAF" w:rsidP="00F832F9">
      <w:pPr>
        <w:widowControl w:val="0"/>
        <w:autoSpaceDE w:val="0"/>
        <w:autoSpaceDN w:val="0"/>
        <w:adjustRightInd w:val="0"/>
        <w:spacing w:after="200" w:line="480" w:lineRule="auto"/>
        <w:jc w:val="both"/>
        <w:rPr>
          <w:noProof/>
        </w:rPr>
      </w:pPr>
      <w:r w:rsidRPr="002A091D">
        <w:rPr>
          <w:noProof/>
        </w:rPr>
        <w:t>Tang, K. and Wang, C., 2011. Corporate governance and firm liquidity: evidence from the Chinese stock market.</w:t>
      </w:r>
      <w:r w:rsidRPr="002A091D">
        <w:rPr>
          <w:i/>
          <w:noProof/>
        </w:rPr>
        <w:t> Emerging Markets Finance and Trade</w:t>
      </w:r>
      <w:r w:rsidRPr="002A091D">
        <w:rPr>
          <w:noProof/>
        </w:rPr>
        <w:t>, 47(sup1), pp.47-60.</w:t>
      </w:r>
    </w:p>
    <w:p w14:paraId="3A54FB2E" w14:textId="77777777" w:rsidR="00474F5C" w:rsidRPr="002A091D" w:rsidRDefault="00474F5C" w:rsidP="00F832F9">
      <w:pPr>
        <w:widowControl w:val="0"/>
        <w:autoSpaceDE w:val="0"/>
        <w:autoSpaceDN w:val="0"/>
        <w:adjustRightInd w:val="0"/>
        <w:spacing w:after="200" w:line="480" w:lineRule="auto"/>
        <w:jc w:val="both"/>
        <w:rPr>
          <w:noProof/>
        </w:rPr>
      </w:pPr>
    </w:p>
    <w:p w14:paraId="6934E18F" w14:textId="77777777" w:rsidR="00474F5C" w:rsidRPr="002A091D" w:rsidRDefault="00474F5C" w:rsidP="00F832F9">
      <w:pPr>
        <w:widowControl w:val="0"/>
        <w:autoSpaceDE w:val="0"/>
        <w:autoSpaceDN w:val="0"/>
        <w:adjustRightInd w:val="0"/>
        <w:spacing w:after="200" w:line="480" w:lineRule="auto"/>
        <w:jc w:val="both"/>
        <w:rPr>
          <w:noProof/>
        </w:rPr>
        <w:sectPr w:rsidR="00474F5C" w:rsidRPr="002A091D" w:rsidSect="00A27CA4">
          <w:pgSz w:w="11906" w:h="16838"/>
          <w:pgMar w:top="1440" w:right="1440" w:bottom="1440" w:left="1440" w:header="708" w:footer="708" w:gutter="0"/>
          <w:cols w:space="708"/>
          <w:docGrid w:linePitch="360"/>
        </w:sectPr>
      </w:pPr>
    </w:p>
    <w:p w14:paraId="2CBE2097" w14:textId="77777777" w:rsidR="009B0551" w:rsidRPr="002A091D" w:rsidRDefault="00252AE6" w:rsidP="00F832F9">
      <w:r w:rsidRPr="002A091D">
        <w:lastRenderedPageBreak/>
        <w:fldChar w:fldCharType="end"/>
      </w:r>
    </w:p>
    <w:p w14:paraId="14F4FB14" w14:textId="77777777" w:rsidR="009B0551" w:rsidRPr="002A091D" w:rsidRDefault="00C3707A" w:rsidP="00F832F9">
      <w:pPr>
        <w:rPr>
          <w:b/>
          <w:sz w:val="20"/>
          <w:szCs w:val="20"/>
        </w:rPr>
      </w:pPr>
      <w:r w:rsidRPr="002A091D">
        <w:rPr>
          <w:b/>
          <w:sz w:val="20"/>
          <w:szCs w:val="20"/>
          <w:lang w:eastAsia="en-GB"/>
        </w:rPr>
        <w:t>Table 1</w:t>
      </w:r>
      <w:r w:rsidRPr="002A091D">
        <w:rPr>
          <w:b/>
          <w:bCs/>
          <w:sz w:val="20"/>
          <w:szCs w:val="20"/>
          <w:lang w:eastAsia="en-GB"/>
        </w:rPr>
        <w:t>: Top 10 Stock Markets by U.S Dollar Returns</w:t>
      </w:r>
    </w:p>
    <w:p w14:paraId="1550E6EA" w14:textId="77777777" w:rsidR="009B0551" w:rsidRPr="002A091D" w:rsidRDefault="009B0551" w:rsidP="00F832F9"/>
    <w:p w14:paraId="5BB75EC5" w14:textId="77777777" w:rsidR="009B0551" w:rsidRPr="002A091D" w:rsidRDefault="009B0551" w:rsidP="00F832F9">
      <w:pPr>
        <w:framePr w:hSpace="180" w:wrap="around" w:vAnchor="page" w:hAnchor="margin" w:y="2513"/>
      </w:pPr>
    </w:p>
    <w:tbl>
      <w:tblPr>
        <w:tblpPr w:leftFromText="180" w:rightFromText="180" w:vertAnchor="page" w:horzAnchor="margin" w:tblpY="2259"/>
        <w:tblW w:w="14689" w:type="dxa"/>
        <w:tblLook w:val="04A0" w:firstRow="1" w:lastRow="0" w:firstColumn="1" w:lastColumn="0" w:noHBand="0" w:noVBand="1"/>
      </w:tblPr>
      <w:tblGrid>
        <w:gridCol w:w="1099"/>
        <w:gridCol w:w="1368"/>
        <w:gridCol w:w="1467"/>
        <w:gridCol w:w="1368"/>
        <w:gridCol w:w="1368"/>
        <w:gridCol w:w="1443"/>
        <w:gridCol w:w="1279"/>
        <w:gridCol w:w="1368"/>
        <w:gridCol w:w="1163"/>
        <w:gridCol w:w="1262"/>
        <w:gridCol w:w="1504"/>
      </w:tblGrid>
      <w:tr w:rsidR="00B27994" w:rsidRPr="002A091D" w14:paraId="36C7C7FA" w14:textId="77777777" w:rsidTr="00B27994">
        <w:trPr>
          <w:trHeight w:val="163"/>
        </w:trPr>
        <w:tc>
          <w:tcPr>
            <w:tcW w:w="1099" w:type="dxa"/>
            <w:tcBorders>
              <w:top w:val="single" w:sz="4" w:space="0" w:color="auto"/>
              <w:left w:val="nil"/>
              <w:bottom w:val="single" w:sz="4" w:space="0" w:color="auto"/>
            </w:tcBorders>
            <w:shd w:val="clear" w:color="auto" w:fill="auto"/>
            <w:noWrap/>
            <w:vAlign w:val="bottom"/>
            <w:hideMark/>
          </w:tcPr>
          <w:p w14:paraId="24BB9B83" w14:textId="77777777" w:rsidR="00B27994" w:rsidRPr="002A091D" w:rsidRDefault="00B27994" w:rsidP="00B27994">
            <w:pPr>
              <w:rPr>
                <w:sz w:val="20"/>
                <w:szCs w:val="20"/>
              </w:rPr>
            </w:pPr>
            <w:r w:rsidRPr="002A091D">
              <w:rPr>
                <w:sz w:val="20"/>
                <w:szCs w:val="20"/>
              </w:rPr>
              <w:t xml:space="preserve">         Year </w:t>
            </w:r>
          </w:p>
        </w:tc>
        <w:tc>
          <w:tcPr>
            <w:tcW w:w="1368" w:type="dxa"/>
            <w:tcBorders>
              <w:top w:val="single" w:sz="4" w:space="0" w:color="auto"/>
              <w:bottom w:val="single" w:sz="4" w:space="0" w:color="auto"/>
            </w:tcBorders>
            <w:shd w:val="clear" w:color="auto" w:fill="auto"/>
            <w:noWrap/>
            <w:vAlign w:val="bottom"/>
            <w:hideMark/>
          </w:tcPr>
          <w:p w14:paraId="4C49B24D" w14:textId="77777777" w:rsidR="00B27994" w:rsidRPr="002A091D" w:rsidRDefault="00B27994" w:rsidP="00B27994">
            <w:pPr>
              <w:rPr>
                <w:b/>
                <w:bCs/>
                <w:color w:val="000000"/>
                <w:sz w:val="20"/>
                <w:szCs w:val="20"/>
              </w:rPr>
            </w:pPr>
            <w:r w:rsidRPr="002A091D">
              <w:rPr>
                <w:b/>
                <w:bCs/>
                <w:color w:val="000000"/>
                <w:sz w:val="20"/>
                <w:szCs w:val="20"/>
              </w:rPr>
              <w:t xml:space="preserve">1st </w:t>
            </w:r>
          </w:p>
        </w:tc>
        <w:tc>
          <w:tcPr>
            <w:tcW w:w="1467" w:type="dxa"/>
            <w:tcBorders>
              <w:top w:val="single" w:sz="4" w:space="0" w:color="auto"/>
              <w:bottom w:val="single" w:sz="4" w:space="0" w:color="auto"/>
            </w:tcBorders>
            <w:shd w:val="clear" w:color="auto" w:fill="auto"/>
            <w:noWrap/>
            <w:vAlign w:val="bottom"/>
            <w:hideMark/>
          </w:tcPr>
          <w:p w14:paraId="424A1947" w14:textId="77777777" w:rsidR="00B27994" w:rsidRPr="002A091D" w:rsidRDefault="00B27994" w:rsidP="00B27994">
            <w:pPr>
              <w:rPr>
                <w:b/>
                <w:bCs/>
                <w:color w:val="000000"/>
                <w:sz w:val="20"/>
                <w:szCs w:val="20"/>
              </w:rPr>
            </w:pPr>
            <w:r w:rsidRPr="002A091D">
              <w:rPr>
                <w:b/>
                <w:bCs/>
                <w:color w:val="000000"/>
                <w:sz w:val="20"/>
                <w:szCs w:val="20"/>
              </w:rPr>
              <w:t>2nd</w:t>
            </w:r>
          </w:p>
        </w:tc>
        <w:tc>
          <w:tcPr>
            <w:tcW w:w="1368" w:type="dxa"/>
            <w:tcBorders>
              <w:top w:val="single" w:sz="4" w:space="0" w:color="auto"/>
              <w:bottom w:val="single" w:sz="4" w:space="0" w:color="auto"/>
            </w:tcBorders>
            <w:shd w:val="clear" w:color="auto" w:fill="auto"/>
            <w:noWrap/>
            <w:vAlign w:val="bottom"/>
            <w:hideMark/>
          </w:tcPr>
          <w:p w14:paraId="2FB88273" w14:textId="77777777" w:rsidR="00B27994" w:rsidRPr="002A091D" w:rsidRDefault="00B27994" w:rsidP="00B27994">
            <w:pPr>
              <w:rPr>
                <w:b/>
                <w:bCs/>
                <w:color w:val="000000"/>
                <w:sz w:val="20"/>
                <w:szCs w:val="20"/>
              </w:rPr>
            </w:pPr>
            <w:r w:rsidRPr="002A091D">
              <w:rPr>
                <w:b/>
                <w:bCs/>
                <w:color w:val="000000"/>
                <w:sz w:val="20"/>
                <w:szCs w:val="20"/>
              </w:rPr>
              <w:t>3rd</w:t>
            </w:r>
          </w:p>
        </w:tc>
        <w:tc>
          <w:tcPr>
            <w:tcW w:w="1368" w:type="dxa"/>
            <w:tcBorders>
              <w:top w:val="single" w:sz="4" w:space="0" w:color="auto"/>
              <w:bottom w:val="single" w:sz="4" w:space="0" w:color="auto"/>
            </w:tcBorders>
            <w:shd w:val="clear" w:color="auto" w:fill="auto"/>
            <w:noWrap/>
            <w:vAlign w:val="bottom"/>
            <w:hideMark/>
          </w:tcPr>
          <w:p w14:paraId="54713E75" w14:textId="77777777" w:rsidR="00B27994" w:rsidRPr="002A091D" w:rsidRDefault="00B27994" w:rsidP="00B27994">
            <w:pPr>
              <w:rPr>
                <w:b/>
                <w:bCs/>
                <w:color w:val="000000"/>
                <w:sz w:val="20"/>
                <w:szCs w:val="20"/>
              </w:rPr>
            </w:pPr>
            <w:r w:rsidRPr="002A091D">
              <w:rPr>
                <w:b/>
                <w:bCs/>
                <w:color w:val="000000"/>
                <w:sz w:val="20"/>
                <w:szCs w:val="20"/>
              </w:rPr>
              <w:t>4th</w:t>
            </w:r>
          </w:p>
        </w:tc>
        <w:tc>
          <w:tcPr>
            <w:tcW w:w="1443" w:type="dxa"/>
            <w:tcBorders>
              <w:top w:val="single" w:sz="4" w:space="0" w:color="auto"/>
              <w:bottom w:val="single" w:sz="4" w:space="0" w:color="auto"/>
            </w:tcBorders>
            <w:shd w:val="clear" w:color="auto" w:fill="auto"/>
            <w:noWrap/>
            <w:vAlign w:val="bottom"/>
            <w:hideMark/>
          </w:tcPr>
          <w:p w14:paraId="1775EFB0" w14:textId="77777777" w:rsidR="00B27994" w:rsidRPr="002A091D" w:rsidRDefault="00B27994" w:rsidP="00B27994">
            <w:pPr>
              <w:rPr>
                <w:b/>
                <w:bCs/>
                <w:color w:val="000000"/>
                <w:sz w:val="20"/>
                <w:szCs w:val="20"/>
              </w:rPr>
            </w:pPr>
            <w:r w:rsidRPr="002A091D">
              <w:rPr>
                <w:b/>
                <w:bCs/>
                <w:color w:val="000000"/>
                <w:sz w:val="20"/>
                <w:szCs w:val="20"/>
              </w:rPr>
              <w:t>5</w:t>
            </w:r>
            <w:r w:rsidRPr="002A091D">
              <w:rPr>
                <w:b/>
                <w:bCs/>
                <w:color w:val="000000"/>
                <w:sz w:val="20"/>
                <w:szCs w:val="20"/>
                <w:vertAlign w:val="superscript"/>
              </w:rPr>
              <w:t>th</w:t>
            </w:r>
          </w:p>
        </w:tc>
        <w:tc>
          <w:tcPr>
            <w:tcW w:w="1279" w:type="dxa"/>
            <w:tcBorders>
              <w:top w:val="single" w:sz="4" w:space="0" w:color="auto"/>
              <w:bottom w:val="single" w:sz="4" w:space="0" w:color="auto"/>
            </w:tcBorders>
            <w:shd w:val="clear" w:color="auto" w:fill="auto"/>
            <w:noWrap/>
            <w:vAlign w:val="bottom"/>
            <w:hideMark/>
          </w:tcPr>
          <w:p w14:paraId="2278FCF8" w14:textId="77777777" w:rsidR="00B27994" w:rsidRPr="002A091D" w:rsidRDefault="00B27994" w:rsidP="00B27994">
            <w:pPr>
              <w:rPr>
                <w:b/>
                <w:bCs/>
                <w:color w:val="000000"/>
                <w:sz w:val="20"/>
                <w:szCs w:val="20"/>
              </w:rPr>
            </w:pPr>
            <w:r w:rsidRPr="002A091D">
              <w:rPr>
                <w:b/>
                <w:bCs/>
                <w:color w:val="000000"/>
                <w:sz w:val="20"/>
                <w:szCs w:val="20"/>
              </w:rPr>
              <w:t>6th</w:t>
            </w:r>
          </w:p>
        </w:tc>
        <w:tc>
          <w:tcPr>
            <w:tcW w:w="1368" w:type="dxa"/>
            <w:tcBorders>
              <w:top w:val="single" w:sz="4" w:space="0" w:color="auto"/>
              <w:bottom w:val="single" w:sz="4" w:space="0" w:color="auto"/>
            </w:tcBorders>
            <w:shd w:val="clear" w:color="auto" w:fill="auto"/>
            <w:noWrap/>
            <w:vAlign w:val="bottom"/>
            <w:hideMark/>
          </w:tcPr>
          <w:p w14:paraId="168D7B41" w14:textId="77777777" w:rsidR="00B27994" w:rsidRPr="002A091D" w:rsidRDefault="00B27994" w:rsidP="00B27994">
            <w:pPr>
              <w:rPr>
                <w:b/>
                <w:bCs/>
                <w:color w:val="000000"/>
                <w:sz w:val="20"/>
                <w:szCs w:val="20"/>
              </w:rPr>
            </w:pPr>
            <w:r w:rsidRPr="002A091D">
              <w:rPr>
                <w:b/>
                <w:bCs/>
                <w:color w:val="000000"/>
                <w:sz w:val="20"/>
                <w:szCs w:val="20"/>
              </w:rPr>
              <w:t>7th</w:t>
            </w:r>
          </w:p>
        </w:tc>
        <w:tc>
          <w:tcPr>
            <w:tcW w:w="1163" w:type="dxa"/>
            <w:tcBorders>
              <w:top w:val="single" w:sz="4" w:space="0" w:color="auto"/>
              <w:bottom w:val="single" w:sz="4" w:space="0" w:color="auto"/>
            </w:tcBorders>
            <w:shd w:val="clear" w:color="auto" w:fill="auto"/>
            <w:noWrap/>
            <w:vAlign w:val="bottom"/>
            <w:hideMark/>
          </w:tcPr>
          <w:p w14:paraId="4CBE3931" w14:textId="77777777" w:rsidR="00B27994" w:rsidRPr="002A091D" w:rsidRDefault="00B27994" w:rsidP="00B27994">
            <w:pPr>
              <w:rPr>
                <w:b/>
                <w:bCs/>
                <w:color w:val="000000"/>
                <w:sz w:val="20"/>
                <w:szCs w:val="20"/>
              </w:rPr>
            </w:pPr>
            <w:r w:rsidRPr="002A091D">
              <w:rPr>
                <w:b/>
                <w:bCs/>
                <w:color w:val="000000"/>
                <w:sz w:val="20"/>
                <w:szCs w:val="20"/>
              </w:rPr>
              <w:t>8th</w:t>
            </w:r>
          </w:p>
        </w:tc>
        <w:tc>
          <w:tcPr>
            <w:tcW w:w="1262" w:type="dxa"/>
            <w:tcBorders>
              <w:top w:val="single" w:sz="4" w:space="0" w:color="auto"/>
              <w:bottom w:val="single" w:sz="4" w:space="0" w:color="auto"/>
            </w:tcBorders>
            <w:shd w:val="clear" w:color="auto" w:fill="auto"/>
            <w:noWrap/>
            <w:vAlign w:val="bottom"/>
            <w:hideMark/>
          </w:tcPr>
          <w:p w14:paraId="38A4D8B4" w14:textId="77777777" w:rsidR="00B27994" w:rsidRPr="002A091D" w:rsidRDefault="00B27994" w:rsidP="00B27994">
            <w:pPr>
              <w:rPr>
                <w:b/>
                <w:bCs/>
                <w:color w:val="000000"/>
                <w:sz w:val="20"/>
                <w:szCs w:val="20"/>
              </w:rPr>
            </w:pPr>
            <w:r w:rsidRPr="002A091D">
              <w:rPr>
                <w:b/>
                <w:bCs/>
                <w:color w:val="000000"/>
                <w:sz w:val="20"/>
                <w:szCs w:val="20"/>
              </w:rPr>
              <w:t>9th</w:t>
            </w:r>
          </w:p>
        </w:tc>
        <w:tc>
          <w:tcPr>
            <w:tcW w:w="1504" w:type="dxa"/>
            <w:tcBorders>
              <w:top w:val="single" w:sz="4" w:space="0" w:color="auto"/>
              <w:bottom w:val="single" w:sz="4" w:space="0" w:color="auto"/>
            </w:tcBorders>
            <w:shd w:val="clear" w:color="auto" w:fill="auto"/>
            <w:noWrap/>
            <w:vAlign w:val="bottom"/>
            <w:hideMark/>
          </w:tcPr>
          <w:p w14:paraId="271A4B4E" w14:textId="77777777" w:rsidR="00B27994" w:rsidRPr="002A091D" w:rsidRDefault="00B27994" w:rsidP="00B27994">
            <w:pPr>
              <w:rPr>
                <w:b/>
                <w:bCs/>
                <w:color w:val="000000"/>
                <w:sz w:val="20"/>
                <w:szCs w:val="20"/>
              </w:rPr>
            </w:pPr>
            <w:r w:rsidRPr="002A091D">
              <w:rPr>
                <w:b/>
                <w:bCs/>
                <w:color w:val="000000"/>
                <w:sz w:val="20"/>
                <w:szCs w:val="20"/>
              </w:rPr>
              <w:t>10th</w:t>
            </w:r>
          </w:p>
        </w:tc>
      </w:tr>
      <w:tr w:rsidR="00B27994" w:rsidRPr="002A091D" w14:paraId="1FEBF055" w14:textId="77777777" w:rsidTr="00B27994">
        <w:trPr>
          <w:trHeight w:val="163"/>
        </w:trPr>
        <w:tc>
          <w:tcPr>
            <w:tcW w:w="1099" w:type="dxa"/>
            <w:tcBorders>
              <w:top w:val="single" w:sz="4" w:space="0" w:color="auto"/>
              <w:bottom w:val="nil"/>
            </w:tcBorders>
            <w:shd w:val="clear" w:color="auto" w:fill="auto"/>
            <w:noWrap/>
            <w:vAlign w:val="bottom"/>
            <w:hideMark/>
          </w:tcPr>
          <w:p w14:paraId="294F9717" w14:textId="77777777" w:rsidR="00B27994" w:rsidRPr="002A091D" w:rsidRDefault="00B27994" w:rsidP="00B27994">
            <w:pPr>
              <w:jc w:val="right"/>
              <w:rPr>
                <w:color w:val="000000"/>
                <w:sz w:val="20"/>
                <w:szCs w:val="20"/>
              </w:rPr>
            </w:pPr>
            <w:r w:rsidRPr="002A091D">
              <w:rPr>
                <w:color w:val="000000"/>
                <w:sz w:val="20"/>
                <w:szCs w:val="20"/>
              </w:rPr>
              <w:t>1997</w:t>
            </w:r>
          </w:p>
        </w:tc>
        <w:tc>
          <w:tcPr>
            <w:tcW w:w="1368" w:type="dxa"/>
            <w:tcBorders>
              <w:top w:val="single" w:sz="4" w:space="0" w:color="auto"/>
              <w:bottom w:val="nil"/>
            </w:tcBorders>
            <w:shd w:val="clear" w:color="auto" w:fill="auto"/>
            <w:noWrap/>
            <w:vAlign w:val="bottom"/>
            <w:hideMark/>
          </w:tcPr>
          <w:p w14:paraId="6D641BF4" w14:textId="77777777" w:rsidR="00B27994" w:rsidRPr="002A091D" w:rsidRDefault="00B27994" w:rsidP="00B27994">
            <w:pPr>
              <w:rPr>
                <w:color w:val="000000"/>
                <w:sz w:val="20"/>
                <w:szCs w:val="20"/>
              </w:rPr>
            </w:pPr>
            <w:r w:rsidRPr="002A091D">
              <w:rPr>
                <w:color w:val="000000"/>
                <w:sz w:val="20"/>
                <w:szCs w:val="20"/>
              </w:rPr>
              <w:t xml:space="preserve">Oman </w:t>
            </w:r>
          </w:p>
        </w:tc>
        <w:tc>
          <w:tcPr>
            <w:tcW w:w="1467" w:type="dxa"/>
            <w:tcBorders>
              <w:top w:val="single" w:sz="4" w:space="0" w:color="auto"/>
              <w:bottom w:val="nil"/>
            </w:tcBorders>
            <w:shd w:val="clear" w:color="auto" w:fill="auto"/>
            <w:noWrap/>
            <w:vAlign w:val="bottom"/>
            <w:hideMark/>
          </w:tcPr>
          <w:p w14:paraId="34914E3C" w14:textId="77777777" w:rsidR="00B27994" w:rsidRPr="002A091D" w:rsidRDefault="00B27994" w:rsidP="00B27994">
            <w:pPr>
              <w:rPr>
                <w:color w:val="000000"/>
                <w:sz w:val="20"/>
                <w:szCs w:val="20"/>
              </w:rPr>
            </w:pPr>
            <w:r w:rsidRPr="002A091D">
              <w:rPr>
                <w:color w:val="000000"/>
                <w:sz w:val="20"/>
                <w:szCs w:val="20"/>
              </w:rPr>
              <w:t xml:space="preserve">Turkey </w:t>
            </w:r>
          </w:p>
        </w:tc>
        <w:tc>
          <w:tcPr>
            <w:tcW w:w="1368" w:type="dxa"/>
            <w:tcBorders>
              <w:top w:val="single" w:sz="4" w:space="0" w:color="auto"/>
              <w:bottom w:val="nil"/>
            </w:tcBorders>
            <w:shd w:val="clear" w:color="auto" w:fill="auto"/>
            <w:noWrap/>
            <w:vAlign w:val="bottom"/>
            <w:hideMark/>
          </w:tcPr>
          <w:p w14:paraId="45733188" w14:textId="77777777" w:rsidR="00B27994" w:rsidRPr="002A091D" w:rsidRDefault="00B27994" w:rsidP="00B27994">
            <w:pPr>
              <w:rPr>
                <w:color w:val="000000"/>
                <w:sz w:val="20"/>
                <w:szCs w:val="20"/>
              </w:rPr>
            </w:pPr>
            <w:r w:rsidRPr="002A091D">
              <w:rPr>
                <w:color w:val="000000"/>
                <w:sz w:val="20"/>
                <w:szCs w:val="20"/>
              </w:rPr>
              <w:t>Russia</w:t>
            </w:r>
          </w:p>
        </w:tc>
        <w:tc>
          <w:tcPr>
            <w:tcW w:w="1368" w:type="dxa"/>
            <w:tcBorders>
              <w:top w:val="single" w:sz="4" w:space="0" w:color="auto"/>
              <w:bottom w:val="nil"/>
            </w:tcBorders>
            <w:shd w:val="clear" w:color="auto" w:fill="auto"/>
            <w:noWrap/>
            <w:vAlign w:val="bottom"/>
            <w:hideMark/>
          </w:tcPr>
          <w:p w14:paraId="6F401129" w14:textId="77777777" w:rsidR="00B27994" w:rsidRPr="002A091D" w:rsidRDefault="00B27994" w:rsidP="00B27994">
            <w:pPr>
              <w:rPr>
                <w:color w:val="000000"/>
                <w:sz w:val="20"/>
                <w:szCs w:val="20"/>
              </w:rPr>
            </w:pPr>
            <w:r w:rsidRPr="002A091D">
              <w:rPr>
                <w:color w:val="000000"/>
                <w:sz w:val="20"/>
                <w:szCs w:val="20"/>
              </w:rPr>
              <w:t>Botswana</w:t>
            </w:r>
          </w:p>
        </w:tc>
        <w:tc>
          <w:tcPr>
            <w:tcW w:w="1443" w:type="dxa"/>
            <w:tcBorders>
              <w:top w:val="single" w:sz="4" w:space="0" w:color="auto"/>
              <w:bottom w:val="nil"/>
            </w:tcBorders>
            <w:shd w:val="clear" w:color="auto" w:fill="auto"/>
            <w:noWrap/>
            <w:vAlign w:val="bottom"/>
            <w:hideMark/>
          </w:tcPr>
          <w:p w14:paraId="07DF3B2C" w14:textId="77777777" w:rsidR="00B27994" w:rsidRPr="002A091D" w:rsidRDefault="00B27994" w:rsidP="00B27994">
            <w:pPr>
              <w:rPr>
                <w:color w:val="000000"/>
                <w:sz w:val="20"/>
                <w:szCs w:val="20"/>
              </w:rPr>
            </w:pPr>
            <w:r w:rsidRPr="002A091D">
              <w:rPr>
                <w:color w:val="000000"/>
                <w:sz w:val="20"/>
                <w:szCs w:val="20"/>
              </w:rPr>
              <w:t>Hungary</w:t>
            </w:r>
          </w:p>
        </w:tc>
        <w:tc>
          <w:tcPr>
            <w:tcW w:w="1279" w:type="dxa"/>
            <w:tcBorders>
              <w:top w:val="single" w:sz="4" w:space="0" w:color="auto"/>
              <w:bottom w:val="nil"/>
            </w:tcBorders>
            <w:shd w:val="clear" w:color="auto" w:fill="auto"/>
            <w:noWrap/>
            <w:vAlign w:val="bottom"/>
            <w:hideMark/>
          </w:tcPr>
          <w:p w14:paraId="19EDC268" w14:textId="77777777" w:rsidR="00B27994" w:rsidRPr="002A091D" w:rsidRDefault="00B27994" w:rsidP="00B27994">
            <w:pPr>
              <w:rPr>
                <w:color w:val="000000"/>
                <w:sz w:val="20"/>
                <w:szCs w:val="20"/>
              </w:rPr>
            </w:pPr>
            <w:r w:rsidRPr="002A091D">
              <w:rPr>
                <w:color w:val="000000"/>
                <w:sz w:val="20"/>
                <w:szCs w:val="20"/>
              </w:rPr>
              <w:t xml:space="preserve">Mexico </w:t>
            </w:r>
          </w:p>
        </w:tc>
        <w:tc>
          <w:tcPr>
            <w:tcW w:w="1368" w:type="dxa"/>
            <w:tcBorders>
              <w:top w:val="single" w:sz="4" w:space="0" w:color="auto"/>
              <w:bottom w:val="nil"/>
            </w:tcBorders>
            <w:shd w:val="clear" w:color="auto" w:fill="auto"/>
            <w:noWrap/>
            <w:vAlign w:val="bottom"/>
            <w:hideMark/>
          </w:tcPr>
          <w:p w14:paraId="5147C4D4" w14:textId="77777777" w:rsidR="00B27994" w:rsidRPr="002A091D" w:rsidRDefault="00B27994" w:rsidP="00B27994">
            <w:pPr>
              <w:rPr>
                <w:color w:val="000000"/>
                <w:sz w:val="20"/>
                <w:szCs w:val="20"/>
              </w:rPr>
            </w:pPr>
            <w:r w:rsidRPr="002A091D">
              <w:rPr>
                <w:color w:val="000000"/>
                <w:sz w:val="20"/>
                <w:szCs w:val="20"/>
              </w:rPr>
              <w:t xml:space="preserve">Switzerland* </w:t>
            </w:r>
          </w:p>
        </w:tc>
        <w:tc>
          <w:tcPr>
            <w:tcW w:w="1163" w:type="dxa"/>
            <w:tcBorders>
              <w:top w:val="single" w:sz="4" w:space="0" w:color="auto"/>
              <w:bottom w:val="nil"/>
            </w:tcBorders>
            <w:shd w:val="clear" w:color="auto" w:fill="auto"/>
            <w:noWrap/>
            <w:vAlign w:val="bottom"/>
            <w:hideMark/>
          </w:tcPr>
          <w:p w14:paraId="4956E9EF" w14:textId="77777777" w:rsidR="00B27994" w:rsidRPr="002A091D" w:rsidRDefault="00B27994" w:rsidP="00B27994">
            <w:pPr>
              <w:rPr>
                <w:color w:val="000000"/>
                <w:sz w:val="20"/>
                <w:szCs w:val="20"/>
              </w:rPr>
            </w:pPr>
            <w:r w:rsidRPr="002A091D">
              <w:rPr>
                <w:color w:val="000000"/>
                <w:sz w:val="20"/>
                <w:szCs w:val="20"/>
              </w:rPr>
              <w:t>Portugal*</w:t>
            </w:r>
          </w:p>
        </w:tc>
        <w:tc>
          <w:tcPr>
            <w:tcW w:w="1262" w:type="dxa"/>
            <w:tcBorders>
              <w:top w:val="single" w:sz="4" w:space="0" w:color="auto"/>
              <w:bottom w:val="nil"/>
            </w:tcBorders>
            <w:shd w:val="clear" w:color="auto" w:fill="auto"/>
            <w:noWrap/>
            <w:vAlign w:val="bottom"/>
            <w:hideMark/>
          </w:tcPr>
          <w:p w14:paraId="26594566" w14:textId="77777777" w:rsidR="00B27994" w:rsidRPr="002A091D" w:rsidRDefault="00B27994" w:rsidP="00B27994">
            <w:pPr>
              <w:rPr>
                <w:color w:val="000000"/>
                <w:sz w:val="20"/>
                <w:szCs w:val="20"/>
              </w:rPr>
            </w:pPr>
            <w:r w:rsidRPr="002A091D">
              <w:rPr>
                <w:color w:val="000000"/>
                <w:sz w:val="20"/>
                <w:szCs w:val="20"/>
              </w:rPr>
              <w:t xml:space="preserve">Greece* </w:t>
            </w:r>
          </w:p>
        </w:tc>
        <w:tc>
          <w:tcPr>
            <w:tcW w:w="1504" w:type="dxa"/>
            <w:tcBorders>
              <w:top w:val="single" w:sz="4" w:space="0" w:color="auto"/>
              <w:bottom w:val="nil"/>
            </w:tcBorders>
            <w:shd w:val="clear" w:color="auto" w:fill="auto"/>
            <w:noWrap/>
            <w:vAlign w:val="bottom"/>
            <w:hideMark/>
          </w:tcPr>
          <w:p w14:paraId="49C83026" w14:textId="77777777" w:rsidR="00B27994" w:rsidRPr="002A091D" w:rsidRDefault="00B27994" w:rsidP="00B27994">
            <w:pPr>
              <w:rPr>
                <w:color w:val="000000"/>
                <w:sz w:val="20"/>
                <w:szCs w:val="20"/>
              </w:rPr>
            </w:pPr>
            <w:r w:rsidRPr="002A091D">
              <w:rPr>
                <w:color w:val="000000"/>
                <w:sz w:val="20"/>
                <w:szCs w:val="20"/>
              </w:rPr>
              <w:t xml:space="preserve">Kuwait </w:t>
            </w:r>
          </w:p>
        </w:tc>
      </w:tr>
      <w:tr w:rsidR="00B27994" w:rsidRPr="002A091D" w14:paraId="5F7F86F1" w14:textId="77777777" w:rsidTr="00B27994">
        <w:trPr>
          <w:trHeight w:val="163"/>
        </w:trPr>
        <w:tc>
          <w:tcPr>
            <w:tcW w:w="1099" w:type="dxa"/>
            <w:tcBorders>
              <w:top w:val="nil"/>
              <w:bottom w:val="nil"/>
            </w:tcBorders>
            <w:shd w:val="clear" w:color="auto" w:fill="auto"/>
            <w:noWrap/>
            <w:vAlign w:val="bottom"/>
            <w:hideMark/>
          </w:tcPr>
          <w:p w14:paraId="396FAE24" w14:textId="77777777" w:rsidR="00B27994" w:rsidRPr="002A091D" w:rsidRDefault="00B27994" w:rsidP="00B27994">
            <w:pPr>
              <w:jc w:val="right"/>
              <w:rPr>
                <w:color w:val="000000"/>
                <w:sz w:val="20"/>
                <w:szCs w:val="20"/>
              </w:rPr>
            </w:pPr>
            <w:r w:rsidRPr="002A091D">
              <w:rPr>
                <w:color w:val="000000"/>
                <w:sz w:val="20"/>
                <w:szCs w:val="20"/>
              </w:rPr>
              <w:t>1998</w:t>
            </w:r>
          </w:p>
        </w:tc>
        <w:tc>
          <w:tcPr>
            <w:tcW w:w="1368" w:type="dxa"/>
            <w:tcBorders>
              <w:top w:val="nil"/>
              <w:bottom w:val="nil"/>
            </w:tcBorders>
            <w:shd w:val="clear" w:color="auto" w:fill="auto"/>
            <w:noWrap/>
            <w:vAlign w:val="bottom"/>
            <w:hideMark/>
          </w:tcPr>
          <w:p w14:paraId="0C787CF0" w14:textId="77777777" w:rsidR="00B27994" w:rsidRPr="002A091D" w:rsidRDefault="00B27994" w:rsidP="00B27994">
            <w:pPr>
              <w:rPr>
                <w:color w:val="000000"/>
                <w:sz w:val="20"/>
                <w:szCs w:val="20"/>
              </w:rPr>
            </w:pPr>
            <w:r w:rsidRPr="002A091D">
              <w:rPr>
                <w:color w:val="000000"/>
                <w:sz w:val="20"/>
                <w:szCs w:val="20"/>
              </w:rPr>
              <w:t>Greece*</w:t>
            </w:r>
          </w:p>
        </w:tc>
        <w:tc>
          <w:tcPr>
            <w:tcW w:w="1467" w:type="dxa"/>
            <w:tcBorders>
              <w:top w:val="nil"/>
              <w:bottom w:val="nil"/>
            </w:tcBorders>
            <w:shd w:val="clear" w:color="auto" w:fill="auto"/>
            <w:noWrap/>
            <w:vAlign w:val="bottom"/>
            <w:hideMark/>
          </w:tcPr>
          <w:p w14:paraId="055DBF35" w14:textId="77777777" w:rsidR="00B27994" w:rsidRPr="002A091D" w:rsidRDefault="00B27994" w:rsidP="00B27994">
            <w:pPr>
              <w:rPr>
                <w:color w:val="000000"/>
                <w:sz w:val="20"/>
                <w:szCs w:val="20"/>
              </w:rPr>
            </w:pPr>
            <w:r w:rsidRPr="002A091D">
              <w:rPr>
                <w:color w:val="000000"/>
                <w:sz w:val="20"/>
                <w:szCs w:val="20"/>
              </w:rPr>
              <w:t xml:space="preserve">South Korea </w:t>
            </w:r>
          </w:p>
        </w:tc>
        <w:tc>
          <w:tcPr>
            <w:tcW w:w="1368" w:type="dxa"/>
            <w:tcBorders>
              <w:top w:val="nil"/>
              <w:bottom w:val="nil"/>
            </w:tcBorders>
            <w:shd w:val="clear" w:color="auto" w:fill="auto"/>
            <w:noWrap/>
            <w:vAlign w:val="bottom"/>
            <w:hideMark/>
          </w:tcPr>
          <w:p w14:paraId="787D1AAF" w14:textId="77777777" w:rsidR="00B27994" w:rsidRPr="002A091D" w:rsidRDefault="00B27994" w:rsidP="00B27994">
            <w:pPr>
              <w:rPr>
                <w:color w:val="000000"/>
                <w:sz w:val="20"/>
                <w:szCs w:val="20"/>
              </w:rPr>
            </w:pPr>
            <w:r w:rsidRPr="002A091D">
              <w:rPr>
                <w:color w:val="000000"/>
                <w:sz w:val="20"/>
                <w:szCs w:val="20"/>
              </w:rPr>
              <w:t>Spain*</w:t>
            </w:r>
          </w:p>
        </w:tc>
        <w:tc>
          <w:tcPr>
            <w:tcW w:w="1368" w:type="dxa"/>
            <w:tcBorders>
              <w:top w:val="nil"/>
              <w:bottom w:val="nil"/>
            </w:tcBorders>
            <w:shd w:val="clear" w:color="auto" w:fill="auto"/>
            <w:noWrap/>
            <w:vAlign w:val="bottom"/>
            <w:hideMark/>
          </w:tcPr>
          <w:p w14:paraId="7275A1E2" w14:textId="77777777" w:rsidR="00B27994" w:rsidRPr="002A091D" w:rsidRDefault="00B27994" w:rsidP="00B27994">
            <w:pPr>
              <w:rPr>
                <w:color w:val="000000"/>
                <w:sz w:val="20"/>
                <w:szCs w:val="20"/>
              </w:rPr>
            </w:pPr>
            <w:r w:rsidRPr="002A091D">
              <w:rPr>
                <w:color w:val="000000"/>
                <w:sz w:val="20"/>
                <w:szCs w:val="20"/>
              </w:rPr>
              <w:t>France*</w:t>
            </w:r>
          </w:p>
        </w:tc>
        <w:tc>
          <w:tcPr>
            <w:tcW w:w="1443" w:type="dxa"/>
            <w:tcBorders>
              <w:top w:val="nil"/>
              <w:bottom w:val="nil"/>
            </w:tcBorders>
            <w:shd w:val="clear" w:color="auto" w:fill="auto"/>
            <w:noWrap/>
            <w:vAlign w:val="bottom"/>
            <w:hideMark/>
          </w:tcPr>
          <w:p w14:paraId="25D0541D" w14:textId="77777777" w:rsidR="00B27994" w:rsidRPr="002A091D" w:rsidRDefault="00B27994" w:rsidP="00B27994">
            <w:pPr>
              <w:rPr>
                <w:color w:val="000000"/>
                <w:sz w:val="20"/>
                <w:szCs w:val="20"/>
              </w:rPr>
            </w:pPr>
            <w:r w:rsidRPr="002A091D">
              <w:rPr>
                <w:color w:val="000000"/>
                <w:sz w:val="20"/>
                <w:szCs w:val="20"/>
              </w:rPr>
              <w:t>Netherlands*</w:t>
            </w:r>
          </w:p>
        </w:tc>
        <w:tc>
          <w:tcPr>
            <w:tcW w:w="1279" w:type="dxa"/>
            <w:tcBorders>
              <w:top w:val="nil"/>
              <w:bottom w:val="nil"/>
            </w:tcBorders>
            <w:shd w:val="clear" w:color="auto" w:fill="auto"/>
            <w:noWrap/>
            <w:vAlign w:val="bottom"/>
            <w:hideMark/>
          </w:tcPr>
          <w:p w14:paraId="44379D80" w14:textId="77777777" w:rsidR="00B27994" w:rsidRPr="002A091D" w:rsidRDefault="00B27994" w:rsidP="00B27994">
            <w:pPr>
              <w:rPr>
                <w:color w:val="000000"/>
                <w:sz w:val="20"/>
                <w:szCs w:val="20"/>
              </w:rPr>
            </w:pPr>
            <w:r w:rsidRPr="002A091D">
              <w:rPr>
                <w:color w:val="000000"/>
                <w:sz w:val="20"/>
                <w:szCs w:val="20"/>
              </w:rPr>
              <w:t>Portugal*</w:t>
            </w:r>
          </w:p>
        </w:tc>
        <w:tc>
          <w:tcPr>
            <w:tcW w:w="1368" w:type="dxa"/>
            <w:tcBorders>
              <w:top w:val="nil"/>
              <w:bottom w:val="nil"/>
            </w:tcBorders>
            <w:shd w:val="clear" w:color="auto" w:fill="auto"/>
            <w:noWrap/>
            <w:vAlign w:val="bottom"/>
            <w:hideMark/>
          </w:tcPr>
          <w:p w14:paraId="24A1FD7C" w14:textId="77777777" w:rsidR="00B27994" w:rsidRPr="002A091D" w:rsidRDefault="00B27994" w:rsidP="00B27994">
            <w:pPr>
              <w:rPr>
                <w:color w:val="000000"/>
                <w:sz w:val="20"/>
                <w:szCs w:val="20"/>
              </w:rPr>
            </w:pPr>
            <w:r w:rsidRPr="002A091D">
              <w:rPr>
                <w:color w:val="000000"/>
                <w:sz w:val="20"/>
                <w:szCs w:val="20"/>
              </w:rPr>
              <w:t>U.S.*</w:t>
            </w:r>
          </w:p>
        </w:tc>
        <w:tc>
          <w:tcPr>
            <w:tcW w:w="1163" w:type="dxa"/>
            <w:tcBorders>
              <w:top w:val="nil"/>
              <w:bottom w:val="nil"/>
            </w:tcBorders>
            <w:shd w:val="clear" w:color="auto" w:fill="auto"/>
            <w:noWrap/>
            <w:vAlign w:val="bottom"/>
            <w:hideMark/>
          </w:tcPr>
          <w:p w14:paraId="75864A8C" w14:textId="77777777" w:rsidR="00B27994" w:rsidRPr="002A091D" w:rsidRDefault="00B27994" w:rsidP="00B27994">
            <w:pPr>
              <w:rPr>
                <w:color w:val="000000"/>
                <w:sz w:val="20"/>
                <w:szCs w:val="20"/>
              </w:rPr>
            </w:pPr>
            <w:r w:rsidRPr="002A091D">
              <w:rPr>
                <w:color w:val="000000"/>
                <w:sz w:val="20"/>
                <w:szCs w:val="20"/>
              </w:rPr>
              <w:t xml:space="preserve">Germany* </w:t>
            </w:r>
          </w:p>
        </w:tc>
        <w:tc>
          <w:tcPr>
            <w:tcW w:w="1262" w:type="dxa"/>
            <w:tcBorders>
              <w:top w:val="nil"/>
              <w:bottom w:val="nil"/>
            </w:tcBorders>
            <w:shd w:val="clear" w:color="auto" w:fill="auto"/>
            <w:noWrap/>
            <w:vAlign w:val="bottom"/>
            <w:hideMark/>
          </w:tcPr>
          <w:p w14:paraId="3BE6C828" w14:textId="77777777" w:rsidR="00B27994" w:rsidRPr="002A091D" w:rsidRDefault="00B27994" w:rsidP="00B27994">
            <w:pPr>
              <w:rPr>
                <w:color w:val="000000"/>
                <w:sz w:val="20"/>
                <w:szCs w:val="20"/>
              </w:rPr>
            </w:pPr>
            <w:r w:rsidRPr="002A091D">
              <w:rPr>
                <w:color w:val="000000"/>
                <w:sz w:val="20"/>
                <w:szCs w:val="20"/>
              </w:rPr>
              <w:t xml:space="preserve">Morocco </w:t>
            </w:r>
          </w:p>
        </w:tc>
        <w:tc>
          <w:tcPr>
            <w:tcW w:w="1504" w:type="dxa"/>
            <w:tcBorders>
              <w:top w:val="nil"/>
              <w:bottom w:val="nil"/>
            </w:tcBorders>
            <w:shd w:val="clear" w:color="auto" w:fill="auto"/>
            <w:noWrap/>
            <w:vAlign w:val="bottom"/>
            <w:hideMark/>
          </w:tcPr>
          <w:p w14:paraId="1F998492" w14:textId="77777777" w:rsidR="00B27994" w:rsidRPr="002A091D" w:rsidRDefault="00B27994" w:rsidP="00B27994">
            <w:pPr>
              <w:rPr>
                <w:color w:val="000000"/>
                <w:sz w:val="20"/>
                <w:szCs w:val="20"/>
              </w:rPr>
            </w:pPr>
            <w:r w:rsidRPr="002A091D">
              <w:rPr>
                <w:color w:val="000000"/>
                <w:sz w:val="20"/>
                <w:szCs w:val="20"/>
              </w:rPr>
              <w:t xml:space="preserve">Switzerland* </w:t>
            </w:r>
          </w:p>
        </w:tc>
      </w:tr>
      <w:tr w:rsidR="00B27994" w:rsidRPr="002A091D" w14:paraId="6DF4F45C" w14:textId="77777777" w:rsidTr="00B27994">
        <w:trPr>
          <w:trHeight w:val="163"/>
        </w:trPr>
        <w:tc>
          <w:tcPr>
            <w:tcW w:w="1099" w:type="dxa"/>
            <w:tcBorders>
              <w:top w:val="nil"/>
              <w:bottom w:val="nil"/>
            </w:tcBorders>
            <w:shd w:val="clear" w:color="auto" w:fill="auto"/>
            <w:noWrap/>
            <w:vAlign w:val="bottom"/>
            <w:hideMark/>
          </w:tcPr>
          <w:p w14:paraId="3A68A457" w14:textId="77777777" w:rsidR="00B27994" w:rsidRPr="002A091D" w:rsidRDefault="00B27994" w:rsidP="00B27994">
            <w:pPr>
              <w:jc w:val="right"/>
              <w:rPr>
                <w:color w:val="000000"/>
                <w:sz w:val="20"/>
                <w:szCs w:val="20"/>
              </w:rPr>
            </w:pPr>
            <w:r w:rsidRPr="002A091D">
              <w:rPr>
                <w:color w:val="000000"/>
                <w:sz w:val="20"/>
                <w:szCs w:val="20"/>
              </w:rPr>
              <w:t>1999</w:t>
            </w:r>
          </w:p>
        </w:tc>
        <w:tc>
          <w:tcPr>
            <w:tcW w:w="1368" w:type="dxa"/>
            <w:tcBorders>
              <w:top w:val="nil"/>
              <w:bottom w:val="nil"/>
            </w:tcBorders>
            <w:shd w:val="clear" w:color="auto" w:fill="auto"/>
            <w:noWrap/>
            <w:vAlign w:val="bottom"/>
            <w:hideMark/>
          </w:tcPr>
          <w:p w14:paraId="5B7580CF" w14:textId="77777777" w:rsidR="00B27994" w:rsidRPr="002A091D" w:rsidRDefault="00B27994" w:rsidP="00B27994">
            <w:pPr>
              <w:rPr>
                <w:color w:val="000000"/>
                <w:sz w:val="20"/>
                <w:szCs w:val="20"/>
              </w:rPr>
            </w:pPr>
            <w:r w:rsidRPr="002A091D">
              <w:rPr>
                <w:color w:val="000000"/>
                <w:sz w:val="20"/>
                <w:szCs w:val="20"/>
              </w:rPr>
              <w:t>Turkey</w:t>
            </w:r>
          </w:p>
        </w:tc>
        <w:tc>
          <w:tcPr>
            <w:tcW w:w="1467" w:type="dxa"/>
            <w:tcBorders>
              <w:top w:val="nil"/>
              <w:bottom w:val="nil"/>
            </w:tcBorders>
            <w:shd w:val="clear" w:color="auto" w:fill="auto"/>
            <w:noWrap/>
            <w:vAlign w:val="bottom"/>
            <w:hideMark/>
          </w:tcPr>
          <w:p w14:paraId="45DB71EC" w14:textId="77777777" w:rsidR="00B27994" w:rsidRPr="002A091D" w:rsidRDefault="00B27994" w:rsidP="00B27994">
            <w:pPr>
              <w:rPr>
                <w:color w:val="000000"/>
                <w:sz w:val="20"/>
                <w:szCs w:val="20"/>
              </w:rPr>
            </w:pPr>
            <w:r w:rsidRPr="002A091D">
              <w:rPr>
                <w:color w:val="000000"/>
                <w:sz w:val="20"/>
                <w:szCs w:val="20"/>
              </w:rPr>
              <w:t xml:space="preserve">Russia </w:t>
            </w:r>
          </w:p>
        </w:tc>
        <w:tc>
          <w:tcPr>
            <w:tcW w:w="1368" w:type="dxa"/>
            <w:tcBorders>
              <w:top w:val="nil"/>
              <w:bottom w:val="nil"/>
            </w:tcBorders>
            <w:shd w:val="clear" w:color="auto" w:fill="auto"/>
            <w:noWrap/>
            <w:vAlign w:val="bottom"/>
            <w:hideMark/>
          </w:tcPr>
          <w:p w14:paraId="0EAE33B8" w14:textId="77777777" w:rsidR="00B27994" w:rsidRPr="002A091D" w:rsidRDefault="00B27994" w:rsidP="00B27994">
            <w:pPr>
              <w:rPr>
                <w:color w:val="000000"/>
                <w:sz w:val="20"/>
                <w:szCs w:val="20"/>
              </w:rPr>
            </w:pPr>
            <w:r w:rsidRPr="002A091D">
              <w:rPr>
                <w:color w:val="000000"/>
                <w:sz w:val="20"/>
                <w:szCs w:val="20"/>
              </w:rPr>
              <w:t>Malta*</w:t>
            </w:r>
          </w:p>
        </w:tc>
        <w:tc>
          <w:tcPr>
            <w:tcW w:w="1368" w:type="dxa"/>
            <w:tcBorders>
              <w:top w:val="nil"/>
              <w:bottom w:val="nil"/>
            </w:tcBorders>
            <w:shd w:val="clear" w:color="auto" w:fill="auto"/>
            <w:noWrap/>
            <w:vAlign w:val="bottom"/>
            <w:hideMark/>
          </w:tcPr>
          <w:p w14:paraId="4C02CA2C" w14:textId="77777777" w:rsidR="00B27994" w:rsidRPr="002A091D" w:rsidRDefault="00B27994" w:rsidP="00B27994">
            <w:pPr>
              <w:rPr>
                <w:color w:val="000000"/>
                <w:sz w:val="20"/>
                <w:szCs w:val="20"/>
              </w:rPr>
            </w:pPr>
            <w:r w:rsidRPr="002A091D">
              <w:rPr>
                <w:color w:val="000000"/>
                <w:sz w:val="20"/>
                <w:szCs w:val="20"/>
              </w:rPr>
              <w:t>Indonesia</w:t>
            </w:r>
          </w:p>
        </w:tc>
        <w:tc>
          <w:tcPr>
            <w:tcW w:w="1443" w:type="dxa"/>
            <w:tcBorders>
              <w:top w:val="nil"/>
              <w:bottom w:val="nil"/>
            </w:tcBorders>
            <w:shd w:val="clear" w:color="auto" w:fill="auto"/>
            <w:noWrap/>
            <w:vAlign w:val="bottom"/>
            <w:hideMark/>
          </w:tcPr>
          <w:p w14:paraId="2212D9E5" w14:textId="77777777" w:rsidR="00B27994" w:rsidRPr="002A091D" w:rsidRDefault="00B27994" w:rsidP="00B27994">
            <w:pPr>
              <w:rPr>
                <w:color w:val="000000"/>
                <w:sz w:val="20"/>
                <w:szCs w:val="20"/>
              </w:rPr>
            </w:pPr>
            <w:r w:rsidRPr="002A091D">
              <w:rPr>
                <w:color w:val="000000"/>
                <w:sz w:val="20"/>
                <w:szCs w:val="20"/>
              </w:rPr>
              <w:t>South Korea</w:t>
            </w:r>
          </w:p>
        </w:tc>
        <w:tc>
          <w:tcPr>
            <w:tcW w:w="1279" w:type="dxa"/>
            <w:tcBorders>
              <w:top w:val="nil"/>
              <w:bottom w:val="nil"/>
            </w:tcBorders>
            <w:shd w:val="clear" w:color="auto" w:fill="auto"/>
            <w:noWrap/>
            <w:vAlign w:val="bottom"/>
            <w:hideMark/>
          </w:tcPr>
          <w:p w14:paraId="483DECD9" w14:textId="77777777" w:rsidR="00B27994" w:rsidRPr="002A091D" w:rsidRDefault="00B27994" w:rsidP="00B27994">
            <w:pPr>
              <w:rPr>
                <w:color w:val="000000"/>
                <w:sz w:val="20"/>
                <w:szCs w:val="20"/>
              </w:rPr>
            </w:pPr>
            <w:r w:rsidRPr="002A091D">
              <w:rPr>
                <w:color w:val="000000"/>
                <w:sz w:val="20"/>
                <w:szCs w:val="20"/>
              </w:rPr>
              <w:t xml:space="preserve">Mexico </w:t>
            </w:r>
          </w:p>
        </w:tc>
        <w:tc>
          <w:tcPr>
            <w:tcW w:w="1368" w:type="dxa"/>
            <w:tcBorders>
              <w:top w:val="nil"/>
              <w:bottom w:val="nil"/>
            </w:tcBorders>
            <w:shd w:val="clear" w:color="auto" w:fill="auto"/>
            <w:noWrap/>
            <w:vAlign w:val="bottom"/>
            <w:hideMark/>
          </w:tcPr>
          <w:p w14:paraId="0AB425B0" w14:textId="77777777" w:rsidR="00B27994" w:rsidRPr="002A091D" w:rsidRDefault="00B27994" w:rsidP="00B27994">
            <w:pPr>
              <w:rPr>
                <w:color w:val="000000"/>
                <w:sz w:val="20"/>
                <w:szCs w:val="20"/>
              </w:rPr>
            </w:pPr>
            <w:r w:rsidRPr="002A091D">
              <w:rPr>
                <w:color w:val="000000"/>
                <w:sz w:val="20"/>
                <w:szCs w:val="20"/>
              </w:rPr>
              <w:t>Finland*</w:t>
            </w:r>
          </w:p>
        </w:tc>
        <w:tc>
          <w:tcPr>
            <w:tcW w:w="1163" w:type="dxa"/>
            <w:tcBorders>
              <w:top w:val="nil"/>
              <w:bottom w:val="nil"/>
            </w:tcBorders>
            <w:shd w:val="clear" w:color="auto" w:fill="auto"/>
            <w:noWrap/>
            <w:vAlign w:val="bottom"/>
            <w:hideMark/>
          </w:tcPr>
          <w:p w14:paraId="3C169725" w14:textId="77777777" w:rsidR="00B27994" w:rsidRPr="002A091D" w:rsidRDefault="00B27994" w:rsidP="00B27994">
            <w:pPr>
              <w:rPr>
                <w:color w:val="000000"/>
                <w:sz w:val="20"/>
                <w:szCs w:val="20"/>
              </w:rPr>
            </w:pPr>
            <w:r w:rsidRPr="002A091D">
              <w:rPr>
                <w:color w:val="000000"/>
                <w:sz w:val="20"/>
                <w:szCs w:val="20"/>
              </w:rPr>
              <w:t xml:space="preserve">Japan* </w:t>
            </w:r>
          </w:p>
        </w:tc>
        <w:tc>
          <w:tcPr>
            <w:tcW w:w="1262" w:type="dxa"/>
            <w:tcBorders>
              <w:top w:val="nil"/>
              <w:bottom w:val="nil"/>
            </w:tcBorders>
            <w:shd w:val="clear" w:color="auto" w:fill="auto"/>
            <w:noWrap/>
            <w:vAlign w:val="bottom"/>
            <w:hideMark/>
          </w:tcPr>
          <w:p w14:paraId="49B147D9" w14:textId="77777777" w:rsidR="00B27994" w:rsidRPr="002A091D" w:rsidRDefault="00B27994" w:rsidP="00B27994">
            <w:pPr>
              <w:rPr>
                <w:color w:val="000000"/>
                <w:sz w:val="20"/>
                <w:szCs w:val="20"/>
              </w:rPr>
            </w:pPr>
            <w:r w:rsidRPr="002A091D">
              <w:rPr>
                <w:color w:val="000000"/>
                <w:sz w:val="20"/>
                <w:szCs w:val="20"/>
              </w:rPr>
              <w:t xml:space="preserve">Greece* </w:t>
            </w:r>
          </w:p>
        </w:tc>
        <w:tc>
          <w:tcPr>
            <w:tcW w:w="1504" w:type="dxa"/>
            <w:tcBorders>
              <w:top w:val="nil"/>
              <w:bottom w:val="nil"/>
            </w:tcBorders>
            <w:shd w:val="clear" w:color="auto" w:fill="auto"/>
            <w:noWrap/>
            <w:vAlign w:val="bottom"/>
            <w:hideMark/>
          </w:tcPr>
          <w:p w14:paraId="311E2EC4" w14:textId="77777777" w:rsidR="00B27994" w:rsidRPr="002A091D" w:rsidRDefault="00B27994" w:rsidP="00B27994">
            <w:pPr>
              <w:rPr>
                <w:color w:val="000000"/>
                <w:sz w:val="20"/>
                <w:szCs w:val="20"/>
              </w:rPr>
            </w:pPr>
            <w:r w:rsidRPr="002A091D">
              <w:rPr>
                <w:color w:val="000000"/>
                <w:sz w:val="20"/>
                <w:szCs w:val="20"/>
              </w:rPr>
              <w:t xml:space="preserve">Egypt </w:t>
            </w:r>
          </w:p>
        </w:tc>
      </w:tr>
      <w:tr w:rsidR="00B27994" w:rsidRPr="002A091D" w14:paraId="5F08C2DD" w14:textId="77777777" w:rsidTr="00B27994">
        <w:trPr>
          <w:trHeight w:val="163"/>
        </w:trPr>
        <w:tc>
          <w:tcPr>
            <w:tcW w:w="1099" w:type="dxa"/>
            <w:tcBorders>
              <w:top w:val="nil"/>
              <w:bottom w:val="nil"/>
            </w:tcBorders>
            <w:shd w:val="clear" w:color="auto" w:fill="auto"/>
            <w:noWrap/>
            <w:vAlign w:val="bottom"/>
            <w:hideMark/>
          </w:tcPr>
          <w:p w14:paraId="694F617C" w14:textId="77777777" w:rsidR="00B27994" w:rsidRPr="002A091D" w:rsidRDefault="00B27994" w:rsidP="00B27994">
            <w:pPr>
              <w:jc w:val="right"/>
              <w:rPr>
                <w:color w:val="000000"/>
                <w:sz w:val="20"/>
                <w:szCs w:val="20"/>
              </w:rPr>
            </w:pPr>
            <w:r w:rsidRPr="002A091D">
              <w:rPr>
                <w:color w:val="000000"/>
                <w:sz w:val="20"/>
                <w:szCs w:val="20"/>
              </w:rPr>
              <w:t>2000</w:t>
            </w:r>
          </w:p>
        </w:tc>
        <w:tc>
          <w:tcPr>
            <w:tcW w:w="1368" w:type="dxa"/>
            <w:tcBorders>
              <w:top w:val="nil"/>
              <w:bottom w:val="nil"/>
            </w:tcBorders>
            <w:shd w:val="clear" w:color="auto" w:fill="auto"/>
            <w:noWrap/>
            <w:vAlign w:val="bottom"/>
            <w:hideMark/>
          </w:tcPr>
          <w:p w14:paraId="255BB9D3" w14:textId="77777777" w:rsidR="00B27994" w:rsidRPr="002A091D" w:rsidRDefault="00B27994" w:rsidP="00B27994">
            <w:pPr>
              <w:rPr>
                <w:color w:val="000000"/>
                <w:sz w:val="20"/>
                <w:szCs w:val="20"/>
              </w:rPr>
            </w:pPr>
            <w:r w:rsidRPr="002A091D">
              <w:rPr>
                <w:color w:val="000000"/>
                <w:sz w:val="20"/>
                <w:szCs w:val="20"/>
              </w:rPr>
              <w:t xml:space="preserve">Vietnam </w:t>
            </w:r>
          </w:p>
        </w:tc>
        <w:tc>
          <w:tcPr>
            <w:tcW w:w="1467" w:type="dxa"/>
            <w:tcBorders>
              <w:top w:val="nil"/>
              <w:bottom w:val="nil"/>
            </w:tcBorders>
            <w:shd w:val="clear" w:color="auto" w:fill="auto"/>
            <w:noWrap/>
            <w:vAlign w:val="bottom"/>
            <w:hideMark/>
          </w:tcPr>
          <w:p w14:paraId="4AF49D15" w14:textId="77777777" w:rsidR="00B27994" w:rsidRPr="002A091D" w:rsidRDefault="00B27994" w:rsidP="00B27994">
            <w:pPr>
              <w:rPr>
                <w:color w:val="000000"/>
                <w:sz w:val="20"/>
                <w:szCs w:val="20"/>
              </w:rPr>
            </w:pPr>
            <w:r w:rsidRPr="002A091D">
              <w:rPr>
                <w:color w:val="000000"/>
                <w:sz w:val="20"/>
                <w:szCs w:val="20"/>
              </w:rPr>
              <w:t>Mongolia</w:t>
            </w:r>
          </w:p>
        </w:tc>
        <w:tc>
          <w:tcPr>
            <w:tcW w:w="1368" w:type="dxa"/>
            <w:tcBorders>
              <w:top w:val="nil"/>
              <w:bottom w:val="nil"/>
            </w:tcBorders>
            <w:shd w:val="clear" w:color="auto" w:fill="auto"/>
            <w:noWrap/>
            <w:vAlign w:val="bottom"/>
            <w:hideMark/>
          </w:tcPr>
          <w:p w14:paraId="253B08C5" w14:textId="77777777" w:rsidR="00B27994" w:rsidRPr="002A091D" w:rsidRDefault="00B27994" w:rsidP="00B27994">
            <w:pPr>
              <w:rPr>
                <w:color w:val="000000"/>
                <w:sz w:val="20"/>
                <w:szCs w:val="20"/>
              </w:rPr>
            </w:pPr>
            <w:r w:rsidRPr="002A091D">
              <w:rPr>
                <w:color w:val="000000"/>
                <w:sz w:val="20"/>
                <w:szCs w:val="20"/>
              </w:rPr>
              <w:t>China</w:t>
            </w:r>
          </w:p>
        </w:tc>
        <w:tc>
          <w:tcPr>
            <w:tcW w:w="1368" w:type="dxa"/>
            <w:tcBorders>
              <w:top w:val="nil"/>
              <w:bottom w:val="nil"/>
            </w:tcBorders>
            <w:shd w:val="clear" w:color="auto" w:fill="auto"/>
            <w:noWrap/>
            <w:vAlign w:val="bottom"/>
            <w:hideMark/>
          </w:tcPr>
          <w:p w14:paraId="64CC34BF" w14:textId="77777777" w:rsidR="00B27994" w:rsidRPr="002A091D" w:rsidRDefault="00B27994" w:rsidP="00B27994">
            <w:pPr>
              <w:rPr>
                <w:color w:val="000000"/>
                <w:sz w:val="20"/>
                <w:szCs w:val="20"/>
              </w:rPr>
            </w:pPr>
            <w:r w:rsidRPr="002A091D">
              <w:rPr>
                <w:color w:val="000000"/>
                <w:sz w:val="20"/>
                <w:szCs w:val="20"/>
              </w:rPr>
              <w:t>Nigeria</w:t>
            </w:r>
          </w:p>
        </w:tc>
        <w:tc>
          <w:tcPr>
            <w:tcW w:w="1443" w:type="dxa"/>
            <w:tcBorders>
              <w:top w:val="nil"/>
              <w:bottom w:val="nil"/>
            </w:tcBorders>
            <w:shd w:val="clear" w:color="auto" w:fill="auto"/>
            <w:noWrap/>
            <w:vAlign w:val="bottom"/>
            <w:hideMark/>
          </w:tcPr>
          <w:p w14:paraId="091072A9" w14:textId="77777777" w:rsidR="00B27994" w:rsidRPr="002A091D" w:rsidRDefault="00B27994" w:rsidP="00B27994">
            <w:pPr>
              <w:rPr>
                <w:color w:val="000000"/>
                <w:sz w:val="20"/>
                <w:szCs w:val="20"/>
              </w:rPr>
            </w:pPr>
            <w:r w:rsidRPr="002A091D">
              <w:rPr>
                <w:color w:val="000000"/>
                <w:sz w:val="20"/>
                <w:szCs w:val="20"/>
              </w:rPr>
              <w:t>Latvia</w:t>
            </w:r>
          </w:p>
        </w:tc>
        <w:tc>
          <w:tcPr>
            <w:tcW w:w="1279" w:type="dxa"/>
            <w:tcBorders>
              <w:top w:val="nil"/>
              <w:bottom w:val="nil"/>
            </w:tcBorders>
            <w:shd w:val="clear" w:color="auto" w:fill="auto"/>
            <w:noWrap/>
            <w:vAlign w:val="bottom"/>
            <w:hideMark/>
          </w:tcPr>
          <w:p w14:paraId="570B66C1" w14:textId="77777777" w:rsidR="00B27994" w:rsidRPr="002A091D" w:rsidRDefault="00B27994" w:rsidP="00B27994">
            <w:pPr>
              <w:rPr>
                <w:color w:val="000000"/>
                <w:sz w:val="20"/>
                <w:szCs w:val="20"/>
              </w:rPr>
            </w:pPr>
            <w:r w:rsidRPr="002A091D">
              <w:rPr>
                <w:color w:val="000000"/>
                <w:sz w:val="20"/>
                <w:szCs w:val="20"/>
              </w:rPr>
              <w:t>Jamaica</w:t>
            </w:r>
          </w:p>
        </w:tc>
        <w:tc>
          <w:tcPr>
            <w:tcW w:w="1368" w:type="dxa"/>
            <w:tcBorders>
              <w:top w:val="nil"/>
              <w:bottom w:val="nil"/>
            </w:tcBorders>
            <w:shd w:val="clear" w:color="auto" w:fill="auto"/>
            <w:noWrap/>
            <w:vAlign w:val="bottom"/>
            <w:hideMark/>
          </w:tcPr>
          <w:p w14:paraId="6B71DE24" w14:textId="77777777" w:rsidR="00B27994" w:rsidRPr="002A091D" w:rsidRDefault="00B27994" w:rsidP="00B27994">
            <w:pPr>
              <w:rPr>
                <w:color w:val="000000"/>
                <w:sz w:val="20"/>
                <w:szCs w:val="20"/>
              </w:rPr>
            </w:pPr>
            <w:r w:rsidRPr="002A091D">
              <w:rPr>
                <w:color w:val="000000"/>
                <w:sz w:val="20"/>
                <w:szCs w:val="20"/>
              </w:rPr>
              <w:t xml:space="preserve">Denmark* </w:t>
            </w:r>
          </w:p>
        </w:tc>
        <w:tc>
          <w:tcPr>
            <w:tcW w:w="1163" w:type="dxa"/>
            <w:tcBorders>
              <w:top w:val="nil"/>
              <w:bottom w:val="nil"/>
            </w:tcBorders>
            <w:shd w:val="clear" w:color="auto" w:fill="auto"/>
            <w:noWrap/>
            <w:vAlign w:val="bottom"/>
            <w:hideMark/>
          </w:tcPr>
          <w:p w14:paraId="0A63F7BA" w14:textId="77777777" w:rsidR="00B27994" w:rsidRPr="002A091D" w:rsidRDefault="00B27994" w:rsidP="00B27994">
            <w:pPr>
              <w:rPr>
                <w:color w:val="000000"/>
                <w:sz w:val="20"/>
                <w:szCs w:val="20"/>
              </w:rPr>
            </w:pPr>
            <w:r w:rsidRPr="002A091D">
              <w:rPr>
                <w:color w:val="000000"/>
                <w:sz w:val="20"/>
                <w:szCs w:val="20"/>
              </w:rPr>
              <w:t>Bulgaria</w:t>
            </w:r>
          </w:p>
        </w:tc>
        <w:tc>
          <w:tcPr>
            <w:tcW w:w="1262" w:type="dxa"/>
            <w:tcBorders>
              <w:top w:val="nil"/>
              <w:bottom w:val="nil"/>
            </w:tcBorders>
            <w:shd w:val="clear" w:color="auto" w:fill="auto"/>
            <w:noWrap/>
            <w:vAlign w:val="bottom"/>
            <w:hideMark/>
          </w:tcPr>
          <w:p w14:paraId="38235CBC" w14:textId="77777777" w:rsidR="00B27994" w:rsidRPr="002A091D" w:rsidRDefault="00B27994" w:rsidP="00B27994">
            <w:pPr>
              <w:rPr>
                <w:color w:val="000000"/>
                <w:sz w:val="20"/>
                <w:szCs w:val="20"/>
              </w:rPr>
            </w:pPr>
            <w:r w:rsidRPr="002A091D">
              <w:rPr>
                <w:color w:val="000000"/>
                <w:sz w:val="20"/>
                <w:szCs w:val="20"/>
              </w:rPr>
              <w:t xml:space="preserve">Tunisia </w:t>
            </w:r>
          </w:p>
        </w:tc>
        <w:tc>
          <w:tcPr>
            <w:tcW w:w="1504" w:type="dxa"/>
            <w:tcBorders>
              <w:top w:val="nil"/>
              <w:bottom w:val="nil"/>
            </w:tcBorders>
            <w:shd w:val="clear" w:color="auto" w:fill="auto"/>
            <w:noWrap/>
            <w:vAlign w:val="bottom"/>
            <w:hideMark/>
          </w:tcPr>
          <w:p w14:paraId="3FA95AAF" w14:textId="77777777" w:rsidR="00B27994" w:rsidRPr="002A091D" w:rsidRDefault="00B27994" w:rsidP="00B27994">
            <w:pPr>
              <w:rPr>
                <w:color w:val="000000"/>
                <w:sz w:val="20"/>
                <w:szCs w:val="20"/>
              </w:rPr>
            </w:pPr>
            <w:r w:rsidRPr="002A091D">
              <w:rPr>
                <w:color w:val="000000"/>
                <w:sz w:val="20"/>
                <w:szCs w:val="20"/>
              </w:rPr>
              <w:t xml:space="preserve">Saudi Arabia </w:t>
            </w:r>
          </w:p>
        </w:tc>
      </w:tr>
      <w:tr w:rsidR="00B27994" w:rsidRPr="002A091D" w14:paraId="2DAC2AC2" w14:textId="77777777" w:rsidTr="00B27994">
        <w:trPr>
          <w:trHeight w:val="163"/>
        </w:trPr>
        <w:tc>
          <w:tcPr>
            <w:tcW w:w="1099" w:type="dxa"/>
            <w:tcBorders>
              <w:top w:val="nil"/>
              <w:bottom w:val="nil"/>
            </w:tcBorders>
            <w:shd w:val="clear" w:color="auto" w:fill="auto"/>
            <w:noWrap/>
            <w:vAlign w:val="bottom"/>
            <w:hideMark/>
          </w:tcPr>
          <w:p w14:paraId="6E288993" w14:textId="77777777" w:rsidR="00B27994" w:rsidRPr="002A091D" w:rsidRDefault="00B27994" w:rsidP="00B27994">
            <w:pPr>
              <w:jc w:val="right"/>
              <w:rPr>
                <w:color w:val="000000"/>
                <w:sz w:val="20"/>
                <w:szCs w:val="20"/>
              </w:rPr>
            </w:pPr>
            <w:r w:rsidRPr="002A091D">
              <w:rPr>
                <w:color w:val="000000"/>
                <w:sz w:val="20"/>
                <w:szCs w:val="20"/>
              </w:rPr>
              <w:t>2001</w:t>
            </w:r>
          </w:p>
        </w:tc>
        <w:tc>
          <w:tcPr>
            <w:tcW w:w="1368" w:type="dxa"/>
            <w:tcBorders>
              <w:top w:val="nil"/>
              <w:bottom w:val="nil"/>
            </w:tcBorders>
            <w:shd w:val="clear" w:color="auto" w:fill="auto"/>
            <w:noWrap/>
            <w:vAlign w:val="bottom"/>
            <w:hideMark/>
          </w:tcPr>
          <w:p w14:paraId="2432BED2" w14:textId="77777777" w:rsidR="00B27994" w:rsidRPr="002A091D" w:rsidRDefault="00B27994" w:rsidP="00B27994">
            <w:pPr>
              <w:rPr>
                <w:color w:val="000000"/>
                <w:sz w:val="20"/>
                <w:szCs w:val="20"/>
              </w:rPr>
            </w:pPr>
            <w:r w:rsidRPr="002A091D">
              <w:rPr>
                <w:color w:val="000000"/>
                <w:sz w:val="20"/>
                <w:szCs w:val="20"/>
              </w:rPr>
              <w:t xml:space="preserve">Russia </w:t>
            </w:r>
          </w:p>
        </w:tc>
        <w:tc>
          <w:tcPr>
            <w:tcW w:w="1467" w:type="dxa"/>
            <w:tcBorders>
              <w:top w:val="nil"/>
              <w:bottom w:val="nil"/>
            </w:tcBorders>
            <w:shd w:val="clear" w:color="auto" w:fill="auto"/>
            <w:noWrap/>
            <w:vAlign w:val="bottom"/>
            <w:hideMark/>
          </w:tcPr>
          <w:p w14:paraId="49CF3FDA" w14:textId="77777777" w:rsidR="00B27994" w:rsidRPr="002A091D" w:rsidRDefault="00B27994" w:rsidP="00B27994">
            <w:pPr>
              <w:rPr>
                <w:color w:val="000000"/>
                <w:sz w:val="20"/>
                <w:szCs w:val="20"/>
              </w:rPr>
            </w:pPr>
            <w:r w:rsidRPr="002A091D">
              <w:rPr>
                <w:color w:val="000000"/>
                <w:sz w:val="20"/>
                <w:szCs w:val="20"/>
              </w:rPr>
              <w:t>Mongolia</w:t>
            </w:r>
          </w:p>
        </w:tc>
        <w:tc>
          <w:tcPr>
            <w:tcW w:w="1368" w:type="dxa"/>
            <w:tcBorders>
              <w:top w:val="nil"/>
              <w:bottom w:val="nil"/>
            </w:tcBorders>
            <w:shd w:val="clear" w:color="auto" w:fill="auto"/>
            <w:noWrap/>
            <w:vAlign w:val="bottom"/>
            <w:hideMark/>
          </w:tcPr>
          <w:p w14:paraId="2ED16590" w14:textId="77777777" w:rsidR="00B27994" w:rsidRPr="002A091D" w:rsidRDefault="00B27994" w:rsidP="00B27994">
            <w:pPr>
              <w:rPr>
                <w:color w:val="000000"/>
                <w:sz w:val="20"/>
                <w:szCs w:val="20"/>
              </w:rPr>
            </w:pPr>
            <w:r w:rsidRPr="002A091D">
              <w:rPr>
                <w:color w:val="000000"/>
                <w:sz w:val="20"/>
                <w:szCs w:val="20"/>
              </w:rPr>
              <w:t>Latvia</w:t>
            </w:r>
          </w:p>
        </w:tc>
        <w:tc>
          <w:tcPr>
            <w:tcW w:w="1368" w:type="dxa"/>
            <w:tcBorders>
              <w:top w:val="nil"/>
              <w:bottom w:val="nil"/>
            </w:tcBorders>
            <w:shd w:val="clear" w:color="auto" w:fill="auto"/>
            <w:noWrap/>
            <w:vAlign w:val="bottom"/>
            <w:hideMark/>
          </w:tcPr>
          <w:p w14:paraId="32321736" w14:textId="77777777" w:rsidR="00B27994" w:rsidRPr="002A091D" w:rsidRDefault="00B27994" w:rsidP="00B27994">
            <w:pPr>
              <w:rPr>
                <w:color w:val="000000"/>
                <w:sz w:val="20"/>
                <w:szCs w:val="20"/>
              </w:rPr>
            </w:pPr>
            <w:r w:rsidRPr="002A091D">
              <w:rPr>
                <w:color w:val="000000"/>
                <w:sz w:val="20"/>
                <w:szCs w:val="20"/>
              </w:rPr>
              <w:t>Qatar</w:t>
            </w:r>
          </w:p>
        </w:tc>
        <w:tc>
          <w:tcPr>
            <w:tcW w:w="1443" w:type="dxa"/>
            <w:tcBorders>
              <w:top w:val="nil"/>
              <w:bottom w:val="nil"/>
            </w:tcBorders>
            <w:shd w:val="clear" w:color="auto" w:fill="auto"/>
            <w:noWrap/>
            <w:vAlign w:val="bottom"/>
            <w:hideMark/>
          </w:tcPr>
          <w:p w14:paraId="46B13A8C" w14:textId="77777777" w:rsidR="00B27994" w:rsidRPr="002A091D" w:rsidRDefault="00B27994" w:rsidP="00B27994">
            <w:pPr>
              <w:rPr>
                <w:color w:val="000000"/>
                <w:sz w:val="20"/>
                <w:szCs w:val="20"/>
              </w:rPr>
            </w:pPr>
            <w:r w:rsidRPr="002A091D">
              <w:rPr>
                <w:color w:val="000000"/>
                <w:sz w:val="20"/>
                <w:szCs w:val="20"/>
              </w:rPr>
              <w:t>Botswana</w:t>
            </w:r>
          </w:p>
        </w:tc>
        <w:tc>
          <w:tcPr>
            <w:tcW w:w="1279" w:type="dxa"/>
            <w:tcBorders>
              <w:top w:val="nil"/>
              <w:bottom w:val="nil"/>
            </w:tcBorders>
            <w:shd w:val="clear" w:color="auto" w:fill="auto"/>
            <w:noWrap/>
            <w:vAlign w:val="bottom"/>
            <w:hideMark/>
          </w:tcPr>
          <w:p w14:paraId="181FF516" w14:textId="77777777" w:rsidR="00B27994" w:rsidRPr="002A091D" w:rsidRDefault="00B27994" w:rsidP="00B27994">
            <w:pPr>
              <w:rPr>
                <w:color w:val="000000"/>
                <w:sz w:val="20"/>
                <w:szCs w:val="20"/>
              </w:rPr>
            </w:pPr>
            <w:r w:rsidRPr="002A091D">
              <w:rPr>
                <w:color w:val="000000"/>
                <w:sz w:val="20"/>
                <w:szCs w:val="20"/>
              </w:rPr>
              <w:t>Jordan</w:t>
            </w:r>
          </w:p>
        </w:tc>
        <w:tc>
          <w:tcPr>
            <w:tcW w:w="1368" w:type="dxa"/>
            <w:tcBorders>
              <w:top w:val="nil"/>
              <w:bottom w:val="nil"/>
            </w:tcBorders>
            <w:shd w:val="clear" w:color="auto" w:fill="auto"/>
            <w:noWrap/>
            <w:vAlign w:val="bottom"/>
            <w:hideMark/>
          </w:tcPr>
          <w:p w14:paraId="1D0A19DF" w14:textId="77777777" w:rsidR="00B27994" w:rsidRPr="002A091D" w:rsidRDefault="00B27994" w:rsidP="00B27994">
            <w:pPr>
              <w:rPr>
                <w:color w:val="000000"/>
                <w:sz w:val="20"/>
                <w:szCs w:val="20"/>
              </w:rPr>
            </w:pPr>
            <w:r w:rsidRPr="002A091D">
              <w:rPr>
                <w:color w:val="000000"/>
                <w:sz w:val="20"/>
                <w:szCs w:val="20"/>
              </w:rPr>
              <w:t>South Korea</w:t>
            </w:r>
          </w:p>
        </w:tc>
        <w:tc>
          <w:tcPr>
            <w:tcW w:w="1163" w:type="dxa"/>
            <w:tcBorders>
              <w:top w:val="nil"/>
              <w:bottom w:val="nil"/>
            </w:tcBorders>
            <w:shd w:val="clear" w:color="auto" w:fill="auto"/>
            <w:noWrap/>
            <w:vAlign w:val="bottom"/>
            <w:hideMark/>
          </w:tcPr>
          <w:p w14:paraId="278F416D" w14:textId="77777777" w:rsidR="00B27994" w:rsidRPr="002A091D" w:rsidRDefault="00B27994" w:rsidP="00B27994">
            <w:pPr>
              <w:rPr>
                <w:color w:val="000000"/>
                <w:sz w:val="20"/>
                <w:szCs w:val="20"/>
              </w:rPr>
            </w:pPr>
            <w:r w:rsidRPr="002A091D">
              <w:rPr>
                <w:color w:val="000000"/>
                <w:sz w:val="20"/>
                <w:szCs w:val="20"/>
              </w:rPr>
              <w:t xml:space="preserve">Slovakia </w:t>
            </w:r>
          </w:p>
        </w:tc>
        <w:tc>
          <w:tcPr>
            <w:tcW w:w="1262" w:type="dxa"/>
            <w:tcBorders>
              <w:top w:val="nil"/>
              <w:bottom w:val="nil"/>
            </w:tcBorders>
            <w:shd w:val="clear" w:color="auto" w:fill="auto"/>
            <w:noWrap/>
            <w:vAlign w:val="bottom"/>
            <w:hideMark/>
          </w:tcPr>
          <w:p w14:paraId="3DCDBC07" w14:textId="77777777" w:rsidR="00B27994" w:rsidRPr="002A091D" w:rsidRDefault="00B27994" w:rsidP="00B27994">
            <w:pPr>
              <w:rPr>
                <w:color w:val="000000"/>
                <w:sz w:val="20"/>
                <w:szCs w:val="20"/>
              </w:rPr>
            </w:pPr>
            <w:r w:rsidRPr="002A091D">
              <w:rPr>
                <w:color w:val="000000"/>
                <w:sz w:val="20"/>
                <w:szCs w:val="20"/>
              </w:rPr>
              <w:t xml:space="preserve">Kuwait </w:t>
            </w:r>
          </w:p>
        </w:tc>
        <w:tc>
          <w:tcPr>
            <w:tcW w:w="1504" w:type="dxa"/>
            <w:tcBorders>
              <w:top w:val="nil"/>
              <w:bottom w:val="nil"/>
            </w:tcBorders>
            <w:shd w:val="clear" w:color="auto" w:fill="auto"/>
            <w:noWrap/>
            <w:vAlign w:val="bottom"/>
            <w:hideMark/>
          </w:tcPr>
          <w:p w14:paraId="18B332AF" w14:textId="77777777" w:rsidR="00B27994" w:rsidRPr="002A091D" w:rsidRDefault="00B27994" w:rsidP="00B27994">
            <w:pPr>
              <w:rPr>
                <w:color w:val="000000"/>
                <w:sz w:val="20"/>
                <w:szCs w:val="20"/>
              </w:rPr>
            </w:pPr>
            <w:r w:rsidRPr="002A091D">
              <w:rPr>
                <w:color w:val="000000"/>
                <w:sz w:val="20"/>
                <w:szCs w:val="20"/>
              </w:rPr>
              <w:t xml:space="preserve">Nigeria </w:t>
            </w:r>
          </w:p>
        </w:tc>
      </w:tr>
      <w:tr w:rsidR="00B27994" w:rsidRPr="002A091D" w14:paraId="3E8BAE1E" w14:textId="77777777" w:rsidTr="00B27994">
        <w:trPr>
          <w:trHeight w:val="163"/>
        </w:trPr>
        <w:tc>
          <w:tcPr>
            <w:tcW w:w="1099" w:type="dxa"/>
            <w:tcBorders>
              <w:top w:val="nil"/>
              <w:bottom w:val="nil"/>
            </w:tcBorders>
            <w:shd w:val="clear" w:color="auto" w:fill="auto"/>
            <w:noWrap/>
            <w:vAlign w:val="bottom"/>
            <w:hideMark/>
          </w:tcPr>
          <w:p w14:paraId="40F11D62" w14:textId="77777777" w:rsidR="00B27994" w:rsidRPr="002A091D" w:rsidRDefault="00B27994" w:rsidP="00B27994">
            <w:pPr>
              <w:jc w:val="right"/>
              <w:rPr>
                <w:color w:val="000000"/>
                <w:sz w:val="20"/>
                <w:szCs w:val="20"/>
              </w:rPr>
            </w:pPr>
            <w:r w:rsidRPr="002A091D">
              <w:rPr>
                <w:color w:val="000000"/>
                <w:sz w:val="20"/>
                <w:szCs w:val="20"/>
              </w:rPr>
              <w:t>2002</w:t>
            </w:r>
          </w:p>
        </w:tc>
        <w:tc>
          <w:tcPr>
            <w:tcW w:w="1368" w:type="dxa"/>
            <w:tcBorders>
              <w:top w:val="nil"/>
              <w:bottom w:val="nil"/>
            </w:tcBorders>
            <w:shd w:val="clear" w:color="auto" w:fill="auto"/>
            <w:noWrap/>
            <w:vAlign w:val="bottom"/>
            <w:hideMark/>
          </w:tcPr>
          <w:p w14:paraId="7D010852" w14:textId="77777777" w:rsidR="00B27994" w:rsidRPr="002A091D" w:rsidRDefault="00B27994" w:rsidP="00B27994">
            <w:pPr>
              <w:rPr>
                <w:color w:val="000000"/>
                <w:sz w:val="20"/>
                <w:szCs w:val="20"/>
              </w:rPr>
            </w:pPr>
            <w:r w:rsidRPr="002A091D">
              <w:rPr>
                <w:color w:val="000000"/>
                <w:sz w:val="20"/>
                <w:szCs w:val="20"/>
              </w:rPr>
              <w:t xml:space="preserve">Pakistan </w:t>
            </w:r>
          </w:p>
        </w:tc>
        <w:tc>
          <w:tcPr>
            <w:tcW w:w="1467" w:type="dxa"/>
            <w:tcBorders>
              <w:top w:val="nil"/>
              <w:bottom w:val="nil"/>
            </w:tcBorders>
            <w:shd w:val="clear" w:color="auto" w:fill="auto"/>
            <w:noWrap/>
            <w:vAlign w:val="bottom"/>
            <w:hideMark/>
          </w:tcPr>
          <w:p w14:paraId="2BA93C2F" w14:textId="77777777" w:rsidR="00B27994" w:rsidRPr="002A091D" w:rsidRDefault="00B27994" w:rsidP="00B27994">
            <w:pPr>
              <w:rPr>
                <w:color w:val="000000"/>
                <w:sz w:val="20"/>
                <w:szCs w:val="20"/>
              </w:rPr>
            </w:pPr>
            <w:r w:rsidRPr="002A091D">
              <w:rPr>
                <w:color w:val="000000"/>
                <w:sz w:val="20"/>
                <w:szCs w:val="20"/>
              </w:rPr>
              <w:t>Romania</w:t>
            </w:r>
          </w:p>
        </w:tc>
        <w:tc>
          <w:tcPr>
            <w:tcW w:w="1368" w:type="dxa"/>
            <w:tcBorders>
              <w:top w:val="nil"/>
              <w:bottom w:val="nil"/>
            </w:tcBorders>
            <w:shd w:val="clear" w:color="auto" w:fill="auto"/>
            <w:noWrap/>
            <w:vAlign w:val="bottom"/>
            <w:hideMark/>
          </w:tcPr>
          <w:p w14:paraId="16769D6F" w14:textId="77777777" w:rsidR="00B27994" w:rsidRPr="002A091D" w:rsidRDefault="00B27994" w:rsidP="00B27994">
            <w:pPr>
              <w:rPr>
                <w:color w:val="000000"/>
                <w:sz w:val="20"/>
                <w:szCs w:val="20"/>
              </w:rPr>
            </w:pPr>
            <w:r w:rsidRPr="002A091D">
              <w:rPr>
                <w:color w:val="000000"/>
                <w:sz w:val="20"/>
                <w:szCs w:val="20"/>
              </w:rPr>
              <w:t>Bulgaria</w:t>
            </w:r>
          </w:p>
        </w:tc>
        <w:tc>
          <w:tcPr>
            <w:tcW w:w="1368" w:type="dxa"/>
            <w:tcBorders>
              <w:top w:val="nil"/>
              <w:bottom w:val="nil"/>
            </w:tcBorders>
            <w:shd w:val="clear" w:color="auto" w:fill="auto"/>
            <w:noWrap/>
            <w:vAlign w:val="bottom"/>
            <w:hideMark/>
          </w:tcPr>
          <w:p w14:paraId="5F82744E" w14:textId="77777777" w:rsidR="00B27994" w:rsidRPr="002A091D" w:rsidRDefault="00B27994" w:rsidP="00B27994">
            <w:pPr>
              <w:rPr>
                <w:color w:val="000000"/>
                <w:sz w:val="20"/>
                <w:szCs w:val="20"/>
              </w:rPr>
            </w:pPr>
            <w:r w:rsidRPr="002A091D">
              <w:rPr>
                <w:color w:val="000000"/>
                <w:sz w:val="20"/>
                <w:szCs w:val="20"/>
              </w:rPr>
              <w:t>Estonia</w:t>
            </w:r>
          </w:p>
        </w:tc>
        <w:tc>
          <w:tcPr>
            <w:tcW w:w="1443" w:type="dxa"/>
            <w:tcBorders>
              <w:top w:val="nil"/>
              <w:bottom w:val="nil"/>
            </w:tcBorders>
            <w:shd w:val="clear" w:color="auto" w:fill="auto"/>
            <w:noWrap/>
            <w:vAlign w:val="bottom"/>
            <w:hideMark/>
          </w:tcPr>
          <w:p w14:paraId="2AB4AB08" w14:textId="77777777" w:rsidR="00B27994" w:rsidRPr="002A091D" w:rsidRDefault="00B27994" w:rsidP="00B27994">
            <w:pPr>
              <w:rPr>
                <w:color w:val="000000"/>
                <w:sz w:val="20"/>
                <w:szCs w:val="20"/>
              </w:rPr>
            </w:pPr>
            <w:r w:rsidRPr="002A091D">
              <w:rPr>
                <w:color w:val="000000"/>
                <w:sz w:val="20"/>
                <w:szCs w:val="20"/>
              </w:rPr>
              <w:t>Kuwait</w:t>
            </w:r>
          </w:p>
        </w:tc>
        <w:tc>
          <w:tcPr>
            <w:tcW w:w="1279" w:type="dxa"/>
            <w:tcBorders>
              <w:top w:val="nil"/>
              <w:bottom w:val="nil"/>
            </w:tcBorders>
            <w:shd w:val="clear" w:color="auto" w:fill="auto"/>
            <w:noWrap/>
            <w:vAlign w:val="bottom"/>
            <w:hideMark/>
          </w:tcPr>
          <w:p w14:paraId="70120B73" w14:textId="77777777" w:rsidR="00B27994" w:rsidRPr="002A091D" w:rsidRDefault="00B27994" w:rsidP="00B27994">
            <w:pPr>
              <w:rPr>
                <w:color w:val="000000"/>
                <w:sz w:val="20"/>
                <w:szCs w:val="20"/>
              </w:rPr>
            </w:pPr>
            <w:r w:rsidRPr="002A091D">
              <w:rPr>
                <w:color w:val="000000"/>
                <w:sz w:val="20"/>
                <w:szCs w:val="20"/>
              </w:rPr>
              <w:t>Russia</w:t>
            </w:r>
          </w:p>
        </w:tc>
        <w:tc>
          <w:tcPr>
            <w:tcW w:w="1368" w:type="dxa"/>
            <w:tcBorders>
              <w:top w:val="nil"/>
              <w:bottom w:val="nil"/>
            </w:tcBorders>
            <w:shd w:val="clear" w:color="auto" w:fill="auto"/>
            <w:noWrap/>
            <w:vAlign w:val="bottom"/>
            <w:hideMark/>
          </w:tcPr>
          <w:p w14:paraId="7F4E27CB" w14:textId="77777777" w:rsidR="00B27994" w:rsidRPr="002A091D" w:rsidRDefault="00B27994" w:rsidP="00B27994">
            <w:pPr>
              <w:rPr>
                <w:color w:val="000000"/>
                <w:sz w:val="20"/>
                <w:szCs w:val="20"/>
              </w:rPr>
            </w:pPr>
            <w:r w:rsidRPr="002A091D">
              <w:rPr>
                <w:color w:val="000000"/>
                <w:sz w:val="20"/>
                <w:szCs w:val="20"/>
              </w:rPr>
              <w:t xml:space="preserve">Czech Rep. </w:t>
            </w:r>
          </w:p>
        </w:tc>
        <w:tc>
          <w:tcPr>
            <w:tcW w:w="1163" w:type="dxa"/>
            <w:tcBorders>
              <w:top w:val="nil"/>
              <w:bottom w:val="nil"/>
            </w:tcBorders>
            <w:shd w:val="clear" w:color="auto" w:fill="auto"/>
            <w:noWrap/>
            <w:vAlign w:val="bottom"/>
            <w:hideMark/>
          </w:tcPr>
          <w:p w14:paraId="7459A209" w14:textId="77777777" w:rsidR="00B27994" w:rsidRPr="002A091D" w:rsidRDefault="00B27994" w:rsidP="00B27994">
            <w:pPr>
              <w:rPr>
                <w:color w:val="000000"/>
                <w:sz w:val="20"/>
                <w:szCs w:val="20"/>
              </w:rPr>
            </w:pPr>
            <w:r w:rsidRPr="002A091D">
              <w:rPr>
                <w:color w:val="000000"/>
                <w:sz w:val="20"/>
                <w:szCs w:val="20"/>
              </w:rPr>
              <w:t xml:space="preserve">Qatar </w:t>
            </w:r>
          </w:p>
        </w:tc>
        <w:tc>
          <w:tcPr>
            <w:tcW w:w="1262" w:type="dxa"/>
            <w:tcBorders>
              <w:top w:val="nil"/>
              <w:bottom w:val="nil"/>
            </w:tcBorders>
            <w:shd w:val="clear" w:color="auto" w:fill="auto"/>
            <w:noWrap/>
            <w:vAlign w:val="bottom"/>
            <w:hideMark/>
          </w:tcPr>
          <w:p w14:paraId="2DAA26E3" w14:textId="77777777" w:rsidR="00B27994" w:rsidRPr="002A091D" w:rsidRDefault="00B27994" w:rsidP="00B27994">
            <w:pPr>
              <w:rPr>
                <w:color w:val="000000"/>
                <w:sz w:val="20"/>
                <w:szCs w:val="20"/>
              </w:rPr>
            </w:pPr>
            <w:r w:rsidRPr="002A091D">
              <w:rPr>
                <w:color w:val="000000"/>
                <w:sz w:val="20"/>
                <w:szCs w:val="20"/>
              </w:rPr>
              <w:t xml:space="preserve">Hungary </w:t>
            </w:r>
          </w:p>
        </w:tc>
        <w:tc>
          <w:tcPr>
            <w:tcW w:w="1504" w:type="dxa"/>
            <w:tcBorders>
              <w:top w:val="nil"/>
              <w:bottom w:val="nil"/>
            </w:tcBorders>
            <w:shd w:val="clear" w:color="auto" w:fill="auto"/>
            <w:noWrap/>
            <w:vAlign w:val="bottom"/>
            <w:hideMark/>
          </w:tcPr>
          <w:p w14:paraId="73A2906D" w14:textId="77777777" w:rsidR="00B27994" w:rsidRPr="002A091D" w:rsidRDefault="00B27994" w:rsidP="00B27994">
            <w:pPr>
              <w:rPr>
                <w:color w:val="000000"/>
                <w:sz w:val="20"/>
                <w:szCs w:val="20"/>
              </w:rPr>
            </w:pPr>
            <w:r w:rsidRPr="002A091D">
              <w:rPr>
                <w:color w:val="000000"/>
                <w:sz w:val="20"/>
                <w:szCs w:val="20"/>
              </w:rPr>
              <w:t xml:space="preserve">Slovakia </w:t>
            </w:r>
          </w:p>
        </w:tc>
      </w:tr>
      <w:tr w:rsidR="00B27994" w:rsidRPr="002A091D" w14:paraId="78516956" w14:textId="77777777" w:rsidTr="00B27994">
        <w:trPr>
          <w:trHeight w:val="163"/>
        </w:trPr>
        <w:tc>
          <w:tcPr>
            <w:tcW w:w="1099" w:type="dxa"/>
            <w:tcBorders>
              <w:top w:val="nil"/>
              <w:bottom w:val="nil"/>
            </w:tcBorders>
            <w:shd w:val="clear" w:color="auto" w:fill="auto"/>
            <w:noWrap/>
            <w:vAlign w:val="bottom"/>
            <w:hideMark/>
          </w:tcPr>
          <w:p w14:paraId="0FA38CF1" w14:textId="77777777" w:rsidR="00B27994" w:rsidRPr="002A091D" w:rsidRDefault="00B27994" w:rsidP="00B27994">
            <w:pPr>
              <w:jc w:val="right"/>
              <w:rPr>
                <w:color w:val="000000"/>
                <w:sz w:val="20"/>
                <w:szCs w:val="20"/>
              </w:rPr>
            </w:pPr>
            <w:r w:rsidRPr="002A091D">
              <w:rPr>
                <w:color w:val="000000"/>
                <w:sz w:val="20"/>
                <w:szCs w:val="20"/>
              </w:rPr>
              <w:t>2003</w:t>
            </w:r>
          </w:p>
        </w:tc>
        <w:tc>
          <w:tcPr>
            <w:tcW w:w="1368" w:type="dxa"/>
            <w:tcBorders>
              <w:top w:val="nil"/>
              <w:bottom w:val="nil"/>
            </w:tcBorders>
            <w:shd w:val="clear" w:color="auto" w:fill="auto"/>
            <w:noWrap/>
            <w:vAlign w:val="bottom"/>
            <w:hideMark/>
          </w:tcPr>
          <w:p w14:paraId="1062BD70" w14:textId="77777777" w:rsidR="00B27994" w:rsidRPr="002A091D" w:rsidRDefault="00B27994" w:rsidP="00B27994">
            <w:pPr>
              <w:rPr>
                <w:color w:val="000000"/>
                <w:sz w:val="20"/>
                <w:szCs w:val="20"/>
              </w:rPr>
            </w:pPr>
            <w:r w:rsidRPr="002A091D">
              <w:rPr>
                <w:color w:val="000000"/>
                <w:sz w:val="20"/>
                <w:szCs w:val="20"/>
              </w:rPr>
              <w:t>Bulgaria</w:t>
            </w:r>
          </w:p>
        </w:tc>
        <w:tc>
          <w:tcPr>
            <w:tcW w:w="1467" w:type="dxa"/>
            <w:tcBorders>
              <w:top w:val="nil"/>
              <w:bottom w:val="nil"/>
            </w:tcBorders>
            <w:shd w:val="clear" w:color="auto" w:fill="auto"/>
            <w:noWrap/>
            <w:vAlign w:val="bottom"/>
            <w:hideMark/>
          </w:tcPr>
          <w:p w14:paraId="370A3AE5" w14:textId="77777777" w:rsidR="00B27994" w:rsidRPr="002A091D" w:rsidRDefault="00B27994" w:rsidP="00B27994">
            <w:pPr>
              <w:rPr>
                <w:color w:val="000000"/>
                <w:sz w:val="20"/>
                <w:szCs w:val="20"/>
              </w:rPr>
            </w:pPr>
            <w:r w:rsidRPr="002A091D">
              <w:rPr>
                <w:color w:val="000000"/>
                <w:sz w:val="20"/>
                <w:szCs w:val="20"/>
              </w:rPr>
              <w:t>China H</w:t>
            </w:r>
          </w:p>
        </w:tc>
        <w:tc>
          <w:tcPr>
            <w:tcW w:w="1368" w:type="dxa"/>
            <w:tcBorders>
              <w:top w:val="nil"/>
              <w:bottom w:val="nil"/>
            </w:tcBorders>
            <w:shd w:val="clear" w:color="auto" w:fill="auto"/>
            <w:noWrap/>
            <w:vAlign w:val="bottom"/>
            <w:hideMark/>
          </w:tcPr>
          <w:p w14:paraId="1E82286D" w14:textId="77777777" w:rsidR="00B27994" w:rsidRPr="002A091D" w:rsidRDefault="00B27994" w:rsidP="00B27994">
            <w:pPr>
              <w:rPr>
                <w:color w:val="000000"/>
                <w:sz w:val="20"/>
                <w:szCs w:val="20"/>
              </w:rPr>
            </w:pPr>
            <w:r w:rsidRPr="002A091D">
              <w:rPr>
                <w:color w:val="000000"/>
                <w:sz w:val="20"/>
                <w:szCs w:val="20"/>
              </w:rPr>
              <w:t>Lithuania</w:t>
            </w:r>
          </w:p>
        </w:tc>
        <w:tc>
          <w:tcPr>
            <w:tcW w:w="1368" w:type="dxa"/>
            <w:tcBorders>
              <w:top w:val="nil"/>
              <w:bottom w:val="nil"/>
            </w:tcBorders>
            <w:shd w:val="clear" w:color="auto" w:fill="auto"/>
            <w:noWrap/>
            <w:vAlign w:val="bottom"/>
            <w:hideMark/>
          </w:tcPr>
          <w:p w14:paraId="0255B126" w14:textId="77777777" w:rsidR="00B27994" w:rsidRPr="002A091D" w:rsidRDefault="00B27994" w:rsidP="00B27994">
            <w:pPr>
              <w:rPr>
                <w:color w:val="000000"/>
                <w:sz w:val="20"/>
                <w:szCs w:val="20"/>
              </w:rPr>
            </w:pPr>
            <w:r w:rsidRPr="002A091D">
              <w:rPr>
                <w:color w:val="000000"/>
                <w:sz w:val="20"/>
                <w:szCs w:val="20"/>
              </w:rPr>
              <w:t>Brazil</w:t>
            </w:r>
          </w:p>
        </w:tc>
        <w:tc>
          <w:tcPr>
            <w:tcW w:w="1443" w:type="dxa"/>
            <w:tcBorders>
              <w:top w:val="nil"/>
              <w:bottom w:val="nil"/>
            </w:tcBorders>
            <w:shd w:val="clear" w:color="auto" w:fill="auto"/>
            <w:noWrap/>
            <w:vAlign w:val="bottom"/>
            <w:hideMark/>
          </w:tcPr>
          <w:p w14:paraId="2C79A039" w14:textId="77777777" w:rsidR="00B27994" w:rsidRPr="002A091D" w:rsidRDefault="00B27994" w:rsidP="00B27994">
            <w:pPr>
              <w:rPr>
                <w:color w:val="000000"/>
                <w:sz w:val="20"/>
                <w:szCs w:val="20"/>
              </w:rPr>
            </w:pPr>
            <w:r w:rsidRPr="002A091D">
              <w:rPr>
                <w:color w:val="000000"/>
                <w:sz w:val="20"/>
                <w:szCs w:val="20"/>
              </w:rPr>
              <w:t xml:space="preserve">Thailand </w:t>
            </w:r>
          </w:p>
        </w:tc>
        <w:tc>
          <w:tcPr>
            <w:tcW w:w="1279" w:type="dxa"/>
            <w:tcBorders>
              <w:top w:val="nil"/>
              <w:bottom w:val="nil"/>
            </w:tcBorders>
            <w:shd w:val="clear" w:color="auto" w:fill="auto"/>
            <w:noWrap/>
            <w:vAlign w:val="bottom"/>
            <w:hideMark/>
          </w:tcPr>
          <w:p w14:paraId="510484FF" w14:textId="77777777" w:rsidR="00B27994" w:rsidRPr="002A091D" w:rsidRDefault="00B27994" w:rsidP="00B27994">
            <w:pPr>
              <w:rPr>
                <w:color w:val="000000"/>
                <w:sz w:val="20"/>
                <w:szCs w:val="20"/>
              </w:rPr>
            </w:pPr>
            <w:r w:rsidRPr="002A091D">
              <w:rPr>
                <w:color w:val="000000"/>
                <w:sz w:val="20"/>
                <w:szCs w:val="20"/>
              </w:rPr>
              <w:t>Argentina</w:t>
            </w:r>
          </w:p>
        </w:tc>
        <w:tc>
          <w:tcPr>
            <w:tcW w:w="1368" w:type="dxa"/>
            <w:tcBorders>
              <w:top w:val="nil"/>
              <w:bottom w:val="nil"/>
            </w:tcBorders>
            <w:shd w:val="clear" w:color="auto" w:fill="auto"/>
            <w:noWrap/>
            <w:vAlign w:val="bottom"/>
            <w:hideMark/>
          </w:tcPr>
          <w:p w14:paraId="356F16C2" w14:textId="77777777" w:rsidR="00B27994" w:rsidRPr="002A091D" w:rsidRDefault="00B27994" w:rsidP="00B27994">
            <w:pPr>
              <w:rPr>
                <w:color w:val="000000"/>
                <w:sz w:val="20"/>
                <w:szCs w:val="20"/>
              </w:rPr>
            </w:pPr>
            <w:r w:rsidRPr="002A091D">
              <w:rPr>
                <w:color w:val="000000"/>
                <w:sz w:val="20"/>
                <w:szCs w:val="20"/>
              </w:rPr>
              <w:t xml:space="preserve">Turkey </w:t>
            </w:r>
          </w:p>
        </w:tc>
        <w:tc>
          <w:tcPr>
            <w:tcW w:w="1163" w:type="dxa"/>
            <w:tcBorders>
              <w:top w:val="nil"/>
              <w:bottom w:val="nil"/>
            </w:tcBorders>
            <w:shd w:val="clear" w:color="auto" w:fill="auto"/>
            <w:noWrap/>
            <w:vAlign w:val="bottom"/>
            <w:hideMark/>
          </w:tcPr>
          <w:p w14:paraId="01C8EE71" w14:textId="77777777" w:rsidR="00B27994" w:rsidRPr="002A091D" w:rsidRDefault="00B27994" w:rsidP="00B27994">
            <w:pPr>
              <w:rPr>
                <w:color w:val="000000"/>
                <w:sz w:val="20"/>
                <w:szCs w:val="20"/>
              </w:rPr>
            </w:pPr>
            <w:r w:rsidRPr="002A091D">
              <w:rPr>
                <w:color w:val="000000"/>
                <w:sz w:val="20"/>
                <w:szCs w:val="20"/>
              </w:rPr>
              <w:t xml:space="preserve">Kuwait </w:t>
            </w:r>
          </w:p>
        </w:tc>
        <w:tc>
          <w:tcPr>
            <w:tcW w:w="1262" w:type="dxa"/>
            <w:tcBorders>
              <w:top w:val="nil"/>
              <w:bottom w:val="nil"/>
            </w:tcBorders>
            <w:shd w:val="clear" w:color="auto" w:fill="auto"/>
            <w:noWrap/>
            <w:vAlign w:val="bottom"/>
            <w:hideMark/>
          </w:tcPr>
          <w:p w14:paraId="14700FFD" w14:textId="77777777" w:rsidR="00B27994" w:rsidRPr="002A091D" w:rsidRDefault="00B27994" w:rsidP="00B27994">
            <w:pPr>
              <w:rPr>
                <w:color w:val="000000"/>
                <w:sz w:val="20"/>
                <w:szCs w:val="20"/>
              </w:rPr>
            </w:pPr>
            <w:r w:rsidRPr="002A091D">
              <w:rPr>
                <w:color w:val="000000"/>
                <w:sz w:val="20"/>
                <w:szCs w:val="20"/>
              </w:rPr>
              <w:t xml:space="preserve">India </w:t>
            </w:r>
          </w:p>
        </w:tc>
        <w:tc>
          <w:tcPr>
            <w:tcW w:w="1504" w:type="dxa"/>
            <w:tcBorders>
              <w:top w:val="nil"/>
              <w:bottom w:val="nil"/>
            </w:tcBorders>
            <w:shd w:val="clear" w:color="auto" w:fill="auto"/>
            <w:noWrap/>
            <w:vAlign w:val="bottom"/>
            <w:hideMark/>
          </w:tcPr>
          <w:p w14:paraId="2A221376" w14:textId="77777777" w:rsidR="00B27994" w:rsidRPr="002A091D" w:rsidRDefault="00B27994" w:rsidP="00B27994">
            <w:pPr>
              <w:rPr>
                <w:color w:val="000000"/>
                <w:sz w:val="20"/>
                <w:szCs w:val="20"/>
              </w:rPr>
            </w:pPr>
            <w:r w:rsidRPr="002A091D">
              <w:rPr>
                <w:color w:val="000000"/>
                <w:sz w:val="20"/>
                <w:szCs w:val="20"/>
              </w:rPr>
              <w:t xml:space="preserve">Chile </w:t>
            </w:r>
          </w:p>
        </w:tc>
      </w:tr>
      <w:tr w:rsidR="00B27994" w:rsidRPr="002A091D" w14:paraId="3634F6A6" w14:textId="77777777" w:rsidTr="00B27994">
        <w:trPr>
          <w:trHeight w:val="163"/>
        </w:trPr>
        <w:tc>
          <w:tcPr>
            <w:tcW w:w="1099" w:type="dxa"/>
            <w:tcBorders>
              <w:top w:val="nil"/>
              <w:bottom w:val="nil"/>
            </w:tcBorders>
            <w:shd w:val="clear" w:color="auto" w:fill="auto"/>
            <w:noWrap/>
            <w:vAlign w:val="bottom"/>
            <w:hideMark/>
          </w:tcPr>
          <w:p w14:paraId="6642EF6B" w14:textId="77777777" w:rsidR="00B27994" w:rsidRPr="002A091D" w:rsidRDefault="00B27994" w:rsidP="00B27994">
            <w:pPr>
              <w:jc w:val="right"/>
              <w:rPr>
                <w:color w:val="000000"/>
                <w:sz w:val="20"/>
                <w:szCs w:val="20"/>
              </w:rPr>
            </w:pPr>
            <w:r w:rsidRPr="002A091D">
              <w:rPr>
                <w:color w:val="000000"/>
                <w:sz w:val="20"/>
                <w:szCs w:val="20"/>
              </w:rPr>
              <w:t>2004</w:t>
            </w:r>
          </w:p>
        </w:tc>
        <w:tc>
          <w:tcPr>
            <w:tcW w:w="1368" w:type="dxa"/>
            <w:tcBorders>
              <w:top w:val="nil"/>
              <w:bottom w:val="nil"/>
            </w:tcBorders>
            <w:shd w:val="clear" w:color="auto" w:fill="auto"/>
            <w:noWrap/>
            <w:vAlign w:val="bottom"/>
            <w:hideMark/>
          </w:tcPr>
          <w:p w14:paraId="30E7BA5B" w14:textId="77777777" w:rsidR="00B27994" w:rsidRPr="002A091D" w:rsidRDefault="00B27994" w:rsidP="00B27994">
            <w:pPr>
              <w:rPr>
                <w:color w:val="000000"/>
                <w:sz w:val="20"/>
                <w:szCs w:val="20"/>
              </w:rPr>
            </w:pPr>
            <w:r w:rsidRPr="002A091D">
              <w:rPr>
                <w:color w:val="000000"/>
                <w:sz w:val="20"/>
                <w:szCs w:val="20"/>
              </w:rPr>
              <w:t>Dubai</w:t>
            </w:r>
          </w:p>
        </w:tc>
        <w:tc>
          <w:tcPr>
            <w:tcW w:w="1467" w:type="dxa"/>
            <w:tcBorders>
              <w:top w:val="nil"/>
              <w:bottom w:val="nil"/>
            </w:tcBorders>
            <w:shd w:val="clear" w:color="auto" w:fill="auto"/>
            <w:noWrap/>
            <w:vAlign w:val="bottom"/>
            <w:hideMark/>
          </w:tcPr>
          <w:p w14:paraId="44E510C5" w14:textId="77777777" w:rsidR="00B27994" w:rsidRPr="002A091D" w:rsidRDefault="00B27994" w:rsidP="00B27994">
            <w:pPr>
              <w:rPr>
                <w:color w:val="000000"/>
                <w:sz w:val="20"/>
                <w:szCs w:val="20"/>
              </w:rPr>
            </w:pPr>
            <w:r w:rsidRPr="002A091D">
              <w:rPr>
                <w:color w:val="000000"/>
                <w:sz w:val="20"/>
                <w:szCs w:val="20"/>
              </w:rPr>
              <w:t>Romania</w:t>
            </w:r>
          </w:p>
        </w:tc>
        <w:tc>
          <w:tcPr>
            <w:tcW w:w="1368" w:type="dxa"/>
            <w:tcBorders>
              <w:top w:val="nil"/>
              <w:bottom w:val="nil"/>
            </w:tcBorders>
            <w:shd w:val="clear" w:color="auto" w:fill="auto"/>
            <w:noWrap/>
            <w:vAlign w:val="bottom"/>
            <w:hideMark/>
          </w:tcPr>
          <w:p w14:paraId="22C13BFF" w14:textId="77777777" w:rsidR="00B27994" w:rsidRPr="002A091D" w:rsidRDefault="00B27994" w:rsidP="00B27994">
            <w:pPr>
              <w:rPr>
                <w:color w:val="000000"/>
                <w:sz w:val="20"/>
                <w:szCs w:val="20"/>
              </w:rPr>
            </w:pPr>
            <w:r w:rsidRPr="002A091D">
              <w:rPr>
                <w:color w:val="000000"/>
                <w:sz w:val="20"/>
                <w:szCs w:val="20"/>
              </w:rPr>
              <w:t>Egypt</w:t>
            </w:r>
          </w:p>
        </w:tc>
        <w:tc>
          <w:tcPr>
            <w:tcW w:w="1368" w:type="dxa"/>
            <w:tcBorders>
              <w:top w:val="nil"/>
              <w:bottom w:val="nil"/>
            </w:tcBorders>
            <w:shd w:val="clear" w:color="auto" w:fill="auto"/>
            <w:noWrap/>
            <w:vAlign w:val="bottom"/>
            <w:hideMark/>
          </w:tcPr>
          <w:p w14:paraId="6A2764B9" w14:textId="77777777" w:rsidR="00B27994" w:rsidRPr="002A091D" w:rsidRDefault="00B27994" w:rsidP="00B27994">
            <w:pPr>
              <w:rPr>
                <w:color w:val="000000"/>
                <w:sz w:val="20"/>
                <w:szCs w:val="20"/>
              </w:rPr>
            </w:pPr>
            <w:r w:rsidRPr="002A091D">
              <w:rPr>
                <w:color w:val="000000"/>
                <w:sz w:val="20"/>
                <w:szCs w:val="20"/>
              </w:rPr>
              <w:t>Montenegro</w:t>
            </w:r>
          </w:p>
        </w:tc>
        <w:tc>
          <w:tcPr>
            <w:tcW w:w="1443" w:type="dxa"/>
            <w:tcBorders>
              <w:top w:val="nil"/>
              <w:bottom w:val="nil"/>
            </w:tcBorders>
            <w:shd w:val="clear" w:color="auto" w:fill="auto"/>
            <w:noWrap/>
            <w:vAlign w:val="bottom"/>
            <w:hideMark/>
          </w:tcPr>
          <w:p w14:paraId="04500B2A" w14:textId="77777777" w:rsidR="00B27994" w:rsidRPr="002A091D" w:rsidRDefault="00B27994" w:rsidP="00B27994">
            <w:pPr>
              <w:rPr>
                <w:color w:val="000000"/>
                <w:sz w:val="20"/>
                <w:szCs w:val="20"/>
              </w:rPr>
            </w:pPr>
            <w:r w:rsidRPr="002A091D">
              <w:rPr>
                <w:color w:val="000000"/>
                <w:sz w:val="20"/>
                <w:szCs w:val="20"/>
              </w:rPr>
              <w:t>Colombia</w:t>
            </w:r>
          </w:p>
        </w:tc>
        <w:tc>
          <w:tcPr>
            <w:tcW w:w="1279" w:type="dxa"/>
            <w:tcBorders>
              <w:top w:val="nil"/>
              <w:bottom w:val="nil"/>
            </w:tcBorders>
            <w:shd w:val="clear" w:color="auto" w:fill="auto"/>
            <w:noWrap/>
            <w:vAlign w:val="bottom"/>
            <w:hideMark/>
          </w:tcPr>
          <w:p w14:paraId="0DC90AB3" w14:textId="77777777" w:rsidR="00B27994" w:rsidRPr="002A091D" w:rsidRDefault="00B27994" w:rsidP="00B27994">
            <w:pPr>
              <w:rPr>
                <w:color w:val="000000"/>
                <w:sz w:val="20"/>
                <w:szCs w:val="20"/>
              </w:rPr>
            </w:pPr>
            <w:r w:rsidRPr="002A091D">
              <w:rPr>
                <w:color w:val="000000"/>
                <w:sz w:val="20"/>
                <w:szCs w:val="20"/>
              </w:rPr>
              <w:t>Slovakia</w:t>
            </w:r>
          </w:p>
        </w:tc>
        <w:tc>
          <w:tcPr>
            <w:tcW w:w="1368" w:type="dxa"/>
            <w:tcBorders>
              <w:top w:val="nil"/>
              <w:bottom w:val="nil"/>
            </w:tcBorders>
            <w:shd w:val="clear" w:color="auto" w:fill="auto"/>
            <w:noWrap/>
            <w:vAlign w:val="bottom"/>
            <w:hideMark/>
          </w:tcPr>
          <w:p w14:paraId="74AC3098" w14:textId="77777777" w:rsidR="00B27994" w:rsidRPr="002A091D" w:rsidRDefault="00B27994" w:rsidP="00B27994">
            <w:pPr>
              <w:rPr>
                <w:color w:val="000000"/>
                <w:sz w:val="20"/>
                <w:szCs w:val="20"/>
              </w:rPr>
            </w:pPr>
            <w:r w:rsidRPr="002A091D">
              <w:rPr>
                <w:color w:val="000000"/>
                <w:sz w:val="20"/>
                <w:szCs w:val="20"/>
              </w:rPr>
              <w:t xml:space="preserve">Saudi Arabia </w:t>
            </w:r>
          </w:p>
        </w:tc>
        <w:tc>
          <w:tcPr>
            <w:tcW w:w="1163" w:type="dxa"/>
            <w:tcBorders>
              <w:top w:val="nil"/>
              <w:bottom w:val="nil"/>
            </w:tcBorders>
            <w:shd w:val="clear" w:color="auto" w:fill="auto"/>
            <w:noWrap/>
            <w:vAlign w:val="bottom"/>
            <w:hideMark/>
          </w:tcPr>
          <w:p w14:paraId="0CD12092" w14:textId="77777777" w:rsidR="00B27994" w:rsidRPr="002A091D" w:rsidRDefault="00B27994" w:rsidP="00B27994">
            <w:pPr>
              <w:rPr>
                <w:color w:val="000000"/>
                <w:sz w:val="20"/>
                <w:szCs w:val="20"/>
              </w:rPr>
            </w:pPr>
            <w:r w:rsidRPr="002A091D">
              <w:rPr>
                <w:color w:val="000000"/>
                <w:sz w:val="20"/>
                <w:szCs w:val="20"/>
              </w:rPr>
              <w:t xml:space="preserve">Czech Rep. </w:t>
            </w:r>
          </w:p>
        </w:tc>
        <w:tc>
          <w:tcPr>
            <w:tcW w:w="1262" w:type="dxa"/>
            <w:tcBorders>
              <w:top w:val="nil"/>
              <w:bottom w:val="nil"/>
            </w:tcBorders>
            <w:shd w:val="clear" w:color="auto" w:fill="auto"/>
            <w:noWrap/>
            <w:vAlign w:val="bottom"/>
            <w:hideMark/>
          </w:tcPr>
          <w:p w14:paraId="4DDB4380" w14:textId="77777777" w:rsidR="00B27994" w:rsidRPr="002A091D" w:rsidRDefault="00B27994" w:rsidP="00B27994">
            <w:pPr>
              <w:rPr>
                <w:color w:val="000000"/>
                <w:sz w:val="20"/>
                <w:szCs w:val="20"/>
              </w:rPr>
            </w:pPr>
            <w:r w:rsidRPr="002A091D">
              <w:rPr>
                <w:color w:val="000000"/>
                <w:sz w:val="20"/>
                <w:szCs w:val="20"/>
              </w:rPr>
              <w:t xml:space="preserve">Lithuania </w:t>
            </w:r>
          </w:p>
        </w:tc>
        <w:tc>
          <w:tcPr>
            <w:tcW w:w="1504" w:type="dxa"/>
            <w:tcBorders>
              <w:top w:val="nil"/>
              <w:bottom w:val="nil"/>
            </w:tcBorders>
            <w:shd w:val="clear" w:color="auto" w:fill="auto"/>
            <w:noWrap/>
            <w:vAlign w:val="bottom"/>
            <w:hideMark/>
          </w:tcPr>
          <w:p w14:paraId="6FB963C2" w14:textId="77777777" w:rsidR="00B27994" w:rsidRPr="002A091D" w:rsidRDefault="00B27994" w:rsidP="00B27994">
            <w:pPr>
              <w:rPr>
                <w:color w:val="000000"/>
                <w:sz w:val="20"/>
                <w:szCs w:val="20"/>
              </w:rPr>
            </w:pPr>
            <w:r w:rsidRPr="002A091D">
              <w:rPr>
                <w:color w:val="000000"/>
                <w:sz w:val="20"/>
                <w:szCs w:val="20"/>
              </w:rPr>
              <w:t xml:space="preserve">Hungary </w:t>
            </w:r>
          </w:p>
        </w:tc>
      </w:tr>
      <w:tr w:rsidR="00B27994" w:rsidRPr="002A091D" w14:paraId="13D4B53A" w14:textId="77777777" w:rsidTr="00B27994">
        <w:trPr>
          <w:trHeight w:val="163"/>
        </w:trPr>
        <w:tc>
          <w:tcPr>
            <w:tcW w:w="1099" w:type="dxa"/>
            <w:tcBorders>
              <w:top w:val="nil"/>
              <w:bottom w:val="nil"/>
            </w:tcBorders>
            <w:shd w:val="clear" w:color="auto" w:fill="auto"/>
            <w:noWrap/>
            <w:vAlign w:val="bottom"/>
            <w:hideMark/>
          </w:tcPr>
          <w:p w14:paraId="28E70ACF" w14:textId="77777777" w:rsidR="00B27994" w:rsidRPr="002A091D" w:rsidRDefault="00B27994" w:rsidP="00B27994">
            <w:pPr>
              <w:jc w:val="right"/>
              <w:rPr>
                <w:color w:val="000000"/>
                <w:sz w:val="20"/>
                <w:szCs w:val="20"/>
              </w:rPr>
            </w:pPr>
            <w:r w:rsidRPr="002A091D">
              <w:rPr>
                <w:color w:val="000000"/>
                <w:sz w:val="20"/>
                <w:szCs w:val="20"/>
              </w:rPr>
              <w:t>2005</w:t>
            </w:r>
          </w:p>
        </w:tc>
        <w:tc>
          <w:tcPr>
            <w:tcW w:w="1368" w:type="dxa"/>
            <w:tcBorders>
              <w:top w:val="nil"/>
              <w:bottom w:val="nil"/>
            </w:tcBorders>
            <w:shd w:val="clear" w:color="auto" w:fill="auto"/>
            <w:noWrap/>
            <w:vAlign w:val="bottom"/>
            <w:hideMark/>
          </w:tcPr>
          <w:p w14:paraId="42966C22" w14:textId="77777777" w:rsidR="00B27994" w:rsidRPr="002A091D" w:rsidRDefault="00B27994" w:rsidP="00B27994">
            <w:pPr>
              <w:rPr>
                <w:color w:val="000000"/>
                <w:sz w:val="20"/>
                <w:szCs w:val="20"/>
              </w:rPr>
            </w:pPr>
            <w:r w:rsidRPr="002A091D">
              <w:rPr>
                <w:color w:val="000000"/>
                <w:sz w:val="20"/>
                <w:szCs w:val="20"/>
              </w:rPr>
              <w:t>Montenegro</w:t>
            </w:r>
          </w:p>
        </w:tc>
        <w:tc>
          <w:tcPr>
            <w:tcW w:w="1467" w:type="dxa"/>
            <w:tcBorders>
              <w:top w:val="nil"/>
              <w:bottom w:val="nil"/>
            </w:tcBorders>
            <w:shd w:val="clear" w:color="auto" w:fill="auto"/>
            <w:noWrap/>
            <w:vAlign w:val="bottom"/>
            <w:hideMark/>
          </w:tcPr>
          <w:p w14:paraId="1FBF3264" w14:textId="77777777" w:rsidR="00B27994" w:rsidRPr="002A091D" w:rsidRDefault="00B27994" w:rsidP="00B27994">
            <w:pPr>
              <w:rPr>
                <w:color w:val="000000"/>
                <w:sz w:val="20"/>
                <w:szCs w:val="20"/>
              </w:rPr>
            </w:pPr>
            <w:r w:rsidRPr="002A091D">
              <w:rPr>
                <w:color w:val="000000"/>
                <w:sz w:val="20"/>
                <w:szCs w:val="20"/>
              </w:rPr>
              <w:t>Kazakhstan</w:t>
            </w:r>
          </w:p>
        </w:tc>
        <w:tc>
          <w:tcPr>
            <w:tcW w:w="1368" w:type="dxa"/>
            <w:tcBorders>
              <w:top w:val="nil"/>
              <w:bottom w:val="nil"/>
            </w:tcBorders>
            <w:shd w:val="clear" w:color="auto" w:fill="auto"/>
            <w:noWrap/>
            <w:vAlign w:val="bottom"/>
            <w:hideMark/>
          </w:tcPr>
          <w:p w14:paraId="04FCD83C" w14:textId="77777777" w:rsidR="00B27994" w:rsidRPr="002A091D" w:rsidRDefault="00B27994" w:rsidP="00B27994">
            <w:pPr>
              <w:rPr>
                <w:color w:val="000000"/>
                <w:sz w:val="20"/>
                <w:szCs w:val="20"/>
              </w:rPr>
            </w:pPr>
            <w:r w:rsidRPr="002A091D">
              <w:rPr>
                <w:color w:val="000000"/>
                <w:sz w:val="20"/>
                <w:szCs w:val="20"/>
              </w:rPr>
              <w:t>Dubai</w:t>
            </w:r>
          </w:p>
        </w:tc>
        <w:tc>
          <w:tcPr>
            <w:tcW w:w="1368" w:type="dxa"/>
            <w:tcBorders>
              <w:top w:val="nil"/>
              <w:bottom w:val="nil"/>
            </w:tcBorders>
            <w:shd w:val="clear" w:color="auto" w:fill="auto"/>
            <w:noWrap/>
            <w:vAlign w:val="bottom"/>
            <w:hideMark/>
          </w:tcPr>
          <w:p w14:paraId="73002839" w14:textId="77777777" w:rsidR="00B27994" w:rsidRPr="002A091D" w:rsidRDefault="00B27994" w:rsidP="00B27994">
            <w:pPr>
              <w:rPr>
                <w:color w:val="000000"/>
                <w:sz w:val="20"/>
                <w:szCs w:val="20"/>
              </w:rPr>
            </w:pPr>
            <w:r w:rsidRPr="002A091D">
              <w:rPr>
                <w:color w:val="000000"/>
                <w:sz w:val="20"/>
                <w:szCs w:val="20"/>
              </w:rPr>
              <w:t xml:space="preserve">Egypt </w:t>
            </w:r>
          </w:p>
        </w:tc>
        <w:tc>
          <w:tcPr>
            <w:tcW w:w="1443" w:type="dxa"/>
            <w:tcBorders>
              <w:top w:val="nil"/>
              <w:bottom w:val="nil"/>
            </w:tcBorders>
            <w:shd w:val="clear" w:color="auto" w:fill="auto"/>
            <w:noWrap/>
            <w:vAlign w:val="bottom"/>
            <w:hideMark/>
          </w:tcPr>
          <w:p w14:paraId="6813F5E9" w14:textId="77777777" w:rsidR="00B27994" w:rsidRPr="002A091D" w:rsidRDefault="00B27994" w:rsidP="00B27994">
            <w:pPr>
              <w:rPr>
                <w:color w:val="000000"/>
                <w:sz w:val="20"/>
                <w:szCs w:val="20"/>
              </w:rPr>
            </w:pPr>
            <w:r w:rsidRPr="002A091D">
              <w:rPr>
                <w:color w:val="000000"/>
                <w:sz w:val="20"/>
                <w:szCs w:val="20"/>
              </w:rPr>
              <w:t>Colombia</w:t>
            </w:r>
          </w:p>
        </w:tc>
        <w:tc>
          <w:tcPr>
            <w:tcW w:w="1279" w:type="dxa"/>
            <w:tcBorders>
              <w:top w:val="nil"/>
              <w:bottom w:val="nil"/>
            </w:tcBorders>
            <w:shd w:val="clear" w:color="auto" w:fill="auto"/>
            <w:noWrap/>
            <w:vAlign w:val="bottom"/>
            <w:hideMark/>
          </w:tcPr>
          <w:p w14:paraId="60CDD85D" w14:textId="77777777" w:rsidR="00B27994" w:rsidRPr="002A091D" w:rsidRDefault="00B27994" w:rsidP="00B27994">
            <w:pPr>
              <w:rPr>
                <w:color w:val="000000"/>
                <w:sz w:val="20"/>
                <w:szCs w:val="20"/>
              </w:rPr>
            </w:pPr>
            <w:r w:rsidRPr="002A091D">
              <w:rPr>
                <w:color w:val="000000"/>
                <w:sz w:val="20"/>
                <w:szCs w:val="20"/>
              </w:rPr>
              <w:t xml:space="preserve">Lebanon </w:t>
            </w:r>
          </w:p>
        </w:tc>
        <w:tc>
          <w:tcPr>
            <w:tcW w:w="1368" w:type="dxa"/>
            <w:tcBorders>
              <w:top w:val="nil"/>
              <w:bottom w:val="nil"/>
            </w:tcBorders>
            <w:shd w:val="clear" w:color="auto" w:fill="auto"/>
            <w:noWrap/>
            <w:vAlign w:val="bottom"/>
            <w:hideMark/>
          </w:tcPr>
          <w:p w14:paraId="53F25721" w14:textId="77777777" w:rsidR="00B27994" w:rsidRPr="002A091D" w:rsidRDefault="00B27994" w:rsidP="00B27994">
            <w:pPr>
              <w:rPr>
                <w:color w:val="000000"/>
                <w:sz w:val="20"/>
                <w:szCs w:val="20"/>
              </w:rPr>
            </w:pPr>
            <w:r w:rsidRPr="002A091D">
              <w:rPr>
                <w:color w:val="000000"/>
                <w:sz w:val="20"/>
                <w:szCs w:val="20"/>
              </w:rPr>
              <w:t xml:space="preserve">Saudi Arabia </w:t>
            </w:r>
          </w:p>
        </w:tc>
        <w:tc>
          <w:tcPr>
            <w:tcW w:w="1163" w:type="dxa"/>
            <w:tcBorders>
              <w:top w:val="nil"/>
              <w:bottom w:val="nil"/>
            </w:tcBorders>
            <w:shd w:val="clear" w:color="auto" w:fill="auto"/>
            <w:noWrap/>
            <w:vAlign w:val="bottom"/>
            <w:hideMark/>
          </w:tcPr>
          <w:p w14:paraId="130563AF" w14:textId="77777777" w:rsidR="00B27994" w:rsidRPr="002A091D" w:rsidRDefault="00B27994" w:rsidP="00B27994">
            <w:pPr>
              <w:rPr>
                <w:color w:val="000000"/>
                <w:sz w:val="20"/>
                <w:szCs w:val="20"/>
              </w:rPr>
            </w:pPr>
            <w:r w:rsidRPr="002A091D">
              <w:rPr>
                <w:color w:val="000000"/>
                <w:sz w:val="20"/>
                <w:szCs w:val="20"/>
              </w:rPr>
              <w:t xml:space="preserve">Russia </w:t>
            </w:r>
          </w:p>
        </w:tc>
        <w:tc>
          <w:tcPr>
            <w:tcW w:w="1262" w:type="dxa"/>
            <w:tcBorders>
              <w:top w:val="nil"/>
              <w:bottom w:val="nil"/>
            </w:tcBorders>
            <w:shd w:val="clear" w:color="auto" w:fill="auto"/>
            <w:noWrap/>
            <w:vAlign w:val="bottom"/>
            <w:hideMark/>
          </w:tcPr>
          <w:p w14:paraId="50CDEA1E" w14:textId="77777777" w:rsidR="00B27994" w:rsidRPr="002A091D" w:rsidRDefault="00B27994" w:rsidP="00B27994">
            <w:pPr>
              <w:rPr>
                <w:color w:val="000000"/>
                <w:sz w:val="20"/>
                <w:szCs w:val="20"/>
              </w:rPr>
            </w:pPr>
            <w:r w:rsidRPr="002A091D">
              <w:rPr>
                <w:color w:val="000000"/>
                <w:sz w:val="20"/>
                <w:szCs w:val="20"/>
              </w:rPr>
              <w:t xml:space="preserve">Kuwait </w:t>
            </w:r>
          </w:p>
        </w:tc>
        <w:tc>
          <w:tcPr>
            <w:tcW w:w="1504" w:type="dxa"/>
            <w:tcBorders>
              <w:top w:val="nil"/>
              <w:bottom w:val="nil"/>
            </w:tcBorders>
            <w:shd w:val="clear" w:color="auto" w:fill="auto"/>
            <w:noWrap/>
            <w:vAlign w:val="bottom"/>
            <w:hideMark/>
          </w:tcPr>
          <w:p w14:paraId="069B6DEC" w14:textId="77777777" w:rsidR="00B27994" w:rsidRPr="002A091D" w:rsidRDefault="00B27994" w:rsidP="00B27994">
            <w:pPr>
              <w:rPr>
                <w:color w:val="000000"/>
                <w:sz w:val="20"/>
                <w:szCs w:val="20"/>
              </w:rPr>
            </w:pPr>
            <w:r w:rsidRPr="002A091D">
              <w:rPr>
                <w:color w:val="000000"/>
                <w:sz w:val="20"/>
                <w:szCs w:val="20"/>
              </w:rPr>
              <w:t>Mongolia</w:t>
            </w:r>
          </w:p>
        </w:tc>
      </w:tr>
      <w:tr w:rsidR="00B27994" w:rsidRPr="002A091D" w14:paraId="777E6E4E" w14:textId="77777777" w:rsidTr="00B27994">
        <w:trPr>
          <w:trHeight w:val="163"/>
        </w:trPr>
        <w:tc>
          <w:tcPr>
            <w:tcW w:w="1099" w:type="dxa"/>
            <w:tcBorders>
              <w:top w:val="nil"/>
              <w:bottom w:val="nil"/>
            </w:tcBorders>
            <w:shd w:val="clear" w:color="auto" w:fill="auto"/>
            <w:noWrap/>
            <w:vAlign w:val="bottom"/>
            <w:hideMark/>
          </w:tcPr>
          <w:p w14:paraId="62393847" w14:textId="77777777" w:rsidR="00B27994" w:rsidRPr="002A091D" w:rsidRDefault="00B27994" w:rsidP="00B27994">
            <w:pPr>
              <w:jc w:val="right"/>
              <w:rPr>
                <w:color w:val="000000"/>
                <w:sz w:val="20"/>
                <w:szCs w:val="20"/>
              </w:rPr>
            </w:pPr>
            <w:r w:rsidRPr="002A091D">
              <w:rPr>
                <w:color w:val="000000"/>
                <w:sz w:val="20"/>
                <w:szCs w:val="20"/>
              </w:rPr>
              <w:t>2006</w:t>
            </w:r>
          </w:p>
        </w:tc>
        <w:tc>
          <w:tcPr>
            <w:tcW w:w="1368" w:type="dxa"/>
            <w:tcBorders>
              <w:top w:val="nil"/>
              <w:bottom w:val="nil"/>
            </w:tcBorders>
            <w:shd w:val="clear" w:color="auto" w:fill="auto"/>
            <w:noWrap/>
            <w:vAlign w:val="bottom"/>
            <w:hideMark/>
          </w:tcPr>
          <w:p w14:paraId="4830DD33" w14:textId="77777777" w:rsidR="00B27994" w:rsidRPr="002A091D" w:rsidRDefault="00B27994" w:rsidP="00B27994">
            <w:pPr>
              <w:rPr>
                <w:color w:val="000000"/>
                <w:sz w:val="20"/>
                <w:szCs w:val="20"/>
              </w:rPr>
            </w:pPr>
            <w:r w:rsidRPr="002A091D">
              <w:rPr>
                <w:color w:val="000000"/>
                <w:sz w:val="20"/>
                <w:szCs w:val="20"/>
              </w:rPr>
              <w:t>Kazakhstan</w:t>
            </w:r>
          </w:p>
        </w:tc>
        <w:tc>
          <w:tcPr>
            <w:tcW w:w="1467" w:type="dxa"/>
            <w:tcBorders>
              <w:top w:val="nil"/>
              <w:bottom w:val="nil"/>
            </w:tcBorders>
            <w:shd w:val="clear" w:color="auto" w:fill="auto"/>
            <w:noWrap/>
            <w:vAlign w:val="bottom"/>
            <w:hideMark/>
          </w:tcPr>
          <w:p w14:paraId="15A2CC77" w14:textId="77777777" w:rsidR="00B27994" w:rsidRPr="002A091D" w:rsidRDefault="00B27994" w:rsidP="00B27994">
            <w:pPr>
              <w:rPr>
                <w:color w:val="000000"/>
                <w:sz w:val="20"/>
                <w:szCs w:val="20"/>
              </w:rPr>
            </w:pPr>
            <w:r w:rsidRPr="002A091D">
              <w:rPr>
                <w:color w:val="000000"/>
                <w:sz w:val="20"/>
                <w:szCs w:val="20"/>
              </w:rPr>
              <w:t>Peru</w:t>
            </w:r>
          </w:p>
        </w:tc>
        <w:tc>
          <w:tcPr>
            <w:tcW w:w="1368" w:type="dxa"/>
            <w:tcBorders>
              <w:top w:val="nil"/>
              <w:bottom w:val="nil"/>
            </w:tcBorders>
            <w:shd w:val="clear" w:color="auto" w:fill="auto"/>
            <w:noWrap/>
            <w:vAlign w:val="bottom"/>
            <w:hideMark/>
          </w:tcPr>
          <w:p w14:paraId="218AAA07" w14:textId="77777777" w:rsidR="00B27994" w:rsidRPr="002A091D" w:rsidRDefault="00B27994" w:rsidP="00B27994">
            <w:pPr>
              <w:rPr>
                <w:color w:val="000000"/>
                <w:sz w:val="20"/>
                <w:szCs w:val="20"/>
              </w:rPr>
            </w:pPr>
            <w:r w:rsidRPr="002A091D">
              <w:rPr>
                <w:color w:val="000000"/>
                <w:sz w:val="20"/>
                <w:szCs w:val="20"/>
              </w:rPr>
              <w:t>Vietnam</w:t>
            </w:r>
          </w:p>
        </w:tc>
        <w:tc>
          <w:tcPr>
            <w:tcW w:w="1368" w:type="dxa"/>
            <w:tcBorders>
              <w:top w:val="nil"/>
              <w:bottom w:val="nil"/>
            </w:tcBorders>
            <w:shd w:val="clear" w:color="auto" w:fill="auto"/>
            <w:noWrap/>
            <w:vAlign w:val="bottom"/>
            <w:hideMark/>
          </w:tcPr>
          <w:p w14:paraId="5FA99C3E" w14:textId="77777777" w:rsidR="00B27994" w:rsidRPr="002A091D" w:rsidRDefault="00B27994" w:rsidP="00B27994">
            <w:pPr>
              <w:rPr>
                <w:color w:val="000000"/>
                <w:sz w:val="20"/>
                <w:szCs w:val="20"/>
              </w:rPr>
            </w:pPr>
            <w:r w:rsidRPr="002A091D">
              <w:rPr>
                <w:color w:val="000000"/>
                <w:sz w:val="20"/>
                <w:szCs w:val="20"/>
              </w:rPr>
              <w:t>China</w:t>
            </w:r>
          </w:p>
        </w:tc>
        <w:tc>
          <w:tcPr>
            <w:tcW w:w="1443" w:type="dxa"/>
            <w:tcBorders>
              <w:top w:val="nil"/>
              <w:bottom w:val="nil"/>
            </w:tcBorders>
            <w:shd w:val="clear" w:color="auto" w:fill="auto"/>
            <w:noWrap/>
            <w:vAlign w:val="bottom"/>
            <w:hideMark/>
          </w:tcPr>
          <w:p w14:paraId="08DBDE3A" w14:textId="77777777" w:rsidR="00B27994" w:rsidRPr="002A091D" w:rsidRDefault="00B27994" w:rsidP="00B27994">
            <w:pPr>
              <w:rPr>
                <w:color w:val="000000"/>
                <w:sz w:val="20"/>
                <w:szCs w:val="20"/>
              </w:rPr>
            </w:pPr>
            <w:r w:rsidRPr="002A091D">
              <w:rPr>
                <w:color w:val="000000"/>
                <w:sz w:val="20"/>
                <w:szCs w:val="20"/>
              </w:rPr>
              <w:t>Cyprus</w:t>
            </w:r>
          </w:p>
        </w:tc>
        <w:tc>
          <w:tcPr>
            <w:tcW w:w="1279" w:type="dxa"/>
            <w:tcBorders>
              <w:top w:val="nil"/>
              <w:bottom w:val="nil"/>
            </w:tcBorders>
            <w:shd w:val="clear" w:color="auto" w:fill="auto"/>
            <w:noWrap/>
            <w:vAlign w:val="bottom"/>
            <w:hideMark/>
          </w:tcPr>
          <w:p w14:paraId="75E91987" w14:textId="77777777" w:rsidR="00B27994" w:rsidRPr="002A091D" w:rsidRDefault="00B27994" w:rsidP="00B27994">
            <w:pPr>
              <w:rPr>
                <w:color w:val="000000"/>
                <w:sz w:val="20"/>
                <w:szCs w:val="20"/>
              </w:rPr>
            </w:pPr>
            <w:r w:rsidRPr="002A091D">
              <w:rPr>
                <w:color w:val="000000"/>
                <w:sz w:val="20"/>
                <w:szCs w:val="20"/>
              </w:rPr>
              <w:t>Mongolia</w:t>
            </w:r>
          </w:p>
        </w:tc>
        <w:tc>
          <w:tcPr>
            <w:tcW w:w="1368" w:type="dxa"/>
            <w:tcBorders>
              <w:top w:val="nil"/>
              <w:bottom w:val="nil"/>
            </w:tcBorders>
            <w:shd w:val="clear" w:color="auto" w:fill="auto"/>
            <w:noWrap/>
            <w:vAlign w:val="bottom"/>
            <w:hideMark/>
          </w:tcPr>
          <w:p w14:paraId="0A8554AB" w14:textId="77777777" w:rsidR="00B27994" w:rsidRPr="002A091D" w:rsidRDefault="00B27994" w:rsidP="00B27994">
            <w:pPr>
              <w:rPr>
                <w:color w:val="000000"/>
                <w:sz w:val="20"/>
                <w:szCs w:val="20"/>
              </w:rPr>
            </w:pPr>
            <w:r w:rsidRPr="002A091D">
              <w:rPr>
                <w:color w:val="000000"/>
                <w:sz w:val="20"/>
                <w:szCs w:val="20"/>
              </w:rPr>
              <w:t>Montenegro</w:t>
            </w:r>
          </w:p>
        </w:tc>
        <w:tc>
          <w:tcPr>
            <w:tcW w:w="1163" w:type="dxa"/>
            <w:tcBorders>
              <w:top w:val="nil"/>
              <w:bottom w:val="nil"/>
            </w:tcBorders>
            <w:shd w:val="clear" w:color="auto" w:fill="auto"/>
            <w:noWrap/>
            <w:vAlign w:val="bottom"/>
            <w:hideMark/>
          </w:tcPr>
          <w:p w14:paraId="380DEB14" w14:textId="77777777" w:rsidR="00B27994" w:rsidRPr="002A091D" w:rsidRDefault="00B27994" w:rsidP="00B27994">
            <w:pPr>
              <w:rPr>
                <w:color w:val="000000"/>
                <w:sz w:val="20"/>
                <w:szCs w:val="20"/>
              </w:rPr>
            </w:pPr>
            <w:r w:rsidRPr="002A091D">
              <w:rPr>
                <w:color w:val="000000"/>
                <w:sz w:val="20"/>
                <w:szCs w:val="20"/>
              </w:rPr>
              <w:t xml:space="preserve">China H </w:t>
            </w:r>
          </w:p>
        </w:tc>
        <w:tc>
          <w:tcPr>
            <w:tcW w:w="1262" w:type="dxa"/>
            <w:tcBorders>
              <w:top w:val="nil"/>
              <w:bottom w:val="nil"/>
            </w:tcBorders>
            <w:shd w:val="clear" w:color="auto" w:fill="auto"/>
            <w:noWrap/>
            <w:vAlign w:val="bottom"/>
            <w:hideMark/>
          </w:tcPr>
          <w:p w14:paraId="090038A2" w14:textId="77777777" w:rsidR="00B27994" w:rsidRPr="002A091D" w:rsidRDefault="00B27994" w:rsidP="00B27994">
            <w:pPr>
              <w:rPr>
                <w:color w:val="000000"/>
                <w:sz w:val="20"/>
                <w:szCs w:val="20"/>
              </w:rPr>
            </w:pPr>
            <w:r w:rsidRPr="002A091D">
              <w:rPr>
                <w:color w:val="000000"/>
                <w:sz w:val="20"/>
                <w:szCs w:val="20"/>
              </w:rPr>
              <w:t xml:space="preserve">Serbia </w:t>
            </w:r>
          </w:p>
        </w:tc>
        <w:tc>
          <w:tcPr>
            <w:tcW w:w="1504" w:type="dxa"/>
            <w:tcBorders>
              <w:top w:val="nil"/>
              <w:bottom w:val="nil"/>
            </w:tcBorders>
            <w:shd w:val="clear" w:color="auto" w:fill="auto"/>
            <w:noWrap/>
            <w:vAlign w:val="bottom"/>
            <w:hideMark/>
          </w:tcPr>
          <w:p w14:paraId="68895493" w14:textId="77777777" w:rsidR="00B27994" w:rsidRPr="002A091D" w:rsidRDefault="00B27994" w:rsidP="00B27994">
            <w:pPr>
              <w:rPr>
                <w:color w:val="000000"/>
                <w:sz w:val="20"/>
                <w:szCs w:val="20"/>
              </w:rPr>
            </w:pPr>
            <w:r w:rsidRPr="002A091D">
              <w:rPr>
                <w:color w:val="000000"/>
                <w:sz w:val="20"/>
                <w:szCs w:val="20"/>
              </w:rPr>
              <w:t xml:space="preserve">Morocco </w:t>
            </w:r>
          </w:p>
        </w:tc>
      </w:tr>
      <w:tr w:rsidR="00B27994" w:rsidRPr="002A091D" w14:paraId="5D667852" w14:textId="77777777" w:rsidTr="00B27994">
        <w:trPr>
          <w:trHeight w:val="163"/>
        </w:trPr>
        <w:tc>
          <w:tcPr>
            <w:tcW w:w="1099" w:type="dxa"/>
            <w:tcBorders>
              <w:top w:val="nil"/>
              <w:bottom w:val="nil"/>
            </w:tcBorders>
            <w:shd w:val="clear" w:color="auto" w:fill="auto"/>
            <w:noWrap/>
            <w:vAlign w:val="bottom"/>
            <w:hideMark/>
          </w:tcPr>
          <w:p w14:paraId="485A9D8C" w14:textId="77777777" w:rsidR="00B27994" w:rsidRPr="002A091D" w:rsidRDefault="00B27994" w:rsidP="00B27994">
            <w:pPr>
              <w:jc w:val="right"/>
              <w:rPr>
                <w:color w:val="000000"/>
                <w:sz w:val="20"/>
                <w:szCs w:val="20"/>
              </w:rPr>
            </w:pPr>
            <w:r w:rsidRPr="002A091D">
              <w:rPr>
                <w:color w:val="000000"/>
                <w:sz w:val="20"/>
                <w:szCs w:val="20"/>
              </w:rPr>
              <w:t>2007</w:t>
            </w:r>
          </w:p>
        </w:tc>
        <w:tc>
          <w:tcPr>
            <w:tcW w:w="1368" w:type="dxa"/>
            <w:tcBorders>
              <w:top w:val="nil"/>
              <w:bottom w:val="nil"/>
            </w:tcBorders>
            <w:shd w:val="clear" w:color="auto" w:fill="auto"/>
            <w:noWrap/>
            <w:vAlign w:val="bottom"/>
            <w:hideMark/>
          </w:tcPr>
          <w:p w14:paraId="575ADD66" w14:textId="77777777" w:rsidR="00B27994" w:rsidRPr="002A091D" w:rsidRDefault="00B27994" w:rsidP="00B27994">
            <w:pPr>
              <w:rPr>
                <w:color w:val="000000"/>
                <w:sz w:val="20"/>
                <w:szCs w:val="20"/>
              </w:rPr>
            </w:pPr>
            <w:r w:rsidRPr="002A091D">
              <w:rPr>
                <w:color w:val="000000"/>
                <w:sz w:val="20"/>
                <w:szCs w:val="20"/>
              </w:rPr>
              <w:t>Mongolia</w:t>
            </w:r>
          </w:p>
        </w:tc>
        <w:tc>
          <w:tcPr>
            <w:tcW w:w="1467" w:type="dxa"/>
            <w:tcBorders>
              <w:top w:val="nil"/>
              <w:bottom w:val="nil"/>
            </w:tcBorders>
            <w:shd w:val="clear" w:color="auto" w:fill="auto"/>
            <w:noWrap/>
            <w:vAlign w:val="bottom"/>
            <w:hideMark/>
          </w:tcPr>
          <w:p w14:paraId="53EC6E37" w14:textId="77777777" w:rsidR="00B27994" w:rsidRPr="002A091D" w:rsidRDefault="00B27994" w:rsidP="00B27994">
            <w:pPr>
              <w:rPr>
                <w:color w:val="000000"/>
                <w:sz w:val="20"/>
                <w:szCs w:val="20"/>
              </w:rPr>
            </w:pPr>
            <w:r w:rsidRPr="002A091D">
              <w:rPr>
                <w:color w:val="000000"/>
                <w:sz w:val="20"/>
                <w:szCs w:val="20"/>
              </w:rPr>
              <w:t>Zambia</w:t>
            </w:r>
          </w:p>
        </w:tc>
        <w:tc>
          <w:tcPr>
            <w:tcW w:w="1368" w:type="dxa"/>
            <w:tcBorders>
              <w:top w:val="nil"/>
              <w:bottom w:val="nil"/>
            </w:tcBorders>
            <w:shd w:val="clear" w:color="auto" w:fill="auto"/>
            <w:noWrap/>
            <w:vAlign w:val="bottom"/>
            <w:hideMark/>
          </w:tcPr>
          <w:p w14:paraId="304D1DDB" w14:textId="77777777" w:rsidR="00B27994" w:rsidRPr="002A091D" w:rsidRDefault="00B27994" w:rsidP="00B27994">
            <w:pPr>
              <w:rPr>
                <w:color w:val="000000"/>
                <w:sz w:val="20"/>
                <w:szCs w:val="20"/>
              </w:rPr>
            </w:pPr>
            <w:r w:rsidRPr="002A091D">
              <w:rPr>
                <w:color w:val="000000"/>
                <w:sz w:val="20"/>
                <w:szCs w:val="20"/>
              </w:rPr>
              <w:t>Montenegro</w:t>
            </w:r>
          </w:p>
        </w:tc>
        <w:tc>
          <w:tcPr>
            <w:tcW w:w="1368" w:type="dxa"/>
            <w:tcBorders>
              <w:top w:val="nil"/>
              <w:bottom w:val="nil"/>
            </w:tcBorders>
            <w:shd w:val="clear" w:color="auto" w:fill="auto"/>
            <w:noWrap/>
            <w:vAlign w:val="bottom"/>
            <w:hideMark/>
          </w:tcPr>
          <w:p w14:paraId="197F274A" w14:textId="77777777" w:rsidR="00B27994" w:rsidRPr="002A091D" w:rsidRDefault="00B27994" w:rsidP="00B27994">
            <w:pPr>
              <w:rPr>
                <w:color w:val="000000"/>
                <w:sz w:val="20"/>
                <w:szCs w:val="20"/>
              </w:rPr>
            </w:pPr>
            <w:r w:rsidRPr="002A091D">
              <w:rPr>
                <w:color w:val="000000"/>
                <w:sz w:val="20"/>
                <w:szCs w:val="20"/>
              </w:rPr>
              <w:t>China</w:t>
            </w:r>
          </w:p>
        </w:tc>
        <w:tc>
          <w:tcPr>
            <w:tcW w:w="1443" w:type="dxa"/>
            <w:tcBorders>
              <w:top w:val="nil"/>
              <w:bottom w:val="nil"/>
            </w:tcBorders>
            <w:shd w:val="clear" w:color="auto" w:fill="auto"/>
            <w:noWrap/>
            <w:vAlign w:val="bottom"/>
            <w:hideMark/>
          </w:tcPr>
          <w:p w14:paraId="3E12F55C" w14:textId="77777777" w:rsidR="00B27994" w:rsidRPr="002A091D" w:rsidRDefault="00B27994" w:rsidP="00B27994">
            <w:pPr>
              <w:rPr>
                <w:color w:val="000000"/>
                <w:sz w:val="20"/>
                <w:szCs w:val="20"/>
              </w:rPr>
            </w:pPr>
            <w:r w:rsidRPr="002A091D">
              <w:rPr>
                <w:color w:val="000000"/>
                <w:sz w:val="20"/>
                <w:szCs w:val="20"/>
              </w:rPr>
              <w:t>Slovenia</w:t>
            </w:r>
          </w:p>
        </w:tc>
        <w:tc>
          <w:tcPr>
            <w:tcW w:w="1279" w:type="dxa"/>
            <w:tcBorders>
              <w:top w:val="nil"/>
              <w:bottom w:val="nil"/>
            </w:tcBorders>
            <w:shd w:val="clear" w:color="auto" w:fill="auto"/>
            <w:noWrap/>
            <w:vAlign w:val="bottom"/>
            <w:hideMark/>
          </w:tcPr>
          <w:p w14:paraId="785B9C17" w14:textId="77777777" w:rsidR="00B27994" w:rsidRPr="002A091D" w:rsidRDefault="00B27994" w:rsidP="00B27994">
            <w:pPr>
              <w:rPr>
                <w:color w:val="000000"/>
                <w:sz w:val="20"/>
                <w:szCs w:val="20"/>
              </w:rPr>
            </w:pPr>
            <w:r w:rsidRPr="002A091D">
              <w:rPr>
                <w:color w:val="000000"/>
                <w:sz w:val="20"/>
                <w:szCs w:val="20"/>
              </w:rPr>
              <w:t>Nigeria</w:t>
            </w:r>
          </w:p>
        </w:tc>
        <w:tc>
          <w:tcPr>
            <w:tcW w:w="1368" w:type="dxa"/>
            <w:tcBorders>
              <w:top w:val="nil"/>
              <w:bottom w:val="nil"/>
            </w:tcBorders>
            <w:shd w:val="clear" w:color="auto" w:fill="auto"/>
            <w:noWrap/>
            <w:vAlign w:val="bottom"/>
            <w:hideMark/>
          </w:tcPr>
          <w:p w14:paraId="6D801E1B" w14:textId="77777777" w:rsidR="00B27994" w:rsidRPr="002A091D" w:rsidRDefault="00B27994" w:rsidP="00B27994">
            <w:pPr>
              <w:rPr>
                <w:color w:val="000000"/>
                <w:sz w:val="20"/>
                <w:szCs w:val="20"/>
              </w:rPr>
            </w:pPr>
            <w:r w:rsidRPr="002A091D">
              <w:rPr>
                <w:color w:val="000000"/>
                <w:sz w:val="20"/>
                <w:szCs w:val="20"/>
              </w:rPr>
              <w:t>Croatia</w:t>
            </w:r>
          </w:p>
        </w:tc>
        <w:tc>
          <w:tcPr>
            <w:tcW w:w="1163" w:type="dxa"/>
            <w:tcBorders>
              <w:top w:val="nil"/>
              <w:bottom w:val="nil"/>
            </w:tcBorders>
            <w:shd w:val="clear" w:color="auto" w:fill="auto"/>
            <w:noWrap/>
            <w:vAlign w:val="bottom"/>
            <w:hideMark/>
          </w:tcPr>
          <w:p w14:paraId="670FE678" w14:textId="77777777" w:rsidR="00B27994" w:rsidRPr="002A091D" w:rsidRDefault="00B27994" w:rsidP="00B27994">
            <w:pPr>
              <w:rPr>
                <w:color w:val="000000"/>
                <w:sz w:val="20"/>
                <w:szCs w:val="20"/>
              </w:rPr>
            </w:pPr>
            <w:r w:rsidRPr="002A091D">
              <w:rPr>
                <w:color w:val="000000"/>
                <w:sz w:val="20"/>
                <w:szCs w:val="20"/>
              </w:rPr>
              <w:t xml:space="preserve">Mauritius </w:t>
            </w:r>
          </w:p>
        </w:tc>
        <w:tc>
          <w:tcPr>
            <w:tcW w:w="1262" w:type="dxa"/>
            <w:tcBorders>
              <w:top w:val="nil"/>
              <w:bottom w:val="nil"/>
            </w:tcBorders>
            <w:shd w:val="clear" w:color="auto" w:fill="auto"/>
            <w:noWrap/>
            <w:vAlign w:val="bottom"/>
            <w:hideMark/>
          </w:tcPr>
          <w:p w14:paraId="680982C0" w14:textId="77777777" w:rsidR="00B27994" w:rsidRPr="002A091D" w:rsidRDefault="00B27994" w:rsidP="00B27994">
            <w:pPr>
              <w:rPr>
                <w:color w:val="000000"/>
                <w:sz w:val="20"/>
                <w:szCs w:val="20"/>
              </w:rPr>
            </w:pPr>
            <w:r w:rsidRPr="002A091D">
              <w:rPr>
                <w:color w:val="000000"/>
                <w:sz w:val="20"/>
                <w:szCs w:val="20"/>
              </w:rPr>
              <w:t xml:space="preserve">Turkey </w:t>
            </w:r>
          </w:p>
        </w:tc>
        <w:tc>
          <w:tcPr>
            <w:tcW w:w="1504" w:type="dxa"/>
            <w:tcBorders>
              <w:top w:val="nil"/>
              <w:bottom w:val="nil"/>
            </w:tcBorders>
            <w:shd w:val="clear" w:color="auto" w:fill="auto"/>
            <w:noWrap/>
            <w:vAlign w:val="bottom"/>
            <w:hideMark/>
          </w:tcPr>
          <w:p w14:paraId="4FE9F4F0" w14:textId="77777777" w:rsidR="00B27994" w:rsidRPr="002A091D" w:rsidRDefault="00B27994" w:rsidP="00B27994">
            <w:pPr>
              <w:rPr>
                <w:color w:val="000000"/>
                <w:sz w:val="20"/>
                <w:szCs w:val="20"/>
              </w:rPr>
            </w:pPr>
            <w:r w:rsidRPr="002A091D">
              <w:rPr>
                <w:color w:val="000000"/>
                <w:sz w:val="20"/>
                <w:szCs w:val="20"/>
              </w:rPr>
              <w:t xml:space="preserve">Brazil </w:t>
            </w:r>
          </w:p>
        </w:tc>
      </w:tr>
      <w:tr w:rsidR="00B27994" w:rsidRPr="002A091D" w14:paraId="60FA5235" w14:textId="77777777" w:rsidTr="00B27994">
        <w:trPr>
          <w:trHeight w:val="163"/>
        </w:trPr>
        <w:tc>
          <w:tcPr>
            <w:tcW w:w="1099" w:type="dxa"/>
            <w:tcBorders>
              <w:top w:val="nil"/>
              <w:bottom w:val="nil"/>
            </w:tcBorders>
            <w:shd w:val="clear" w:color="auto" w:fill="auto"/>
            <w:noWrap/>
            <w:vAlign w:val="bottom"/>
            <w:hideMark/>
          </w:tcPr>
          <w:p w14:paraId="3F22D986" w14:textId="77777777" w:rsidR="00B27994" w:rsidRPr="002A091D" w:rsidRDefault="00B27994" w:rsidP="00B27994">
            <w:pPr>
              <w:jc w:val="right"/>
              <w:rPr>
                <w:color w:val="000000"/>
                <w:sz w:val="20"/>
                <w:szCs w:val="20"/>
              </w:rPr>
            </w:pPr>
            <w:r w:rsidRPr="002A091D">
              <w:rPr>
                <w:color w:val="000000"/>
                <w:sz w:val="20"/>
                <w:szCs w:val="20"/>
              </w:rPr>
              <w:t>2008</w:t>
            </w:r>
          </w:p>
        </w:tc>
        <w:tc>
          <w:tcPr>
            <w:tcW w:w="1368" w:type="dxa"/>
            <w:tcBorders>
              <w:top w:val="nil"/>
              <w:bottom w:val="nil"/>
            </w:tcBorders>
            <w:shd w:val="clear" w:color="auto" w:fill="auto"/>
            <w:noWrap/>
            <w:vAlign w:val="bottom"/>
            <w:hideMark/>
          </w:tcPr>
          <w:p w14:paraId="36FFCD8F" w14:textId="77777777" w:rsidR="00B27994" w:rsidRPr="002A091D" w:rsidRDefault="00B27994" w:rsidP="00B27994">
            <w:pPr>
              <w:rPr>
                <w:color w:val="000000"/>
                <w:sz w:val="20"/>
                <w:szCs w:val="20"/>
              </w:rPr>
            </w:pPr>
            <w:r w:rsidRPr="002A091D">
              <w:rPr>
                <w:color w:val="000000"/>
                <w:sz w:val="20"/>
                <w:szCs w:val="20"/>
              </w:rPr>
              <w:t>Tunisia</w:t>
            </w:r>
          </w:p>
        </w:tc>
        <w:tc>
          <w:tcPr>
            <w:tcW w:w="1467" w:type="dxa"/>
            <w:tcBorders>
              <w:top w:val="nil"/>
              <w:bottom w:val="nil"/>
            </w:tcBorders>
            <w:shd w:val="clear" w:color="auto" w:fill="auto"/>
            <w:noWrap/>
            <w:vAlign w:val="bottom"/>
            <w:hideMark/>
          </w:tcPr>
          <w:p w14:paraId="0E7DC5A9" w14:textId="77777777" w:rsidR="00B27994" w:rsidRPr="002A091D" w:rsidRDefault="00B27994" w:rsidP="00B27994">
            <w:pPr>
              <w:rPr>
                <w:color w:val="000000"/>
                <w:sz w:val="20"/>
                <w:szCs w:val="20"/>
              </w:rPr>
            </w:pPr>
            <w:r w:rsidRPr="002A091D">
              <w:rPr>
                <w:color w:val="000000"/>
                <w:sz w:val="20"/>
                <w:szCs w:val="20"/>
              </w:rPr>
              <w:t>Ghana</w:t>
            </w:r>
          </w:p>
        </w:tc>
        <w:tc>
          <w:tcPr>
            <w:tcW w:w="1368" w:type="dxa"/>
            <w:tcBorders>
              <w:top w:val="nil"/>
              <w:bottom w:val="nil"/>
            </w:tcBorders>
            <w:shd w:val="clear" w:color="auto" w:fill="auto"/>
            <w:noWrap/>
            <w:vAlign w:val="bottom"/>
            <w:hideMark/>
          </w:tcPr>
          <w:p w14:paraId="0A14AEA7" w14:textId="77777777" w:rsidR="00B27994" w:rsidRPr="002A091D" w:rsidRDefault="00B27994" w:rsidP="00B27994">
            <w:pPr>
              <w:rPr>
                <w:color w:val="000000"/>
                <w:sz w:val="20"/>
                <w:szCs w:val="20"/>
              </w:rPr>
            </w:pPr>
            <w:r w:rsidRPr="002A091D">
              <w:rPr>
                <w:color w:val="000000"/>
                <w:sz w:val="20"/>
                <w:szCs w:val="20"/>
              </w:rPr>
              <w:t>Laos</w:t>
            </w:r>
          </w:p>
        </w:tc>
        <w:tc>
          <w:tcPr>
            <w:tcW w:w="1368" w:type="dxa"/>
            <w:tcBorders>
              <w:top w:val="nil"/>
              <w:bottom w:val="nil"/>
            </w:tcBorders>
            <w:shd w:val="clear" w:color="auto" w:fill="auto"/>
            <w:noWrap/>
            <w:vAlign w:val="bottom"/>
            <w:hideMark/>
          </w:tcPr>
          <w:p w14:paraId="567CF05E" w14:textId="77777777" w:rsidR="00B27994" w:rsidRPr="002A091D" w:rsidRDefault="00B27994" w:rsidP="00B27994">
            <w:pPr>
              <w:rPr>
                <w:color w:val="000000"/>
                <w:sz w:val="20"/>
                <w:szCs w:val="20"/>
              </w:rPr>
            </w:pPr>
            <w:r w:rsidRPr="002A091D">
              <w:rPr>
                <w:color w:val="000000"/>
                <w:sz w:val="20"/>
                <w:szCs w:val="20"/>
              </w:rPr>
              <w:t>New Zealand*</w:t>
            </w:r>
          </w:p>
        </w:tc>
        <w:tc>
          <w:tcPr>
            <w:tcW w:w="1443" w:type="dxa"/>
            <w:tcBorders>
              <w:top w:val="nil"/>
              <w:bottom w:val="nil"/>
            </w:tcBorders>
            <w:shd w:val="clear" w:color="auto" w:fill="auto"/>
            <w:noWrap/>
            <w:vAlign w:val="bottom"/>
            <w:hideMark/>
          </w:tcPr>
          <w:p w14:paraId="121E2CBA" w14:textId="77777777" w:rsidR="00B27994" w:rsidRPr="002A091D" w:rsidRDefault="00B27994" w:rsidP="00B27994">
            <w:pPr>
              <w:rPr>
                <w:color w:val="000000"/>
                <w:sz w:val="20"/>
                <w:szCs w:val="20"/>
              </w:rPr>
            </w:pPr>
            <w:r w:rsidRPr="002A091D">
              <w:rPr>
                <w:color w:val="000000"/>
                <w:sz w:val="20"/>
                <w:szCs w:val="20"/>
              </w:rPr>
              <w:t>Morocco</w:t>
            </w:r>
          </w:p>
        </w:tc>
        <w:tc>
          <w:tcPr>
            <w:tcW w:w="1279" w:type="dxa"/>
            <w:tcBorders>
              <w:top w:val="nil"/>
              <w:bottom w:val="nil"/>
            </w:tcBorders>
            <w:shd w:val="clear" w:color="auto" w:fill="auto"/>
            <w:noWrap/>
            <w:vAlign w:val="bottom"/>
            <w:hideMark/>
          </w:tcPr>
          <w:p w14:paraId="2AA6A899" w14:textId="77777777" w:rsidR="00B27994" w:rsidRPr="002A091D" w:rsidRDefault="00B27994" w:rsidP="00B27994">
            <w:pPr>
              <w:rPr>
                <w:color w:val="000000"/>
                <w:sz w:val="20"/>
                <w:szCs w:val="20"/>
              </w:rPr>
            </w:pPr>
            <w:r w:rsidRPr="002A091D">
              <w:rPr>
                <w:color w:val="000000"/>
                <w:sz w:val="20"/>
                <w:szCs w:val="20"/>
              </w:rPr>
              <w:t>Slovakia</w:t>
            </w:r>
          </w:p>
        </w:tc>
        <w:tc>
          <w:tcPr>
            <w:tcW w:w="1368" w:type="dxa"/>
            <w:tcBorders>
              <w:top w:val="nil"/>
              <w:bottom w:val="nil"/>
            </w:tcBorders>
            <w:shd w:val="clear" w:color="auto" w:fill="auto"/>
            <w:noWrap/>
            <w:vAlign w:val="bottom"/>
            <w:hideMark/>
          </w:tcPr>
          <w:p w14:paraId="569EC4EE" w14:textId="77777777" w:rsidR="00B27994" w:rsidRPr="002A091D" w:rsidRDefault="00B27994" w:rsidP="00B27994">
            <w:pPr>
              <w:rPr>
                <w:color w:val="000000"/>
                <w:sz w:val="20"/>
                <w:szCs w:val="20"/>
              </w:rPr>
            </w:pPr>
            <w:r w:rsidRPr="002A091D">
              <w:rPr>
                <w:color w:val="000000"/>
                <w:sz w:val="20"/>
                <w:szCs w:val="20"/>
              </w:rPr>
              <w:t>Lebanon</w:t>
            </w:r>
          </w:p>
        </w:tc>
        <w:tc>
          <w:tcPr>
            <w:tcW w:w="1163" w:type="dxa"/>
            <w:tcBorders>
              <w:top w:val="nil"/>
              <w:bottom w:val="nil"/>
            </w:tcBorders>
            <w:shd w:val="clear" w:color="auto" w:fill="auto"/>
            <w:noWrap/>
            <w:vAlign w:val="bottom"/>
            <w:hideMark/>
          </w:tcPr>
          <w:p w14:paraId="23F5C604" w14:textId="77777777" w:rsidR="00B27994" w:rsidRPr="002A091D" w:rsidRDefault="00B27994" w:rsidP="00B27994">
            <w:pPr>
              <w:rPr>
                <w:color w:val="000000"/>
                <w:sz w:val="20"/>
                <w:szCs w:val="20"/>
              </w:rPr>
            </w:pPr>
            <w:r w:rsidRPr="002A091D">
              <w:rPr>
                <w:color w:val="000000"/>
                <w:sz w:val="20"/>
                <w:szCs w:val="20"/>
              </w:rPr>
              <w:t xml:space="preserve">Jordan </w:t>
            </w:r>
          </w:p>
        </w:tc>
        <w:tc>
          <w:tcPr>
            <w:tcW w:w="1262" w:type="dxa"/>
            <w:tcBorders>
              <w:top w:val="nil"/>
              <w:bottom w:val="nil"/>
            </w:tcBorders>
            <w:shd w:val="clear" w:color="auto" w:fill="auto"/>
            <w:noWrap/>
            <w:vAlign w:val="bottom"/>
            <w:hideMark/>
          </w:tcPr>
          <w:p w14:paraId="26BA3BFB" w14:textId="77777777" w:rsidR="00B27994" w:rsidRPr="002A091D" w:rsidRDefault="00B27994" w:rsidP="00B27994">
            <w:pPr>
              <w:rPr>
                <w:color w:val="000000"/>
                <w:sz w:val="20"/>
                <w:szCs w:val="20"/>
              </w:rPr>
            </w:pPr>
            <w:r w:rsidRPr="002A091D">
              <w:rPr>
                <w:color w:val="000000"/>
                <w:sz w:val="20"/>
                <w:szCs w:val="20"/>
              </w:rPr>
              <w:t xml:space="preserve">Japan* </w:t>
            </w:r>
          </w:p>
        </w:tc>
        <w:tc>
          <w:tcPr>
            <w:tcW w:w="1504" w:type="dxa"/>
            <w:tcBorders>
              <w:top w:val="nil"/>
              <w:bottom w:val="nil"/>
            </w:tcBorders>
            <w:shd w:val="clear" w:color="auto" w:fill="auto"/>
            <w:noWrap/>
            <w:vAlign w:val="bottom"/>
            <w:hideMark/>
          </w:tcPr>
          <w:p w14:paraId="519BCC52" w14:textId="77777777" w:rsidR="00B27994" w:rsidRPr="002A091D" w:rsidRDefault="00B27994" w:rsidP="00B27994">
            <w:pPr>
              <w:rPr>
                <w:color w:val="000000"/>
                <w:sz w:val="20"/>
                <w:szCs w:val="20"/>
              </w:rPr>
            </w:pPr>
            <w:r w:rsidRPr="002A091D">
              <w:rPr>
                <w:color w:val="000000"/>
                <w:sz w:val="20"/>
                <w:szCs w:val="20"/>
              </w:rPr>
              <w:t>Qatar</w:t>
            </w:r>
          </w:p>
        </w:tc>
      </w:tr>
      <w:tr w:rsidR="00B27994" w:rsidRPr="002A091D" w14:paraId="125CD6C6" w14:textId="77777777" w:rsidTr="00B27994">
        <w:trPr>
          <w:trHeight w:val="163"/>
        </w:trPr>
        <w:tc>
          <w:tcPr>
            <w:tcW w:w="1099" w:type="dxa"/>
            <w:tcBorders>
              <w:top w:val="nil"/>
              <w:bottom w:val="nil"/>
            </w:tcBorders>
            <w:shd w:val="clear" w:color="auto" w:fill="auto"/>
            <w:noWrap/>
            <w:vAlign w:val="bottom"/>
            <w:hideMark/>
          </w:tcPr>
          <w:p w14:paraId="7E30B515" w14:textId="77777777" w:rsidR="00B27994" w:rsidRPr="002A091D" w:rsidRDefault="00B27994" w:rsidP="00B27994">
            <w:pPr>
              <w:jc w:val="right"/>
              <w:rPr>
                <w:color w:val="000000"/>
                <w:sz w:val="20"/>
                <w:szCs w:val="20"/>
              </w:rPr>
            </w:pPr>
            <w:r w:rsidRPr="002A091D">
              <w:rPr>
                <w:color w:val="000000"/>
                <w:sz w:val="20"/>
                <w:szCs w:val="20"/>
              </w:rPr>
              <w:t>2009</w:t>
            </w:r>
          </w:p>
        </w:tc>
        <w:tc>
          <w:tcPr>
            <w:tcW w:w="1368" w:type="dxa"/>
            <w:tcBorders>
              <w:top w:val="nil"/>
              <w:bottom w:val="nil"/>
            </w:tcBorders>
            <w:shd w:val="clear" w:color="auto" w:fill="auto"/>
            <w:noWrap/>
            <w:vAlign w:val="bottom"/>
            <w:hideMark/>
          </w:tcPr>
          <w:p w14:paraId="2D9FF42B" w14:textId="77777777" w:rsidR="00B27994" w:rsidRPr="002A091D" w:rsidRDefault="00B27994" w:rsidP="00B27994">
            <w:pPr>
              <w:rPr>
                <w:color w:val="000000"/>
                <w:sz w:val="20"/>
                <w:szCs w:val="20"/>
              </w:rPr>
            </w:pPr>
            <w:r w:rsidRPr="002A091D">
              <w:rPr>
                <w:color w:val="000000"/>
                <w:sz w:val="20"/>
                <w:szCs w:val="20"/>
              </w:rPr>
              <w:t>Brazil</w:t>
            </w:r>
          </w:p>
        </w:tc>
        <w:tc>
          <w:tcPr>
            <w:tcW w:w="1467" w:type="dxa"/>
            <w:tcBorders>
              <w:top w:val="nil"/>
              <w:bottom w:val="nil"/>
            </w:tcBorders>
            <w:shd w:val="clear" w:color="auto" w:fill="auto"/>
            <w:noWrap/>
            <w:vAlign w:val="bottom"/>
            <w:hideMark/>
          </w:tcPr>
          <w:p w14:paraId="6C66F41A" w14:textId="77777777" w:rsidR="00B27994" w:rsidRPr="002A091D" w:rsidRDefault="00B27994" w:rsidP="00B27994">
            <w:pPr>
              <w:rPr>
                <w:color w:val="000000"/>
                <w:sz w:val="20"/>
                <w:szCs w:val="20"/>
              </w:rPr>
            </w:pPr>
            <w:r w:rsidRPr="002A091D">
              <w:rPr>
                <w:color w:val="000000"/>
                <w:sz w:val="20"/>
                <w:szCs w:val="20"/>
              </w:rPr>
              <w:t xml:space="preserve">Russia </w:t>
            </w:r>
          </w:p>
        </w:tc>
        <w:tc>
          <w:tcPr>
            <w:tcW w:w="1368" w:type="dxa"/>
            <w:tcBorders>
              <w:top w:val="nil"/>
              <w:bottom w:val="nil"/>
            </w:tcBorders>
            <w:shd w:val="clear" w:color="auto" w:fill="auto"/>
            <w:noWrap/>
            <w:vAlign w:val="bottom"/>
            <w:hideMark/>
          </w:tcPr>
          <w:p w14:paraId="44AF8B85" w14:textId="77777777" w:rsidR="00B27994" w:rsidRPr="002A091D" w:rsidRDefault="00B27994" w:rsidP="00B27994">
            <w:pPr>
              <w:rPr>
                <w:color w:val="000000"/>
                <w:sz w:val="20"/>
                <w:szCs w:val="20"/>
              </w:rPr>
            </w:pPr>
            <w:r w:rsidRPr="002A091D">
              <w:rPr>
                <w:color w:val="000000"/>
                <w:sz w:val="20"/>
                <w:szCs w:val="20"/>
              </w:rPr>
              <w:t xml:space="preserve">Srilanka </w:t>
            </w:r>
          </w:p>
        </w:tc>
        <w:tc>
          <w:tcPr>
            <w:tcW w:w="1368" w:type="dxa"/>
            <w:tcBorders>
              <w:top w:val="nil"/>
              <w:bottom w:val="nil"/>
            </w:tcBorders>
            <w:shd w:val="clear" w:color="auto" w:fill="auto"/>
            <w:noWrap/>
            <w:vAlign w:val="bottom"/>
            <w:hideMark/>
          </w:tcPr>
          <w:p w14:paraId="1D8853BF" w14:textId="77777777" w:rsidR="00B27994" w:rsidRPr="002A091D" w:rsidRDefault="00B27994" w:rsidP="00B27994">
            <w:pPr>
              <w:rPr>
                <w:color w:val="000000"/>
                <w:sz w:val="20"/>
                <w:szCs w:val="20"/>
              </w:rPr>
            </w:pPr>
            <w:r w:rsidRPr="002A091D">
              <w:rPr>
                <w:color w:val="000000"/>
                <w:sz w:val="20"/>
                <w:szCs w:val="20"/>
              </w:rPr>
              <w:t>Peru</w:t>
            </w:r>
          </w:p>
        </w:tc>
        <w:tc>
          <w:tcPr>
            <w:tcW w:w="1443" w:type="dxa"/>
            <w:tcBorders>
              <w:top w:val="nil"/>
              <w:bottom w:val="nil"/>
            </w:tcBorders>
            <w:shd w:val="clear" w:color="auto" w:fill="auto"/>
            <w:noWrap/>
            <w:vAlign w:val="bottom"/>
            <w:hideMark/>
          </w:tcPr>
          <w:p w14:paraId="1201857B" w14:textId="77777777" w:rsidR="00B27994" w:rsidRPr="002A091D" w:rsidRDefault="00B27994" w:rsidP="00B27994">
            <w:pPr>
              <w:rPr>
                <w:color w:val="000000"/>
                <w:sz w:val="20"/>
                <w:szCs w:val="20"/>
              </w:rPr>
            </w:pPr>
            <w:r w:rsidRPr="002A091D">
              <w:rPr>
                <w:color w:val="000000"/>
                <w:sz w:val="20"/>
                <w:szCs w:val="20"/>
              </w:rPr>
              <w:t xml:space="preserve">Indonesia </w:t>
            </w:r>
          </w:p>
        </w:tc>
        <w:tc>
          <w:tcPr>
            <w:tcW w:w="1279" w:type="dxa"/>
            <w:tcBorders>
              <w:top w:val="nil"/>
              <w:bottom w:val="nil"/>
            </w:tcBorders>
            <w:shd w:val="clear" w:color="auto" w:fill="auto"/>
            <w:noWrap/>
            <w:vAlign w:val="bottom"/>
            <w:hideMark/>
          </w:tcPr>
          <w:p w14:paraId="5F6A70E9" w14:textId="77777777" w:rsidR="00B27994" w:rsidRPr="002A091D" w:rsidRDefault="00B27994" w:rsidP="00B27994">
            <w:pPr>
              <w:rPr>
                <w:color w:val="000000"/>
                <w:sz w:val="20"/>
                <w:szCs w:val="20"/>
              </w:rPr>
            </w:pPr>
            <w:r w:rsidRPr="002A091D">
              <w:rPr>
                <w:color w:val="000000"/>
                <w:sz w:val="20"/>
                <w:szCs w:val="20"/>
              </w:rPr>
              <w:t>Norway*</w:t>
            </w:r>
          </w:p>
        </w:tc>
        <w:tc>
          <w:tcPr>
            <w:tcW w:w="1368" w:type="dxa"/>
            <w:tcBorders>
              <w:top w:val="nil"/>
              <w:bottom w:val="nil"/>
            </w:tcBorders>
            <w:shd w:val="clear" w:color="auto" w:fill="auto"/>
            <w:noWrap/>
            <w:vAlign w:val="bottom"/>
            <w:hideMark/>
          </w:tcPr>
          <w:p w14:paraId="117A8173" w14:textId="77777777" w:rsidR="00B27994" w:rsidRPr="002A091D" w:rsidRDefault="00B27994" w:rsidP="00B27994">
            <w:pPr>
              <w:rPr>
                <w:color w:val="000000"/>
                <w:sz w:val="20"/>
                <w:szCs w:val="20"/>
              </w:rPr>
            </w:pPr>
            <w:r w:rsidRPr="002A091D">
              <w:rPr>
                <w:color w:val="000000"/>
                <w:sz w:val="20"/>
                <w:szCs w:val="20"/>
              </w:rPr>
              <w:t xml:space="preserve">Turkey </w:t>
            </w:r>
          </w:p>
        </w:tc>
        <w:tc>
          <w:tcPr>
            <w:tcW w:w="1163" w:type="dxa"/>
            <w:tcBorders>
              <w:top w:val="nil"/>
              <w:bottom w:val="nil"/>
            </w:tcBorders>
            <w:shd w:val="clear" w:color="auto" w:fill="auto"/>
            <w:noWrap/>
            <w:vAlign w:val="bottom"/>
            <w:hideMark/>
          </w:tcPr>
          <w:p w14:paraId="23C4D459" w14:textId="77777777" w:rsidR="00B27994" w:rsidRPr="002A091D" w:rsidRDefault="00B27994" w:rsidP="00B27994">
            <w:pPr>
              <w:rPr>
                <w:color w:val="000000"/>
                <w:sz w:val="20"/>
                <w:szCs w:val="20"/>
              </w:rPr>
            </w:pPr>
            <w:r w:rsidRPr="002A091D">
              <w:rPr>
                <w:color w:val="000000"/>
                <w:sz w:val="20"/>
                <w:szCs w:val="20"/>
              </w:rPr>
              <w:t xml:space="preserve">Argentina </w:t>
            </w:r>
          </w:p>
        </w:tc>
        <w:tc>
          <w:tcPr>
            <w:tcW w:w="1262" w:type="dxa"/>
            <w:tcBorders>
              <w:top w:val="nil"/>
              <w:bottom w:val="nil"/>
            </w:tcBorders>
            <w:shd w:val="clear" w:color="auto" w:fill="auto"/>
            <w:noWrap/>
            <w:vAlign w:val="bottom"/>
            <w:hideMark/>
          </w:tcPr>
          <w:p w14:paraId="51131D51" w14:textId="77777777" w:rsidR="00B27994" w:rsidRPr="002A091D" w:rsidRDefault="00B27994" w:rsidP="00B27994">
            <w:pPr>
              <w:rPr>
                <w:color w:val="000000"/>
                <w:sz w:val="20"/>
                <w:szCs w:val="20"/>
              </w:rPr>
            </w:pPr>
            <w:r w:rsidRPr="002A091D">
              <w:rPr>
                <w:color w:val="000000"/>
                <w:sz w:val="20"/>
                <w:szCs w:val="20"/>
              </w:rPr>
              <w:t xml:space="preserve">Chile </w:t>
            </w:r>
          </w:p>
        </w:tc>
        <w:tc>
          <w:tcPr>
            <w:tcW w:w="1504" w:type="dxa"/>
            <w:tcBorders>
              <w:top w:val="nil"/>
              <w:bottom w:val="nil"/>
            </w:tcBorders>
            <w:shd w:val="clear" w:color="auto" w:fill="auto"/>
            <w:noWrap/>
            <w:vAlign w:val="bottom"/>
            <w:hideMark/>
          </w:tcPr>
          <w:p w14:paraId="65589519" w14:textId="77777777" w:rsidR="00B27994" w:rsidRPr="002A091D" w:rsidRDefault="00B27994" w:rsidP="00B27994">
            <w:pPr>
              <w:rPr>
                <w:color w:val="000000"/>
                <w:sz w:val="20"/>
                <w:szCs w:val="20"/>
              </w:rPr>
            </w:pPr>
            <w:r w:rsidRPr="002A091D">
              <w:rPr>
                <w:color w:val="000000"/>
                <w:sz w:val="20"/>
                <w:szCs w:val="20"/>
              </w:rPr>
              <w:t xml:space="preserve">India </w:t>
            </w:r>
          </w:p>
        </w:tc>
      </w:tr>
      <w:tr w:rsidR="00B27994" w:rsidRPr="002A091D" w14:paraId="3BCD8DC5" w14:textId="77777777" w:rsidTr="00B27994">
        <w:trPr>
          <w:trHeight w:val="163"/>
        </w:trPr>
        <w:tc>
          <w:tcPr>
            <w:tcW w:w="1099" w:type="dxa"/>
            <w:tcBorders>
              <w:top w:val="nil"/>
              <w:bottom w:val="nil"/>
            </w:tcBorders>
            <w:shd w:val="clear" w:color="auto" w:fill="auto"/>
            <w:noWrap/>
            <w:vAlign w:val="bottom"/>
            <w:hideMark/>
          </w:tcPr>
          <w:p w14:paraId="0EA8129E" w14:textId="77777777" w:rsidR="00B27994" w:rsidRPr="002A091D" w:rsidRDefault="00B27994" w:rsidP="00B27994">
            <w:pPr>
              <w:jc w:val="right"/>
              <w:rPr>
                <w:color w:val="000000"/>
                <w:sz w:val="20"/>
                <w:szCs w:val="20"/>
              </w:rPr>
            </w:pPr>
            <w:r w:rsidRPr="002A091D">
              <w:rPr>
                <w:color w:val="000000"/>
                <w:sz w:val="20"/>
                <w:szCs w:val="20"/>
              </w:rPr>
              <w:t>2010</w:t>
            </w:r>
          </w:p>
        </w:tc>
        <w:tc>
          <w:tcPr>
            <w:tcW w:w="1368" w:type="dxa"/>
            <w:tcBorders>
              <w:top w:val="nil"/>
              <w:bottom w:val="nil"/>
            </w:tcBorders>
            <w:shd w:val="clear" w:color="auto" w:fill="auto"/>
            <w:noWrap/>
            <w:vAlign w:val="bottom"/>
            <w:hideMark/>
          </w:tcPr>
          <w:p w14:paraId="60DF0313" w14:textId="77777777" w:rsidR="00B27994" w:rsidRPr="002A091D" w:rsidRDefault="00B27994" w:rsidP="00B27994">
            <w:pPr>
              <w:rPr>
                <w:color w:val="000000"/>
                <w:sz w:val="20"/>
                <w:szCs w:val="20"/>
              </w:rPr>
            </w:pPr>
            <w:r w:rsidRPr="002A091D">
              <w:rPr>
                <w:color w:val="000000"/>
                <w:sz w:val="20"/>
                <w:szCs w:val="20"/>
              </w:rPr>
              <w:t>Mongolia</w:t>
            </w:r>
          </w:p>
        </w:tc>
        <w:tc>
          <w:tcPr>
            <w:tcW w:w="1467" w:type="dxa"/>
            <w:tcBorders>
              <w:top w:val="nil"/>
              <w:bottom w:val="nil"/>
            </w:tcBorders>
            <w:shd w:val="clear" w:color="auto" w:fill="auto"/>
            <w:noWrap/>
            <w:vAlign w:val="bottom"/>
            <w:hideMark/>
          </w:tcPr>
          <w:p w14:paraId="6685DB46" w14:textId="77777777" w:rsidR="00B27994" w:rsidRPr="002A091D" w:rsidRDefault="00B27994" w:rsidP="00B27994">
            <w:pPr>
              <w:rPr>
                <w:color w:val="000000"/>
                <w:sz w:val="20"/>
                <w:szCs w:val="20"/>
              </w:rPr>
            </w:pPr>
            <w:r w:rsidRPr="002A091D">
              <w:rPr>
                <w:color w:val="000000"/>
                <w:sz w:val="20"/>
                <w:szCs w:val="20"/>
              </w:rPr>
              <w:t>Srilanka</w:t>
            </w:r>
          </w:p>
        </w:tc>
        <w:tc>
          <w:tcPr>
            <w:tcW w:w="1368" w:type="dxa"/>
            <w:tcBorders>
              <w:top w:val="nil"/>
              <w:bottom w:val="nil"/>
            </w:tcBorders>
            <w:shd w:val="clear" w:color="auto" w:fill="auto"/>
            <w:noWrap/>
            <w:vAlign w:val="bottom"/>
            <w:hideMark/>
          </w:tcPr>
          <w:p w14:paraId="3839F16F" w14:textId="77777777" w:rsidR="00B27994" w:rsidRPr="002A091D" w:rsidRDefault="00B27994" w:rsidP="00B27994">
            <w:pPr>
              <w:rPr>
                <w:color w:val="000000"/>
                <w:sz w:val="20"/>
                <w:szCs w:val="20"/>
              </w:rPr>
            </w:pPr>
            <w:r w:rsidRPr="002A091D">
              <w:rPr>
                <w:color w:val="000000"/>
                <w:sz w:val="20"/>
                <w:szCs w:val="20"/>
              </w:rPr>
              <w:t>Peru</w:t>
            </w:r>
          </w:p>
        </w:tc>
        <w:tc>
          <w:tcPr>
            <w:tcW w:w="1368" w:type="dxa"/>
            <w:tcBorders>
              <w:top w:val="nil"/>
              <w:bottom w:val="nil"/>
            </w:tcBorders>
            <w:shd w:val="clear" w:color="auto" w:fill="auto"/>
            <w:noWrap/>
            <w:vAlign w:val="bottom"/>
            <w:hideMark/>
          </w:tcPr>
          <w:p w14:paraId="21F00379" w14:textId="77777777" w:rsidR="00B27994" w:rsidRPr="002A091D" w:rsidRDefault="00B27994" w:rsidP="00B27994">
            <w:pPr>
              <w:rPr>
                <w:color w:val="000000"/>
                <w:sz w:val="20"/>
                <w:szCs w:val="20"/>
              </w:rPr>
            </w:pPr>
            <w:r w:rsidRPr="002A091D">
              <w:rPr>
                <w:color w:val="000000"/>
                <w:sz w:val="20"/>
                <w:szCs w:val="20"/>
              </w:rPr>
              <w:t>Ukraine</w:t>
            </w:r>
          </w:p>
        </w:tc>
        <w:tc>
          <w:tcPr>
            <w:tcW w:w="1443" w:type="dxa"/>
            <w:tcBorders>
              <w:top w:val="nil"/>
              <w:bottom w:val="nil"/>
            </w:tcBorders>
            <w:shd w:val="clear" w:color="auto" w:fill="auto"/>
            <w:noWrap/>
            <w:vAlign w:val="bottom"/>
            <w:hideMark/>
          </w:tcPr>
          <w:p w14:paraId="0FC1EBC3" w14:textId="77777777" w:rsidR="00B27994" w:rsidRPr="002A091D" w:rsidRDefault="00B27994" w:rsidP="00B27994">
            <w:pPr>
              <w:rPr>
                <w:color w:val="000000"/>
                <w:sz w:val="20"/>
                <w:szCs w:val="20"/>
              </w:rPr>
            </w:pPr>
            <w:r w:rsidRPr="002A091D">
              <w:rPr>
                <w:color w:val="000000"/>
                <w:sz w:val="20"/>
                <w:szCs w:val="20"/>
              </w:rPr>
              <w:t xml:space="preserve">Estonia </w:t>
            </w:r>
          </w:p>
        </w:tc>
        <w:tc>
          <w:tcPr>
            <w:tcW w:w="1279" w:type="dxa"/>
            <w:tcBorders>
              <w:top w:val="nil"/>
              <w:bottom w:val="nil"/>
            </w:tcBorders>
            <w:shd w:val="clear" w:color="auto" w:fill="auto"/>
            <w:noWrap/>
            <w:vAlign w:val="bottom"/>
            <w:hideMark/>
          </w:tcPr>
          <w:p w14:paraId="1D7E512A" w14:textId="77777777" w:rsidR="00B27994" w:rsidRPr="002A091D" w:rsidRDefault="00B27994" w:rsidP="00B27994">
            <w:pPr>
              <w:rPr>
                <w:color w:val="000000"/>
                <w:sz w:val="20"/>
                <w:szCs w:val="20"/>
              </w:rPr>
            </w:pPr>
            <w:r w:rsidRPr="002A091D">
              <w:rPr>
                <w:color w:val="000000"/>
                <w:sz w:val="20"/>
                <w:szCs w:val="20"/>
              </w:rPr>
              <w:t xml:space="preserve">Thailand </w:t>
            </w:r>
          </w:p>
        </w:tc>
        <w:tc>
          <w:tcPr>
            <w:tcW w:w="1368" w:type="dxa"/>
            <w:tcBorders>
              <w:top w:val="nil"/>
              <w:bottom w:val="nil"/>
            </w:tcBorders>
            <w:shd w:val="clear" w:color="auto" w:fill="auto"/>
            <w:noWrap/>
            <w:vAlign w:val="bottom"/>
            <w:hideMark/>
          </w:tcPr>
          <w:p w14:paraId="11FC6A03" w14:textId="77777777" w:rsidR="00B27994" w:rsidRPr="002A091D" w:rsidRDefault="00B27994" w:rsidP="00B27994">
            <w:pPr>
              <w:rPr>
                <w:color w:val="000000"/>
                <w:sz w:val="20"/>
                <w:szCs w:val="20"/>
              </w:rPr>
            </w:pPr>
            <w:r w:rsidRPr="002A091D">
              <w:rPr>
                <w:color w:val="000000"/>
                <w:sz w:val="20"/>
                <w:szCs w:val="20"/>
              </w:rPr>
              <w:t>Indonesia</w:t>
            </w:r>
          </w:p>
        </w:tc>
        <w:tc>
          <w:tcPr>
            <w:tcW w:w="1163" w:type="dxa"/>
            <w:tcBorders>
              <w:top w:val="nil"/>
              <w:bottom w:val="nil"/>
            </w:tcBorders>
            <w:shd w:val="clear" w:color="auto" w:fill="auto"/>
            <w:noWrap/>
            <w:vAlign w:val="bottom"/>
            <w:hideMark/>
          </w:tcPr>
          <w:p w14:paraId="1B7BBFF2" w14:textId="77777777" w:rsidR="00B27994" w:rsidRPr="002A091D" w:rsidRDefault="00B27994" w:rsidP="00B27994">
            <w:pPr>
              <w:rPr>
                <w:color w:val="000000"/>
                <w:sz w:val="20"/>
                <w:szCs w:val="20"/>
              </w:rPr>
            </w:pPr>
            <w:r w:rsidRPr="002A091D">
              <w:rPr>
                <w:color w:val="000000"/>
                <w:sz w:val="20"/>
                <w:szCs w:val="20"/>
              </w:rPr>
              <w:t xml:space="preserve">Chile </w:t>
            </w:r>
          </w:p>
        </w:tc>
        <w:tc>
          <w:tcPr>
            <w:tcW w:w="1262" w:type="dxa"/>
            <w:tcBorders>
              <w:top w:val="nil"/>
              <w:bottom w:val="nil"/>
            </w:tcBorders>
            <w:shd w:val="clear" w:color="auto" w:fill="auto"/>
            <w:noWrap/>
            <w:vAlign w:val="bottom"/>
            <w:hideMark/>
          </w:tcPr>
          <w:p w14:paraId="757F6BFF" w14:textId="77777777" w:rsidR="00B27994" w:rsidRPr="002A091D" w:rsidRDefault="00B27994" w:rsidP="00B27994">
            <w:pPr>
              <w:rPr>
                <w:color w:val="000000"/>
                <w:sz w:val="20"/>
                <w:szCs w:val="20"/>
              </w:rPr>
            </w:pPr>
            <w:r w:rsidRPr="002A091D">
              <w:rPr>
                <w:color w:val="000000"/>
                <w:sz w:val="20"/>
                <w:szCs w:val="20"/>
              </w:rPr>
              <w:t xml:space="preserve">Argentina </w:t>
            </w:r>
          </w:p>
        </w:tc>
        <w:tc>
          <w:tcPr>
            <w:tcW w:w="1504" w:type="dxa"/>
            <w:tcBorders>
              <w:top w:val="nil"/>
              <w:bottom w:val="nil"/>
            </w:tcBorders>
            <w:shd w:val="clear" w:color="auto" w:fill="auto"/>
            <w:noWrap/>
            <w:vAlign w:val="bottom"/>
            <w:hideMark/>
          </w:tcPr>
          <w:p w14:paraId="345F019C" w14:textId="77777777" w:rsidR="00B27994" w:rsidRPr="002A091D" w:rsidRDefault="00B27994" w:rsidP="00B27994">
            <w:pPr>
              <w:rPr>
                <w:color w:val="000000"/>
                <w:sz w:val="20"/>
                <w:szCs w:val="20"/>
              </w:rPr>
            </w:pPr>
            <w:r w:rsidRPr="002A091D">
              <w:rPr>
                <w:color w:val="000000"/>
                <w:sz w:val="20"/>
                <w:szCs w:val="20"/>
              </w:rPr>
              <w:t xml:space="preserve">Philippines </w:t>
            </w:r>
          </w:p>
        </w:tc>
      </w:tr>
      <w:tr w:rsidR="00B27994" w:rsidRPr="002A091D" w14:paraId="7915448A" w14:textId="77777777" w:rsidTr="00B27994">
        <w:trPr>
          <w:trHeight w:val="163"/>
        </w:trPr>
        <w:tc>
          <w:tcPr>
            <w:tcW w:w="1099" w:type="dxa"/>
            <w:tcBorders>
              <w:top w:val="nil"/>
              <w:bottom w:val="nil"/>
            </w:tcBorders>
            <w:shd w:val="clear" w:color="auto" w:fill="auto"/>
            <w:noWrap/>
            <w:vAlign w:val="bottom"/>
            <w:hideMark/>
          </w:tcPr>
          <w:p w14:paraId="57C49F13" w14:textId="77777777" w:rsidR="00B27994" w:rsidRPr="002A091D" w:rsidRDefault="00B27994" w:rsidP="00B27994">
            <w:pPr>
              <w:jc w:val="right"/>
              <w:rPr>
                <w:color w:val="000000"/>
                <w:sz w:val="20"/>
                <w:szCs w:val="20"/>
              </w:rPr>
            </w:pPr>
            <w:r w:rsidRPr="002A091D">
              <w:rPr>
                <w:color w:val="000000"/>
                <w:sz w:val="20"/>
                <w:szCs w:val="20"/>
              </w:rPr>
              <w:t>2011</w:t>
            </w:r>
          </w:p>
        </w:tc>
        <w:tc>
          <w:tcPr>
            <w:tcW w:w="1368" w:type="dxa"/>
            <w:tcBorders>
              <w:top w:val="nil"/>
              <w:bottom w:val="nil"/>
            </w:tcBorders>
            <w:shd w:val="clear" w:color="auto" w:fill="auto"/>
            <w:noWrap/>
            <w:vAlign w:val="bottom"/>
            <w:hideMark/>
          </w:tcPr>
          <w:p w14:paraId="2D1773F2" w14:textId="77777777" w:rsidR="00B27994" w:rsidRPr="002A091D" w:rsidRDefault="00B27994" w:rsidP="00B27994">
            <w:pPr>
              <w:rPr>
                <w:color w:val="000000"/>
                <w:sz w:val="20"/>
                <w:szCs w:val="20"/>
              </w:rPr>
            </w:pPr>
            <w:r w:rsidRPr="002A091D">
              <w:rPr>
                <w:color w:val="000000"/>
                <w:sz w:val="20"/>
                <w:szCs w:val="20"/>
              </w:rPr>
              <w:t>Mongolia</w:t>
            </w:r>
          </w:p>
        </w:tc>
        <w:tc>
          <w:tcPr>
            <w:tcW w:w="1467" w:type="dxa"/>
            <w:tcBorders>
              <w:top w:val="nil"/>
              <w:bottom w:val="nil"/>
            </w:tcBorders>
            <w:shd w:val="clear" w:color="auto" w:fill="auto"/>
            <w:noWrap/>
            <w:vAlign w:val="bottom"/>
            <w:hideMark/>
          </w:tcPr>
          <w:p w14:paraId="77C7CECC" w14:textId="77777777" w:rsidR="00B27994" w:rsidRPr="002A091D" w:rsidRDefault="00B27994" w:rsidP="00B27994">
            <w:pPr>
              <w:rPr>
                <w:color w:val="000000"/>
                <w:sz w:val="20"/>
                <w:szCs w:val="20"/>
              </w:rPr>
            </w:pPr>
            <w:r w:rsidRPr="002A091D">
              <w:rPr>
                <w:color w:val="000000"/>
                <w:sz w:val="20"/>
                <w:szCs w:val="20"/>
              </w:rPr>
              <w:t>Zambia</w:t>
            </w:r>
          </w:p>
        </w:tc>
        <w:tc>
          <w:tcPr>
            <w:tcW w:w="1368" w:type="dxa"/>
            <w:tcBorders>
              <w:top w:val="nil"/>
              <w:bottom w:val="nil"/>
            </w:tcBorders>
            <w:shd w:val="clear" w:color="auto" w:fill="auto"/>
            <w:noWrap/>
            <w:vAlign w:val="bottom"/>
            <w:hideMark/>
          </w:tcPr>
          <w:p w14:paraId="475557AD" w14:textId="77777777" w:rsidR="00B27994" w:rsidRPr="002A091D" w:rsidRDefault="00B27994" w:rsidP="00B27994">
            <w:pPr>
              <w:rPr>
                <w:color w:val="000000"/>
                <w:sz w:val="20"/>
                <w:szCs w:val="20"/>
              </w:rPr>
            </w:pPr>
            <w:r w:rsidRPr="002A091D">
              <w:rPr>
                <w:color w:val="000000"/>
                <w:sz w:val="20"/>
                <w:szCs w:val="20"/>
              </w:rPr>
              <w:t>Jamaica</w:t>
            </w:r>
          </w:p>
        </w:tc>
        <w:tc>
          <w:tcPr>
            <w:tcW w:w="1368" w:type="dxa"/>
            <w:tcBorders>
              <w:top w:val="nil"/>
              <w:bottom w:val="nil"/>
            </w:tcBorders>
            <w:shd w:val="clear" w:color="auto" w:fill="auto"/>
            <w:noWrap/>
            <w:vAlign w:val="bottom"/>
            <w:hideMark/>
          </w:tcPr>
          <w:p w14:paraId="30117385" w14:textId="77777777" w:rsidR="00B27994" w:rsidRPr="002A091D" w:rsidRDefault="00B27994" w:rsidP="00B27994">
            <w:pPr>
              <w:rPr>
                <w:color w:val="000000"/>
                <w:sz w:val="20"/>
                <w:szCs w:val="20"/>
              </w:rPr>
            </w:pPr>
            <w:r w:rsidRPr="002A091D">
              <w:rPr>
                <w:color w:val="000000"/>
                <w:sz w:val="20"/>
                <w:szCs w:val="20"/>
              </w:rPr>
              <w:t>U.S.*</w:t>
            </w:r>
          </w:p>
        </w:tc>
        <w:tc>
          <w:tcPr>
            <w:tcW w:w="1443" w:type="dxa"/>
            <w:tcBorders>
              <w:top w:val="nil"/>
              <w:bottom w:val="nil"/>
            </w:tcBorders>
            <w:shd w:val="clear" w:color="auto" w:fill="auto"/>
            <w:noWrap/>
            <w:vAlign w:val="bottom"/>
            <w:hideMark/>
          </w:tcPr>
          <w:p w14:paraId="28898FD5" w14:textId="77777777" w:rsidR="00B27994" w:rsidRPr="002A091D" w:rsidRDefault="00B27994" w:rsidP="00B27994">
            <w:pPr>
              <w:rPr>
                <w:color w:val="000000"/>
                <w:sz w:val="20"/>
                <w:szCs w:val="20"/>
              </w:rPr>
            </w:pPr>
            <w:r w:rsidRPr="002A091D">
              <w:rPr>
                <w:color w:val="000000"/>
                <w:sz w:val="20"/>
                <w:szCs w:val="20"/>
              </w:rPr>
              <w:t>Philippines</w:t>
            </w:r>
          </w:p>
        </w:tc>
        <w:tc>
          <w:tcPr>
            <w:tcW w:w="1279" w:type="dxa"/>
            <w:tcBorders>
              <w:top w:val="nil"/>
              <w:bottom w:val="nil"/>
            </w:tcBorders>
            <w:shd w:val="clear" w:color="auto" w:fill="auto"/>
            <w:noWrap/>
            <w:vAlign w:val="bottom"/>
            <w:hideMark/>
          </w:tcPr>
          <w:p w14:paraId="405FA20A" w14:textId="77777777" w:rsidR="00B27994" w:rsidRPr="002A091D" w:rsidRDefault="00B27994" w:rsidP="00B27994">
            <w:pPr>
              <w:rPr>
                <w:color w:val="000000"/>
                <w:sz w:val="20"/>
                <w:szCs w:val="20"/>
              </w:rPr>
            </w:pPr>
            <w:r w:rsidRPr="002A091D">
              <w:rPr>
                <w:color w:val="000000"/>
                <w:sz w:val="20"/>
                <w:szCs w:val="20"/>
              </w:rPr>
              <w:t>Indonesia</w:t>
            </w:r>
          </w:p>
        </w:tc>
        <w:tc>
          <w:tcPr>
            <w:tcW w:w="1368" w:type="dxa"/>
            <w:tcBorders>
              <w:top w:val="nil"/>
              <w:bottom w:val="nil"/>
            </w:tcBorders>
            <w:shd w:val="clear" w:color="auto" w:fill="auto"/>
            <w:noWrap/>
            <w:vAlign w:val="bottom"/>
            <w:hideMark/>
          </w:tcPr>
          <w:p w14:paraId="2FD8344C" w14:textId="77777777" w:rsidR="00B27994" w:rsidRPr="002A091D" w:rsidRDefault="00B27994" w:rsidP="00B27994">
            <w:pPr>
              <w:rPr>
                <w:color w:val="000000"/>
                <w:sz w:val="20"/>
                <w:szCs w:val="20"/>
              </w:rPr>
            </w:pPr>
            <w:r w:rsidRPr="002A091D">
              <w:rPr>
                <w:color w:val="000000"/>
                <w:sz w:val="20"/>
                <w:szCs w:val="20"/>
              </w:rPr>
              <w:t>Qatar</w:t>
            </w:r>
          </w:p>
        </w:tc>
        <w:tc>
          <w:tcPr>
            <w:tcW w:w="1163" w:type="dxa"/>
            <w:tcBorders>
              <w:top w:val="nil"/>
              <w:bottom w:val="nil"/>
            </w:tcBorders>
            <w:shd w:val="clear" w:color="auto" w:fill="auto"/>
            <w:noWrap/>
            <w:vAlign w:val="bottom"/>
            <w:hideMark/>
          </w:tcPr>
          <w:p w14:paraId="145B1936" w14:textId="77777777" w:rsidR="00B27994" w:rsidRPr="002A091D" w:rsidRDefault="00B27994" w:rsidP="00B27994">
            <w:pPr>
              <w:rPr>
                <w:color w:val="000000"/>
                <w:sz w:val="20"/>
                <w:szCs w:val="20"/>
              </w:rPr>
            </w:pPr>
            <w:r w:rsidRPr="002A091D">
              <w:rPr>
                <w:color w:val="000000"/>
                <w:sz w:val="20"/>
                <w:szCs w:val="20"/>
              </w:rPr>
              <w:t xml:space="preserve">Mauritius </w:t>
            </w:r>
          </w:p>
        </w:tc>
        <w:tc>
          <w:tcPr>
            <w:tcW w:w="1262" w:type="dxa"/>
            <w:tcBorders>
              <w:top w:val="nil"/>
              <w:bottom w:val="nil"/>
            </w:tcBorders>
            <w:shd w:val="clear" w:color="auto" w:fill="auto"/>
            <w:noWrap/>
            <w:vAlign w:val="bottom"/>
            <w:hideMark/>
          </w:tcPr>
          <w:p w14:paraId="05E2D8AE" w14:textId="77777777" w:rsidR="00B27994" w:rsidRPr="002A091D" w:rsidRDefault="00B27994" w:rsidP="00B27994">
            <w:pPr>
              <w:rPr>
                <w:color w:val="000000"/>
                <w:sz w:val="20"/>
                <w:szCs w:val="20"/>
              </w:rPr>
            </w:pPr>
            <w:r w:rsidRPr="002A091D">
              <w:rPr>
                <w:color w:val="000000"/>
                <w:sz w:val="20"/>
                <w:szCs w:val="20"/>
              </w:rPr>
              <w:t xml:space="preserve">New Zealand* </w:t>
            </w:r>
          </w:p>
        </w:tc>
        <w:tc>
          <w:tcPr>
            <w:tcW w:w="1504" w:type="dxa"/>
            <w:tcBorders>
              <w:top w:val="nil"/>
              <w:bottom w:val="nil"/>
            </w:tcBorders>
            <w:shd w:val="clear" w:color="auto" w:fill="auto"/>
            <w:noWrap/>
            <w:vAlign w:val="bottom"/>
            <w:hideMark/>
          </w:tcPr>
          <w:p w14:paraId="6A9F3731" w14:textId="77777777" w:rsidR="00B27994" w:rsidRPr="002A091D" w:rsidRDefault="00B27994" w:rsidP="00B27994">
            <w:pPr>
              <w:rPr>
                <w:color w:val="000000"/>
                <w:sz w:val="20"/>
                <w:szCs w:val="20"/>
              </w:rPr>
            </w:pPr>
            <w:r w:rsidRPr="002A091D">
              <w:rPr>
                <w:color w:val="000000"/>
                <w:sz w:val="20"/>
                <w:szCs w:val="20"/>
              </w:rPr>
              <w:t xml:space="preserve">Malaysia </w:t>
            </w:r>
          </w:p>
        </w:tc>
      </w:tr>
      <w:tr w:rsidR="00B27994" w:rsidRPr="002A091D" w14:paraId="56C93E0D" w14:textId="77777777" w:rsidTr="00B27994">
        <w:trPr>
          <w:trHeight w:val="163"/>
        </w:trPr>
        <w:tc>
          <w:tcPr>
            <w:tcW w:w="1099" w:type="dxa"/>
            <w:tcBorders>
              <w:top w:val="nil"/>
              <w:bottom w:val="nil"/>
            </w:tcBorders>
            <w:shd w:val="clear" w:color="auto" w:fill="auto"/>
            <w:noWrap/>
            <w:vAlign w:val="bottom"/>
            <w:hideMark/>
          </w:tcPr>
          <w:p w14:paraId="3FF357FF" w14:textId="77777777" w:rsidR="00B27994" w:rsidRPr="002A091D" w:rsidRDefault="00B27994" w:rsidP="00B27994">
            <w:pPr>
              <w:jc w:val="right"/>
              <w:rPr>
                <w:color w:val="000000"/>
                <w:sz w:val="20"/>
                <w:szCs w:val="20"/>
              </w:rPr>
            </w:pPr>
            <w:r w:rsidRPr="002A091D">
              <w:rPr>
                <w:color w:val="000000"/>
                <w:sz w:val="20"/>
                <w:szCs w:val="20"/>
              </w:rPr>
              <w:t>2012</w:t>
            </w:r>
          </w:p>
        </w:tc>
        <w:tc>
          <w:tcPr>
            <w:tcW w:w="1368" w:type="dxa"/>
            <w:tcBorders>
              <w:top w:val="nil"/>
              <w:bottom w:val="nil"/>
            </w:tcBorders>
            <w:shd w:val="clear" w:color="auto" w:fill="auto"/>
            <w:noWrap/>
            <w:vAlign w:val="bottom"/>
            <w:hideMark/>
          </w:tcPr>
          <w:p w14:paraId="7583A0D5" w14:textId="77777777" w:rsidR="00B27994" w:rsidRPr="002A091D" w:rsidRDefault="00B27994" w:rsidP="00B27994">
            <w:pPr>
              <w:rPr>
                <w:color w:val="000000"/>
                <w:sz w:val="20"/>
                <w:szCs w:val="20"/>
              </w:rPr>
            </w:pPr>
            <w:r w:rsidRPr="002A091D">
              <w:rPr>
                <w:color w:val="000000"/>
                <w:sz w:val="20"/>
                <w:szCs w:val="20"/>
              </w:rPr>
              <w:t xml:space="preserve">Turkey </w:t>
            </w:r>
          </w:p>
        </w:tc>
        <w:tc>
          <w:tcPr>
            <w:tcW w:w="1467" w:type="dxa"/>
            <w:tcBorders>
              <w:top w:val="nil"/>
              <w:bottom w:val="nil"/>
            </w:tcBorders>
            <w:shd w:val="clear" w:color="auto" w:fill="auto"/>
            <w:noWrap/>
            <w:vAlign w:val="bottom"/>
            <w:hideMark/>
          </w:tcPr>
          <w:p w14:paraId="55BE0B5B" w14:textId="77777777" w:rsidR="00B27994" w:rsidRPr="002A091D" w:rsidRDefault="00B27994" w:rsidP="00B27994">
            <w:pPr>
              <w:rPr>
                <w:color w:val="000000"/>
                <w:sz w:val="20"/>
                <w:szCs w:val="20"/>
              </w:rPr>
            </w:pPr>
            <w:r w:rsidRPr="002A091D">
              <w:rPr>
                <w:color w:val="000000"/>
                <w:sz w:val="20"/>
                <w:szCs w:val="20"/>
              </w:rPr>
              <w:t>Egypt</w:t>
            </w:r>
          </w:p>
        </w:tc>
        <w:tc>
          <w:tcPr>
            <w:tcW w:w="1368" w:type="dxa"/>
            <w:tcBorders>
              <w:top w:val="nil"/>
              <w:bottom w:val="nil"/>
            </w:tcBorders>
            <w:shd w:val="clear" w:color="auto" w:fill="auto"/>
            <w:noWrap/>
            <w:vAlign w:val="bottom"/>
            <w:hideMark/>
          </w:tcPr>
          <w:p w14:paraId="76C68530" w14:textId="77777777" w:rsidR="00B27994" w:rsidRPr="002A091D" w:rsidRDefault="00B27994" w:rsidP="00B27994">
            <w:pPr>
              <w:rPr>
                <w:color w:val="000000"/>
                <w:sz w:val="20"/>
                <w:szCs w:val="20"/>
              </w:rPr>
            </w:pPr>
            <w:r w:rsidRPr="002A091D">
              <w:rPr>
                <w:color w:val="000000"/>
                <w:sz w:val="20"/>
                <w:szCs w:val="20"/>
              </w:rPr>
              <w:t>Philippines</w:t>
            </w:r>
          </w:p>
        </w:tc>
        <w:tc>
          <w:tcPr>
            <w:tcW w:w="1368" w:type="dxa"/>
            <w:tcBorders>
              <w:top w:val="nil"/>
              <w:bottom w:val="nil"/>
            </w:tcBorders>
            <w:shd w:val="clear" w:color="auto" w:fill="auto"/>
            <w:noWrap/>
            <w:vAlign w:val="bottom"/>
            <w:hideMark/>
          </w:tcPr>
          <w:p w14:paraId="38F06831" w14:textId="77777777" w:rsidR="00B27994" w:rsidRPr="002A091D" w:rsidRDefault="00B27994" w:rsidP="00B27994">
            <w:pPr>
              <w:rPr>
                <w:color w:val="000000"/>
                <w:sz w:val="20"/>
                <w:szCs w:val="20"/>
              </w:rPr>
            </w:pPr>
            <w:r w:rsidRPr="002A091D">
              <w:rPr>
                <w:color w:val="000000"/>
                <w:sz w:val="20"/>
                <w:szCs w:val="20"/>
              </w:rPr>
              <w:t>Estonia</w:t>
            </w:r>
          </w:p>
        </w:tc>
        <w:tc>
          <w:tcPr>
            <w:tcW w:w="1443" w:type="dxa"/>
            <w:tcBorders>
              <w:top w:val="nil"/>
              <w:bottom w:val="nil"/>
            </w:tcBorders>
            <w:shd w:val="clear" w:color="auto" w:fill="auto"/>
            <w:noWrap/>
            <w:vAlign w:val="bottom"/>
            <w:hideMark/>
          </w:tcPr>
          <w:p w14:paraId="79D9ED0C" w14:textId="77777777" w:rsidR="00B27994" w:rsidRPr="002A091D" w:rsidRDefault="00B27994" w:rsidP="00B27994">
            <w:pPr>
              <w:rPr>
                <w:color w:val="000000"/>
                <w:sz w:val="20"/>
                <w:szCs w:val="20"/>
              </w:rPr>
            </w:pPr>
            <w:r w:rsidRPr="002A091D">
              <w:rPr>
                <w:color w:val="000000"/>
                <w:sz w:val="20"/>
                <w:szCs w:val="20"/>
              </w:rPr>
              <w:t>Nigeria</w:t>
            </w:r>
          </w:p>
        </w:tc>
        <w:tc>
          <w:tcPr>
            <w:tcW w:w="1279" w:type="dxa"/>
            <w:tcBorders>
              <w:top w:val="nil"/>
              <w:bottom w:val="nil"/>
            </w:tcBorders>
            <w:shd w:val="clear" w:color="auto" w:fill="auto"/>
            <w:noWrap/>
            <w:vAlign w:val="bottom"/>
            <w:hideMark/>
          </w:tcPr>
          <w:p w14:paraId="3867EFFA" w14:textId="77777777" w:rsidR="00B27994" w:rsidRPr="002A091D" w:rsidRDefault="00B27994" w:rsidP="00B27994">
            <w:pPr>
              <w:rPr>
                <w:color w:val="000000"/>
                <w:sz w:val="20"/>
                <w:szCs w:val="20"/>
              </w:rPr>
            </w:pPr>
            <w:r w:rsidRPr="002A091D">
              <w:rPr>
                <w:color w:val="000000"/>
                <w:sz w:val="20"/>
                <w:szCs w:val="20"/>
              </w:rPr>
              <w:t xml:space="preserve">Thailand </w:t>
            </w:r>
          </w:p>
        </w:tc>
        <w:tc>
          <w:tcPr>
            <w:tcW w:w="1368" w:type="dxa"/>
            <w:tcBorders>
              <w:top w:val="nil"/>
              <w:bottom w:val="nil"/>
            </w:tcBorders>
            <w:shd w:val="clear" w:color="auto" w:fill="auto"/>
            <w:noWrap/>
            <w:vAlign w:val="bottom"/>
            <w:hideMark/>
          </w:tcPr>
          <w:p w14:paraId="066E2529" w14:textId="77777777" w:rsidR="00B27994" w:rsidRPr="002A091D" w:rsidRDefault="00B27994" w:rsidP="00B27994">
            <w:pPr>
              <w:rPr>
                <w:color w:val="000000"/>
                <w:sz w:val="20"/>
                <w:szCs w:val="20"/>
              </w:rPr>
            </w:pPr>
            <w:r w:rsidRPr="002A091D">
              <w:rPr>
                <w:color w:val="000000"/>
                <w:sz w:val="20"/>
                <w:szCs w:val="20"/>
              </w:rPr>
              <w:t>Kenya</w:t>
            </w:r>
          </w:p>
        </w:tc>
        <w:tc>
          <w:tcPr>
            <w:tcW w:w="1163" w:type="dxa"/>
            <w:tcBorders>
              <w:top w:val="nil"/>
              <w:bottom w:val="nil"/>
            </w:tcBorders>
            <w:shd w:val="clear" w:color="auto" w:fill="auto"/>
            <w:noWrap/>
            <w:vAlign w:val="bottom"/>
            <w:hideMark/>
          </w:tcPr>
          <w:p w14:paraId="4A94597B" w14:textId="77777777" w:rsidR="00B27994" w:rsidRPr="002A091D" w:rsidRDefault="00B27994" w:rsidP="00B27994">
            <w:pPr>
              <w:rPr>
                <w:color w:val="000000"/>
                <w:sz w:val="20"/>
                <w:szCs w:val="20"/>
              </w:rPr>
            </w:pPr>
            <w:r w:rsidRPr="002A091D">
              <w:rPr>
                <w:color w:val="000000"/>
                <w:sz w:val="20"/>
                <w:szCs w:val="20"/>
              </w:rPr>
              <w:t xml:space="preserve">Pakistan </w:t>
            </w:r>
          </w:p>
        </w:tc>
        <w:tc>
          <w:tcPr>
            <w:tcW w:w="1262" w:type="dxa"/>
            <w:tcBorders>
              <w:top w:val="nil"/>
              <w:bottom w:val="nil"/>
            </w:tcBorders>
            <w:shd w:val="clear" w:color="auto" w:fill="auto"/>
            <w:noWrap/>
            <w:vAlign w:val="bottom"/>
            <w:hideMark/>
          </w:tcPr>
          <w:p w14:paraId="38399761" w14:textId="77777777" w:rsidR="00B27994" w:rsidRPr="002A091D" w:rsidRDefault="00B27994" w:rsidP="00B27994">
            <w:pPr>
              <w:rPr>
                <w:color w:val="000000"/>
                <w:sz w:val="20"/>
                <w:szCs w:val="20"/>
              </w:rPr>
            </w:pPr>
            <w:r w:rsidRPr="002A091D">
              <w:rPr>
                <w:color w:val="000000"/>
                <w:sz w:val="20"/>
                <w:szCs w:val="20"/>
              </w:rPr>
              <w:t xml:space="preserve">Greece* </w:t>
            </w:r>
          </w:p>
        </w:tc>
        <w:tc>
          <w:tcPr>
            <w:tcW w:w="1504" w:type="dxa"/>
            <w:tcBorders>
              <w:top w:val="nil"/>
              <w:bottom w:val="nil"/>
            </w:tcBorders>
            <w:shd w:val="clear" w:color="auto" w:fill="auto"/>
            <w:noWrap/>
            <w:vAlign w:val="bottom"/>
            <w:hideMark/>
          </w:tcPr>
          <w:p w14:paraId="147139F6" w14:textId="77777777" w:rsidR="00B27994" w:rsidRPr="002A091D" w:rsidRDefault="00B27994" w:rsidP="00B27994">
            <w:pPr>
              <w:rPr>
                <w:color w:val="000000"/>
                <w:sz w:val="20"/>
                <w:szCs w:val="20"/>
              </w:rPr>
            </w:pPr>
            <w:r w:rsidRPr="002A091D">
              <w:rPr>
                <w:color w:val="000000"/>
                <w:sz w:val="20"/>
                <w:szCs w:val="20"/>
              </w:rPr>
              <w:t xml:space="preserve">Laos </w:t>
            </w:r>
          </w:p>
        </w:tc>
      </w:tr>
      <w:tr w:rsidR="00B27994" w:rsidRPr="002A091D" w14:paraId="63A28AAC" w14:textId="77777777" w:rsidTr="00B27994">
        <w:trPr>
          <w:trHeight w:val="163"/>
        </w:trPr>
        <w:tc>
          <w:tcPr>
            <w:tcW w:w="1099" w:type="dxa"/>
            <w:tcBorders>
              <w:top w:val="nil"/>
              <w:bottom w:val="nil"/>
            </w:tcBorders>
            <w:shd w:val="clear" w:color="auto" w:fill="auto"/>
            <w:noWrap/>
            <w:vAlign w:val="bottom"/>
            <w:hideMark/>
          </w:tcPr>
          <w:p w14:paraId="015E4E98" w14:textId="77777777" w:rsidR="00B27994" w:rsidRPr="002A091D" w:rsidRDefault="00B27994" w:rsidP="00B27994">
            <w:pPr>
              <w:jc w:val="right"/>
              <w:rPr>
                <w:color w:val="000000"/>
                <w:sz w:val="20"/>
                <w:szCs w:val="20"/>
              </w:rPr>
            </w:pPr>
            <w:r w:rsidRPr="002A091D">
              <w:rPr>
                <w:color w:val="000000"/>
                <w:sz w:val="20"/>
                <w:szCs w:val="20"/>
              </w:rPr>
              <w:t>2013</w:t>
            </w:r>
          </w:p>
        </w:tc>
        <w:tc>
          <w:tcPr>
            <w:tcW w:w="1368" w:type="dxa"/>
            <w:tcBorders>
              <w:top w:val="nil"/>
              <w:bottom w:val="nil"/>
            </w:tcBorders>
            <w:shd w:val="clear" w:color="auto" w:fill="auto"/>
            <w:noWrap/>
            <w:vAlign w:val="bottom"/>
            <w:hideMark/>
          </w:tcPr>
          <w:p w14:paraId="19F9D6D7" w14:textId="77777777" w:rsidR="00B27994" w:rsidRPr="002A091D" w:rsidRDefault="00B27994" w:rsidP="00B27994">
            <w:pPr>
              <w:rPr>
                <w:color w:val="000000"/>
                <w:sz w:val="20"/>
                <w:szCs w:val="20"/>
              </w:rPr>
            </w:pPr>
            <w:r w:rsidRPr="002A091D">
              <w:rPr>
                <w:color w:val="000000"/>
                <w:sz w:val="20"/>
                <w:szCs w:val="20"/>
              </w:rPr>
              <w:t>Dubai</w:t>
            </w:r>
          </w:p>
        </w:tc>
        <w:tc>
          <w:tcPr>
            <w:tcW w:w="1467" w:type="dxa"/>
            <w:tcBorders>
              <w:top w:val="nil"/>
              <w:bottom w:val="nil"/>
            </w:tcBorders>
            <w:shd w:val="clear" w:color="auto" w:fill="auto"/>
            <w:noWrap/>
            <w:vAlign w:val="bottom"/>
            <w:hideMark/>
          </w:tcPr>
          <w:p w14:paraId="20B3C3BC" w14:textId="77777777" w:rsidR="00B27994" w:rsidRPr="002A091D" w:rsidRDefault="00B27994" w:rsidP="00B27994">
            <w:pPr>
              <w:rPr>
                <w:color w:val="000000"/>
                <w:sz w:val="20"/>
                <w:szCs w:val="20"/>
              </w:rPr>
            </w:pPr>
            <w:r w:rsidRPr="002A091D">
              <w:rPr>
                <w:color w:val="000000"/>
                <w:sz w:val="20"/>
                <w:szCs w:val="20"/>
              </w:rPr>
              <w:t>Abu Dubai</w:t>
            </w:r>
          </w:p>
        </w:tc>
        <w:tc>
          <w:tcPr>
            <w:tcW w:w="1368" w:type="dxa"/>
            <w:tcBorders>
              <w:top w:val="nil"/>
              <w:bottom w:val="nil"/>
            </w:tcBorders>
            <w:shd w:val="clear" w:color="auto" w:fill="auto"/>
            <w:noWrap/>
            <w:vAlign w:val="bottom"/>
            <w:hideMark/>
          </w:tcPr>
          <w:p w14:paraId="2B68C92B" w14:textId="77777777" w:rsidR="00B27994" w:rsidRPr="002A091D" w:rsidRDefault="00B27994" w:rsidP="00B27994">
            <w:pPr>
              <w:rPr>
                <w:color w:val="000000"/>
                <w:sz w:val="20"/>
                <w:szCs w:val="20"/>
              </w:rPr>
            </w:pPr>
            <w:r w:rsidRPr="002A091D">
              <w:rPr>
                <w:color w:val="000000"/>
                <w:sz w:val="20"/>
                <w:szCs w:val="20"/>
              </w:rPr>
              <w:t>Bulgaria</w:t>
            </w:r>
          </w:p>
        </w:tc>
        <w:tc>
          <w:tcPr>
            <w:tcW w:w="1368" w:type="dxa"/>
            <w:tcBorders>
              <w:top w:val="nil"/>
              <w:bottom w:val="nil"/>
            </w:tcBorders>
            <w:shd w:val="clear" w:color="auto" w:fill="auto"/>
            <w:noWrap/>
            <w:vAlign w:val="bottom"/>
            <w:hideMark/>
          </w:tcPr>
          <w:p w14:paraId="6DFA4BD9" w14:textId="77777777" w:rsidR="00B27994" w:rsidRPr="002A091D" w:rsidRDefault="00B27994" w:rsidP="00B27994">
            <w:pPr>
              <w:rPr>
                <w:color w:val="000000"/>
                <w:sz w:val="20"/>
                <w:szCs w:val="20"/>
              </w:rPr>
            </w:pPr>
            <w:r w:rsidRPr="002A091D">
              <w:rPr>
                <w:color w:val="000000"/>
                <w:sz w:val="20"/>
                <w:szCs w:val="20"/>
              </w:rPr>
              <w:t>Nigeria</w:t>
            </w:r>
          </w:p>
        </w:tc>
        <w:tc>
          <w:tcPr>
            <w:tcW w:w="1443" w:type="dxa"/>
            <w:tcBorders>
              <w:top w:val="nil"/>
              <w:bottom w:val="nil"/>
            </w:tcBorders>
            <w:shd w:val="clear" w:color="auto" w:fill="auto"/>
            <w:noWrap/>
            <w:vAlign w:val="bottom"/>
            <w:hideMark/>
          </w:tcPr>
          <w:p w14:paraId="363CC87E" w14:textId="77777777" w:rsidR="00B27994" w:rsidRPr="002A091D" w:rsidRDefault="00B27994" w:rsidP="00B27994">
            <w:pPr>
              <w:rPr>
                <w:color w:val="000000"/>
                <w:sz w:val="20"/>
                <w:szCs w:val="20"/>
              </w:rPr>
            </w:pPr>
            <w:r w:rsidRPr="002A091D">
              <w:rPr>
                <w:color w:val="000000"/>
                <w:sz w:val="20"/>
                <w:szCs w:val="20"/>
              </w:rPr>
              <w:t>Kenya</w:t>
            </w:r>
          </w:p>
        </w:tc>
        <w:tc>
          <w:tcPr>
            <w:tcW w:w="1279" w:type="dxa"/>
            <w:tcBorders>
              <w:top w:val="nil"/>
              <w:bottom w:val="nil"/>
            </w:tcBorders>
            <w:shd w:val="clear" w:color="auto" w:fill="auto"/>
            <w:noWrap/>
            <w:vAlign w:val="bottom"/>
            <w:hideMark/>
          </w:tcPr>
          <w:p w14:paraId="54E4675C" w14:textId="77777777" w:rsidR="00B27994" w:rsidRPr="002A091D" w:rsidRDefault="00B27994" w:rsidP="00B27994">
            <w:pPr>
              <w:rPr>
                <w:color w:val="000000"/>
                <w:sz w:val="20"/>
                <w:szCs w:val="20"/>
              </w:rPr>
            </w:pPr>
            <w:r w:rsidRPr="002A091D">
              <w:rPr>
                <w:color w:val="000000"/>
                <w:sz w:val="20"/>
                <w:szCs w:val="20"/>
              </w:rPr>
              <w:t>Ghana</w:t>
            </w:r>
          </w:p>
        </w:tc>
        <w:tc>
          <w:tcPr>
            <w:tcW w:w="1368" w:type="dxa"/>
            <w:tcBorders>
              <w:top w:val="nil"/>
              <w:bottom w:val="nil"/>
            </w:tcBorders>
            <w:shd w:val="clear" w:color="auto" w:fill="auto"/>
            <w:noWrap/>
            <w:vAlign w:val="bottom"/>
            <w:hideMark/>
          </w:tcPr>
          <w:p w14:paraId="595E093D" w14:textId="77777777" w:rsidR="00B27994" w:rsidRPr="002A091D" w:rsidRDefault="00B27994" w:rsidP="00B27994">
            <w:pPr>
              <w:rPr>
                <w:color w:val="000000"/>
                <w:sz w:val="20"/>
                <w:szCs w:val="20"/>
              </w:rPr>
            </w:pPr>
            <w:r w:rsidRPr="002A091D">
              <w:rPr>
                <w:color w:val="000000"/>
                <w:sz w:val="20"/>
                <w:szCs w:val="20"/>
              </w:rPr>
              <w:t>Argentina</w:t>
            </w:r>
          </w:p>
        </w:tc>
        <w:tc>
          <w:tcPr>
            <w:tcW w:w="1163" w:type="dxa"/>
            <w:tcBorders>
              <w:top w:val="nil"/>
              <w:bottom w:val="nil"/>
            </w:tcBorders>
            <w:shd w:val="clear" w:color="auto" w:fill="auto"/>
            <w:noWrap/>
            <w:vAlign w:val="bottom"/>
            <w:hideMark/>
          </w:tcPr>
          <w:p w14:paraId="07955AAE" w14:textId="77777777" w:rsidR="00B27994" w:rsidRPr="002A091D" w:rsidRDefault="00B27994" w:rsidP="00B27994">
            <w:pPr>
              <w:rPr>
                <w:color w:val="000000"/>
                <w:sz w:val="20"/>
                <w:szCs w:val="20"/>
              </w:rPr>
            </w:pPr>
            <w:r w:rsidRPr="002A091D">
              <w:rPr>
                <w:color w:val="000000"/>
                <w:sz w:val="20"/>
                <w:szCs w:val="20"/>
              </w:rPr>
              <w:t xml:space="preserve">Ireland* </w:t>
            </w:r>
          </w:p>
        </w:tc>
        <w:tc>
          <w:tcPr>
            <w:tcW w:w="1262" w:type="dxa"/>
            <w:tcBorders>
              <w:top w:val="nil"/>
              <w:bottom w:val="nil"/>
            </w:tcBorders>
            <w:shd w:val="clear" w:color="auto" w:fill="auto"/>
            <w:noWrap/>
            <w:vAlign w:val="bottom"/>
            <w:hideMark/>
          </w:tcPr>
          <w:p w14:paraId="07C47FCF" w14:textId="77777777" w:rsidR="00B27994" w:rsidRPr="002A091D" w:rsidRDefault="00B27994" w:rsidP="00B27994">
            <w:pPr>
              <w:rPr>
                <w:color w:val="000000"/>
                <w:sz w:val="20"/>
                <w:szCs w:val="20"/>
              </w:rPr>
            </w:pPr>
            <w:r w:rsidRPr="002A091D">
              <w:rPr>
                <w:color w:val="000000"/>
                <w:sz w:val="20"/>
                <w:szCs w:val="20"/>
              </w:rPr>
              <w:t xml:space="preserve">Pakistan </w:t>
            </w:r>
          </w:p>
        </w:tc>
        <w:tc>
          <w:tcPr>
            <w:tcW w:w="1504" w:type="dxa"/>
            <w:tcBorders>
              <w:top w:val="nil"/>
              <w:bottom w:val="nil"/>
            </w:tcBorders>
            <w:shd w:val="clear" w:color="auto" w:fill="auto"/>
            <w:noWrap/>
            <w:vAlign w:val="bottom"/>
            <w:hideMark/>
          </w:tcPr>
          <w:p w14:paraId="1867DD53" w14:textId="77777777" w:rsidR="00B27994" w:rsidRPr="002A091D" w:rsidRDefault="00B27994" w:rsidP="00B27994">
            <w:pPr>
              <w:rPr>
                <w:color w:val="000000"/>
                <w:sz w:val="20"/>
                <w:szCs w:val="20"/>
              </w:rPr>
            </w:pPr>
            <w:r w:rsidRPr="002A091D">
              <w:rPr>
                <w:color w:val="000000"/>
                <w:sz w:val="20"/>
                <w:szCs w:val="20"/>
              </w:rPr>
              <w:t xml:space="preserve">Finland </w:t>
            </w:r>
          </w:p>
        </w:tc>
      </w:tr>
      <w:tr w:rsidR="00B27994" w:rsidRPr="002A091D" w14:paraId="0F2A31FD" w14:textId="77777777" w:rsidTr="00B27994">
        <w:trPr>
          <w:trHeight w:val="163"/>
        </w:trPr>
        <w:tc>
          <w:tcPr>
            <w:tcW w:w="1099" w:type="dxa"/>
            <w:tcBorders>
              <w:top w:val="nil"/>
              <w:bottom w:val="nil"/>
            </w:tcBorders>
            <w:shd w:val="clear" w:color="auto" w:fill="auto"/>
            <w:noWrap/>
            <w:vAlign w:val="bottom"/>
            <w:hideMark/>
          </w:tcPr>
          <w:p w14:paraId="6DAEDA4C" w14:textId="77777777" w:rsidR="00B27994" w:rsidRPr="002A091D" w:rsidRDefault="00B27994" w:rsidP="00B27994">
            <w:pPr>
              <w:jc w:val="right"/>
              <w:rPr>
                <w:color w:val="000000"/>
                <w:sz w:val="20"/>
                <w:szCs w:val="20"/>
              </w:rPr>
            </w:pPr>
            <w:r w:rsidRPr="002A091D">
              <w:rPr>
                <w:color w:val="000000"/>
                <w:sz w:val="20"/>
                <w:szCs w:val="20"/>
              </w:rPr>
              <w:t>2014</w:t>
            </w:r>
          </w:p>
        </w:tc>
        <w:tc>
          <w:tcPr>
            <w:tcW w:w="1368" w:type="dxa"/>
            <w:tcBorders>
              <w:top w:val="nil"/>
              <w:bottom w:val="nil"/>
            </w:tcBorders>
            <w:shd w:val="clear" w:color="auto" w:fill="auto"/>
            <w:noWrap/>
            <w:vAlign w:val="bottom"/>
            <w:hideMark/>
          </w:tcPr>
          <w:p w14:paraId="67F99270" w14:textId="77777777" w:rsidR="00B27994" w:rsidRPr="002A091D" w:rsidRDefault="00B27994" w:rsidP="00B27994">
            <w:pPr>
              <w:rPr>
                <w:color w:val="000000"/>
                <w:sz w:val="20"/>
                <w:szCs w:val="20"/>
              </w:rPr>
            </w:pPr>
            <w:r w:rsidRPr="002A091D">
              <w:rPr>
                <w:color w:val="000000"/>
                <w:sz w:val="20"/>
                <w:szCs w:val="20"/>
              </w:rPr>
              <w:t>China</w:t>
            </w:r>
          </w:p>
        </w:tc>
        <w:tc>
          <w:tcPr>
            <w:tcW w:w="1467" w:type="dxa"/>
            <w:tcBorders>
              <w:top w:val="nil"/>
              <w:bottom w:val="nil"/>
            </w:tcBorders>
            <w:shd w:val="clear" w:color="auto" w:fill="auto"/>
            <w:noWrap/>
            <w:vAlign w:val="bottom"/>
            <w:hideMark/>
          </w:tcPr>
          <w:p w14:paraId="6C73C434" w14:textId="77777777" w:rsidR="00B27994" w:rsidRPr="002A091D" w:rsidRDefault="00B27994" w:rsidP="00B27994">
            <w:pPr>
              <w:rPr>
                <w:color w:val="000000"/>
                <w:sz w:val="20"/>
                <w:szCs w:val="20"/>
              </w:rPr>
            </w:pPr>
            <w:r w:rsidRPr="002A091D">
              <w:rPr>
                <w:color w:val="000000"/>
                <w:sz w:val="20"/>
                <w:szCs w:val="20"/>
              </w:rPr>
              <w:t xml:space="preserve">Pakistan </w:t>
            </w:r>
          </w:p>
        </w:tc>
        <w:tc>
          <w:tcPr>
            <w:tcW w:w="1368" w:type="dxa"/>
            <w:tcBorders>
              <w:top w:val="nil"/>
              <w:bottom w:val="nil"/>
            </w:tcBorders>
            <w:shd w:val="clear" w:color="auto" w:fill="auto"/>
            <w:noWrap/>
            <w:vAlign w:val="bottom"/>
            <w:hideMark/>
          </w:tcPr>
          <w:p w14:paraId="303ADFD9" w14:textId="77777777" w:rsidR="00B27994" w:rsidRPr="002A091D" w:rsidRDefault="00B27994" w:rsidP="00B27994">
            <w:pPr>
              <w:rPr>
                <w:color w:val="000000"/>
                <w:sz w:val="20"/>
                <w:szCs w:val="20"/>
              </w:rPr>
            </w:pPr>
            <w:r w:rsidRPr="002A091D">
              <w:rPr>
                <w:color w:val="000000"/>
                <w:sz w:val="20"/>
                <w:szCs w:val="20"/>
              </w:rPr>
              <w:t xml:space="preserve">Egypt </w:t>
            </w:r>
          </w:p>
        </w:tc>
        <w:tc>
          <w:tcPr>
            <w:tcW w:w="1368" w:type="dxa"/>
            <w:tcBorders>
              <w:top w:val="nil"/>
              <w:bottom w:val="nil"/>
            </w:tcBorders>
            <w:shd w:val="clear" w:color="auto" w:fill="auto"/>
            <w:noWrap/>
            <w:vAlign w:val="bottom"/>
            <w:hideMark/>
          </w:tcPr>
          <w:p w14:paraId="5DAA6378" w14:textId="77777777" w:rsidR="00B27994" w:rsidRPr="002A091D" w:rsidRDefault="00B27994" w:rsidP="00B27994">
            <w:pPr>
              <w:rPr>
                <w:color w:val="000000"/>
                <w:sz w:val="20"/>
                <w:szCs w:val="20"/>
              </w:rPr>
            </w:pPr>
            <w:r w:rsidRPr="002A091D">
              <w:rPr>
                <w:color w:val="000000"/>
                <w:sz w:val="20"/>
                <w:szCs w:val="20"/>
              </w:rPr>
              <w:t>India</w:t>
            </w:r>
          </w:p>
        </w:tc>
        <w:tc>
          <w:tcPr>
            <w:tcW w:w="1443" w:type="dxa"/>
            <w:tcBorders>
              <w:top w:val="nil"/>
              <w:bottom w:val="nil"/>
            </w:tcBorders>
            <w:shd w:val="clear" w:color="auto" w:fill="auto"/>
            <w:noWrap/>
            <w:vAlign w:val="bottom"/>
            <w:hideMark/>
          </w:tcPr>
          <w:p w14:paraId="6CB6D20D" w14:textId="77777777" w:rsidR="00B27994" w:rsidRPr="002A091D" w:rsidRDefault="00B27994" w:rsidP="00B27994">
            <w:pPr>
              <w:rPr>
                <w:color w:val="000000"/>
                <w:sz w:val="20"/>
                <w:szCs w:val="20"/>
              </w:rPr>
            </w:pPr>
            <w:r w:rsidRPr="002A091D">
              <w:rPr>
                <w:color w:val="000000"/>
                <w:sz w:val="20"/>
                <w:szCs w:val="20"/>
              </w:rPr>
              <w:t xml:space="preserve">Srilanka </w:t>
            </w:r>
          </w:p>
        </w:tc>
        <w:tc>
          <w:tcPr>
            <w:tcW w:w="1279" w:type="dxa"/>
            <w:tcBorders>
              <w:top w:val="nil"/>
              <w:bottom w:val="nil"/>
            </w:tcBorders>
            <w:shd w:val="clear" w:color="auto" w:fill="auto"/>
            <w:noWrap/>
            <w:vAlign w:val="bottom"/>
            <w:hideMark/>
          </w:tcPr>
          <w:p w14:paraId="3CA5264C" w14:textId="77777777" w:rsidR="00B27994" w:rsidRPr="002A091D" w:rsidRDefault="00B27994" w:rsidP="00B27994">
            <w:pPr>
              <w:rPr>
                <w:color w:val="000000"/>
                <w:sz w:val="20"/>
                <w:szCs w:val="20"/>
              </w:rPr>
            </w:pPr>
            <w:r w:rsidRPr="002A091D">
              <w:rPr>
                <w:color w:val="000000"/>
                <w:sz w:val="20"/>
                <w:szCs w:val="20"/>
              </w:rPr>
              <w:t>Philippines</w:t>
            </w:r>
          </w:p>
        </w:tc>
        <w:tc>
          <w:tcPr>
            <w:tcW w:w="1368" w:type="dxa"/>
            <w:tcBorders>
              <w:top w:val="nil"/>
              <w:bottom w:val="nil"/>
            </w:tcBorders>
            <w:shd w:val="clear" w:color="auto" w:fill="auto"/>
            <w:noWrap/>
            <w:vAlign w:val="bottom"/>
            <w:hideMark/>
          </w:tcPr>
          <w:p w14:paraId="26BB08E7" w14:textId="77777777" w:rsidR="00B27994" w:rsidRPr="002A091D" w:rsidRDefault="00B27994" w:rsidP="00B27994">
            <w:pPr>
              <w:rPr>
                <w:color w:val="000000"/>
                <w:sz w:val="20"/>
                <w:szCs w:val="20"/>
              </w:rPr>
            </w:pPr>
            <w:r w:rsidRPr="002A091D">
              <w:rPr>
                <w:color w:val="000000"/>
                <w:sz w:val="20"/>
                <w:szCs w:val="20"/>
              </w:rPr>
              <w:t>Argentina</w:t>
            </w:r>
          </w:p>
        </w:tc>
        <w:tc>
          <w:tcPr>
            <w:tcW w:w="1163" w:type="dxa"/>
            <w:tcBorders>
              <w:top w:val="nil"/>
              <w:bottom w:val="nil"/>
            </w:tcBorders>
            <w:shd w:val="clear" w:color="auto" w:fill="auto"/>
            <w:noWrap/>
            <w:vAlign w:val="bottom"/>
            <w:hideMark/>
          </w:tcPr>
          <w:p w14:paraId="705150D8" w14:textId="77777777" w:rsidR="00B27994" w:rsidRPr="002A091D" w:rsidRDefault="00B27994" w:rsidP="00B27994">
            <w:pPr>
              <w:rPr>
                <w:color w:val="000000"/>
                <w:sz w:val="20"/>
                <w:szCs w:val="20"/>
              </w:rPr>
            </w:pPr>
            <w:r w:rsidRPr="002A091D">
              <w:rPr>
                <w:color w:val="000000"/>
                <w:sz w:val="20"/>
                <w:szCs w:val="20"/>
              </w:rPr>
              <w:t xml:space="preserve">Indonesia </w:t>
            </w:r>
          </w:p>
        </w:tc>
        <w:tc>
          <w:tcPr>
            <w:tcW w:w="1262" w:type="dxa"/>
            <w:tcBorders>
              <w:top w:val="nil"/>
              <w:bottom w:val="nil"/>
            </w:tcBorders>
            <w:shd w:val="clear" w:color="auto" w:fill="auto"/>
            <w:noWrap/>
            <w:vAlign w:val="bottom"/>
            <w:hideMark/>
          </w:tcPr>
          <w:p w14:paraId="7A9760E2" w14:textId="77777777" w:rsidR="00B27994" w:rsidRPr="002A091D" w:rsidRDefault="00B27994" w:rsidP="00B27994">
            <w:pPr>
              <w:rPr>
                <w:color w:val="000000"/>
                <w:sz w:val="20"/>
                <w:szCs w:val="20"/>
              </w:rPr>
            </w:pPr>
            <w:r w:rsidRPr="002A091D">
              <w:rPr>
                <w:color w:val="000000"/>
                <w:sz w:val="20"/>
                <w:szCs w:val="20"/>
              </w:rPr>
              <w:t xml:space="preserve">Turkey </w:t>
            </w:r>
          </w:p>
        </w:tc>
        <w:tc>
          <w:tcPr>
            <w:tcW w:w="1504" w:type="dxa"/>
            <w:tcBorders>
              <w:top w:val="nil"/>
              <w:bottom w:val="nil"/>
            </w:tcBorders>
            <w:shd w:val="clear" w:color="auto" w:fill="auto"/>
            <w:noWrap/>
            <w:vAlign w:val="bottom"/>
            <w:hideMark/>
          </w:tcPr>
          <w:p w14:paraId="1C6CA608" w14:textId="77777777" w:rsidR="00B27994" w:rsidRPr="002A091D" w:rsidRDefault="00B27994" w:rsidP="00B27994">
            <w:pPr>
              <w:rPr>
                <w:color w:val="000000"/>
                <w:sz w:val="20"/>
                <w:szCs w:val="20"/>
              </w:rPr>
            </w:pPr>
            <w:r w:rsidRPr="002A091D">
              <w:rPr>
                <w:color w:val="000000"/>
                <w:sz w:val="20"/>
                <w:szCs w:val="20"/>
              </w:rPr>
              <w:t xml:space="preserve">Qatar </w:t>
            </w:r>
          </w:p>
        </w:tc>
      </w:tr>
      <w:tr w:rsidR="00B27994" w:rsidRPr="002A091D" w14:paraId="60EAA875" w14:textId="77777777" w:rsidTr="00B27994">
        <w:trPr>
          <w:trHeight w:val="163"/>
        </w:trPr>
        <w:tc>
          <w:tcPr>
            <w:tcW w:w="1099" w:type="dxa"/>
            <w:tcBorders>
              <w:top w:val="nil"/>
              <w:bottom w:val="nil"/>
            </w:tcBorders>
            <w:shd w:val="clear" w:color="auto" w:fill="auto"/>
            <w:noWrap/>
            <w:vAlign w:val="bottom"/>
            <w:hideMark/>
          </w:tcPr>
          <w:p w14:paraId="60CC6969" w14:textId="77777777" w:rsidR="00B27994" w:rsidRPr="002A091D" w:rsidRDefault="00B27994" w:rsidP="00B27994">
            <w:pPr>
              <w:jc w:val="right"/>
              <w:rPr>
                <w:color w:val="000000"/>
                <w:sz w:val="20"/>
                <w:szCs w:val="20"/>
              </w:rPr>
            </w:pPr>
            <w:r w:rsidRPr="002A091D">
              <w:rPr>
                <w:color w:val="000000"/>
                <w:sz w:val="20"/>
                <w:szCs w:val="20"/>
              </w:rPr>
              <w:t>2015</w:t>
            </w:r>
          </w:p>
        </w:tc>
        <w:tc>
          <w:tcPr>
            <w:tcW w:w="1368" w:type="dxa"/>
            <w:tcBorders>
              <w:top w:val="nil"/>
              <w:bottom w:val="nil"/>
            </w:tcBorders>
            <w:shd w:val="clear" w:color="auto" w:fill="auto"/>
            <w:noWrap/>
            <w:vAlign w:val="bottom"/>
            <w:hideMark/>
          </w:tcPr>
          <w:p w14:paraId="1CF4CB52" w14:textId="77777777" w:rsidR="00B27994" w:rsidRPr="002A091D" w:rsidRDefault="00B27994" w:rsidP="00B27994">
            <w:pPr>
              <w:rPr>
                <w:color w:val="000000"/>
                <w:sz w:val="20"/>
                <w:szCs w:val="20"/>
              </w:rPr>
            </w:pPr>
            <w:r w:rsidRPr="002A091D">
              <w:rPr>
                <w:color w:val="000000"/>
                <w:sz w:val="20"/>
                <w:szCs w:val="20"/>
              </w:rPr>
              <w:t>Jamaica</w:t>
            </w:r>
          </w:p>
        </w:tc>
        <w:tc>
          <w:tcPr>
            <w:tcW w:w="1467" w:type="dxa"/>
            <w:tcBorders>
              <w:top w:val="nil"/>
              <w:bottom w:val="nil"/>
            </w:tcBorders>
            <w:shd w:val="clear" w:color="auto" w:fill="auto"/>
            <w:noWrap/>
            <w:vAlign w:val="bottom"/>
            <w:hideMark/>
          </w:tcPr>
          <w:p w14:paraId="7628CB06" w14:textId="77777777" w:rsidR="00B27994" w:rsidRPr="002A091D" w:rsidRDefault="00B27994" w:rsidP="00B27994">
            <w:pPr>
              <w:rPr>
                <w:color w:val="000000"/>
                <w:sz w:val="20"/>
                <w:szCs w:val="20"/>
              </w:rPr>
            </w:pPr>
            <w:r w:rsidRPr="002A091D">
              <w:rPr>
                <w:color w:val="000000"/>
                <w:sz w:val="20"/>
                <w:szCs w:val="20"/>
              </w:rPr>
              <w:t>Lat Via</w:t>
            </w:r>
          </w:p>
        </w:tc>
        <w:tc>
          <w:tcPr>
            <w:tcW w:w="1368" w:type="dxa"/>
            <w:tcBorders>
              <w:top w:val="nil"/>
              <w:bottom w:val="nil"/>
            </w:tcBorders>
            <w:shd w:val="clear" w:color="auto" w:fill="auto"/>
            <w:noWrap/>
            <w:vAlign w:val="bottom"/>
            <w:hideMark/>
          </w:tcPr>
          <w:p w14:paraId="160194E7" w14:textId="77777777" w:rsidR="00B27994" w:rsidRPr="002A091D" w:rsidRDefault="00B27994" w:rsidP="00B27994">
            <w:pPr>
              <w:rPr>
                <w:color w:val="000000"/>
                <w:sz w:val="20"/>
                <w:szCs w:val="20"/>
              </w:rPr>
            </w:pPr>
            <w:r w:rsidRPr="002A091D">
              <w:rPr>
                <w:color w:val="000000"/>
                <w:sz w:val="20"/>
                <w:szCs w:val="20"/>
              </w:rPr>
              <w:t>Hungary</w:t>
            </w:r>
          </w:p>
        </w:tc>
        <w:tc>
          <w:tcPr>
            <w:tcW w:w="1368" w:type="dxa"/>
            <w:tcBorders>
              <w:top w:val="nil"/>
              <w:bottom w:val="nil"/>
            </w:tcBorders>
            <w:shd w:val="clear" w:color="auto" w:fill="auto"/>
            <w:noWrap/>
            <w:vAlign w:val="bottom"/>
            <w:hideMark/>
          </w:tcPr>
          <w:p w14:paraId="55BA0ECD" w14:textId="77777777" w:rsidR="00B27994" w:rsidRPr="002A091D" w:rsidRDefault="00B27994" w:rsidP="00B27994">
            <w:pPr>
              <w:rPr>
                <w:color w:val="000000"/>
                <w:sz w:val="20"/>
                <w:szCs w:val="20"/>
              </w:rPr>
            </w:pPr>
            <w:r w:rsidRPr="002A091D">
              <w:rPr>
                <w:color w:val="000000"/>
                <w:sz w:val="20"/>
                <w:szCs w:val="20"/>
              </w:rPr>
              <w:t>Denmark*</w:t>
            </w:r>
          </w:p>
        </w:tc>
        <w:tc>
          <w:tcPr>
            <w:tcW w:w="1443" w:type="dxa"/>
            <w:tcBorders>
              <w:top w:val="nil"/>
              <w:bottom w:val="nil"/>
            </w:tcBorders>
            <w:shd w:val="clear" w:color="auto" w:fill="auto"/>
            <w:noWrap/>
            <w:vAlign w:val="bottom"/>
            <w:hideMark/>
          </w:tcPr>
          <w:p w14:paraId="5DD6A0BE" w14:textId="77777777" w:rsidR="00B27994" w:rsidRPr="002A091D" w:rsidRDefault="00B27994" w:rsidP="00B27994">
            <w:pPr>
              <w:rPr>
                <w:color w:val="000000"/>
                <w:sz w:val="20"/>
                <w:szCs w:val="20"/>
              </w:rPr>
            </w:pPr>
            <w:r w:rsidRPr="002A091D">
              <w:rPr>
                <w:color w:val="000000"/>
                <w:sz w:val="20"/>
                <w:szCs w:val="20"/>
              </w:rPr>
              <w:t>Malta*</w:t>
            </w:r>
          </w:p>
        </w:tc>
        <w:tc>
          <w:tcPr>
            <w:tcW w:w="1279" w:type="dxa"/>
            <w:tcBorders>
              <w:top w:val="nil"/>
              <w:bottom w:val="nil"/>
            </w:tcBorders>
            <w:shd w:val="clear" w:color="auto" w:fill="auto"/>
            <w:noWrap/>
            <w:vAlign w:val="bottom"/>
            <w:hideMark/>
          </w:tcPr>
          <w:p w14:paraId="0DE183CD" w14:textId="77777777" w:rsidR="00B27994" w:rsidRPr="002A091D" w:rsidRDefault="00B27994" w:rsidP="00B27994">
            <w:pPr>
              <w:rPr>
                <w:color w:val="000000"/>
                <w:sz w:val="20"/>
                <w:szCs w:val="20"/>
              </w:rPr>
            </w:pPr>
            <w:r w:rsidRPr="002A091D">
              <w:rPr>
                <w:color w:val="000000"/>
                <w:sz w:val="20"/>
                <w:szCs w:val="20"/>
              </w:rPr>
              <w:t xml:space="preserve">Slovakia </w:t>
            </w:r>
          </w:p>
        </w:tc>
        <w:tc>
          <w:tcPr>
            <w:tcW w:w="1368" w:type="dxa"/>
            <w:tcBorders>
              <w:top w:val="nil"/>
              <w:bottom w:val="nil"/>
            </w:tcBorders>
            <w:shd w:val="clear" w:color="auto" w:fill="auto"/>
            <w:noWrap/>
            <w:vAlign w:val="bottom"/>
            <w:hideMark/>
          </w:tcPr>
          <w:p w14:paraId="1F89FCBB" w14:textId="77777777" w:rsidR="00B27994" w:rsidRPr="002A091D" w:rsidRDefault="00B27994" w:rsidP="00B27994">
            <w:pPr>
              <w:rPr>
                <w:color w:val="000000"/>
                <w:sz w:val="20"/>
                <w:szCs w:val="20"/>
              </w:rPr>
            </w:pPr>
            <w:r w:rsidRPr="002A091D">
              <w:rPr>
                <w:color w:val="000000"/>
                <w:sz w:val="20"/>
                <w:szCs w:val="20"/>
              </w:rPr>
              <w:t xml:space="preserve">Ireland* </w:t>
            </w:r>
          </w:p>
        </w:tc>
        <w:tc>
          <w:tcPr>
            <w:tcW w:w="1163" w:type="dxa"/>
            <w:tcBorders>
              <w:top w:val="nil"/>
              <w:bottom w:val="nil"/>
            </w:tcBorders>
            <w:shd w:val="clear" w:color="auto" w:fill="auto"/>
            <w:noWrap/>
            <w:vAlign w:val="bottom"/>
            <w:hideMark/>
          </w:tcPr>
          <w:p w14:paraId="0BB160B0" w14:textId="77777777" w:rsidR="00B27994" w:rsidRPr="002A091D" w:rsidRDefault="00B27994" w:rsidP="00B27994">
            <w:pPr>
              <w:rPr>
                <w:color w:val="000000"/>
                <w:sz w:val="20"/>
                <w:szCs w:val="20"/>
              </w:rPr>
            </w:pPr>
            <w:r w:rsidRPr="002A091D">
              <w:rPr>
                <w:color w:val="000000"/>
                <w:sz w:val="20"/>
                <w:szCs w:val="20"/>
              </w:rPr>
              <w:t xml:space="preserve">Japan* </w:t>
            </w:r>
          </w:p>
        </w:tc>
        <w:tc>
          <w:tcPr>
            <w:tcW w:w="1262" w:type="dxa"/>
            <w:tcBorders>
              <w:top w:val="nil"/>
              <w:bottom w:val="nil"/>
            </w:tcBorders>
            <w:shd w:val="clear" w:color="auto" w:fill="auto"/>
            <w:noWrap/>
            <w:vAlign w:val="bottom"/>
            <w:hideMark/>
          </w:tcPr>
          <w:p w14:paraId="2ED6EFBE" w14:textId="77777777" w:rsidR="00B27994" w:rsidRPr="002A091D" w:rsidRDefault="00B27994" w:rsidP="00B27994">
            <w:pPr>
              <w:rPr>
                <w:color w:val="000000"/>
                <w:sz w:val="20"/>
                <w:szCs w:val="20"/>
              </w:rPr>
            </w:pPr>
            <w:r w:rsidRPr="002A091D">
              <w:rPr>
                <w:color w:val="000000"/>
                <w:sz w:val="20"/>
                <w:szCs w:val="20"/>
              </w:rPr>
              <w:t xml:space="preserve">Estonia </w:t>
            </w:r>
          </w:p>
        </w:tc>
        <w:tc>
          <w:tcPr>
            <w:tcW w:w="1504" w:type="dxa"/>
            <w:tcBorders>
              <w:top w:val="nil"/>
              <w:bottom w:val="nil"/>
            </w:tcBorders>
            <w:shd w:val="clear" w:color="auto" w:fill="auto"/>
            <w:noWrap/>
            <w:vAlign w:val="bottom"/>
            <w:hideMark/>
          </w:tcPr>
          <w:p w14:paraId="06B82185" w14:textId="77777777" w:rsidR="00B27994" w:rsidRPr="002A091D" w:rsidRDefault="00B27994" w:rsidP="00B27994">
            <w:pPr>
              <w:rPr>
                <w:color w:val="000000"/>
                <w:sz w:val="20"/>
                <w:szCs w:val="20"/>
              </w:rPr>
            </w:pPr>
            <w:r w:rsidRPr="002A091D">
              <w:rPr>
                <w:color w:val="000000"/>
                <w:sz w:val="20"/>
                <w:szCs w:val="20"/>
              </w:rPr>
              <w:t xml:space="preserve">China </w:t>
            </w:r>
          </w:p>
        </w:tc>
      </w:tr>
      <w:tr w:rsidR="00B27994" w:rsidRPr="002A091D" w14:paraId="6E0F8D6B" w14:textId="77777777" w:rsidTr="00B27994">
        <w:trPr>
          <w:trHeight w:val="163"/>
        </w:trPr>
        <w:tc>
          <w:tcPr>
            <w:tcW w:w="1099" w:type="dxa"/>
            <w:tcBorders>
              <w:top w:val="nil"/>
              <w:bottom w:val="single" w:sz="4" w:space="0" w:color="auto"/>
            </w:tcBorders>
            <w:shd w:val="clear" w:color="auto" w:fill="auto"/>
            <w:noWrap/>
            <w:vAlign w:val="bottom"/>
            <w:hideMark/>
          </w:tcPr>
          <w:p w14:paraId="254D72BD" w14:textId="77777777" w:rsidR="00B27994" w:rsidRPr="002A091D" w:rsidRDefault="00B27994" w:rsidP="00B27994">
            <w:pPr>
              <w:jc w:val="right"/>
              <w:rPr>
                <w:color w:val="000000"/>
                <w:sz w:val="20"/>
                <w:szCs w:val="20"/>
              </w:rPr>
            </w:pPr>
            <w:r w:rsidRPr="002A091D">
              <w:rPr>
                <w:color w:val="000000"/>
                <w:sz w:val="20"/>
                <w:szCs w:val="20"/>
              </w:rPr>
              <w:t>2016</w:t>
            </w:r>
          </w:p>
        </w:tc>
        <w:tc>
          <w:tcPr>
            <w:tcW w:w="1368" w:type="dxa"/>
            <w:tcBorders>
              <w:top w:val="nil"/>
              <w:bottom w:val="single" w:sz="4" w:space="0" w:color="auto"/>
            </w:tcBorders>
            <w:shd w:val="clear" w:color="auto" w:fill="auto"/>
            <w:noWrap/>
            <w:vAlign w:val="bottom"/>
            <w:hideMark/>
          </w:tcPr>
          <w:p w14:paraId="27377528" w14:textId="77777777" w:rsidR="00B27994" w:rsidRPr="002A091D" w:rsidRDefault="00B27994" w:rsidP="00B27994">
            <w:pPr>
              <w:rPr>
                <w:color w:val="000000"/>
                <w:sz w:val="20"/>
                <w:szCs w:val="20"/>
              </w:rPr>
            </w:pPr>
            <w:r w:rsidRPr="002A091D">
              <w:rPr>
                <w:color w:val="000000"/>
                <w:sz w:val="20"/>
                <w:szCs w:val="20"/>
              </w:rPr>
              <w:t xml:space="preserve">Brazil </w:t>
            </w:r>
          </w:p>
        </w:tc>
        <w:tc>
          <w:tcPr>
            <w:tcW w:w="1467" w:type="dxa"/>
            <w:tcBorders>
              <w:top w:val="nil"/>
              <w:bottom w:val="single" w:sz="4" w:space="0" w:color="auto"/>
            </w:tcBorders>
            <w:shd w:val="clear" w:color="auto" w:fill="auto"/>
            <w:noWrap/>
            <w:vAlign w:val="bottom"/>
            <w:hideMark/>
          </w:tcPr>
          <w:p w14:paraId="159657BA" w14:textId="77777777" w:rsidR="00B27994" w:rsidRPr="002A091D" w:rsidRDefault="00B27994" w:rsidP="00B27994">
            <w:pPr>
              <w:rPr>
                <w:color w:val="000000"/>
                <w:sz w:val="20"/>
                <w:szCs w:val="20"/>
              </w:rPr>
            </w:pPr>
            <w:r w:rsidRPr="002A091D">
              <w:rPr>
                <w:color w:val="000000"/>
                <w:sz w:val="20"/>
                <w:szCs w:val="20"/>
              </w:rPr>
              <w:t>Kazakhstan</w:t>
            </w:r>
          </w:p>
        </w:tc>
        <w:tc>
          <w:tcPr>
            <w:tcW w:w="1368" w:type="dxa"/>
            <w:tcBorders>
              <w:top w:val="nil"/>
              <w:bottom w:val="single" w:sz="4" w:space="0" w:color="auto"/>
            </w:tcBorders>
            <w:shd w:val="clear" w:color="auto" w:fill="auto"/>
            <w:noWrap/>
            <w:vAlign w:val="bottom"/>
            <w:hideMark/>
          </w:tcPr>
          <w:p w14:paraId="43B02607" w14:textId="77777777" w:rsidR="00B27994" w:rsidRPr="002A091D" w:rsidRDefault="00B27994" w:rsidP="00B27994">
            <w:pPr>
              <w:rPr>
                <w:color w:val="000000"/>
                <w:sz w:val="20"/>
                <w:szCs w:val="20"/>
              </w:rPr>
            </w:pPr>
            <w:r w:rsidRPr="002A091D">
              <w:rPr>
                <w:color w:val="000000"/>
                <w:sz w:val="20"/>
                <w:szCs w:val="20"/>
              </w:rPr>
              <w:t>Peru</w:t>
            </w:r>
          </w:p>
        </w:tc>
        <w:tc>
          <w:tcPr>
            <w:tcW w:w="1368" w:type="dxa"/>
            <w:tcBorders>
              <w:top w:val="nil"/>
              <w:bottom w:val="single" w:sz="4" w:space="0" w:color="auto"/>
            </w:tcBorders>
            <w:shd w:val="clear" w:color="auto" w:fill="auto"/>
            <w:noWrap/>
            <w:vAlign w:val="bottom"/>
            <w:hideMark/>
          </w:tcPr>
          <w:p w14:paraId="57AFC1DE" w14:textId="77777777" w:rsidR="00B27994" w:rsidRPr="002A091D" w:rsidRDefault="00B27994" w:rsidP="00B27994">
            <w:pPr>
              <w:rPr>
                <w:color w:val="000000"/>
                <w:sz w:val="20"/>
                <w:szCs w:val="20"/>
              </w:rPr>
            </w:pPr>
            <w:r w:rsidRPr="002A091D">
              <w:rPr>
                <w:color w:val="000000"/>
                <w:sz w:val="20"/>
                <w:szCs w:val="20"/>
              </w:rPr>
              <w:t>Russia</w:t>
            </w:r>
          </w:p>
        </w:tc>
        <w:tc>
          <w:tcPr>
            <w:tcW w:w="1443" w:type="dxa"/>
            <w:tcBorders>
              <w:top w:val="nil"/>
              <w:bottom w:val="single" w:sz="4" w:space="0" w:color="auto"/>
            </w:tcBorders>
            <w:shd w:val="clear" w:color="auto" w:fill="auto"/>
            <w:noWrap/>
            <w:vAlign w:val="bottom"/>
            <w:hideMark/>
          </w:tcPr>
          <w:p w14:paraId="0CAD4E00" w14:textId="77777777" w:rsidR="00B27994" w:rsidRPr="002A091D" w:rsidRDefault="00B27994" w:rsidP="00B27994">
            <w:pPr>
              <w:rPr>
                <w:color w:val="000000"/>
                <w:sz w:val="20"/>
                <w:szCs w:val="20"/>
              </w:rPr>
            </w:pPr>
            <w:r w:rsidRPr="002A091D">
              <w:rPr>
                <w:color w:val="000000"/>
                <w:sz w:val="20"/>
                <w:szCs w:val="20"/>
              </w:rPr>
              <w:t>Pakistan</w:t>
            </w:r>
          </w:p>
        </w:tc>
        <w:tc>
          <w:tcPr>
            <w:tcW w:w="1279" w:type="dxa"/>
            <w:tcBorders>
              <w:top w:val="nil"/>
              <w:bottom w:val="single" w:sz="4" w:space="0" w:color="auto"/>
            </w:tcBorders>
            <w:shd w:val="clear" w:color="auto" w:fill="auto"/>
            <w:noWrap/>
            <w:vAlign w:val="bottom"/>
            <w:hideMark/>
          </w:tcPr>
          <w:p w14:paraId="6F95FC23" w14:textId="77777777" w:rsidR="00B27994" w:rsidRPr="002A091D" w:rsidRDefault="00B27994" w:rsidP="00B27994">
            <w:pPr>
              <w:rPr>
                <w:color w:val="000000"/>
                <w:sz w:val="20"/>
                <w:szCs w:val="20"/>
              </w:rPr>
            </w:pPr>
            <w:r w:rsidRPr="002A091D">
              <w:rPr>
                <w:color w:val="000000"/>
                <w:sz w:val="20"/>
                <w:szCs w:val="20"/>
              </w:rPr>
              <w:t xml:space="preserve">Namibia </w:t>
            </w:r>
          </w:p>
        </w:tc>
        <w:tc>
          <w:tcPr>
            <w:tcW w:w="1368" w:type="dxa"/>
            <w:tcBorders>
              <w:top w:val="nil"/>
              <w:bottom w:val="single" w:sz="4" w:space="0" w:color="auto"/>
            </w:tcBorders>
            <w:shd w:val="clear" w:color="auto" w:fill="auto"/>
            <w:noWrap/>
            <w:vAlign w:val="bottom"/>
            <w:hideMark/>
          </w:tcPr>
          <w:p w14:paraId="67F6B603" w14:textId="77777777" w:rsidR="00B27994" w:rsidRPr="002A091D" w:rsidRDefault="00B27994" w:rsidP="00B27994">
            <w:pPr>
              <w:rPr>
                <w:color w:val="000000"/>
                <w:sz w:val="20"/>
                <w:szCs w:val="20"/>
              </w:rPr>
            </w:pPr>
            <w:r w:rsidRPr="002A091D">
              <w:rPr>
                <w:color w:val="000000"/>
                <w:sz w:val="20"/>
                <w:szCs w:val="20"/>
              </w:rPr>
              <w:t xml:space="preserve">Hungary </w:t>
            </w:r>
          </w:p>
        </w:tc>
        <w:tc>
          <w:tcPr>
            <w:tcW w:w="1163" w:type="dxa"/>
            <w:tcBorders>
              <w:top w:val="nil"/>
              <w:bottom w:val="single" w:sz="4" w:space="0" w:color="auto"/>
            </w:tcBorders>
            <w:shd w:val="clear" w:color="auto" w:fill="auto"/>
            <w:noWrap/>
            <w:vAlign w:val="bottom"/>
            <w:hideMark/>
          </w:tcPr>
          <w:p w14:paraId="7EB16F1F" w14:textId="77777777" w:rsidR="00B27994" w:rsidRPr="002A091D" w:rsidRDefault="00B27994" w:rsidP="00B27994">
            <w:pPr>
              <w:rPr>
                <w:color w:val="000000"/>
                <w:sz w:val="20"/>
                <w:szCs w:val="20"/>
              </w:rPr>
            </w:pPr>
            <w:r w:rsidRPr="002A091D">
              <w:rPr>
                <w:color w:val="000000"/>
                <w:sz w:val="20"/>
                <w:szCs w:val="20"/>
              </w:rPr>
              <w:t xml:space="preserve">Morocco </w:t>
            </w:r>
          </w:p>
        </w:tc>
        <w:tc>
          <w:tcPr>
            <w:tcW w:w="1262" w:type="dxa"/>
            <w:tcBorders>
              <w:top w:val="nil"/>
              <w:bottom w:val="single" w:sz="4" w:space="0" w:color="auto"/>
            </w:tcBorders>
            <w:shd w:val="clear" w:color="auto" w:fill="auto"/>
            <w:noWrap/>
            <w:vAlign w:val="bottom"/>
            <w:hideMark/>
          </w:tcPr>
          <w:p w14:paraId="7800F6E3" w14:textId="77777777" w:rsidR="00B27994" w:rsidRPr="002A091D" w:rsidRDefault="00B27994" w:rsidP="00B27994">
            <w:pPr>
              <w:rPr>
                <w:color w:val="000000"/>
                <w:sz w:val="20"/>
                <w:szCs w:val="20"/>
              </w:rPr>
            </w:pPr>
            <w:r w:rsidRPr="002A091D">
              <w:rPr>
                <w:color w:val="000000"/>
                <w:sz w:val="20"/>
                <w:szCs w:val="20"/>
              </w:rPr>
              <w:t xml:space="preserve">Colombia </w:t>
            </w:r>
          </w:p>
        </w:tc>
        <w:tc>
          <w:tcPr>
            <w:tcW w:w="1504" w:type="dxa"/>
            <w:tcBorders>
              <w:top w:val="nil"/>
              <w:bottom w:val="single" w:sz="4" w:space="0" w:color="auto"/>
            </w:tcBorders>
            <w:shd w:val="clear" w:color="auto" w:fill="auto"/>
            <w:noWrap/>
            <w:vAlign w:val="bottom"/>
            <w:hideMark/>
          </w:tcPr>
          <w:p w14:paraId="580C61C4" w14:textId="77777777" w:rsidR="00B27994" w:rsidRPr="002A091D" w:rsidRDefault="00B27994" w:rsidP="00B27994">
            <w:pPr>
              <w:rPr>
                <w:color w:val="000000"/>
                <w:sz w:val="20"/>
                <w:szCs w:val="20"/>
              </w:rPr>
            </w:pPr>
            <w:r w:rsidRPr="002A091D">
              <w:rPr>
                <w:color w:val="000000"/>
                <w:sz w:val="20"/>
                <w:szCs w:val="20"/>
              </w:rPr>
              <w:t xml:space="preserve">Bulgaria </w:t>
            </w:r>
          </w:p>
        </w:tc>
      </w:tr>
    </w:tbl>
    <w:p w14:paraId="65B12D51" w14:textId="77777777" w:rsidR="00C3707A" w:rsidRPr="002A091D" w:rsidRDefault="00C3707A" w:rsidP="0044391A">
      <w:pPr>
        <w:jc w:val="both"/>
        <w:rPr>
          <w:bCs/>
          <w:lang w:eastAsia="en-GB"/>
        </w:rPr>
      </w:pPr>
    </w:p>
    <w:p w14:paraId="5924688C" w14:textId="77777777" w:rsidR="00C3707A" w:rsidRPr="002A091D" w:rsidRDefault="00B27994" w:rsidP="002D3CED">
      <w:pPr>
        <w:rPr>
          <w:color w:val="000000"/>
          <w:sz w:val="20"/>
          <w:szCs w:val="20"/>
        </w:rPr>
        <w:sectPr w:rsidR="00C3707A" w:rsidRPr="002A091D" w:rsidSect="00C3707A">
          <w:pgSz w:w="16838" w:h="11906" w:orient="landscape"/>
          <w:pgMar w:top="1440" w:right="1440" w:bottom="1440" w:left="1440" w:header="708" w:footer="708" w:gutter="0"/>
          <w:cols w:space="708"/>
          <w:docGrid w:linePitch="360"/>
        </w:sectPr>
      </w:pPr>
      <w:r w:rsidRPr="002A091D">
        <w:rPr>
          <w:color w:val="000000"/>
          <w:sz w:val="20"/>
          <w:szCs w:val="20"/>
        </w:rPr>
        <w:t>*Represent developed markets. The above data is based on 90 national equity benchmarks. Venezuela is excluded from calcul</w:t>
      </w:r>
      <w:r w:rsidR="00C97C97" w:rsidRPr="002A091D">
        <w:rPr>
          <w:color w:val="000000"/>
          <w:sz w:val="20"/>
          <w:szCs w:val="20"/>
        </w:rPr>
        <w:t>ations due to market distortion</w:t>
      </w:r>
    </w:p>
    <w:p w14:paraId="64CBA0D1" w14:textId="77777777" w:rsidR="009B0551" w:rsidRPr="002A091D" w:rsidRDefault="009B0551" w:rsidP="00C97C97">
      <w:pPr>
        <w:pStyle w:val="Caption"/>
        <w:ind w:left="-993"/>
        <w:rPr>
          <w:rFonts w:ascii="Times New Roman" w:hAnsi="Times New Roman" w:cs="Times New Roman"/>
          <w:b/>
          <w:bCs/>
          <w:sz w:val="24"/>
          <w:szCs w:val="24"/>
        </w:rPr>
      </w:pPr>
      <w:r w:rsidRPr="002A091D">
        <w:rPr>
          <w:rFonts w:ascii="Times New Roman" w:hAnsi="Times New Roman" w:cs="Times New Roman"/>
          <w:b/>
          <w:i w:val="0"/>
          <w:color w:val="auto"/>
          <w:sz w:val="20"/>
          <w:szCs w:val="20"/>
        </w:rPr>
        <w:lastRenderedPageBreak/>
        <w:t>Table 2: Performance and Characteristics of the Decile Portfolios Constructed on the Basis of the Return-to-Volume (RtoV)</w:t>
      </w:r>
    </w:p>
    <w:tbl>
      <w:tblPr>
        <w:tblW w:w="8500" w:type="dxa"/>
        <w:tblLook w:val="04A0" w:firstRow="1" w:lastRow="0" w:firstColumn="1" w:lastColumn="0" w:noHBand="0" w:noVBand="1"/>
      </w:tblPr>
      <w:tblGrid>
        <w:gridCol w:w="1080"/>
        <w:gridCol w:w="1180"/>
        <w:gridCol w:w="1220"/>
        <w:gridCol w:w="1080"/>
        <w:gridCol w:w="1160"/>
        <w:gridCol w:w="1460"/>
        <w:gridCol w:w="1320"/>
      </w:tblGrid>
      <w:tr w:rsidR="003D2E90" w:rsidRPr="002A091D" w14:paraId="6FC621C4" w14:textId="77777777" w:rsidTr="003D2E90">
        <w:trPr>
          <w:trHeight w:val="300"/>
        </w:trPr>
        <w:tc>
          <w:tcPr>
            <w:tcW w:w="1080" w:type="dxa"/>
            <w:tcBorders>
              <w:top w:val="single" w:sz="4" w:space="0" w:color="auto"/>
              <w:left w:val="nil"/>
              <w:bottom w:val="double" w:sz="6" w:space="0" w:color="auto"/>
              <w:right w:val="nil"/>
            </w:tcBorders>
            <w:shd w:val="clear" w:color="auto" w:fill="auto"/>
            <w:noWrap/>
            <w:vAlign w:val="bottom"/>
            <w:hideMark/>
          </w:tcPr>
          <w:p w14:paraId="72E56995" w14:textId="77777777" w:rsidR="003D2E90" w:rsidRPr="002A091D" w:rsidRDefault="003D2E90" w:rsidP="003D2E90">
            <w:pPr>
              <w:rPr>
                <w:sz w:val="20"/>
                <w:szCs w:val="20"/>
                <w:lang w:val="en-GB" w:eastAsia="en-GB"/>
              </w:rPr>
            </w:pPr>
            <w:r w:rsidRPr="002A091D">
              <w:rPr>
                <w:sz w:val="20"/>
                <w:szCs w:val="20"/>
                <w:lang w:val="en-GB" w:eastAsia="en-GB"/>
              </w:rPr>
              <w:t>Portfolios</w:t>
            </w:r>
          </w:p>
        </w:tc>
        <w:tc>
          <w:tcPr>
            <w:tcW w:w="1180" w:type="dxa"/>
            <w:tcBorders>
              <w:top w:val="single" w:sz="4" w:space="0" w:color="auto"/>
              <w:left w:val="nil"/>
              <w:bottom w:val="double" w:sz="6" w:space="0" w:color="auto"/>
              <w:right w:val="nil"/>
            </w:tcBorders>
            <w:shd w:val="clear" w:color="auto" w:fill="auto"/>
            <w:noWrap/>
            <w:vAlign w:val="bottom"/>
            <w:hideMark/>
          </w:tcPr>
          <w:p w14:paraId="66107C67" w14:textId="77777777" w:rsidR="003D2E90" w:rsidRPr="002A091D" w:rsidRDefault="003D2E90" w:rsidP="003D2E90">
            <w:pPr>
              <w:rPr>
                <w:sz w:val="20"/>
                <w:szCs w:val="20"/>
                <w:lang w:val="en-GB" w:eastAsia="en-GB"/>
              </w:rPr>
            </w:pPr>
            <w:r w:rsidRPr="002A091D">
              <w:rPr>
                <w:sz w:val="20"/>
                <w:szCs w:val="20"/>
                <w:lang w:val="en-GB" w:eastAsia="en-GB"/>
              </w:rPr>
              <w:t>EW returns</w:t>
            </w:r>
          </w:p>
        </w:tc>
        <w:tc>
          <w:tcPr>
            <w:tcW w:w="1220" w:type="dxa"/>
            <w:tcBorders>
              <w:top w:val="single" w:sz="4" w:space="0" w:color="auto"/>
              <w:left w:val="nil"/>
              <w:bottom w:val="double" w:sz="6" w:space="0" w:color="auto"/>
              <w:right w:val="nil"/>
            </w:tcBorders>
            <w:shd w:val="clear" w:color="auto" w:fill="auto"/>
            <w:noWrap/>
            <w:vAlign w:val="bottom"/>
            <w:hideMark/>
          </w:tcPr>
          <w:p w14:paraId="21815E40" w14:textId="77777777" w:rsidR="003D2E90" w:rsidRPr="002A091D" w:rsidRDefault="003D2E90" w:rsidP="003D2E90">
            <w:pPr>
              <w:rPr>
                <w:sz w:val="20"/>
                <w:szCs w:val="20"/>
                <w:lang w:val="en-GB" w:eastAsia="en-GB"/>
              </w:rPr>
            </w:pPr>
            <w:r w:rsidRPr="002A091D">
              <w:rPr>
                <w:sz w:val="20"/>
                <w:szCs w:val="20"/>
                <w:lang w:val="en-GB" w:eastAsia="en-GB"/>
              </w:rPr>
              <w:t>VW returns</w:t>
            </w:r>
          </w:p>
        </w:tc>
        <w:tc>
          <w:tcPr>
            <w:tcW w:w="1080" w:type="dxa"/>
            <w:tcBorders>
              <w:top w:val="single" w:sz="4" w:space="0" w:color="auto"/>
              <w:left w:val="nil"/>
              <w:bottom w:val="double" w:sz="6" w:space="0" w:color="auto"/>
              <w:right w:val="nil"/>
            </w:tcBorders>
            <w:shd w:val="clear" w:color="auto" w:fill="auto"/>
            <w:noWrap/>
            <w:vAlign w:val="bottom"/>
            <w:hideMark/>
          </w:tcPr>
          <w:p w14:paraId="7B098720" w14:textId="77777777" w:rsidR="003D2E90" w:rsidRPr="002A091D" w:rsidRDefault="003D2E90" w:rsidP="003D2E90">
            <w:pPr>
              <w:rPr>
                <w:sz w:val="20"/>
                <w:szCs w:val="20"/>
                <w:lang w:val="en-GB" w:eastAsia="en-GB"/>
              </w:rPr>
            </w:pPr>
            <w:r w:rsidRPr="002A091D">
              <w:rPr>
                <w:sz w:val="20"/>
                <w:szCs w:val="20"/>
                <w:lang w:val="en-GB" w:eastAsia="en-GB"/>
              </w:rPr>
              <w:t>RtoV ratio</w:t>
            </w:r>
          </w:p>
        </w:tc>
        <w:tc>
          <w:tcPr>
            <w:tcW w:w="1160" w:type="dxa"/>
            <w:tcBorders>
              <w:top w:val="single" w:sz="4" w:space="0" w:color="auto"/>
              <w:left w:val="nil"/>
              <w:bottom w:val="double" w:sz="6" w:space="0" w:color="auto"/>
              <w:right w:val="nil"/>
            </w:tcBorders>
            <w:shd w:val="clear" w:color="auto" w:fill="auto"/>
            <w:noWrap/>
            <w:vAlign w:val="bottom"/>
            <w:hideMark/>
          </w:tcPr>
          <w:p w14:paraId="3791DA93" w14:textId="77777777" w:rsidR="003D2E90" w:rsidRPr="002A091D" w:rsidRDefault="003D2E90" w:rsidP="003D2E90">
            <w:pPr>
              <w:rPr>
                <w:sz w:val="20"/>
                <w:szCs w:val="20"/>
                <w:lang w:val="en-GB" w:eastAsia="en-GB"/>
              </w:rPr>
            </w:pPr>
            <w:r w:rsidRPr="002A091D">
              <w:rPr>
                <w:sz w:val="20"/>
                <w:szCs w:val="20"/>
                <w:lang w:val="en-GB" w:eastAsia="en-GB"/>
              </w:rPr>
              <w:t>MV</w:t>
            </w:r>
          </w:p>
        </w:tc>
        <w:tc>
          <w:tcPr>
            <w:tcW w:w="1460" w:type="dxa"/>
            <w:tcBorders>
              <w:top w:val="single" w:sz="4" w:space="0" w:color="auto"/>
              <w:left w:val="nil"/>
              <w:bottom w:val="double" w:sz="6" w:space="0" w:color="auto"/>
              <w:right w:val="nil"/>
            </w:tcBorders>
            <w:shd w:val="clear" w:color="auto" w:fill="auto"/>
            <w:noWrap/>
            <w:vAlign w:val="bottom"/>
            <w:hideMark/>
          </w:tcPr>
          <w:p w14:paraId="717B0E4B" w14:textId="77777777" w:rsidR="003D2E90" w:rsidRPr="002A091D" w:rsidRDefault="003D2E90" w:rsidP="003D2E90">
            <w:pPr>
              <w:rPr>
                <w:sz w:val="20"/>
                <w:szCs w:val="20"/>
                <w:lang w:val="en-GB" w:eastAsia="en-GB"/>
              </w:rPr>
            </w:pPr>
            <w:r w:rsidRPr="002A091D">
              <w:rPr>
                <w:sz w:val="20"/>
                <w:szCs w:val="20"/>
                <w:lang w:val="en-GB" w:eastAsia="en-GB"/>
              </w:rPr>
              <w:t>Price-to-book</w:t>
            </w:r>
          </w:p>
        </w:tc>
        <w:tc>
          <w:tcPr>
            <w:tcW w:w="1320" w:type="dxa"/>
            <w:tcBorders>
              <w:top w:val="single" w:sz="4" w:space="0" w:color="auto"/>
              <w:left w:val="nil"/>
              <w:bottom w:val="double" w:sz="6" w:space="0" w:color="auto"/>
              <w:right w:val="nil"/>
            </w:tcBorders>
            <w:shd w:val="clear" w:color="auto" w:fill="auto"/>
            <w:noWrap/>
            <w:vAlign w:val="bottom"/>
            <w:hideMark/>
          </w:tcPr>
          <w:p w14:paraId="18E04BBC" w14:textId="77777777" w:rsidR="003D2E90" w:rsidRPr="002A091D" w:rsidRDefault="003D2E90" w:rsidP="003D2E90">
            <w:pPr>
              <w:rPr>
                <w:sz w:val="20"/>
                <w:szCs w:val="20"/>
                <w:lang w:val="en-GB" w:eastAsia="en-GB"/>
              </w:rPr>
            </w:pPr>
            <w:r w:rsidRPr="002A091D">
              <w:rPr>
                <w:sz w:val="20"/>
                <w:szCs w:val="20"/>
                <w:lang w:val="en-GB" w:eastAsia="en-GB"/>
              </w:rPr>
              <w:t>CAPM beta</w:t>
            </w:r>
          </w:p>
        </w:tc>
      </w:tr>
      <w:tr w:rsidR="003D2E90" w:rsidRPr="002A091D" w14:paraId="65AC962F" w14:textId="77777777" w:rsidTr="003D2E90">
        <w:trPr>
          <w:trHeight w:val="300"/>
        </w:trPr>
        <w:tc>
          <w:tcPr>
            <w:tcW w:w="1080" w:type="dxa"/>
            <w:tcBorders>
              <w:top w:val="nil"/>
              <w:left w:val="nil"/>
              <w:bottom w:val="nil"/>
              <w:right w:val="nil"/>
            </w:tcBorders>
            <w:shd w:val="clear" w:color="auto" w:fill="auto"/>
            <w:noWrap/>
            <w:vAlign w:val="bottom"/>
            <w:hideMark/>
          </w:tcPr>
          <w:p w14:paraId="1F0A5E6E" w14:textId="77777777" w:rsidR="003D2E90" w:rsidRPr="002A091D" w:rsidRDefault="003D2E90" w:rsidP="003D2E90">
            <w:pPr>
              <w:rPr>
                <w:sz w:val="20"/>
                <w:szCs w:val="20"/>
                <w:lang w:val="en-GB" w:eastAsia="en-GB"/>
              </w:rPr>
            </w:pPr>
            <w:r w:rsidRPr="002A091D">
              <w:rPr>
                <w:sz w:val="20"/>
                <w:szCs w:val="20"/>
                <w:lang w:val="en-GB" w:eastAsia="en-GB"/>
              </w:rPr>
              <w:t>1</w:t>
            </w:r>
          </w:p>
        </w:tc>
        <w:tc>
          <w:tcPr>
            <w:tcW w:w="1180" w:type="dxa"/>
            <w:tcBorders>
              <w:top w:val="nil"/>
              <w:left w:val="nil"/>
              <w:bottom w:val="nil"/>
              <w:right w:val="nil"/>
            </w:tcBorders>
            <w:shd w:val="clear" w:color="auto" w:fill="auto"/>
            <w:noWrap/>
            <w:vAlign w:val="bottom"/>
            <w:hideMark/>
          </w:tcPr>
          <w:p w14:paraId="6BD5701C" w14:textId="77777777" w:rsidR="003D2E90" w:rsidRPr="002A091D" w:rsidRDefault="003D2E90" w:rsidP="003D2E90">
            <w:pPr>
              <w:jc w:val="right"/>
              <w:rPr>
                <w:sz w:val="20"/>
                <w:szCs w:val="20"/>
                <w:lang w:val="en-GB" w:eastAsia="en-GB"/>
              </w:rPr>
            </w:pPr>
            <w:r w:rsidRPr="002A091D">
              <w:rPr>
                <w:sz w:val="20"/>
                <w:szCs w:val="20"/>
                <w:lang w:val="en-GB" w:eastAsia="en-GB"/>
              </w:rPr>
              <w:t>-10.432</w:t>
            </w:r>
          </w:p>
        </w:tc>
        <w:tc>
          <w:tcPr>
            <w:tcW w:w="1220" w:type="dxa"/>
            <w:tcBorders>
              <w:top w:val="nil"/>
              <w:left w:val="nil"/>
              <w:bottom w:val="nil"/>
              <w:right w:val="nil"/>
            </w:tcBorders>
            <w:shd w:val="clear" w:color="auto" w:fill="auto"/>
            <w:noWrap/>
            <w:vAlign w:val="bottom"/>
            <w:hideMark/>
          </w:tcPr>
          <w:p w14:paraId="763ACD51" w14:textId="77777777" w:rsidR="003D2E90" w:rsidRPr="002A091D" w:rsidRDefault="003D2E90" w:rsidP="003D2E90">
            <w:pPr>
              <w:jc w:val="right"/>
              <w:rPr>
                <w:sz w:val="20"/>
                <w:szCs w:val="20"/>
                <w:lang w:val="en-GB" w:eastAsia="en-GB"/>
              </w:rPr>
            </w:pPr>
            <w:r w:rsidRPr="002A091D">
              <w:rPr>
                <w:sz w:val="20"/>
                <w:szCs w:val="20"/>
                <w:lang w:val="en-GB" w:eastAsia="en-GB"/>
              </w:rPr>
              <w:t>0.286</w:t>
            </w:r>
          </w:p>
        </w:tc>
        <w:tc>
          <w:tcPr>
            <w:tcW w:w="1080" w:type="dxa"/>
            <w:tcBorders>
              <w:top w:val="nil"/>
              <w:left w:val="nil"/>
              <w:bottom w:val="nil"/>
              <w:right w:val="nil"/>
            </w:tcBorders>
            <w:shd w:val="clear" w:color="auto" w:fill="auto"/>
            <w:noWrap/>
            <w:vAlign w:val="bottom"/>
            <w:hideMark/>
          </w:tcPr>
          <w:p w14:paraId="48E39309" w14:textId="77777777" w:rsidR="003D2E90" w:rsidRPr="002A091D" w:rsidRDefault="003D2E90" w:rsidP="003D2E90">
            <w:pPr>
              <w:jc w:val="right"/>
              <w:rPr>
                <w:sz w:val="20"/>
                <w:szCs w:val="20"/>
                <w:lang w:val="en-GB" w:eastAsia="en-GB"/>
              </w:rPr>
            </w:pPr>
            <w:r w:rsidRPr="002A091D">
              <w:rPr>
                <w:sz w:val="20"/>
                <w:szCs w:val="20"/>
                <w:lang w:val="en-GB" w:eastAsia="en-GB"/>
              </w:rPr>
              <w:t>0.086</w:t>
            </w:r>
          </w:p>
        </w:tc>
        <w:tc>
          <w:tcPr>
            <w:tcW w:w="1160" w:type="dxa"/>
            <w:tcBorders>
              <w:top w:val="nil"/>
              <w:left w:val="nil"/>
              <w:bottom w:val="nil"/>
              <w:right w:val="nil"/>
            </w:tcBorders>
            <w:shd w:val="clear" w:color="auto" w:fill="auto"/>
            <w:noWrap/>
            <w:vAlign w:val="bottom"/>
            <w:hideMark/>
          </w:tcPr>
          <w:p w14:paraId="5D8CAECA" w14:textId="77777777" w:rsidR="003D2E90" w:rsidRPr="002A091D" w:rsidRDefault="003D2E90" w:rsidP="003D2E90">
            <w:pPr>
              <w:jc w:val="right"/>
              <w:rPr>
                <w:sz w:val="20"/>
                <w:szCs w:val="20"/>
                <w:lang w:val="en-GB" w:eastAsia="en-GB"/>
              </w:rPr>
            </w:pPr>
            <w:r w:rsidRPr="002A091D">
              <w:rPr>
                <w:sz w:val="20"/>
                <w:szCs w:val="20"/>
                <w:lang w:val="en-GB" w:eastAsia="en-GB"/>
              </w:rPr>
              <w:t>53682.612</w:t>
            </w:r>
          </w:p>
        </w:tc>
        <w:tc>
          <w:tcPr>
            <w:tcW w:w="1460" w:type="dxa"/>
            <w:tcBorders>
              <w:top w:val="nil"/>
              <w:left w:val="nil"/>
              <w:bottom w:val="nil"/>
              <w:right w:val="nil"/>
            </w:tcBorders>
            <w:shd w:val="clear" w:color="auto" w:fill="auto"/>
            <w:noWrap/>
            <w:vAlign w:val="bottom"/>
            <w:hideMark/>
          </w:tcPr>
          <w:p w14:paraId="791A5226" w14:textId="77777777" w:rsidR="003D2E90" w:rsidRPr="002A091D" w:rsidRDefault="003D2E90" w:rsidP="003D2E90">
            <w:pPr>
              <w:jc w:val="right"/>
              <w:rPr>
                <w:sz w:val="20"/>
                <w:szCs w:val="20"/>
                <w:lang w:val="en-GB" w:eastAsia="en-GB"/>
              </w:rPr>
            </w:pPr>
            <w:r w:rsidRPr="002A091D">
              <w:rPr>
                <w:sz w:val="20"/>
                <w:szCs w:val="20"/>
                <w:lang w:val="en-GB" w:eastAsia="en-GB"/>
              </w:rPr>
              <w:t>1.187</w:t>
            </w:r>
          </w:p>
        </w:tc>
        <w:tc>
          <w:tcPr>
            <w:tcW w:w="1320" w:type="dxa"/>
            <w:tcBorders>
              <w:top w:val="nil"/>
              <w:left w:val="nil"/>
              <w:bottom w:val="nil"/>
              <w:right w:val="nil"/>
            </w:tcBorders>
            <w:shd w:val="clear" w:color="auto" w:fill="auto"/>
            <w:noWrap/>
            <w:vAlign w:val="bottom"/>
            <w:hideMark/>
          </w:tcPr>
          <w:p w14:paraId="01CE62AF" w14:textId="77777777" w:rsidR="003D2E90" w:rsidRPr="002A091D" w:rsidRDefault="003D2E90" w:rsidP="003D2E90">
            <w:pPr>
              <w:jc w:val="right"/>
              <w:rPr>
                <w:sz w:val="20"/>
                <w:szCs w:val="20"/>
                <w:lang w:val="en-GB" w:eastAsia="en-GB"/>
              </w:rPr>
            </w:pPr>
            <w:r w:rsidRPr="002A091D">
              <w:rPr>
                <w:sz w:val="20"/>
                <w:szCs w:val="20"/>
                <w:lang w:val="en-GB" w:eastAsia="en-GB"/>
              </w:rPr>
              <w:t>1.075</w:t>
            </w:r>
          </w:p>
        </w:tc>
      </w:tr>
      <w:tr w:rsidR="003D2E90" w:rsidRPr="002A091D" w14:paraId="4B336E2E" w14:textId="77777777" w:rsidTr="003D2E90">
        <w:trPr>
          <w:trHeight w:val="290"/>
        </w:trPr>
        <w:tc>
          <w:tcPr>
            <w:tcW w:w="1080" w:type="dxa"/>
            <w:tcBorders>
              <w:top w:val="nil"/>
              <w:left w:val="nil"/>
              <w:bottom w:val="nil"/>
              <w:right w:val="nil"/>
            </w:tcBorders>
            <w:shd w:val="clear" w:color="auto" w:fill="auto"/>
            <w:noWrap/>
            <w:vAlign w:val="bottom"/>
            <w:hideMark/>
          </w:tcPr>
          <w:p w14:paraId="290A7546" w14:textId="77777777" w:rsidR="003D2E90" w:rsidRPr="002A091D" w:rsidRDefault="003D2E90" w:rsidP="003D2E90">
            <w:pPr>
              <w:rPr>
                <w:sz w:val="20"/>
                <w:szCs w:val="20"/>
                <w:lang w:val="en-GB" w:eastAsia="en-GB"/>
              </w:rPr>
            </w:pPr>
            <w:r w:rsidRPr="002A091D">
              <w:rPr>
                <w:sz w:val="20"/>
                <w:szCs w:val="20"/>
                <w:lang w:val="en-GB" w:eastAsia="en-GB"/>
              </w:rPr>
              <w:t>2</w:t>
            </w:r>
          </w:p>
        </w:tc>
        <w:tc>
          <w:tcPr>
            <w:tcW w:w="1180" w:type="dxa"/>
            <w:tcBorders>
              <w:top w:val="nil"/>
              <w:left w:val="nil"/>
              <w:bottom w:val="nil"/>
              <w:right w:val="nil"/>
            </w:tcBorders>
            <w:shd w:val="clear" w:color="auto" w:fill="auto"/>
            <w:noWrap/>
            <w:vAlign w:val="bottom"/>
            <w:hideMark/>
          </w:tcPr>
          <w:p w14:paraId="1141D400" w14:textId="77777777" w:rsidR="003D2E90" w:rsidRPr="002A091D" w:rsidRDefault="003D2E90" w:rsidP="003D2E90">
            <w:pPr>
              <w:jc w:val="right"/>
              <w:rPr>
                <w:sz w:val="20"/>
                <w:szCs w:val="20"/>
                <w:lang w:val="en-GB" w:eastAsia="en-GB"/>
              </w:rPr>
            </w:pPr>
            <w:r w:rsidRPr="002A091D">
              <w:rPr>
                <w:sz w:val="20"/>
                <w:szCs w:val="20"/>
                <w:lang w:val="en-GB" w:eastAsia="en-GB"/>
              </w:rPr>
              <w:t>-13.716</w:t>
            </w:r>
          </w:p>
        </w:tc>
        <w:tc>
          <w:tcPr>
            <w:tcW w:w="1220" w:type="dxa"/>
            <w:tcBorders>
              <w:top w:val="nil"/>
              <w:left w:val="nil"/>
              <w:bottom w:val="nil"/>
              <w:right w:val="nil"/>
            </w:tcBorders>
            <w:shd w:val="clear" w:color="auto" w:fill="auto"/>
            <w:noWrap/>
            <w:vAlign w:val="bottom"/>
            <w:hideMark/>
          </w:tcPr>
          <w:p w14:paraId="256EC81D" w14:textId="77777777" w:rsidR="003D2E90" w:rsidRPr="002A091D" w:rsidRDefault="003D2E90" w:rsidP="003D2E90">
            <w:pPr>
              <w:jc w:val="right"/>
              <w:rPr>
                <w:sz w:val="20"/>
                <w:szCs w:val="20"/>
                <w:lang w:val="en-GB" w:eastAsia="en-GB"/>
              </w:rPr>
            </w:pPr>
            <w:r w:rsidRPr="002A091D">
              <w:rPr>
                <w:sz w:val="20"/>
                <w:szCs w:val="20"/>
                <w:lang w:val="en-GB" w:eastAsia="en-GB"/>
              </w:rPr>
              <w:t>-5.303</w:t>
            </w:r>
          </w:p>
        </w:tc>
        <w:tc>
          <w:tcPr>
            <w:tcW w:w="1080" w:type="dxa"/>
            <w:tcBorders>
              <w:top w:val="nil"/>
              <w:left w:val="nil"/>
              <w:bottom w:val="nil"/>
              <w:right w:val="nil"/>
            </w:tcBorders>
            <w:shd w:val="clear" w:color="auto" w:fill="auto"/>
            <w:noWrap/>
            <w:vAlign w:val="bottom"/>
            <w:hideMark/>
          </w:tcPr>
          <w:p w14:paraId="25FFB849" w14:textId="77777777" w:rsidR="003D2E90" w:rsidRPr="002A091D" w:rsidRDefault="003D2E90" w:rsidP="003D2E90">
            <w:pPr>
              <w:jc w:val="right"/>
              <w:rPr>
                <w:sz w:val="20"/>
                <w:szCs w:val="20"/>
                <w:lang w:val="en-GB" w:eastAsia="en-GB"/>
              </w:rPr>
            </w:pPr>
            <w:r w:rsidRPr="002A091D">
              <w:rPr>
                <w:sz w:val="20"/>
                <w:szCs w:val="20"/>
                <w:lang w:val="en-GB" w:eastAsia="en-GB"/>
              </w:rPr>
              <w:t>0.003</w:t>
            </w:r>
          </w:p>
        </w:tc>
        <w:tc>
          <w:tcPr>
            <w:tcW w:w="1160" w:type="dxa"/>
            <w:tcBorders>
              <w:top w:val="nil"/>
              <w:left w:val="nil"/>
              <w:bottom w:val="nil"/>
              <w:right w:val="nil"/>
            </w:tcBorders>
            <w:shd w:val="clear" w:color="auto" w:fill="auto"/>
            <w:noWrap/>
            <w:vAlign w:val="bottom"/>
            <w:hideMark/>
          </w:tcPr>
          <w:p w14:paraId="5E4D8163" w14:textId="77777777" w:rsidR="003D2E90" w:rsidRPr="002A091D" w:rsidRDefault="003D2E90" w:rsidP="003D2E90">
            <w:pPr>
              <w:jc w:val="right"/>
              <w:rPr>
                <w:sz w:val="20"/>
                <w:szCs w:val="20"/>
                <w:lang w:val="en-GB" w:eastAsia="en-GB"/>
              </w:rPr>
            </w:pPr>
            <w:r w:rsidRPr="002A091D">
              <w:rPr>
                <w:sz w:val="20"/>
                <w:szCs w:val="20"/>
                <w:lang w:val="en-GB" w:eastAsia="en-GB"/>
              </w:rPr>
              <w:t>26879.189</w:t>
            </w:r>
          </w:p>
        </w:tc>
        <w:tc>
          <w:tcPr>
            <w:tcW w:w="1460" w:type="dxa"/>
            <w:tcBorders>
              <w:top w:val="nil"/>
              <w:left w:val="nil"/>
              <w:bottom w:val="nil"/>
              <w:right w:val="nil"/>
            </w:tcBorders>
            <w:shd w:val="clear" w:color="auto" w:fill="auto"/>
            <w:noWrap/>
            <w:vAlign w:val="bottom"/>
            <w:hideMark/>
          </w:tcPr>
          <w:p w14:paraId="5E69ADFF" w14:textId="77777777" w:rsidR="003D2E90" w:rsidRPr="002A091D" w:rsidRDefault="003D2E90" w:rsidP="003D2E90">
            <w:pPr>
              <w:jc w:val="right"/>
              <w:rPr>
                <w:sz w:val="20"/>
                <w:szCs w:val="20"/>
                <w:lang w:val="en-GB" w:eastAsia="en-GB"/>
              </w:rPr>
            </w:pPr>
            <w:r w:rsidRPr="002A091D">
              <w:rPr>
                <w:sz w:val="20"/>
                <w:szCs w:val="20"/>
                <w:lang w:val="en-GB" w:eastAsia="en-GB"/>
              </w:rPr>
              <w:t>2.489</w:t>
            </w:r>
          </w:p>
        </w:tc>
        <w:tc>
          <w:tcPr>
            <w:tcW w:w="1320" w:type="dxa"/>
            <w:tcBorders>
              <w:top w:val="nil"/>
              <w:left w:val="nil"/>
              <w:bottom w:val="nil"/>
              <w:right w:val="nil"/>
            </w:tcBorders>
            <w:shd w:val="clear" w:color="auto" w:fill="auto"/>
            <w:noWrap/>
            <w:vAlign w:val="bottom"/>
            <w:hideMark/>
          </w:tcPr>
          <w:p w14:paraId="1744F338" w14:textId="77777777" w:rsidR="003D2E90" w:rsidRPr="002A091D" w:rsidRDefault="003D2E90" w:rsidP="003D2E90">
            <w:pPr>
              <w:jc w:val="right"/>
              <w:rPr>
                <w:sz w:val="20"/>
                <w:szCs w:val="20"/>
                <w:lang w:val="en-GB" w:eastAsia="en-GB"/>
              </w:rPr>
            </w:pPr>
            <w:r w:rsidRPr="002A091D">
              <w:rPr>
                <w:sz w:val="20"/>
                <w:szCs w:val="20"/>
                <w:lang w:val="en-GB" w:eastAsia="en-GB"/>
              </w:rPr>
              <w:t>1.174</w:t>
            </w:r>
          </w:p>
        </w:tc>
      </w:tr>
      <w:tr w:rsidR="003D2E90" w:rsidRPr="002A091D" w14:paraId="7F645249" w14:textId="77777777" w:rsidTr="003D2E90">
        <w:trPr>
          <w:trHeight w:val="290"/>
        </w:trPr>
        <w:tc>
          <w:tcPr>
            <w:tcW w:w="1080" w:type="dxa"/>
            <w:tcBorders>
              <w:top w:val="nil"/>
              <w:left w:val="nil"/>
              <w:bottom w:val="nil"/>
              <w:right w:val="nil"/>
            </w:tcBorders>
            <w:shd w:val="clear" w:color="auto" w:fill="auto"/>
            <w:noWrap/>
            <w:vAlign w:val="bottom"/>
            <w:hideMark/>
          </w:tcPr>
          <w:p w14:paraId="0F16B574" w14:textId="77777777" w:rsidR="003D2E90" w:rsidRPr="002A091D" w:rsidRDefault="003D2E90" w:rsidP="003D2E90">
            <w:pPr>
              <w:rPr>
                <w:sz w:val="20"/>
                <w:szCs w:val="20"/>
                <w:lang w:val="en-GB" w:eastAsia="en-GB"/>
              </w:rPr>
            </w:pPr>
            <w:r w:rsidRPr="002A091D">
              <w:rPr>
                <w:sz w:val="20"/>
                <w:szCs w:val="20"/>
                <w:lang w:val="en-GB" w:eastAsia="en-GB"/>
              </w:rPr>
              <w:t>3</w:t>
            </w:r>
          </w:p>
        </w:tc>
        <w:tc>
          <w:tcPr>
            <w:tcW w:w="1180" w:type="dxa"/>
            <w:tcBorders>
              <w:top w:val="nil"/>
              <w:left w:val="nil"/>
              <w:bottom w:val="nil"/>
              <w:right w:val="nil"/>
            </w:tcBorders>
            <w:shd w:val="clear" w:color="auto" w:fill="auto"/>
            <w:noWrap/>
            <w:vAlign w:val="bottom"/>
            <w:hideMark/>
          </w:tcPr>
          <w:p w14:paraId="753BD557" w14:textId="77777777" w:rsidR="003D2E90" w:rsidRPr="002A091D" w:rsidRDefault="003D2E90" w:rsidP="003D2E90">
            <w:pPr>
              <w:jc w:val="right"/>
              <w:rPr>
                <w:sz w:val="20"/>
                <w:szCs w:val="20"/>
                <w:lang w:val="en-GB" w:eastAsia="en-GB"/>
              </w:rPr>
            </w:pPr>
            <w:r w:rsidRPr="002A091D">
              <w:rPr>
                <w:sz w:val="20"/>
                <w:szCs w:val="20"/>
                <w:lang w:val="en-GB" w:eastAsia="en-GB"/>
              </w:rPr>
              <w:t>-8.342</w:t>
            </w:r>
          </w:p>
        </w:tc>
        <w:tc>
          <w:tcPr>
            <w:tcW w:w="1220" w:type="dxa"/>
            <w:tcBorders>
              <w:top w:val="nil"/>
              <w:left w:val="nil"/>
              <w:bottom w:val="nil"/>
              <w:right w:val="nil"/>
            </w:tcBorders>
            <w:shd w:val="clear" w:color="auto" w:fill="auto"/>
            <w:noWrap/>
            <w:vAlign w:val="bottom"/>
            <w:hideMark/>
          </w:tcPr>
          <w:p w14:paraId="13745F46" w14:textId="77777777" w:rsidR="003D2E90" w:rsidRPr="002A091D" w:rsidRDefault="003D2E90" w:rsidP="003D2E90">
            <w:pPr>
              <w:jc w:val="right"/>
              <w:rPr>
                <w:sz w:val="20"/>
                <w:szCs w:val="20"/>
                <w:lang w:val="en-GB" w:eastAsia="en-GB"/>
              </w:rPr>
            </w:pPr>
            <w:r w:rsidRPr="002A091D">
              <w:rPr>
                <w:sz w:val="20"/>
                <w:szCs w:val="20"/>
                <w:lang w:val="en-GB" w:eastAsia="en-GB"/>
              </w:rPr>
              <w:t>-1.716</w:t>
            </w:r>
          </w:p>
        </w:tc>
        <w:tc>
          <w:tcPr>
            <w:tcW w:w="1080" w:type="dxa"/>
            <w:tcBorders>
              <w:top w:val="nil"/>
              <w:left w:val="nil"/>
              <w:bottom w:val="nil"/>
              <w:right w:val="nil"/>
            </w:tcBorders>
            <w:shd w:val="clear" w:color="auto" w:fill="auto"/>
            <w:noWrap/>
            <w:vAlign w:val="bottom"/>
            <w:hideMark/>
          </w:tcPr>
          <w:p w14:paraId="7277ACDC" w14:textId="77777777" w:rsidR="003D2E90" w:rsidRPr="002A091D" w:rsidRDefault="003D2E90" w:rsidP="003D2E90">
            <w:pPr>
              <w:jc w:val="right"/>
              <w:rPr>
                <w:sz w:val="20"/>
                <w:szCs w:val="20"/>
                <w:lang w:val="en-GB" w:eastAsia="en-GB"/>
              </w:rPr>
            </w:pPr>
            <w:r w:rsidRPr="002A091D">
              <w:rPr>
                <w:sz w:val="20"/>
                <w:szCs w:val="20"/>
                <w:lang w:val="en-GB" w:eastAsia="en-GB"/>
              </w:rPr>
              <w:t>0.020</w:t>
            </w:r>
          </w:p>
        </w:tc>
        <w:tc>
          <w:tcPr>
            <w:tcW w:w="1160" w:type="dxa"/>
            <w:tcBorders>
              <w:top w:val="nil"/>
              <w:left w:val="nil"/>
              <w:bottom w:val="nil"/>
              <w:right w:val="nil"/>
            </w:tcBorders>
            <w:shd w:val="clear" w:color="auto" w:fill="auto"/>
            <w:noWrap/>
            <w:vAlign w:val="bottom"/>
            <w:hideMark/>
          </w:tcPr>
          <w:p w14:paraId="742F691B" w14:textId="77777777" w:rsidR="003D2E90" w:rsidRPr="002A091D" w:rsidRDefault="003D2E90" w:rsidP="003D2E90">
            <w:pPr>
              <w:jc w:val="right"/>
              <w:rPr>
                <w:sz w:val="20"/>
                <w:szCs w:val="20"/>
                <w:lang w:val="en-GB" w:eastAsia="en-GB"/>
              </w:rPr>
            </w:pPr>
            <w:r w:rsidRPr="002A091D">
              <w:rPr>
                <w:sz w:val="20"/>
                <w:szCs w:val="20"/>
                <w:lang w:val="en-GB" w:eastAsia="en-GB"/>
              </w:rPr>
              <w:t>10651.052</w:t>
            </w:r>
          </w:p>
        </w:tc>
        <w:tc>
          <w:tcPr>
            <w:tcW w:w="1460" w:type="dxa"/>
            <w:tcBorders>
              <w:top w:val="nil"/>
              <w:left w:val="nil"/>
              <w:bottom w:val="nil"/>
              <w:right w:val="nil"/>
            </w:tcBorders>
            <w:shd w:val="clear" w:color="auto" w:fill="auto"/>
            <w:noWrap/>
            <w:vAlign w:val="bottom"/>
            <w:hideMark/>
          </w:tcPr>
          <w:p w14:paraId="59E0344E" w14:textId="77777777" w:rsidR="003D2E90" w:rsidRPr="002A091D" w:rsidRDefault="003D2E90" w:rsidP="003D2E90">
            <w:pPr>
              <w:jc w:val="right"/>
              <w:rPr>
                <w:sz w:val="20"/>
                <w:szCs w:val="20"/>
                <w:lang w:val="en-GB" w:eastAsia="en-GB"/>
              </w:rPr>
            </w:pPr>
            <w:r w:rsidRPr="002A091D">
              <w:rPr>
                <w:sz w:val="20"/>
                <w:szCs w:val="20"/>
                <w:lang w:val="en-GB" w:eastAsia="en-GB"/>
              </w:rPr>
              <w:t>0.645</w:t>
            </w:r>
          </w:p>
        </w:tc>
        <w:tc>
          <w:tcPr>
            <w:tcW w:w="1320" w:type="dxa"/>
            <w:tcBorders>
              <w:top w:val="nil"/>
              <w:left w:val="nil"/>
              <w:bottom w:val="nil"/>
              <w:right w:val="nil"/>
            </w:tcBorders>
            <w:shd w:val="clear" w:color="auto" w:fill="auto"/>
            <w:noWrap/>
            <w:vAlign w:val="bottom"/>
            <w:hideMark/>
          </w:tcPr>
          <w:p w14:paraId="09438C26" w14:textId="77777777" w:rsidR="003D2E90" w:rsidRPr="002A091D" w:rsidRDefault="003D2E90" w:rsidP="003D2E90">
            <w:pPr>
              <w:jc w:val="right"/>
              <w:rPr>
                <w:sz w:val="20"/>
                <w:szCs w:val="20"/>
                <w:lang w:val="en-GB" w:eastAsia="en-GB"/>
              </w:rPr>
            </w:pPr>
            <w:r w:rsidRPr="002A091D">
              <w:rPr>
                <w:sz w:val="20"/>
                <w:szCs w:val="20"/>
                <w:lang w:val="en-GB" w:eastAsia="en-GB"/>
              </w:rPr>
              <w:t>1.016</w:t>
            </w:r>
          </w:p>
        </w:tc>
      </w:tr>
      <w:tr w:rsidR="003D2E90" w:rsidRPr="002A091D" w14:paraId="22A916F8" w14:textId="77777777" w:rsidTr="003D2E90">
        <w:trPr>
          <w:trHeight w:val="290"/>
        </w:trPr>
        <w:tc>
          <w:tcPr>
            <w:tcW w:w="1080" w:type="dxa"/>
            <w:tcBorders>
              <w:top w:val="nil"/>
              <w:left w:val="nil"/>
              <w:bottom w:val="nil"/>
              <w:right w:val="nil"/>
            </w:tcBorders>
            <w:shd w:val="clear" w:color="auto" w:fill="auto"/>
            <w:noWrap/>
            <w:vAlign w:val="bottom"/>
            <w:hideMark/>
          </w:tcPr>
          <w:p w14:paraId="46B5BB79" w14:textId="77777777" w:rsidR="003D2E90" w:rsidRPr="002A091D" w:rsidRDefault="003D2E90" w:rsidP="003D2E90">
            <w:pPr>
              <w:rPr>
                <w:sz w:val="20"/>
                <w:szCs w:val="20"/>
                <w:lang w:val="en-GB" w:eastAsia="en-GB"/>
              </w:rPr>
            </w:pPr>
            <w:r w:rsidRPr="002A091D">
              <w:rPr>
                <w:sz w:val="20"/>
                <w:szCs w:val="20"/>
                <w:lang w:val="en-GB" w:eastAsia="en-GB"/>
              </w:rPr>
              <w:t>4</w:t>
            </w:r>
          </w:p>
        </w:tc>
        <w:tc>
          <w:tcPr>
            <w:tcW w:w="1180" w:type="dxa"/>
            <w:tcBorders>
              <w:top w:val="nil"/>
              <w:left w:val="nil"/>
              <w:bottom w:val="nil"/>
              <w:right w:val="nil"/>
            </w:tcBorders>
            <w:shd w:val="clear" w:color="auto" w:fill="auto"/>
            <w:noWrap/>
            <w:vAlign w:val="bottom"/>
            <w:hideMark/>
          </w:tcPr>
          <w:p w14:paraId="44E5DBA9" w14:textId="77777777" w:rsidR="003D2E90" w:rsidRPr="002A091D" w:rsidRDefault="003D2E90" w:rsidP="003D2E90">
            <w:pPr>
              <w:jc w:val="right"/>
              <w:rPr>
                <w:sz w:val="20"/>
                <w:szCs w:val="20"/>
                <w:lang w:val="en-GB" w:eastAsia="en-GB"/>
              </w:rPr>
            </w:pPr>
            <w:r w:rsidRPr="002A091D">
              <w:rPr>
                <w:sz w:val="20"/>
                <w:szCs w:val="20"/>
                <w:lang w:val="en-GB" w:eastAsia="en-GB"/>
              </w:rPr>
              <w:t>1.349</w:t>
            </w:r>
          </w:p>
        </w:tc>
        <w:tc>
          <w:tcPr>
            <w:tcW w:w="1220" w:type="dxa"/>
            <w:tcBorders>
              <w:top w:val="nil"/>
              <w:left w:val="nil"/>
              <w:bottom w:val="nil"/>
              <w:right w:val="nil"/>
            </w:tcBorders>
            <w:shd w:val="clear" w:color="auto" w:fill="auto"/>
            <w:noWrap/>
            <w:vAlign w:val="bottom"/>
            <w:hideMark/>
          </w:tcPr>
          <w:p w14:paraId="4128BFE8" w14:textId="77777777" w:rsidR="003D2E90" w:rsidRPr="002A091D" w:rsidRDefault="003D2E90" w:rsidP="003D2E90">
            <w:pPr>
              <w:jc w:val="right"/>
              <w:rPr>
                <w:sz w:val="20"/>
                <w:szCs w:val="20"/>
                <w:lang w:val="en-GB" w:eastAsia="en-GB"/>
              </w:rPr>
            </w:pPr>
            <w:r w:rsidRPr="002A091D">
              <w:rPr>
                <w:sz w:val="20"/>
                <w:szCs w:val="20"/>
                <w:lang w:val="en-GB" w:eastAsia="en-GB"/>
              </w:rPr>
              <w:t>2.676</w:t>
            </w:r>
          </w:p>
        </w:tc>
        <w:tc>
          <w:tcPr>
            <w:tcW w:w="1080" w:type="dxa"/>
            <w:tcBorders>
              <w:top w:val="nil"/>
              <w:left w:val="nil"/>
              <w:bottom w:val="nil"/>
              <w:right w:val="nil"/>
            </w:tcBorders>
            <w:shd w:val="clear" w:color="auto" w:fill="auto"/>
            <w:noWrap/>
            <w:vAlign w:val="bottom"/>
            <w:hideMark/>
          </w:tcPr>
          <w:p w14:paraId="5356F522" w14:textId="77777777" w:rsidR="003D2E90" w:rsidRPr="002A091D" w:rsidRDefault="003D2E90" w:rsidP="003D2E90">
            <w:pPr>
              <w:jc w:val="right"/>
              <w:rPr>
                <w:sz w:val="20"/>
                <w:szCs w:val="20"/>
                <w:lang w:val="en-GB" w:eastAsia="en-GB"/>
              </w:rPr>
            </w:pPr>
            <w:r w:rsidRPr="002A091D">
              <w:rPr>
                <w:sz w:val="20"/>
                <w:szCs w:val="20"/>
                <w:lang w:val="en-GB" w:eastAsia="en-GB"/>
              </w:rPr>
              <w:t>0.230</w:t>
            </w:r>
          </w:p>
        </w:tc>
        <w:tc>
          <w:tcPr>
            <w:tcW w:w="1160" w:type="dxa"/>
            <w:tcBorders>
              <w:top w:val="nil"/>
              <w:left w:val="nil"/>
              <w:bottom w:val="nil"/>
              <w:right w:val="nil"/>
            </w:tcBorders>
            <w:shd w:val="clear" w:color="auto" w:fill="auto"/>
            <w:noWrap/>
            <w:vAlign w:val="bottom"/>
            <w:hideMark/>
          </w:tcPr>
          <w:p w14:paraId="4A06E8A0" w14:textId="77777777" w:rsidR="003D2E90" w:rsidRPr="002A091D" w:rsidRDefault="003D2E90" w:rsidP="003D2E90">
            <w:pPr>
              <w:jc w:val="right"/>
              <w:rPr>
                <w:sz w:val="20"/>
                <w:szCs w:val="20"/>
                <w:lang w:val="en-GB" w:eastAsia="en-GB"/>
              </w:rPr>
            </w:pPr>
            <w:r w:rsidRPr="002A091D">
              <w:rPr>
                <w:sz w:val="20"/>
                <w:szCs w:val="20"/>
                <w:lang w:val="en-GB" w:eastAsia="en-GB"/>
              </w:rPr>
              <w:t>8028.574</w:t>
            </w:r>
          </w:p>
        </w:tc>
        <w:tc>
          <w:tcPr>
            <w:tcW w:w="1460" w:type="dxa"/>
            <w:tcBorders>
              <w:top w:val="nil"/>
              <w:left w:val="nil"/>
              <w:bottom w:val="nil"/>
              <w:right w:val="nil"/>
            </w:tcBorders>
            <w:shd w:val="clear" w:color="auto" w:fill="auto"/>
            <w:noWrap/>
            <w:vAlign w:val="bottom"/>
            <w:hideMark/>
          </w:tcPr>
          <w:p w14:paraId="061722B6" w14:textId="77777777" w:rsidR="003D2E90" w:rsidRPr="002A091D" w:rsidRDefault="003D2E90" w:rsidP="003D2E90">
            <w:pPr>
              <w:jc w:val="right"/>
              <w:rPr>
                <w:sz w:val="20"/>
                <w:szCs w:val="20"/>
                <w:lang w:val="en-GB" w:eastAsia="en-GB"/>
              </w:rPr>
            </w:pPr>
            <w:r w:rsidRPr="002A091D">
              <w:rPr>
                <w:sz w:val="20"/>
                <w:szCs w:val="20"/>
                <w:lang w:val="en-GB" w:eastAsia="en-GB"/>
              </w:rPr>
              <w:t>1.411</w:t>
            </w:r>
          </w:p>
        </w:tc>
        <w:tc>
          <w:tcPr>
            <w:tcW w:w="1320" w:type="dxa"/>
            <w:tcBorders>
              <w:top w:val="nil"/>
              <w:left w:val="nil"/>
              <w:bottom w:val="nil"/>
              <w:right w:val="nil"/>
            </w:tcBorders>
            <w:shd w:val="clear" w:color="auto" w:fill="auto"/>
            <w:noWrap/>
            <w:vAlign w:val="bottom"/>
            <w:hideMark/>
          </w:tcPr>
          <w:p w14:paraId="409B58C3" w14:textId="77777777" w:rsidR="003D2E90" w:rsidRPr="002A091D" w:rsidRDefault="003D2E90" w:rsidP="003D2E90">
            <w:pPr>
              <w:jc w:val="right"/>
              <w:rPr>
                <w:sz w:val="20"/>
                <w:szCs w:val="20"/>
                <w:lang w:val="en-GB" w:eastAsia="en-GB"/>
              </w:rPr>
            </w:pPr>
            <w:r w:rsidRPr="002A091D">
              <w:rPr>
                <w:sz w:val="20"/>
                <w:szCs w:val="20"/>
                <w:lang w:val="en-GB" w:eastAsia="en-GB"/>
              </w:rPr>
              <w:t>0.816</w:t>
            </w:r>
          </w:p>
        </w:tc>
      </w:tr>
      <w:tr w:rsidR="003D2E90" w:rsidRPr="002A091D" w14:paraId="3F5E82B3" w14:textId="77777777" w:rsidTr="003D2E90">
        <w:trPr>
          <w:trHeight w:val="290"/>
        </w:trPr>
        <w:tc>
          <w:tcPr>
            <w:tcW w:w="1080" w:type="dxa"/>
            <w:tcBorders>
              <w:top w:val="nil"/>
              <w:left w:val="nil"/>
              <w:bottom w:val="nil"/>
              <w:right w:val="nil"/>
            </w:tcBorders>
            <w:shd w:val="clear" w:color="auto" w:fill="auto"/>
            <w:noWrap/>
            <w:vAlign w:val="bottom"/>
            <w:hideMark/>
          </w:tcPr>
          <w:p w14:paraId="4BE2F1AC" w14:textId="77777777" w:rsidR="003D2E90" w:rsidRPr="002A091D" w:rsidRDefault="003D2E90" w:rsidP="003D2E90">
            <w:pPr>
              <w:rPr>
                <w:sz w:val="20"/>
                <w:szCs w:val="20"/>
                <w:lang w:val="en-GB" w:eastAsia="en-GB"/>
              </w:rPr>
            </w:pPr>
            <w:r w:rsidRPr="002A091D">
              <w:rPr>
                <w:sz w:val="20"/>
                <w:szCs w:val="20"/>
                <w:lang w:val="en-GB" w:eastAsia="en-GB"/>
              </w:rPr>
              <w:t>5</w:t>
            </w:r>
          </w:p>
        </w:tc>
        <w:tc>
          <w:tcPr>
            <w:tcW w:w="1180" w:type="dxa"/>
            <w:tcBorders>
              <w:top w:val="nil"/>
              <w:left w:val="nil"/>
              <w:bottom w:val="nil"/>
              <w:right w:val="nil"/>
            </w:tcBorders>
            <w:shd w:val="clear" w:color="auto" w:fill="auto"/>
            <w:noWrap/>
            <w:vAlign w:val="bottom"/>
            <w:hideMark/>
          </w:tcPr>
          <w:p w14:paraId="5C5E3B8F" w14:textId="77777777" w:rsidR="003D2E90" w:rsidRPr="002A091D" w:rsidRDefault="003D2E90" w:rsidP="003D2E90">
            <w:pPr>
              <w:jc w:val="right"/>
              <w:rPr>
                <w:sz w:val="20"/>
                <w:szCs w:val="20"/>
                <w:lang w:val="en-GB" w:eastAsia="en-GB"/>
              </w:rPr>
            </w:pPr>
            <w:r w:rsidRPr="002A091D">
              <w:rPr>
                <w:sz w:val="20"/>
                <w:szCs w:val="20"/>
                <w:lang w:val="en-GB" w:eastAsia="en-GB"/>
              </w:rPr>
              <w:t>4.913</w:t>
            </w:r>
          </w:p>
        </w:tc>
        <w:tc>
          <w:tcPr>
            <w:tcW w:w="1220" w:type="dxa"/>
            <w:tcBorders>
              <w:top w:val="nil"/>
              <w:left w:val="nil"/>
              <w:bottom w:val="nil"/>
              <w:right w:val="nil"/>
            </w:tcBorders>
            <w:shd w:val="clear" w:color="auto" w:fill="auto"/>
            <w:noWrap/>
            <w:vAlign w:val="bottom"/>
            <w:hideMark/>
          </w:tcPr>
          <w:p w14:paraId="261FC241" w14:textId="77777777" w:rsidR="003D2E90" w:rsidRPr="002A091D" w:rsidRDefault="003D2E90" w:rsidP="003D2E90">
            <w:pPr>
              <w:jc w:val="right"/>
              <w:rPr>
                <w:sz w:val="20"/>
                <w:szCs w:val="20"/>
                <w:lang w:val="en-GB" w:eastAsia="en-GB"/>
              </w:rPr>
            </w:pPr>
            <w:r w:rsidRPr="002A091D">
              <w:rPr>
                <w:sz w:val="20"/>
                <w:szCs w:val="20"/>
                <w:lang w:val="en-GB" w:eastAsia="en-GB"/>
              </w:rPr>
              <w:t>5.677</w:t>
            </w:r>
          </w:p>
        </w:tc>
        <w:tc>
          <w:tcPr>
            <w:tcW w:w="1080" w:type="dxa"/>
            <w:tcBorders>
              <w:top w:val="nil"/>
              <w:left w:val="nil"/>
              <w:bottom w:val="nil"/>
              <w:right w:val="nil"/>
            </w:tcBorders>
            <w:shd w:val="clear" w:color="auto" w:fill="auto"/>
            <w:noWrap/>
            <w:vAlign w:val="bottom"/>
            <w:hideMark/>
          </w:tcPr>
          <w:p w14:paraId="2B6C0145" w14:textId="77777777" w:rsidR="003D2E90" w:rsidRPr="002A091D" w:rsidRDefault="003D2E90" w:rsidP="003D2E90">
            <w:pPr>
              <w:jc w:val="right"/>
              <w:rPr>
                <w:sz w:val="20"/>
                <w:szCs w:val="20"/>
                <w:lang w:val="en-GB" w:eastAsia="en-GB"/>
              </w:rPr>
            </w:pPr>
            <w:r w:rsidRPr="002A091D">
              <w:rPr>
                <w:sz w:val="20"/>
                <w:szCs w:val="20"/>
                <w:lang w:val="en-GB" w:eastAsia="en-GB"/>
              </w:rPr>
              <w:t>0.502</w:t>
            </w:r>
          </w:p>
        </w:tc>
        <w:tc>
          <w:tcPr>
            <w:tcW w:w="1160" w:type="dxa"/>
            <w:tcBorders>
              <w:top w:val="nil"/>
              <w:left w:val="nil"/>
              <w:bottom w:val="nil"/>
              <w:right w:val="nil"/>
            </w:tcBorders>
            <w:shd w:val="clear" w:color="auto" w:fill="auto"/>
            <w:noWrap/>
            <w:vAlign w:val="bottom"/>
            <w:hideMark/>
          </w:tcPr>
          <w:p w14:paraId="69797CBF" w14:textId="77777777" w:rsidR="003D2E90" w:rsidRPr="002A091D" w:rsidRDefault="003D2E90" w:rsidP="003D2E90">
            <w:pPr>
              <w:jc w:val="right"/>
              <w:rPr>
                <w:sz w:val="20"/>
                <w:szCs w:val="20"/>
                <w:lang w:val="en-GB" w:eastAsia="en-GB"/>
              </w:rPr>
            </w:pPr>
            <w:r w:rsidRPr="002A091D">
              <w:rPr>
                <w:sz w:val="20"/>
                <w:szCs w:val="20"/>
                <w:lang w:val="en-GB" w:eastAsia="en-GB"/>
              </w:rPr>
              <w:t>5729.079</w:t>
            </w:r>
          </w:p>
        </w:tc>
        <w:tc>
          <w:tcPr>
            <w:tcW w:w="1460" w:type="dxa"/>
            <w:tcBorders>
              <w:top w:val="nil"/>
              <w:left w:val="nil"/>
              <w:bottom w:val="nil"/>
              <w:right w:val="nil"/>
            </w:tcBorders>
            <w:shd w:val="clear" w:color="auto" w:fill="auto"/>
            <w:noWrap/>
            <w:vAlign w:val="bottom"/>
            <w:hideMark/>
          </w:tcPr>
          <w:p w14:paraId="74B38C91" w14:textId="77777777" w:rsidR="003D2E90" w:rsidRPr="002A091D" w:rsidRDefault="003D2E90" w:rsidP="003D2E90">
            <w:pPr>
              <w:jc w:val="right"/>
              <w:rPr>
                <w:sz w:val="20"/>
                <w:szCs w:val="20"/>
                <w:lang w:val="en-GB" w:eastAsia="en-GB"/>
              </w:rPr>
            </w:pPr>
            <w:r w:rsidRPr="002A091D">
              <w:rPr>
                <w:sz w:val="20"/>
                <w:szCs w:val="20"/>
                <w:lang w:val="en-GB" w:eastAsia="en-GB"/>
              </w:rPr>
              <w:t>1.350</w:t>
            </w:r>
          </w:p>
        </w:tc>
        <w:tc>
          <w:tcPr>
            <w:tcW w:w="1320" w:type="dxa"/>
            <w:tcBorders>
              <w:top w:val="nil"/>
              <w:left w:val="nil"/>
              <w:bottom w:val="nil"/>
              <w:right w:val="nil"/>
            </w:tcBorders>
            <w:shd w:val="clear" w:color="auto" w:fill="auto"/>
            <w:noWrap/>
            <w:vAlign w:val="bottom"/>
            <w:hideMark/>
          </w:tcPr>
          <w:p w14:paraId="27248712" w14:textId="77777777" w:rsidR="003D2E90" w:rsidRPr="002A091D" w:rsidRDefault="003D2E90" w:rsidP="003D2E90">
            <w:pPr>
              <w:jc w:val="right"/>
              <w:rPr>
                <w:sz w:val="20"/>
                <w:szCs w:val="20"/>
                <w:lang w:val="en-GB" w:eastAsia="en-GB"/>
              </w:rPr>
            </w:pPr>
            <w:r w:rsidRPr="002A091D">
              <w:rPr>
                <w:sz w:val="20"/>
                <w:szCs w:val="20"/>
                <w:lang w:val="en-GB" w:eastAsia="en-GB"/>
              </w:rPr>
              <w:t>0.686</w:t>
            </w:r>
          </w:p>
        </w:tc>
      </w:tr>
      <w:tr w:rsidR="003D2E90" w:rsidRPr="002A091D" w14:paraId="1062C3F5" w14:textId="77777777" w:rsidTr="003D2E90">
        <w:trPr>
          <w:trHeight w:val="290"/>
        </w:trPr>
        <w:tc>
          <w:tcPr>
            <w:tcW w:w="1080" w:type="dxa"/>
            <w:tcBorders>
              <w:top w:val="nil"/>
              <w:left w:val="nil"/>
              <w:bottom w:val="nil"/>
              <w:right w:val="nil"/>
            </w:tcBorders>
            <w:shd w:val="clear" w:color="auto" w:fill="auto"/>
            <w:noWrap/>
            <w:vAlign w:val="bottom"/>
            <w:hideMark/>
          </w:tcPr>
          <w:p w14:paraId="27C8D99B" w14:textId="77777777" w:rsidR="003D2E90" w:rsidRPr="002A091D" w:rsidRDefault="003D2E90" w:rsidP="003D2E90">
            <w:pPr>
              <w:rPr>
                <w:sz w:val="20"/>
                <w:szCs w:val="20"/>
                <w:lang w:val="en-GB" w:eastAsia="en-GB"/>
              </w:rPr>
            </w:pPr>
            <w:r w:rsidRPr="002A091D">
              <w:rPr>
                <w:sz w:val="20"/>
                <w:szCs w:val="20"/>
                <w:lang w:val="en-GB" w:eastAsia="en-GB"/>
              </w:rPr>
              <w:t>6</w:t>
            </w:r>
          </w:p>
        </w:tc>
        <w:tc>
          <w:tcPr>
            <w:tcW w:w="1180" w:type="dxa"/>
            <w:tcBorders>
              <w:top w:val="nil"/>
              <w:left w:val="nil"/>
              <w:bottom w:val="nil"/>
              <w:right w:val="nil"/>
            </w:tcBorders>
            <w:shd w:val="clear" w:color="auto" w:fill="auto"/>
            <w:noWrap/>
            <w:vAlign w:val="bottom"/>
            <w:hideMark/>
          </w:tcPr>
          <w:p w14:paraId="5F50DB36" w14:textId="77777777" w:rsidR="003D2E90" w:rsidRPr="002A091D" w:rsidRDefault="003D2E90" w:rsidP="003D2E90">
            <w:pPr>
              <w:jc w:val="right"/>
              <w:rPr>
                <w:sz w:val="20"/>
                <w:szCs w:val="20"/>
                <w:lang w:val="en-GB" w:eastAsia="en-GB"/>
              </w:rPr>
            </w:pPr>
            <w:r w:rsidRPr="002A091D">
              <w:rPr>
                <w:sz w:val="20"/>
                <w:szCs w:val="20"/>
                <w:lang w:val="en-GB" w:eastAsia="en-GB"/>
              </w:rPr>
              <w:t>7.644</w:t>
            </w:r>
          </w:p>
        </w:tc>
        <w:tc>
          <w:tcPr>
            <w:tcW w:w="1220" w:type="dxa"/>
            <w:tcBorders>
              <w:top w:val="nil"/>
              <w:left w:val="nil"/>
              <w:bottom w:val="nil"/>
              <w:right w:val="nil"/>
            </w:tcBorders>
            <w:shd w:val="clear" w:color="auto" w:fill="auto"/>
            <w:noWrap/>
            <w:vAlign w:val="bottom"/>
            <w:hideMark/>
          </w:tcPr>
          <w:p w14:paraId="3BF68088" w14:textId="77777777" w:rsidR="003D2E90" w:rsidRPr="002A091D" w:rsidRDefault="003D2E90" w:rsidP="003D2E90">
            <w:pPr>
              <w:jc w:val="right"/>
              <w:rPr>
                <w:sz w:val="20"/>
                <w:szCs w:val="20"/>
                <w:lang w:val="en-GB" w:eastAsia="en-GB"/>
              </w:rPr>
            </w:pPr>
            <w:r w:rsidRPr="002A091D">
              <w:rPr>
                <w:sz w:val="20"/>
                <w:szCs w:val="20"/>
                <w:lang w:val="en-GB" w:eastAsia="en-GB"/>
              </w:rPr>
              <w:t>6.967</w:t>
            </w:r>
          </w:p>
        </w:tc>
        <w:tc>
          <w:tcPr>
            <w:tcW w:w="1080" w:type="dxa"/>
            <w:tcBorders>
              <w:top w:val="nil"/>
              <w:left w:val="nil"/>
              <w:bottom w:val="nil"/>
              <w:right w:val="nil"/>
            </w:tcBorders>
            <w:shd w:val="clear" w:color="auto" w:fill="auto"/>
            <w:noWrap/>
            <w:vAlign w:val="bottom"/>
            <w:hideMark/>
          </w:tcPr>
          <w:p w14:paraId="7AADBA0B" w14:textId="77777777" w:rsidR="003D2E90" w:rsidRPr="002A091D" w:rsidRDefault="003D2E90" w:rsidP="003D2E90">
            <w:pPr>
              <w:jc w:val="right"/>
              <w:rPr>
                <w:sz w:val="20"/>
                <w:szCs w:val="20"/>
                <w:lang w:val="en-GB" w:eastAsia="en-GB"/>
              </w:rPr>
            </w:pPr>
            <w:r w:rsidRPr="002A091D">
              <w:rPr>
                <w:sz w:val="20"/>
                <w:szCs w:val="20"/>
                <w:lang w:val="en-GB" w:eastAsia="en-GB"/>
              </w:rPr>
              <w:t>0.853</w:t>
            </w:r>
          </w:p>
        </w:tc>
        <w:tc>
          <w:tcPr>
            <w:tcW w:w="1160" w:type="dxa"/>
            <w:tcBorders>
              <w:top w:val="nil"/>
              <w:left w:val="nil"/>
              <w:bottom w:val="nil"/>
              <w:right w:val="nil"/>
            </w:tcBorders>
            <w:shd w:val="clear" w:color="auto" w:fill="auto"/>
            <w:noWrap/>
            <w:vAlign w:val="bottom"/>
            <w:hideMark/>
          </w:tcPr>
          <w:p w14:paraId="75C733A0" w14:textId="77777777" w:rsidR="003D2E90" w:rsidRPr="002A091D" w:rsidRDefault="003D2E90" w:rsidP="003D2E90">
            <w:pPr>
              <w:jc w:val="right"/>
              <w:rPr>
                <w:sz w:val="20"/>
                <w:szCs w:val="20"/>
                <w:lang w:val="en-GB" w:eastAsia="en-GB"/>
              </w:rPr>
            </w:pPr>
            <w:r w:rsidRPr="002A091D">
              <w:rPr>
                <w:sz w:val="20"/>
                <w:szCs w:val="20"/>
                <w:lang w:val="en-GB" w:eastAsia="en-GB"/>
              </w:rPr>
              <w:t>3641.893</w:t>
            </w:r>
          </w:p>
        </w:tc>
        <w:tc>
          <w:tcPr>
            <w:tcW w:w="1460" w:type="dxa"/>
            <w:tcBorders>
              <w:top w:val="nil"/>
              <w:left w:val="nil"/>
              <w:bottom w:val="nil"/>
              <w:right w:val="nil"/>
            </w:tcBorders>
            <w:shd w:val="clear" w:color="auto" w:fill="auto"/>
            <w:noWrap/>
            <w:vAlign w:val="bottom"/>
            <w:hideMark/>
          </w:tcPr>
          <w:p w14:paraId="7614763C" w14:textId="77777777" w:rsidR="003D2E90" w:rsidRPr="002A091D" w:rsidRDefault="003D2E90" w:rsidP="003D2E90">
            <w:pPr>
              <w:jc w:val="right"/>
              <w:rPr>
                <w:sz w:val="20"/>
                <w:szCs w:val="20"/>
                <w:lang w:val="en-GB" w:eastAsia="en-GB"/>
              </w:rPr>
            </w:pPr>
            <w:r w:rsidRPr="002A091D">
              <w:rPr>
                <w:sz w:val="20"/>
                <w:szCs w:val="20"/>
                <w:lang w:val="en-GB" w:eastAsia="en-GB"/>
              </w:rPr>
              <w:t>1.149</w:t>
            </w:r>
          </w:p>
        </w:tc>
        <w:tc>
          <w:tcPr>
            <w:tcW w:w="1320" w:type="dxa"/>
            <w:tcBorders>
              <w:top w:val="nil"/>
              <w:left w:val="nil"/>
              <w:bottom w:val="nil"/>
              <w:right w:val="nil"/>
            </w:tcBorders>
            <w:shd w:val="clear" w:color="auto" w:fill="auto"/>
            <w:noWrap/>
            <w:vAlign w:val="bottom"/>
            <w:hideMark/>
          </w:tcPr>
          <w:p w14:paraId="0A08D868" w14:textId="77777777" w:rsidR="003D2E90" w:rsidRPr="002A091D" w:rsidRDefault="003D2E90" w:rsidP="003D2E90">
            <w:pPr>
              <w:jc w:val="right"/>
              <w:rPr>
                <w:sz w:val="20"/>
                <w:szCs w:val="20"/>
                <w:lang w:val="en-GB" w:eastAsia="en-GB"/>
              </w:rPr>
            </w:pPr>
            <w:r w:rsidRPr="002A091D">
              <w:rPr>
                <w:sz w:val="20"/>
                <w:szCs w:val="20"/>
                <w:lang w:val="en-GB" w:eastAsia="en-GB"/>
              </w:rPr>
              <w:t>0.585</w:t>
            </w:r>
          </w:p>
        </w:tc>
      </w:tr>
      <w:tr w:rsidR="003D2E90" w:rsidRPr="002A091D" w14:paraId="2A384FA8" w14:textId="77777777" w:rsidTr="003D2E90">
        <w:trPr>
          <w:trHeight w:val="290"/>
        </w:trPr>
        <w:tc>
          <w:tcPr>
            <w:tcW w:w="1080" w:type="dxa"/>
            <w:tcBorders>
              <w:top w:val="nil"/>
              <w:left w:val="nil"/>
              <w:bottom w:val="nil"/>
              <w:right w:val="nil"/>
            </w:tcBorders>
            <w:shd w:val="clear" w:color="auto" w:fill="auto"/>
            <w:noWrap/>
            <w:vAlign w:val="bottom"/>
            <w:hideMark/>
          </w:tcPr>
          <w:p w14:paraId="38044DFE" w14:textId="77777777" w:rsidR="003D2E90" w:rsidRPr="002A091D" w:rsidRDefault="003D2E90" w:rsidP="003D2E90">
            <w:pPr>
              <w:rPr>
                <w:sz w:val="20"/>
                <w:szCs w:val="20"/>
                <w:lang w:val="en-GB" w:eastAsia="en-GB"/>
              </w:rPr>
            </w:pPr>
            <w:r w:rsidRPr="002A091D">
              <w:rPr>
                <w:sz w:val="20"/>
                <w:szCs w:val="20"/>
                <w:lang w:val="en-GB" w:eastAsia="en-GB"/>
              </w:rPr>
              <w:t>7</w:t>
            </w:r>
          </w:p>
        </w:tc>
        <w:tc>
          <w:tcPr>
            <w:tcW w:w="1180" w:type="dxa"/>
            <w:tcBorders>
              <w:top w:val="nil"/>
              <w:left w:val="nil"/>
              <w:bottom w:val="nil"/>
              <w:right w:val="nil"/>
            </w:tcBorders>
            <w:shd w:val="clear" w:color="auto" w:fill="auto"/>
            <w:noWrap/>
            <w:vAlign w:val="bottom"/>
            <w:hideMark/>
          </w:tcPr>
          <w:p w14:paraId="1830E7C3" w14:textId="77777777" w:rsidR="003D2E90" w:rsidRPr="002A091D" w:rsidRDefault="003D2E90" w:rsidP="003D2E90">
            <w:pPr>
              <w:jc w:val="right"/>
              <w:rPr>
                <w:sz w:val="20"/>
                <w:szCs w:val="20"/>
                <w:lang w:val="en-GB" w:eastAsia="en-GB"/>
              </w:rPr>
            </w:pPr>
            <w:r w:rsidRPr="002A091D">
              <w:rPr>
                <w:sz w:val="20"/>
                <w:szCs w:val="20"/>
                <w:lang w:val="en-GB" w:eastAsia="en-GB"/>
              </w:rPr>
              <w:t>15.647</w:t>
            </w:r>
          </w:p>
        </w:tc>
        <w:tc>
          <w:tcPr>
            <w:tcW w:w="1220" w:type="dxa"/>
            <w:tcBorders>
              <w:top w:val="nil"/>
              <w:left w:val="nil"/>
              <w:bottom w:val="nil"/>
              <w:right w:val="nil"/>
            </w:tcBorders>
            <w:shd w:val="clear" w:color="auto" w:fill="auto"/>
            <w:noWrap/>
            <w:vAlign w:val="bottom"/>
            <w:hideMark/>
          </w:tcPr>
          <w:p w14:paraId="2737D931" w14:textId="77777777" w:rsidR="003D2E90" w:rsidRPr="002A091D" w:rsidRDefault="003D2E90" w:rsidP="003D2E90">
            <w:pPr>
              <w:jc w:val="right"/>
              <w:rPr>
                <w:sz w:val="20"/>
                <w:szCs w:val="20"/>
                <w:lang w:val="en-GB" w:eastAsia="en-GB"/>
              </w:rPr>
            </w:pPr>
            <w:r w:rsidRPr="002A091D">
              <w:rPr>
                <w:sz w:val="20"/>
                <w:szCs w:val="20"/>
                <w:lang w:val="en-GB" w:eastAsia="en-GB"/>
              </w:rPr>
              <w:t>7.442</w:t>
            </w:r>
          </w:p>
        </w:tc>
        <w:tc>
          <w:tcPr>
            <w:tcW w:w="1080" w:type="dxa"/>
            <w:tcBorders>
              <w:top w:val="nil"/>
              <w:left w:val="nil"/>
              <w:bottom w:val="nil"/>
              <w:right w:val="nil"/>
            </w:tcBorders>
            <w:shd w:val="clear" w:color="auto" w:fill="auto"/>
            <w:noWrap/>
            <w:vAlign w:val="bottom"/>
            <w:hideMark/>
          </w:tcPr>
          <w:p w14:paraId="2493ECDE" w14:textId="77777777" w:rsidR="003D2E90" w:rsidRPr="002A091D" w:rsidRDefault="003D2E90" w:rsidP="003D2E90">
            <w:pPr>
              <w:jc w:val="right"/>
              <w:rPr>
                <w:sz w:val="20"/>
                <w:szCs w:val="20"/>
                <w:lang w:val="en-GB" w:eastAsia="en-GB"/>
              </w:rPr>
            </w:pPr>
            <w:r w:rsidRPr="002A091D">
              <w:rPr>
                <w:sz w:val="20"/>
                <w:szCs w:val="20"/>
                <w:lang w:val="en-GB" w:eastAsia="en-GB"/>
              </w:rPr>
              <w:t>0.846</w:t>
            </w:r>
          </w:p>
        </w:tc>
        <w:tc>
          <w:tcPr>
            <w:tcW w:w="1160" w:type="dxa"/>
            <w:tcBorders>
              <w:top w:val="nil"/>
              <w:left w:val="nil"/>
              <w:bottom w:val="nil"/>
              <w:right w:val="nil"/>
            </w:tcBorders>
            <w:shd w:val="clear" w:color="auto" w:fill="auto"/>
            <w:noWrap/>
            <w:vAlign w:val="bottom"/>
            <w:hideMark/>
          </w:tcPr>
          <w:p w14:paraId="59F2BFBD" w14:textId="77777777" w:rsidR="003D2E90" w:rsidRPr="002A091D" w:rsidRDefault="003D2E90" w:rsidP="003D2E90">
            <w:pPr>
              <w:jc w:val="right"/>
              <w:rPr>
                <w:sz w:val="20"/>
                <w:szCs w:val="20"/>
                <w:lang w:val="en-GB" w:eastAsia="en-GB"/>
              </w:rPr>
            </w:pPr>
            <w:r w:rsidRPr="002A091D">
              <w:rPr>
                <w:sz w:val="20"/>
                <w:szCs w:val="20"/>
                <w:lang w:val="en-GB" w:eastAsia="en-GB"/>
              </w:rPr>
              <w:t>2846.070</w:t>
            </w:r>
          </w:p>
        </w:tc>
        <w:tc>
          <w:tcPr>
            <w:tcW w:w="1460" w:type="dxa"/>
            <w:tcBorders>
              <w:top w:val="nil"/>
              <w:left w:val="nil"/>
              <w:bottom w:val="nil"/>
              <w:right w:val="nil"/>
            </w:tcBorders>
            <w:shd w:val="clear" w:color="auto" w:fill="auto"/>
            <w:noWrap/>
            <w:vAlign w:val="bottom"/>
            <w:hideMark/>
          </w:tcPr>
          <w:p w14:paraId="50B28D40" w14:textId="77777777" w:rsidR="003D2E90" w:rsidRPr="002A091D" w:rsidRDefault="003D2E90" w:rsidP="003D2E90">
            <w:pPr>
              <w:jc w:val="right"/>
              <w:rPr>
                <w:sz w:val="20"/>
                <w:szCs w:val="20"/>
                <w:lang w:val="en-GB" w:eastAsia="en-GB"/>
              </w:rPr>
            </w:pPr>
            <w:r w:rsidRPr="002A091D">
              <w:rPr>
                <w:sz w:val="20"/>
                <w:szCs w:val="20"/>
                <w:lang w:val="en-GB" w:eastAsia="en-GB"/>
              </w:rPr>
              <w:t>1.349</w:t>
            </w:r>
          </w:p>
        </w:tc>
        <w:tc>
          <w:tcPr>
            <w:tcW w:w="1320" w:type="dxa"/>
            <w:tcBorders>
              <w:top w:val="nil"/>
              <w:left w:val="nil"/>
              <w:bottom w:val="nil"/>
              <w:right w:val="nil"/>
            </w:tcBorders>
            <w:shd w:val="clear" w:color="auto" w:fill="auto"/>
            <w:noWrap/>
            <w:vAlign w:val="bottom"/>
            <w:hideMark/>
          </w:tcPr>
          <w:p w14:paraId="6CE1B70D" w14:textId="77777777" w:rsidR="003D2E90" w:rsidRPr="002A091D" w:rsidRDefault="003D2E90" w:rsidP="003D2E90">
            <w:pPr>
              <w:jc w:val="right"/>
              <w:rPr>
                <w:sz w:val="20"/>
                <w:szCs w:val="20"/>
                <w:lang w:val="en-GB" w:eastAsia="en-GB"/>
              </w:rPr>
            </w:pPr>
            <w:r w:rsidRPr="002A091D">
              <w:rPr>
                <w:sz w:val="20"/>
                <w:szCs w:val="20"/>
                <w:lang w:val="en-GB" w:eastAsia="en-GB"/>
              </w:rPr>
              <w:t>0.507</w:t>
            </w:r>
          </w:p>
        </w:tc>
      </w:tr>
      <w:tr w:rsidR="003D2E90" w:rsidRPr="002A091D" w14:paraId="5B21E513" w14:textId="77777777" w:rsidTr="003D2E90">
        <w:trPr>
          <w:trHeight w:val="290"/>
        </w:trPr>
        <w:tc>
          <w:tcPr>
            <w:tcW w:w="1080" w:type="dxa"/>
            <w:tcBorders>
              <w:top w:val="nil"/>
              <w:left w:val="nil"/>
              <w:bottom w:val="nil"/>
              <w:right w:val="nil"/>
            </w:tcBorders>
            <w:shd w:val="clear" w:color="auto" w:fill="auto"/>
            <w:noWrap/>
            <w:vAlign w:val="bottom"/>
            <w:hideMark/>
          </w:tcPr>
          <w:p w14:paraId="4D54A317" w14:textId="77777777" w:rsidR="003D2E90" w:rsidRPr="002A091D" w:rsidRDefault="003D2E90" w:rsidP="003D2E90">
            <w:pPr>
              <w:rPr>
                <w:sz w:val="20"/>
                <w:szCs w:val="20"/>
                <w:lang w:val="en-GB" w:eastAsia="en-GB"/>
              </w:rPr>
            </w:pPr>
            <w:r w:rsidRPr="002A091D">
              <w:rPr>
                <w:sz w:val="20"/>
                <w:szCs w:val="20"/>
                <w:lang w:val="en-GB" w:eastAsia="en-GB"/>
              </w:rPr>
              <w:t>8</w:t>
            </w:r>
          </w:p>
        </w:tc>
        <w:tc>
          <w:tcPr>
            <w:tcW w:w="1180" w:type="dxa"/>
            <w:tcBorders>
              <w:top w:val="nil"/>
              <w:left w:val="nil"/>
              <w:bottom w:val="nil"/>
              <w:right w:val="nil"/>
            </w:tcBorders>
            <w:shd w:val="clear" w:color="auto" w:fill="auto"/>
            <w:noWrap/>
            <w:vAlign w:val="bottom"/>
            <w:hideMark/>
          </w:tcPr>
          <w:p w14:paraId="43019900" w14:textId="77777777" w:rsidR="003D2E90" w:rsidRPr="002A091D" w:rsidRDefault="003D2E90" w:rsidP="003D2E90">
            <w:pPr>
              <w:jc w:val="right"/>
              <w:rPr>
                <w:sz w:val="20"/>
                <w:szCs w:val="20"/>
                <w:lang w:val="en-GB" w:eastAsia="en-GB"/>
              </w:rPr>
            </w:pPr>
            <w:r w:rsidRPr="002A091D">
              <w:rPr>
                <w:sz w:val="20"/>
                <w:szCs w:val="20"/>
                <w:lang w:val="en-GB" w:eastAsia="en-GB"/>
              </w:rPr>
              <w:t>18.731</w:t>
            </w:r>
          </w:p>
        </w:tc>
        <w:tc>
          <w:tcPr>
            <w:tcW w:w="1220" w:type="dxa"/>
            <w:tcBorders>
              <w:top w:val="nil"/>
              <w:left w:val="nil"/>
              <w:bottom w:val="nil"/>
              <w:right w:val="nil"/>
            </w:tcBorders>
            <w:shd w:val="clear" w:color="auto" w:fill="auto"/>
            <w:noWrap/>
            <w:vAlign w:val="bottom"/>
            <w:hideMark/>
          </w:tcPr>
          <w:p w14:paraId="2F576134" w14:textId="77777777" w:rsidR="003D2E90" w:rsidRPr="002A091D" w:rsidRDefault="003D2E90" w:rsidP="003D2E90">
            <w:pPr>
              <w:jc w:val="right"/>
              <w:rPr>
                <w:sz w:val="20"/>
                <w:szCs w:val="20"/>
                <w:lang w:val="en-GB" w:eastAsia="en-GB"/>
              </w:rPr>
            </w:pPr>
            <w:r w:rsidRPr="002A091D">
              <w:rPr>
                <w:sz w:val="20"/>
                <w:szCs w:val="20"/>
                <w:lang w:val="en-GB" w:eastAsia="en-GB"/>
              </w:rPr>
              <w:t>8.158</w:t>
            </w:r>
          </w:p>
        </w:tc>
        <w:tc>
          <w:tcPr>
            <w:tcW w:w="1080" w:type="dxa"/>
            <w:tcBorders>
              <w:top w:val="nil"/>
              <w:left w:val="nil"/>
              <w:bottom w:val="nil"/>
              <w:right w:val="nil"/>
            </w:tcBorders>
            <w:shd w:val="clear" w:color="auto" w:fill="auto"/>
            <w:noWrap/>
            <w:vAlign w:val="bottom"/>
            <w:hideMark/>
          </w:tcPr>
          <w:p w14:paraId="4638D751" w14:textId="77777777" w:rsidR="003D2E90" w:rsidRPr="002A091D" w:rsidRDefault="003D2E90" w:rsidP="003D2E90">
            <w:pPr>
              <w:jc w:val="right"/>
              <w:rPr>
                <w:sz w:val="20"/>
                <w:szCs w:val="20"/>
                <w:lang w:val="en-GB" w:eastAsia="en-GB"/>
              </w:rPr>
            </w:pPr>
            <w:r w:rsidRPr="002A091D">
              <w:rPr>
                <w:sz w:val="20"/>
                <w:szCs w:val="20"/>
                <w:lang w:val="en-GB" w:eastAsia="en-GB"/>
              </w:rPr>
              <w:t>1.266</w:t>
            </w:r>
          </w:p>
        </w:tc>
        <w:tc>
          <w:tcPr>
            <w:tcW w:w="1160" w:type="dxa"/>
            <w:tcBorders>
              <w:top w:val="nil"/>
              <w:left w:val="nil"/>
              <w:bottom w:val="nil"/>
              <w:right w:val="nil"/>
            </w:tcBorders>
            <w:shd w:val="clear" w:color="auto" w:fill="auto"/>
            <w:noWrap/>
            <w:vAlign w:val="bottom"/>
            <w:hideMark/>
          </w:tcPr>
          <w:p w14:paraId="0DA90696" w14:textId="77777777" w:rsidR="003D2E90" w:rsidRPr="002A091D" w:rsidRDefault="003D2E90" w:rsidP="003D2E90">
            <w:pPr>
              <w:jc w:val="right"/>
              <w:rPr>
                <w:sz w:val="20"/>
                <w:szCs w:val="20"/>
                <w:lang w:val="en-GB" w:eastAsia="en-GB"/>
              </w:rPr>
            </w:pPr>
            <w:r w:rsidRPr="002A091D">
              <w:rPr>
                <w:sz w:val="20"/>
                <w:szCs w:val="20"/>
                <w:lang w:val="en-GB" w:eastAsia="en-GB"/>
              </w:rPr>
              <w:t>2739.724</w:t>
            </w:r>
          </w:p>
        </w:tc>
        <w:tc>
          <w:tcPr>
            <w:tcW w:w="1460" w:type="dxa"/>
            <w:tcBorders>
              <w:top w:val="nil"/>
              <w:left w:val="nil"/>
              <w:bottom w:val="nil"/>
              <w:right w:val="nil"/>
            </w:tcBorders>
            <w:shd w:val="clear" w:color="auto" w:fill="auto"/>
            <w:noWrap/>
            <w:vAlign w:val="bottom"/>
            <w:hideMark/>
          </w:tcPr>
          <w:p w14:paraId="286E58E6" w14:textId="77777777" w:rsidR="003D2E90" w:rsidRPr="002A091D" w:rsidRDefault="003D2E90" w:rsidP="003D2E90">
            <w:pPr>
              <w:jc w:val="right"/>
              <w:rPr>
                <w:sz w:val="20"/>
                <w:szCs w:val="20"/>
                <w:lang w:val="en-GB" w:eastAsia="en-GB"/>
              </w:rPr>
            </w:pPr>
            <w:r w:rsidRPr="002A091D">
              <w:rPr>
                <w:sz w:val="20"/>
                <w:szCs w:val="20"/>
                <w:lang w:val="en-GB" w:eastAsia="en-GB"/>
              </w:rPr>
              <w:t>1.842</w:t>
            </w:r>
          </w:p>
        </w:tc>
        <w:tc>
          <w:tcPr>
            <w:tcW w:w="1320" w:type="dxa"/>
            <w:tcBorders>
              <w:top w:val="nil"/>
              <w:left w:val="nil"/>
              <w:bottom w:val="nil"/>
              <w:right w:val="nil"/>
            </w:tcBorders>
            <w:shd w:val="clear" w:color="auto" w:fill="auto"/>
            <w:noWrap/>
            <w:vAlign w:val="bottom"/>
            <w:hideMark/>
          </w:tcPr>
          <w:p w14:paraId="2C553012" w14:textId="77777777" w:rsidR="003D2E90" w:rsidRPr="002A091D" w:rsidRDefault="003D2E90" w:rsidP="003D2E90">
            <w:pPr>
              <w:jc w:val="right"/>
              <w:rPr>
                <w:sz w:val="20"/>
                <w:szCs w:val="20"/>
                <w:lang w:val="en-GB" w:eastAsia="en-GB"/>
              </w:rPr>
            </w:pPr>
            <w:r w:rsidRPr="002A091D">
              <w:rPr>
                <w:sz w:val="20"/>
                <w:szCs w:val="20"/>
                <w:lang w:val="en-GB" w:eastAsia="en-GB"/>
              </w:rPr>
              <w:t>0.456</w:t>
            </w:r>
          </w:p>
        </w:tc>
      </w:tr>
      <w:tr w:rsidR="003D2E90" w:rsidRPr="002A091D" w14:paraId="3D809432" w14:textId="77777777" w:rsidTr="003D2E90">
        <w:trPr>
          <w:trHeight w:val="290"/>
        </w:trPr>
        <w:tc>
          <w:tcPr>
            <w:tcW w:w="1080" w:type="dxa"/>
            <w:tcBorders>
              <w:top w:val="nil"/>
              <w:left w:val="nil"/>
              <w:bottom w:val="nil"/>
              <w:right w:val="nil"/>
            </w:tcBorders>
            <w:shd w:val="clear" w:color="auto" w:fill="auto"/>
            <w:noWrap/>
            <w:vAlign w:val="bottom"/>
            <w:hideMark/>
          </w:tcPr>
          <w:p w14:paraId="3E5DEF22" w14:textId="77777777" w:rsidR="003D2E90" w:rsidRPr="002A091D" w:rsidRDefault="003D2E90" w:rsidP="003D2E90">
            <w:pPr>
              <w:rPr>
                <w:sz w:val="20"/>
                <w:szCs w:val="20"/>
                <w:lang w:val="en-GB" w:eastAsia="en-GB"/>
              </w:rPr>
            </w:pPr>
            <w:r w:rsidRPr="002A091D">
              <w:rPr>
                <w:sz w:val="20"/>
                <w:szCs w:val="20"/>
                <w:lang w:val="en-GB" w:eastAsia="en-GB"/>
              </w:rPr>
              <w:t>9</w:t>
            </w:r>
          </w:p>
        </w:tc>
        <w:tc>
          <w:tcPr>
            <w:tcW w:w="1180" w:type="dxa"/>
            <w:tcBorders>
              <w:top w:val="nil"/>
              <w:left w:val="nil"/>
              <w:bottom w:val="nil"/>
              <w:right w:val="nil"/>
            </w:tcBorders>
            <w:shd w:val="clear" w:color="auto" w:fill="auto"/>
            <w:noWrap/>
            <w:vAlign w:val="bottom"/>
            <w:hideMark/>
          </w:tcPr>
          <w:p w14:paraId="34ABAE0A" w14:textId="77777777" w:rsidR="003D2E90" w:rsidRPr="002A091D" w:rsidRDefault="003D2E90" w:rsidP="003D2E90">
            <w:pPr>
              <w:jc w:val="right"/>
              <w:rPr>
                <w:sz w:val="20"/>
                <w:szCs w:val="20"/>
                <w:lang w:val="en-GB" w:eastAsia="en-GB"/>
              </w:rPr>
            </w:pPr>
            <w:r w:rsidRPr="002A091D">
              <w:rPr>
                <w:sz w:val="20"/>
                <w:szCs w:val="20"/>
                <w:lang w:val="en-GB" w:eastAsia="en-GB"/>
              </w:rPr>
              <w:t>17.979</w:t>
            </w:r>
          </w:p>
        </w:tc>
        <w:tc>
          <w:tcPr>
            <w:tcW w:w="1220" w:type="dxa"/>
            <w:tcBorders>
              <w:top w:val="nil"/>
              <w:left w:val="nil"/>
              <w:bottom w:val="nil"/>
              <w:right w:val="nil"/>
            </w:tcBorders>
            <w:shd w:val="clear" w:color="auto" w:fill="auto"/>
            <w:noWrap/>
            <w:vAlign w:val="bottom"/>
            <w:hideMark/>
          </w:tcPr>
          <w:p w14:paraId="3940826F" w14:textId="77777777" w:rsidR="003D2E90" w:rsidRPr="002A091D" w:rsidRDefault="003D2E90" w:rsidP="003D2E90">
            <w:pPr>
              <w:jc w:val="right"/>
              <w:rPr>
                <w:sz w:val="20"/>
                <w:szCs w:val="20"/>
                <w:lang w:val="en-GB" w:eastAsia="en-GB"/>
              </w:rPr>
            </w:pPr>
            <w:r w:rsidRPr="002A091D">
              <w:rPr>
                <w:sz w:val="20"/>
                <w:szCs w:val="20"/>
                <w:lang w:val="en-GB" w:eastAsia="en-GB"/>
              </w:rPr>
              <w:t>9.283</w:t>
            </w:r>
          </w:p>
        </w:tc>
        <w:tc>
          <w:tcPr>
            <w:tcW w:w="1080" w:type="dxa"/>
            <w:tcBorders>
              <w:top w:val="nil"/>
              <w:left w:val="nil"/>
              <w:bottom w:val="nil"/>
              <w:right w:val="nil"/>
            </w:tcBorders>
            <w:shd w:val="clear" w:color="auto" w:fill="auto"/>
            <w:noWrap/>
            <w:vAlign w:val="bottom"/>
            <w:hideMark/>
          </w:tcPr>
          <w:p w14:paraId="7AD8BD21" w14:textId="77777777" w:rsidR="003D2E90" w:rsidRPr="002A091D" w:rsidRDefault="003D2E90" w:rsidP="003D2E90">
            <w:pPr>
              <w:jc w:val="right"/>
              <w:rPr>
                <w:sz w:val="20"/>
                <w:szCs w:val="20"/>
                <w:lang w:val="en-GB" w:eastAsia="en-GB"/>
              </w:rPr>
            </w:pPr>
            <w:r w:rsidRPr="002A091D">
              <w:rPr>
                <w:sz w:val="20"/>
                <w:szCs w:val="20"/>
                <w:lang w:val="en-GB" w:eastAsia="en-GB"/>
              </w:rPr>
              <w:t>2.035</w:t>
            </w:r>
          </w:p>
        </w:tc>
        <w:tc>
          <w:tcPr>
            <w:tcW w:w="1160" w:type="dxa"/>
            <w:tcBorders>
              <w:top w:val="nil"/>
              <w:left w:val="nil"/>
              <w:bottom w:val="nil"/>
              <w:right w:val="nil"/>
            </w:tcBorders>
            <w:shd w:val="clear" w:color="auto" w:fill="auto"/>
            <w:noWrap/>
            <w:vAlign w:val="bottom"/>
            <w:hideMark/>
          </w:tcPr>
          <w:p w14:paraId="67DC8EE6" w14:textId="77777777" w:rsidR="003D2E90" w:rsidRPr="002A091D" w:rsidRDefault="003D2E90" w:rsidP="003D2E90">
            <w:pPr>
              <w:jc w:val="right"/>
              <w:rPr>
                <w:sz w:val="20"/>
                <w:szCs w:val="20"/>
                <w:lang w:val="en-GB" w:eastAsia="en-GB"/>
              </w:rPr>
            </w:pPr>
            <w:r w:rsidRPr="002A091D">
              <w:rPr>
                <w:sz w:val="20"/>
                <w:szCs w:val="20"/>
                <w:lang w:val="en-GB" w:eastAsia="en-GB"/>
              </w:rPr>
              <w:t>3180.967</w:t>
            </w:r>
          </w:p>
        </w:tc>
        <w:tc>
          <w:tcPr>
            <w:tcW w:w="1460" w:type="dxa"/>
            <w:tcBorders>
              <w:top w:val="nil"/>
              <w:left w:val="nil"/>
              <w:bottom w:val="nil"/>
              <w:right w:val="nil"/>
            </w:tcBorders>
            <w:shd w:val="clear" w:color="auto" w:fill="auto"/>
            <w:noWrap/>
            <w:vAlign w:val="bottom"/>
            <w:hideMark/>
          </w:tcPr>
          <w:p w14:paraId="13630DC3" w14:textId="77777777" w:rsidR="003D2E90" w:rsidRPr="002A091D" w:rsidRDefault="003D2E90" w:rsidP="003D2E90">
            <w:pPr>
              <w:jc w:val="right"/>
              <w:rPr>
                <w:sz w:val="20"/>
                <w:szCs w:val="20"/>
                <w:lang w:val="en-GB" w:eastAsia="en-GB"/>
              </w:rPr>
            </w:pPr>
            <w:r w:rsidRPr="002A091D">
              <w:rPr>
                <w:sz w:val="20"/>
                <w:szCs w:val="20"/>
                <w:lang w:val="en-GB" w:eastAsia="en-GB"/>
              </w:rPr>
              <w:t>2.102</w:t>
            </w:r>
          </w:p>
        </w:tc>
        <w:tc>
          <w:tcPr>
            <w:tcW w:w="1320" w:type="dxa"/>
            <w:tcBorders>
              <w:top w:val="nil"/>
              <w:left w:val="nil"/>
              <w:bottom w:val="nil"/>
              <w:right w:val="nil"/>
            </w:tcBorders>
            <w:shd w:val="clear" w:color="auto" w:fill="auto"/>
            <w:noWrap/>
            <w:vAlign w:val="bottom"/>
            <w:hideMark/>
          </w:tcPr>
          <w:p w14:paraId="5A139D26" w14:textId="77777777" w:rsidR="003D2E90" w:rsidRPr="002A091D" w:rsidRDefault="003D2E90" w:rsidP="003D2E90">
            <w:pPr>
              <w:jc w:val="right"/>
              <w:rPr>
                <w:sz w:val="20"/>
                <w:szCs w:val="20"/>
                <w:lang w:val="en-GB" w:eastAsia="en-GB"/>
              </w:rPr>
            </w:pPr>
            <w:r w:rsidRPr="002A091D">
              <w:rPr>
                <w:sz w:val="20"/>
                <w:szCs w:val="20"/>
                <w:lang w:val="en-GB" w:eastAsia="en-GB"/>
              </w:rPr>
              <w:t>0.385</w:t>
            </w:r>
          </w:p>
        </w:tc>
      </w:tr>
      <w:tr w:rsidR="003D2E90" w:rsidRPr="002A091D" w14:paraId="2F85F55B" w14:textId="77777777" w:rsidTr="003D2E90">
        <w:trPr>
          <w:trHeight w:val="290"/>
        </w:trPr>
        <w:tc>
          <w:tcPr>
            <w:tcW w:w="1080" w:type="dxa"/>
            <w:tcBorders>
              <w:top w:val="nil"/>
              <w:left w:val="nil"/>
              <w:bottom w:val="single" w:sz="4" w:space="0" w:color="auto"/>
              <w:right w:val="nil"/>
            </w:tcBorders>
            <w:shd w:val="clear" w:color="auto" w:fill="auto"/>
            <w:noWrap/>
            <w:vAlign w:val="bottom"/>
            <w:hideMark/>
          </w:tcPr>
          <w:p w14:paraId="08C21065" w14:textId="77777777" w:rsidR="003D2E90" w:rsidRPr="002A091D" w:rsidRDefault="003D2E90" w:rsidP="003D2E90">
            <w:pPr>
              <w:rPr>
                <w:sz w:val="20"/>
                <w:szCs w:val="20"/>
                <w:lang w:val="en-GB" w:eastAsia="en-GB"/>
              </w:rPr>
            </w:pPr>
            <w:r w:rsidRPr="002A091D">
              <w:rPr>
                <w:sz w:val="20"/>
                <w:szCs w:val="20"/>
                <w:lang w:val="en-GB" w:eastAsia="en-GB"/>
              </w:rPr>
              <w:t>10</w:t>
            </w:r>
          </w:p>
        </w:tc>
        <w:tc>
          <w:tcPr>
            <w:tcW w:w="1180" w:type="dxa"/>
            <w:tcBorders>
              <w:top w:val="nil"/>
              <w:left w:val="nil"/>
              <w:bottom w:val="single" w:sz="4" w:space="0" w:color="auto"/>
              <w:right w:val="nil"/>
            </w:tcBorders>
            <w:shd w:val="clear" w:color="auto" w:fill="auto"/>
            <w:noWrap/>
            <w:vAlign w:val="bottom"/>
            <w:hideMark/>
          </w:tcPr>
          <w:p w14:paraId="17FB9815" w14:textId="77777777" w:rsidR="003D2E90" w:rsidRPr="002A091D" w:rsidRDefault="003D2E90" w:rsidP="003D2E90">
            <w:pPr>
              <w:jc w:val="right"/>
              <w:rPr>
                <w:sz w:val="20"/>
                <w:szCs w:val="20"/>
                <w:lang w:val="en-GB" w:eastAsia="en-GB"/>
              </w:rPr>
            </w:pPr>
            <w:r w:rsidRPr="002A091D">
              <w:rPr>
                <w:sz w:val="20"/>
                <w:szCs w:val="20"/>
                <w:lang w:val="en-GB" w:eastAsia="en-GB"/>
              </w:rPr>
              <w:t>17.987</w:t>
            </w:r>
          </w:p>
        </w:tc>
        <w:tc>
          <w:tcPr>
            <w:tcW w:w="1220" w:type="dxa"/>
            <w:tcBorders>
              <w:top w:val="nil"/>
              <w:left w:val="nil"/>
              <w:bottom w:val="single" w:sz="4" w:space="0" w:color="auto"/>
              <w:right w:val="nil"/>
            </w:tcBorders>
            <w:shd w:val="clear" w:color="auto" w:fill="auto"/>
            <w:noWrap/>
            <w:vAlign w:val="bottom"/>
            <w:hideMark/>
          </w:tcPr>
          <w:p w14:paraId="2A06299C" w14:textId="77777777" w:rsidR="003D2E90" w:rsidRPr="002A091D" w:rsidRDefault="003D2E90" w:rsidP="003D2E90">
            <w:pPr>
              <w:jc w:val="right"/>
              <w:rPr>
                <w:sz w:val="20"/>
                <w:szCs w:val="20"/>
                <w:lang w:val="en-GB" w:eastAsia="en-GB"/>
              </w:rPr>
            </w:pPr>
            <w:r w:rsidRPr="002A091D">
              <w:rPr>
                <w:sz w:val="20"/>
                <w:szCs w:val="20"/>
                <w:lang w:val="en-GB" w:eastAsia="en-GB"/>
              </w:rPr>
              <w:t>10.049</w:t>
            </w:r>
          </w:p>
        </w:tc>
        <w:tc>
          <w:tcPr>
            <w:tcW w:w="1080" w:type="dxa"/>
            <w:tcBorders>
              <w:top w:val="nil"/>
              <w:left w:val="nil"/>
              <w:bottom w:val="single" w:sz="4" w:space="0" w:color="auto"/>
              <w:right w:val="nil"/>
            </w:tcBorders>
            <w:shd w:val="clear" w:color="auto" w:fill="auto"/>
            <w:noWrap/>
            <w:vAlign w:val="bottom"/>
            <w:hideMark/>
          </w:tcPr>
          <w:p w14:paraId="49770031" w14:textId="77777777" w:rsidR="003D2E90" w:rsidRPr="002A091D" w:rsidRDefault="003D2E90" w:rsidP="003D2E90">
            <w:pPr>
              <w:jc w:val="right"/>
              <w:rPr>
                <w:sz w:val="20"/>
                <w:szCs w:val="20"/>
                <w:lang w:val="en-GB" w:eastAsia="en-GB"/>
              </w:rPr>
            </w:pPr>
            <w:r w:rsidRPr="002A091D">
              <w:rPr>
                <w:sz w:val="20"/>
                <w:szCs w:val="20"/>
                <w:lang w:val="en-GB" w:eastAsia="en-GB"/>
              </w:rPr>
              <w:t>5.491</w:t>
            </w:r>
          </w:p>
        </w:tc>
        <w:tc>
          <w:tcPr>
            <w:tcW w:w="1160" w:type="dxa"/>
            <w:tcBorders>
              <w:top w:val="nil"/>
              <w:left w:val="nil"/>
              <w:bottom w:val="single" w:sz="4" w:space="0" w:color="auto"/>
              <w:right w:val="nil"/>
            </w:tcBorders>
            <w:shd w:val="clear" w:color="auto" w:fill="auto"/>
            <w:noWrap/>
            <w:vAlign w:val="bottom"/>
            <w:hideMark/>
          </w:tcPr>
          <w:p w14:paraId="754F2C51" w14:textId="77777777" w:rsidR="003D2E90" w:rsidRPr="002A091D" w:rsidRDefault="003D2E90" w:rsidP="003D2E90">
            <w:pPr>
              <w:jc w:val="right"/>
              <w:rPr>
                <w:sz w:val="20"/>
                <w:szCs w:val="20"/>
                <w:lang w:val="en-GB" w:eastAsia="en-GB"/>
              </w:rPr>
            </w:pPr>
            <w:r w:rsidRPr="002A091D">
              <w:rPr>
                <w:sz w:val="20"/>
                <w:szCs w:val="20"/>
                <w:lang w:val="en-GB" w:eastAsia="en-GB"/>
              </w:rPr>
              <w:t>13987.243</w:t>
            </w:r>
          </w:p>
        </w:tc>
        <w:tc>
          <w:tcPr>
            <w:tcW w:w="1460" w:type="dxa"/>
            <w:tcBorders>
              <w:top w:val="nil"/>
              <w:left w:val="nil"/>
              <w:bottom w:val="single" w:sz="4" w:space="0" w:color="auto"/>
              <w:right w:val="nil"/>
            </w:tcBorders>
            <w:shd w:val="clear" w:color="auto" w:fill="auto"/>
            <w:noWrap/>
            <w:vAlign w:val="bottom"/>
            <w:hideMark/>
          </w:tcPr>
          <w:p w14:paraId="79641B6E" w14:textId="77777777" w:rsidR="003D2E90" w:rsidRPr="002A091D" w:rsidRDefault="003D2E90" w:rsidP="003D2E90">
            <w:pPr>
              <w:jc w:val="right"/>
              <w:rPr>
                <w:sz w:val="20"/>
                <w:szCs w:val="20"/>
                <w:lang w:val="en-GB" w:eastAsia="en-GB"/>
              </w:rPr>
            </w:pPr>
            <w:r w:rsidRPr="002A091D">
              <w:rPr>
                <w:sz w:val="20"/>
                <w:szCs w:val="20"/>
                <w:lang w:val="en-GB" w:eastAsia="en-GB"/>
              </w:rPr>
              <w:t>3.780</w:t>
            </w:r>
          </w:p>
        </w:tc>
        <w:tc>
          <w:tcPr>
            <w:tcW w:w="1320" w:type="dxa"/>
            <w:tcBorders>
              <w:top w:val="nil"/>
              <w:left w:val="nil"/>
              <w:bottom w:val="single" w:sz="4" w:space="0" w:color="auto"/>
              <w:right w:val="nil"/>
            </w:tcBorders>
            <w:shd w:val="clear" w:color="auto" w:fill="auto"/>
            <w:noWrap/>
            <w:vAlign w:val="bottom"/>
            <w:hideMark/>
          </w:tcPr>
          <w:p w14:paraId="107D3C7B" w14:textId="77777777" w:rsidR="003D2E90" w:rsidRPr="002A091D" w:rsidRDefault="003D2E90" w:rsidP="003D2E90">
            <w:pPr>
              <w:jc w:val="right"/>
              <w:rPr>
                <w:sz w:val="20"/>
                <w:szCs w:val="20"/>
                <w:lang w:val="en-GB" w:eastAsia="en-GB"/>
              </w:rPr>
            </w:pPr>
            <w:r w:rsidRPr="002A091D">
              <w:rPr>
                <w:sz w:val="20"/>
                <w:szCs w:val="20"/>
                <w:lang w:val="en-GB" w:eastAsia="en-GB"/>
              </w:rPr>
              <w:t>0.300</w:t>
            </w:r>
          </w:p>
        </w:tc>
      </w:tr>
      <w:tr w:rsidR="003D2E90" w:rsidRPr="002A091D" w14:paraId="14DC2496" w14:textId="77777777" w:rsidTr="003D2E90">
        <w:trPr>
          <w:trHeight w:val="290"/>
        </w:trPr>
        <w:tc>
          <w:tcPr>
            <w:tcW w:w="1080" w:type="dxa"/>
            <w:tcBorders>
              <w:top w:val="nil"/>
              <w:left w:val="nil"/>
              <w:bottom w:val="nil"/>
              <w:right w:val="nil"/>
            </w:tcBorders>
            <w:shd w:val="clear" w:color="auto" w:fill="auto"/>
            <w:noWrap/>
            <w:vAlign w:val="bottom"/>
            <w:hideMark/>
          </w:tcPr>
          <w:p w14:paraId="41226027" w14:textId="77777777" w:rsidR="003D2E90" w:rsidRPr="002A091D" w:rsidRDefault="003D2E90" w:rsidP="003D2E90">
            <w:pPr>
              <w:rPr>
                <w:sz w:val="20"/>
                <w:szCs w:val="20"/>
                <w:lang w:val="en-GB" w:eastAsia="en-GB"/>
              </w:rPr>
            </w:pPr>
            <w:r w:rsidRPr="002A091D">
              <w:rPr>
                <w:sz w:val="20"/>
                <w:szCs w:val="20"/>
                <w:lang w:val="en-GB" w:eastAsia="en-GB"/>
              </w:rPr>
              <w:t>Total</w:t>
            </w:r>
          </w:p>
        </w:tc>
        <w:tc>
          <w:tcPr>
            <w:tcW w:w="1180" w:type="dxa"/>
            <w:tcBorders>
              <w:top w:val="nil"/>
              <w:left w:val="nil"/>
              <w:bottom w:val="nil"/>
              <w:right w:val="nil"/>
            </w:tcBorders>
            <w:shd w:val="clear" w:color="auto" w:fill="auto"/>
            <w:noWrap/>
            <w:vAlign w:val="bottom"/>
            <w:hideMark/>
          </w:tcPr>
          <w:p w14:paraId="5ECF8591" w14:textId="77777777" w:rsidR="003D2E90" w:rsidRPr="002A091D" w:rsidRDefault="003D2E90" w:rsidP="003D2E90">
            <w:pPr>
              <w:jc w:val="right"/>
              <w:rPr>
                <w:sz w:val="20"/>
                <w:szCs w:val="20"/>
                <w:lang w:val="en-GB" w:eastAsia="en-GB"/>
              </w:rPr>
            </w:pPr>
            <w:r w:rsidRPr="002A091D">
              <w:rPr>
                <w:sz w:val="20"/>
                <w:szCs w:val="20"/>
                <w:lang w:val="en-GB" w:eastAsia="en-GB"/>
              </w:rPr>
              <w:t>5.082</w:t>
            </w:r>
          </w:p>
        </w:tc>
        <w:tc>
          <w:tcPr>
            <w:tcW w:w="1220" w:type="dxa"/>
            <w:tcBorders>
              <w:top w:val="nil"/>
              <w:left w:val="nil"/>
              <w:bottom w:val="nil"/>
              <w:right w:val="nil"/>
            </w:tcBorders>
            <w:shd w:val="clear" w:color="auto" w:fill="auto"/>
            <w:noWrap/>
            <w:vAlign w:val="bottom"/>
            <w:hideMark/>
          </w:tcPr>
          <w:p w14:paraId="5A43FDDD" w14:textId="77777777" w:rsidR="003D2E90" w:rsidRPr="002A091D" w:rsidRDefault="003D2E90" w:rsidP="003D2E90">
            <w:pPr>
              <w:jc w:val="right"/>
              <w:rPr>
                <w:sz w:val="20"/>
                <w:szCs w:val="20"/>
                <w:lang w:val="en-GB" w:eastAsia="en-GB"/>
              </w:rPr>
            </w:pPr>
            <w:r w:rsidRPr="002A091D">
              <w:rPr>
                <w:sz w:val="20"/>
                <w:szCs w:val="20"/>
                <w:lang w:val="en-GB" w:eastAsia="en-GB"/>
              </w:rPr>
              <w:t>4.316</w:t>
            </w:r>
          </w:p>
        </w:tc>
        <w:tc>
          <w:tcPr>
            <w:tcW w:w="1080" w:type="dxa"/>
            <w:tcBorders>
              <w:top w:val="nil"/>
              <w:left w:val="nil"/>
              <w:bottom w:val="nil"/>
              <w:right w:val="nil"/>
            </w:tcBorders>
            <w:shd w:val="clear" w:color="auto" w:fill="auto"/>
            <w:noWrap/>
            <w:vAlign w:val="bottom"/>
            <w:hideMark/>
          </w:tcPr>
          <w:p w14:paraId="7D6F0097" w14:textId="77777777" w:rsidR="003D2E90" w:rsidRPr="002A091D" w:rsidRDefault="003D2E90" w:rsidP="003D2E90">
            <w:pPr>
              <w:jc w:val="right"/>
              <w:rPr>
                <w:sz w:val="20"/>
                <w:szCs w:val="20"/>
                <w:lang w:val="en-GB" w:eastAsia="en-GB"/>
              </w:rPr>
            </w:pPr>
            <w:r w:rsidRPr="002A091D">
              <w:rPr>
                <w:sz w:val="20"/>
                <w:szCs w:val="20"/>
                <w:lang w:val="en-GB" w:eastAsia="en-GB"/>
              </w:rPr>
              <w:t>1.053</w:t>
            </w:r>
          </w:p>
        </w:tc>
        <w:tc>
          <w:tcPr>
            <w:tcW w:w="1160" w:type="dxa"/>
            <w:tcBorders>
              <w:top w:val="nil"/>
              <w:left w:val="nil"/>
              <w:bottom w:val="nil"/>
              <w:right w:val="nil"/>
            </w:tcBorders>
            <w:shd w:val="clear" w:color="auto" w:fill="auto"/>
            <w:noWrap/>
            <w:vAlign w:val="bottom"/>
            <w:hideMark/>
          </w:tcPr>
          <w:p w14:paraId="2676A3FB" w14:textId="77777777" w:rsidR="003D2E90" w:rsidRPr="002A091D" w:rsidRDefault="003D2E90" w:rsidP="003D2E90">
            <w:pPr>
              <w:jc w:val="right"/>
              <w:rPr>
                <w:sz w:val="20"/>
                <w:szCs w:val="20"/>
                <w:lang w:val="en-GB" w:eastAsia="en-GB"/>
              </w:rPr>
            </w:pPr>
            <w:r w:rsidRPr="002A091D">
              <w:rPr>
                <w:sz w:val="20"/>
                <w:szCs w:val="20"/>
                <w:lang w:val="en-GB" w:eastAsia="en-GB"/>
              </w:rPr>
              <w:t>13198.703</w:t>
            </w:r>
          </w:p>
        </w:tc>
        <w:tc>
          <w:tcPr>
            <w:tcW w:w="1460" w:type="dxa"/>
            <w:tcBorders>
              <w:top w:val="nil"/>
              <w:left w:val="nil"/>
              <w:bottom w:val="nil"/>
              <w:right w:val="nil"/>
            </w:tcBorders>
            <w:shd w:val="clear" w:color="auto" w:fill="auto"/>
            <w:noWrap/>
            <w:vAlign w:val="bottom"/>
            <w:hideMark/>
          </w:tcPr>
          <w:p w14:paraId="307DA93A" w14:textId="77777777" w:rsidR="003D2E90" w:rsidRPr="002A091D" w:rsidRDefault="003D2E90" w:rsidP="003D2E90">
            <w:pPr>
              <w:jc w:val="right"/>
              <w:rPr>
                <w:sz w:val="20"/>
                <w:szCs w:val="20"/>
                <w:lang w:val="en-GB" w:eastAsia="en-GB"/>
              </w:rPr>
            </w:pPr>
            <w:r w:rsidRPr="002A091D">
              <w:rPr>
                <w:sz w:val="20"/>
                <w:szCs w:val="20"/>
                <w:lang w:val="en-GB" w:eastAsia="en-GB"/>
              </w:rPr>
              <w:t>1.721</w:t>
            </w:r>
          </w:p>
        </w:tc>
        <w:tc>
          <w:tcPr>
            <w:tcW w:w="1320" w:type="dxa"/>
            <w:tcBorders>
              <w:top w:val="nil"/>
              <w:left w:val="nil"/>
              <w:bottom w:val="nil"/>
              <w:right w:val="nil"/>
            </w:tcBorders>
            <w:shd w:val="clear" w:color="auto" w:fill="auto"/>
            <w:noWrap/>
            <w:vAlign w:val="bottom"/>
            <w:hideMark/>
          </w:tcPr>
          <w:p w14:paraId="5FD1F620" w14:textId="77777777" w:rsidR="003D2E90" w:rsidRPr="002A091D" w:rsidRDefault="003D2E90" w:rsidP="003D2E90">
            <w:pPr>
              <w:jc w:val="right"/>
              <w:rPr>
                <w:sz w:val="20"/>
                <w:szCs w:val="20"/>
                <w:lang w:val="en-GB" w:eastAsia="en-GB"/>
              </w:rPr>
            </w:pPr>
            <w:r w:rsidRPr="002A091D">
              <w:rPr>
                <w:sz w:val="20"/>
                <w:szCs w:val="20"/>
                <w:lang w:val="en-GB" w:eastAsia="en-GB"/>
              </w:rPr>
              <w:t>0.702</w:t>
            </w:r>
          </w:p>
        </w:tc>
      </w:tr>
      <w:tr w:rsidR="003D2E90" w:rsidRPr="002A091D" w14:paraId="46E79F93" w14:textId="77777777" w:rsidTr="003D2E90">
        <w:trPr>
          <w:trHeight w:val="290"/>
        </w:trPr>
        <w:tc>
          <w:tcPr>
            <w:tcW w:w="1080" w:type="dxa"/>
            <w:tcBorders>
              <w:top w:val="nil"/>
              <w:left w:val="nil"/>
              <w:bottom w:val="nil"/>
              <w:right w:val="nil"/>
            </w:tcBorders>
            <w:shd w:val="clear" w:color="auto" w:fill="auto"/>
            <w:noWrap/>
            <w:vAlign w:val="bottom"/>
            <w:hideMark/>
          </w:tcPr>
          <w:p w14:paraId="5C7444BD" w14:textId="77777777" w:rsidR="003D2E90" w:rsidRPr="002A091D" w:rsidRDefault="003D2E90" w:rsidP="003D2E90">
            <w:pPr>
              <w:rPr>
                <w:sz w:val="20"/>
                <w:szCs w:val="20"/>
                <w:lang w:val="en-GB" w:eastAsia="en-GB"/>
              </w:rPr>
            </w:pPr>
            <w:r w:rsidRPr="002A091D">
              <w:rPr>
                <w:sz w:val="20"/>
                <w:szCs w:val="20"/>
                <w:lang w:val="en-GB" w:eastAsia="en-GB"/>
              </w:rPr>
              <w:t>P10-P1</w:t>
            </w:r>
          </w:p>
        </w:tc>
        <w:tc>
          <w:tcPr>
            <w:tcW w:w="1180" w:type="dxa"/>
            <w:tcBorders>
              <w:top w:val="nil"/>
              <w:left w:val="nil"/>
              <w:bottom w:val="nil"/>
              <w:right w:val="nil"/>
            </w:tcBorders>
            <w:shd w:val="clear" w:color="auto" w:fill="auto"/>
            <w:noWrap/>
            <w:vAlign w:val="bottom"/>
            <w:hideMark/>
          </w:tcPr>
          <w:p w14:paraId="737DF3FA" w14:textId="77777777" w:rsidR="003D2E90" w:rsidRPr="002A091D" w:rsidRDefault="003D2E90" w:rsidP="003D2E90">
            <w:pPr>
              <w:jc w:val="right"/>
              <w:rPr>
                <w:sz w:val="20"/>
                <w:szCs w:val="20"/>
                <w:lang w:val="en-GB" w:eastAsia="en-GB"/>
              </w:rPr>
            </w:pPr>
            <w:r w:rsidRPr="002A091D">
              <w:rPr>
                <w:sz w:val="20"/>
                <w:szCs w:val="20"/>
                <w:lang w:val="en-GB" w:eastAsia="en-GB"/>
              </w:rPr>
              <w:t>28.419</w:t>
            </w:r>
          </w:p>
        </w:tc>
        <w:tc>
          <w:tcPr>
            <w:tcW w:w="1220" w:type="dxa"/>
            <w:tcBorders>
              <w:top w:val="nil"/>
              <w:left w:val="nil"/>
              <w:bottom w:val="nil"/>
              <w:right w:val="nil"/>
            </w:tcBorders>
            <w:shd w:val="clear" w:color="auto" w:fill="auto"/>
            <w:noWrap/>
            <w:vAlign w:val="bottom"/>
            <w:hideMark/>
          </w:tcPr>
          <w:p w14:paraId="4205BE8C" w14:textId="77777777" w:rsidR="003D2E90" w:rsidRPr="002A091D" w:rsidRDefault="003D2E90" w:rsidP="003D2E90">
            <w:pPr>
              <w:jc w:val="right"/>
              <w:rPr>
                <w:sz w:val="20"/>
                <w:szCs w:val="20"/>
                <w:lang w:val="en-GB" w:eastAsia="en-GB"/>
              </w:rPr>
            </w:pPr>
            <w:r w:rsidRPr="002A091D">
              <w:rPr>
                <w:sz w:val="20"/>
                <w:szCs w:val="20"/>
                <w:lang w:val="en-GB" w:eastAsia="en-GB"/>
              </w:rPr>
              <w:t>9.763</w:t>
            </w:r>
          </w:p>
        </w:tc>
        <w:tc>
          <w:tcPr>
            <w:tcW w:w="1080" w:type="dxa"/>
            <w:tcBorders>
              <w:top w:val="nil"/>
              <w:left w:val="nil"/>
              <w:bottom w:val="nil"/>
              <w:right w:val="nil"/>
            </w:tcBorders>
            <w:shd w:val="clear" w:color="auto" w:fill="auto"/>
            <w:noWrap/>
            <w:vAlign w:val="bottom"/>
            <w:hideMark/>
          </w:tcPr>
          <w:p w14:paraId="716BDD18" w14:textId="77777777" w:rsidR="003D2E90" w:rsidRPr="002A091D" w:rsidRDefault="003D2E90" w:rsidP="003D2E90">
            <w:pPr>
              <w:jc w:val="right"/>
              <w:rPr>
                <w:sz w:val="20"/>
                <w:szCs w:val="20"/>
                <w:lang w:val="en-GB" w:eastAsia="en-GB"/>
              </w:rPr>
            </w:pPr>
            <w:r w:rsidRPr="002A091D">
              <w:rPr>
                <w:sz w:val="20"/>
                <w:szCs w:val="20"/>
                <w:lang w:val="en-GB" w:eastAsia="en-GB"/>
              </w:rPr>
              <w:t>5.405</w:t>
            </w:r>
          </w:p>
        </w:tc>
        <w:tc>
          <w:tcPr>
            <w:tcW w:w="1160" w:type="dxa"/>
            <w:tcBorders>
              <w:top w:val="nil"/>
              <w:left w:val="nil"/>
              <w:bottom w:val="nil"/>
              <w:right w:val="nil"/>
            </w:tcBorders>
            <w:shd w:val="clear" w:color="auto" w:fill="auto"/>
            <w:noWrap/>
            <w:vAlign w:val="bottom"/>
            <w:hideMark/>
          </w:tcPr>
          <w:p w14:paraId="520DD28F" w14:textId="77777777" w:rsidR="003D2E90" w:rsidRPr="002A091D" w:rsidRDefault="003D2E90" w:rsidP="003D2E90">
            <w:pPr>
              <w:jc w:val="right"/>
              <w:rPr>
                <w:sz w:val="20"/>
                <w:szCs w:val="20"/>
                <w:lang w:val="en-GB" w:eastAsia="en-GB"/>
              </w:rPr>
            </w:pPr>
            <w:r w:rsidRPr="002A091D">
              <w:rPr>
                <w:sz w:val="20"/>
                <w:szCs w:val="20"/>
                <w:lang w:val="en-GB" w:eastAsia="en-GB"/>
              </w:rPr>
              <w:t>-0.775</w:t>
            </w:r>
          </w:p>
        </w:tc>
        <w:tc>
          <w:tcPr>
            <w:tcW w:w="1460" w:type="dxa"/>
            <w:tcBorders>
              <w:top w:val="nil"/>
              <w:left w:val="nil"/>
              <w:bottom w:val="nil"/>
              <w:right w:val="nil"/>
            </w:tcBorders>
            <w:shd w:val="clear" w:color="auto" w:fill="auto"/>
            <w:noWrap/>
            <w:vAlign w:val="bottom"/>
            <w:hideMark/>
          </w:tcPr>
          <w:p w14:paraId="7753A711" w14:textId="77777777" w:rsidR="003D2E90" w:rsidRPr="002A091D" w:rsidRDefault="003D2E90" w:rsidP="003D2E90">
            <w:pPr>
              <w:jc w:val="right"/>
              <w:rPr>
                <w:sz w:val="20"/>
                <w:szCs w:val="20"/>
                <w:lang w:val="en-GB" w:eastAsia="en-GB"/>
              </w:rPr>
            </w:pPr>
            <w:r w:rsidRPr="002A091D">
              <w:rPr>
                <w:sz w:val="20"/>
                <w:szCs w:val="20"/>
                <w:lang w:val="en-GB" w:eastAsia="en-GB"/>
              </w:rPr>
              <w:t>-39695.370</w:t>
            </w:r>
          </w:p>
        </w:tc>
        <w:tc>
          <w:tcPr>
            <w:tcW w:w="1320" w:type="dxa"/>
            <w:tcBorders>
              <w:top w:val="nil"/>
              <w:left w:val="nil"/>
              <w:bottom w:val="nil"/>
              <w:right w:val="nil"/>
            </w:tcBorders>
            <w:shd w:val="clear" w:color="auto" w:fill="auto"/>
            <w:noWrap/>
            <w:vAlign w:val="bottom"/>
            <w:hideMark/>
          </w:tcPr>
          <w:p w14:paraId="5F3D1F53" w14:textId="77777777" w:rsidR="003D2E90" w:rsidRPr="002A091D" w:rsidRDefault="003D2E90" w:rsidP="003D2E90">
            <w:pPr>
              <w:jc w:val="right"/>
              <w:rPr>
                <w:sz w:val="20"/>
                <w:szCs w:val="20"/>
                <w:lang w:val="en-GB" w:eastAsia="en-GB"/>
              </w:rPr>
            </w:pPr>
            <w:r w:rsidRPr="002A091D">
              <w:rPr>
                <w:sz w:val="20"/>
                <w:szCs w:val="20"/>
                <w:lang w:val="en-GB" w:eastAsia="en-GB"/>
              </w:rPr>
              <w:t>2.593</w:t>
            </w:r>
          </w:p>
        </w:tc>
      </w:tr>
      <w:tr w:rsidR="003D2E90" w:rsidRPr="002A091D" w14:paraId="4839C53C" w14:textId="77777777" w:rsidTr="003D2E90">
        <w:trPr>
          <w:trHeight w:val="300"/>
        </w:trPr>
        <w:tc>
          <w:tcPr>
            <w:tcW w:w="1080" w:type="dxa"/>
            <w:tcBorders>
              <w:top w:val="nil"/>
              <w:left w:val="nil"/>
              <w:bottom w:val="double" w:sz="6" w:space="0" w:color="auto"/>
              <w:right w:val="nil"/>
            </w:tcBorders>
            <w:shd w:val="clear" w:color="auto" w:fill="auto"/>
            <w:noWrap/>
            <w:vAlign w:val="bottom"/>
            <w:hideMark/>
          </w:tcPr>
          <w:p w14:paraId="3EE19DDF" w14:textId="77777777" w:rsidR="003D2E90" w:rsidRPr="002A091D" w:rsidRDefault="003D2E90" w:rsidP="003D2E90">
            <w:pPr>
              <w:rPr>
                <w:sz w:val="20"/>
                <w:szCs w:val="20"/>
                <w:lang w:val="en-GB" w:eastAsia="en-GB"/>
              </w:rPr>
            </w:pPr>
            <w:r w:rsidRPr="002A091D">
              <w:rPr>
                <w:sz w:val="20"/>
                <w:szCs w:val="20"/>
                <w:lang w:val="en-GB" w:eastAsia="en-GB"/>
              </w:rPr>
              <w:t>t-Test</w:t>
            </w:r>
          </w:p>
        </w:tc>
        <w:tc>
          <w:tcPr>
            <w:tcW w:w="1180" w:type="dxa"/>
            <w:tcBorders>
              <w:top w:val="nil"/>
              <w:left w:val="nil"/>
              <w:bottom w:val="double" w:sz="6" w:space="0" w:color="auto"/>
              <w:right w:val="nil"/>
            </w:tcBorders>
            <w:shd w:val="clear" w:color="auto" w:fill="auto"/>
            <w:noWrap/>
            <w:vAlign w:val="bottom"/>
            <w:hideMark/>
          </w:tcPr>
          <w:p w14:paraId="70725B2F" w14:textId="77777777" w:rsidR="003D2E90" w:rsidRPr="002A091D" w:rsidRDefault="003D2E90" w:rsidP="003D2E90">
            <w:pPr>
              <w:jc w:val="right"/>
              <w:rPr>
                <w:sz w:val="20"/>
                <w:szCs w:val="20"/>
                <w:lang w:val="en-GB" w:eastAsia="en-GB"/>
              </w:rPr>
            </w:pPr>
            <w:r w:rsidRPr="002A091D">
              <w:rPr>
                <w:sz w:val="20"/>
                <w:szCs w:val="20"/>
                <w:lang w:val="en-GB" w:eastAsia="en-GB"/>
              </w:rPr>
              <w:t>7.346</w:t>
            </w:r>
          </w:p>
        </w:tc>
        <w:tc>
          <w:tcPr>
            <w:tcW w:w="1220" w:type="dxa"/>
            <w:tcBorders>
              <w:top w:val="nil"/>
              <w:left w:val="nil"/>
              <w:bottom w:val="double" w:sz="6" w:space="0" w:color="auto"/>
              <w:right w:val="nil"/>
            </w:tcBorders>
            <w:shd w:val="clear" w:color="auto" w:fill="auto"/>
            <w:noWrap/>
            <w:vAlign w:val="bottom"/>
            <w:hideMark/>
          </w:tcPr>
          <w:p w14:paraId="6E211ED8" w14:textId="77777777" w:rsidR="003D2E90" w:rsidRPr="002A091D" w:rsidRDefault="003D2E90" w:rsidP="003D2E90">
            <w:pPr>
              <w:jc w:val="right"/>
              <w:rPr>
                <w:sz w:val="20"/>
                <w:szCs w:val="20"/>
                <w:lang w:val="en-GB" w:eastAsia="en-GB"/>
              </w:rPr>
            </w:pPr>
            <w:r w:rsidRPr="002A091D">
              <w:rPr>
                <w:sz w:val="20"/>
                <w:szCs w:val="20"/>
                <w:lang w:val="en-GB" w:eastAsia="en-GB"/>
              </w:rPr>
              <w:t>18.986</w:t>
            </w:r>
          </w:p>
        </w:tc>
        <w:tc>
          <w:tcPr>
            <w:tcW w:w="1080" w:type="dxa"/>
            <w:tcBorders>
              <w:top w:val="nil"/>
              <w:left w:val="nil"/>
              <w:bottom w:val="double" w:sz="6" w:space="0" w:color="auto"/>
              <w:right w:val="nil"/>
            </w:tcBorders>
            <w:shd w:val="clear" w:color="auto" w:fill="auto"/>
            <w:noWrap/>
            <w:vAlign w:val="bottom"/>
            <w:hideMark/>
          </w:tcPr>
          <w:p w14:paraId="07A93F94" w14:textId="77777777" w:rsidR="003D2E90" w:rsidRPr="002A091D" w:rsidRDefault="003D2E90" w:rsidP="003D2E90">
            <w:pPr>
              <w:jc w:val="right"/>
              <w:rPr>
                <w:sz w:val="20"/>
                <w:szCs w:val="20"/>
                <w:lang w:val="en-GB" w:eastAsia="en-GB"/>
              </w:rPr>
            </w:pPr>
            <w:r w:rsidRPr="002A091D">
              <w:rPr>
                <w:sz w:val="20"/>
                <w:szCs w:val="20"/>
                <w:lang w:val="en-GB" w:eastAsia="en-GB"/>
              </w:rPr>
              <w:t>16.212</w:t>
            </w:r>
          </w:p>
        </w:tc>
        <w:tc>
          <w:tcPr>
            <w:tcW w:w="1160" w:type="dxa"/>
            <w:tcBorders>
              <w:top w:val="nil"/>
              <w:left w:val="nil"/>
              <w:bottom w:val="double" w:sz="6" w:space="0" w:color="auto"/>
              <w:right w:val="nil"/>
            </w:tcBorders>
            <w:shd w:val="clear" w:color="auto" w:fill="auto"/>
            <w:noWrap/>
            <w:vAlign w:val="bottom"/>
            <w:hideMark/>
          </w:tcPr>
          <w:p w14:paraId="02F8D508" w14:textId="77777777" w:rsidR="003D2E90" w:rsidRPr="002A091D" w:rsidRDefault="003D2E90" w:rsidP="003D2E90">
            <w:pPr>
              <w:jc w:val="right"/>
              <w:rPr>
                <w:sz w:val="20"/>
                <w:szCs w:val="20"/>
                <w:lang w:val="en-GB" w:eastAsia="en-GB"/>
              </w:rPr>
            </w:pPr>
            <w:r w:rsidRPr="002A091D">
              <w:rPr>
                <w:sz w:val="20"/>
                <w:szCs w:val="20"/>
                <w:lang w:val="en-GB" w:eastAsia="en-GB"/>
              </w:rPr>
              <w:t>-39.793</w:t>
            </w:r>
          </w:p>
        </w:tc>
        <w:tc>
          <w:tcPr>
            <w:tcW w:w="1460" w:type="dxa"/>
            <w:tcBorders>
              <w:top w:val="nil"/>
              <w:left w:val="nil"/>
              <w:bottom w:val="double" w:sz="6" w:space="0" w:color="auto"/>
              <w:right w:val="nil"/>
            </w:tcBorders>
            <w:shd w:val="clear" w:color="auto" w:fill="auto"/>
            <w:noWrap/>
            <w:vAlign w:val="bottom"/>
            <w:hideMark/>
          </w:tcPr>
          <w:p w14:paraId="1F11333B" w14:textId="77777777" w:rsidR="003D2E90" w:rsidRPr="002A091D" w:rsidRDefault="003D2E90" w:rsidP="003D2E90">
            <w:pPr>
              <w:jc w:val="right"/>
              <w:rPr>
                <w:sz w:val="20"/>
                <w:szCs w:val="20"/>
                <w:lang w:val="en-GB" w:eastAsia="en-GB"/>
              </w:rPr>
            </w:pPr>
            <w:r w:rsidRPr="002A091D">
              <w:rPr>
                <w:sz w:val="20"/>
                <w:szCs w:val="20"/>
                <w:lang w:val="en-GB" w:eastAsia="en-GB"/>
              </w:rPr>
              <w:t>-26.021</w:t>
            </w:r>
          </w:p>
        </w:tc>
        <w:tc>
          <w:tcPr>
            <w:tcW w:w="1320" w:type="dxa"/>
            <w:tcBorders>
              <w:top w:val="nil"/>
              <w:left w:val="nil"/>
              <w:bottom w:val="double" w:sz="6" w:space="0" w:color="auto"/>
              <w:right w:val="nil"/>
            </w:tcBorders>
            <w:shd w:val="clear" w:color="auto" w:fill="auto"/>
            <w:noWrap/>
            <w:vAlign w:val="bottom"/>
            <w:hideMark/>
          </w:tcPr>
          <w:p w14:paraId="71E70F10" w14:textId="77777777" w:rsidR="003D2E90" w:rsidRPr="002A091D" w:rsidRDefault="003D2E90" w:rsidP="003D2E90">
            <w:pPr>
              <w:jc w:val="right"/>
              <w:rPr>
                <w:sz w:val="20"/>
                <w:szCs w:val="20"/>
                <w:lang w:val="en-GB" w:eastAsia="en-GB"/>
              </w:rPr>
            </w:pPr>
            <w:r w:rsidRPr="002A091D">
              <w:rPr>
                <w:sz w:val="20"/>
                <w:szCs w:val="20"/>
                <w:lang w:val="en-GB" w:eastAsia="en-GB"/>
              </w:rPr>
              <w:t>5.684</w:t>
            </w:r>
          </w:p>
        </w:tc>
      </w:tr>
    </w:tbl>
    <w:p w14:paraId="6B506257" w14:textId="77777777" w:rsidR="009B0551" w:rsidRPr="002A091D" w:rsidRDefault="009B0551" w:rsidP="00F832F9"/>
    <w:p w14:paraId="05D991C1" w14:textId="77777777" w:rsidR="006D4871" w:rsidRPr="002A091D" w:rsidRDefault="006D4871" w:rsidP="00C97C97">
      <w:pPr>
        <w:widowControl w:val="0"/>
        <w:autoSpaceDE w:val="0"/>
        <w:autoSpaceDN w:val="0"/>
        <w:adjustRightInd w:val="0"/>
        <w:ind w:left="-993" w:right="-1039"/>
        <w:jc w:val="both"/>
        <w:rPr>
          <w:b/>
          <w:sz w:val="20"/>
          <w:szCs w:val="20"/>
        </w:rPr>
      </w:pPr>
      <w:r w:rsidRPr="002A091D">
        <w:rPr>
          <w:bCs/>
          <w:sz w:val="20"/>
          <w:szCs w:val="20"/>
        </w:rPr>
        <w:t>The performance and attributes of 10 (decile) portfolios are developed in support of the return-to-volume (RtoV) price impact ratio. Table 2 identifies the main characteristics of the portfolios developed from Amihud’s return-to-volume (RtoV) price impact ratio. All the portfolio stocks are listed on the PSX in the period from January 2005 to December 201</w:t>
      </w:r>
      <w:r w:rsidR="00106A92" w:rsidRPr="002A091D">
        <w:rPr>
          <w:bCs/>
          <w:sz w:val="20"/>
          <w:szCs w:val="20"/>
        </w:rPr>
        <w:t>9</w:t>
      </w:r>
      <w:r w:rsidRPr="002A091D">
        <w:rPr>
          <w:bCs/>
          <w:sz w:val="20"/>
          <w:szCs w:val="20"/>
        </w:rPr>
        <w:t xml:space="preserve">. These stocks are categorized in month t-1 in ascending order based on the results of the RtoV ratios. Further, on the basis of these ratios, they are formed into 10 portfolios. Portfolio 1 is the portfolio comprising the stocks with the lowest RtoV ratios, and portfolio 10 is the portfolio comprising the stocks with the highest RtoV ratios. Moreover, the excess returns of all the portfolios in month t are determined through post ranking of the returns. In addition, portfolios (10 – 1) are derived from the spread between portfolio 10 and portfolio 1. We applied a rebalancing approach, and the portfolios are rebalanced on a monthly basis. The EW returns represent the annualized average monthly returns of the equally weighted portfolios. The VW returns represent the annualized average monthly returns of the value-weighted portfolios. MV is considered as the average market value of stocks in each portfolio (in PKR million), and the calculation of MV is based on the share price multiplied by the number of ordinary shares outstanding. The ratio of price-to-book is calculated as the average ratio of the share price divided by the book value per share for the stocks in each portfolio. The Capital Asset Pricing Model (CAPM) beta is considered as the average stock beta in each portfolio determined through a 24-month rolling window. Finally, the t test is calculated on the basis of the following null hypothesis </w:t>
      </w:r>
      <m:oMath>
        <m:sSub>
          <m:sSubPr>
            <m:ctrlPr>
              <w:rPr>
                <w:rFonts w:ascii="Cambria Math" w:hAnsi="Cambria Math"/>
                <w:bCs/>
                <w:i/>
                <w:sz w:val="20"/>
                <w:szCs w:val="20"/>
              </w:rPr>
            </m:ctrlPr>
          </m:sSubPr>
          <m:e>
            <m:r>
              <w:rPr>
                <w:rFonts w:ascii="Cambria Math" w:hAnsi="Cambria Math"/>
                <w:sz w:val="20"/>
                <w:szCs w:val="20"/>
              </w:rPr>
              <m:t>H</m:t>
            </m:r>
          </m:e>
          <m:sub>
            <m:r>
              <w:rPr>
                <w:rFonts w:ascii="Cambria Math" w:hAnsi="Cambria Math"/>
                <w:sz w:val="20"/>
                <w:szCs w:val="20"/>
              </w:rPr>
              <m:t>o</m:t>
            </m:r>
          </m:sub>
        </m:sSub>
        <m:r>
          <w:rPr>
            <w:rFonts w:ascii="Cambria Math" w:hAnsi="Cambria Math"/>
            <w:sz w:val="20"/>
            <w:szCs w:val="20"/>
          </w:rPr>
          <m:t>=There is no difference in means between the features of Portfolio 1</m:t>
        </m:r>
        <m:sSup>
          <m:sSupPr>
            <m:ctrlPr>
              <w:rPr>
                <w:rFonts w:ascii="Cambria Math" w:hAnsi="Cambria Math"/>
                <w:i/>
                <w:sz w:val="20"/>
                <w:szCs w:val="20"/>
              </w:rPr>
            </m:ctrlPr>
          </m:sSupPr>
          <m:e>
            <m:r>
              <w:rPr>
                <w:rFonts w:ascii="Cambria Math" w:hAnsi="Cambria Math"/>
                <w:sz w:val="20"/>
                <w:szCs w:val="20"/>
              </w:rPr>
              <m:t>0</m:t>
            </m:r>
          </m:e>
          <m:sup>
            <m:r>
              <w:rPr>
                <w:rFonts w:ascii="Cambria Math" w:hAnsi="Cambria Math"/>
                <w:sz w:val="20"/>
                <w:szCs w:val="20"/>
              </w:rPr>
              <m:t>'</m:t>
            </m:r>
          </m:sup>
        </m:sSup>
        <m:r>
          <w:rPr>
            <w:rFonts w:ascii="Cambria Math" w:hAnsi="Cambria Math"/>
            <w:sz w:val="20"/>
            <w:szCs w:val="20"/>
          </w:rPr>
          <m:t xml:space="preserve"> and Portfolio </m:t>
        </m:r>
        <m:sSup>
          <m:sSupPr>
            <m:ctrlPr>
              <w:rPr>
                <w:rFonts w:ascii="Cambria Math" w:hAnsi="Cambria Math"/>
                <w:i/>
                <w:sz w:val="20"/>
                <w:szCs w:val="20"/>
              </w:rPr>
            </m:ctrlPr>
          </m:sSupPr>
          <m:e>
            <m:r>
              <w:rPr>
                <w:rFonts w:ascii="Cambria Math" w:hAnsi="Cambria Math"/>
                <w:sz w:val="20"/>
                <w:szCs w:val="20"/>
              </w:rPr>
              <m:t>1</m:t>
            </m:r>
          </m:e>
          <m:sup>
            <m:r>
              <w:rPr>
                <w:rFonts w:ascii="Cambria Math" w:hAnsi="Cambria Math"/>
                <w:sz w:val="20"/>
                <w:szCs w:val="20"/>
              </w:rPr>
              <m:t>'</m:t>
            </m:r>
          </m:sup>
        </m:sSup>
        <m:r>
          <m:rPr>
            <m:sty m:val="b"/>
          </m:rPr>
          <w:rPr>
            <w:rFonts w:ascii="Cambria Math" w:hAnsi="Cambria Math"/>
            <w:sz w:val="20"/>
            <w:szCs w:val="20"/>
          </w:rPr>
          <m:t>.</m:t>
        </m:r>
      </m:oMath>
    </w:p>
    <w:p w14:paraId="06B94D31" w14:textId="77777777" w:rsidR="00C97C97" w:rsidRPr="002A091D" w:rsidRDefault="00C97C97">
      <w:pPr>
        <w:spacing w:after="160" w:line="259" w:lineRule="auto"/>
      </w:pPr>
      <w:r w:rsidRPr="002A091D">
        <w:br w:type="page"/>
      </w:r>
    </w:p>
    <w:p w14:paraId="0DD30D7F" w14:textId="77777777" w:rsidR="00B27994" w:rsidRPr="002A091D" w:rsidRDefault="00B27994" w:rsidP="00F832F9"/>
    <w:p w14:paraId="74B9798E" w14:textId="77777777" w:rsidR="00B27994" w:rsidRPr="002A091D" w:rsidRDefault="00B27994" w:rsidP="00F832F9"/>
    <w:p w14:paraId="0A79342D" w14:textId="77777777" w:rsidR="00B27994" w:rsidRPr="002A091D" w:rsidRDefault="009B0551" w:rsidP="00C97C97">
      <w:pPr>
        <w:pStyle w:val="Caption"/>
        <w:rPr>
          <w:rFonts w:ascii="Times New Roman" w:hAnsi="Times New Roman" w:cs="Times New Roman"/>
          <w:b/>
          <w:i w:val="0"/>
          <w:color w:val="auto"/>
          <w:sz w:val="20"/>
          <w:szCs w:val="20"/>
        </w:rPr>
      </w:pPr>
      <w:bookmarkStart w:id="29" w:name="_Toc489731654"/>
      <w:r w:rsidRPr="002A091D">
        <w:rPr>
          <w:rFonts w:ascii="Times New Roman" w:hAnsi="Times New Roman" w:cs="Times New Roman"/>
          <w:b/>
          <w:i w:val="0"/>
          <w:color w:val="auto"/>
          <w:sz w:val="20"/>
          <w:szCs w:val="20"/>
        </w:rPr>
        <w:t>Table 3: Performance and Characteristics of the Decile</w:t>
      </w:r>
      <w:r w:rsidR="006D4871" w:rsidRPr="002A091D">
        <w:rPr>
          <w:rFonts w:ascii="Times New Roman" w:hAnsi="Times New Roman" w:cs="Times New Roman"/>
          <w:b/>
          <w:i w:val="0"/>
          <w:color w:val="auto"/>
          <w:sz w:val="20"/>
          <w:szCs w:val="20"/>
        </w:rPr>
        <w:t xml:space="preserve"> Portfolios Constructed on the b</w:t>
      </w:r>
      <w:r w:rsidRPr="002A091D">
        <w:rPr>
          <w:rFonts w:ascii="Times New Roman" w:hAnsi="Times New Roman" w:cs="Times New Roman"/>
          <w:b/>
          <w:i w:val="0"/>
          <w:color w:val="auto"/>
          <w:sz w:val="20"/>
          <w:szCs w:val="20"/>
        </w:rPr>
        <w:t>asis of the Return-to-Turnover Ratio</w:t>
      </w:r>
      <w:bookmarkEnd w:id="29"/>
    </w:p>
    <w:tbl>
      <w:tblPr>
        <w:tblW w:w="9300" w:type="dxa"/>
        <w:tblLook w:val="04A0" w:firstRow="1" w:lastRow="0" w:firstColumn="1" w:lastColumn="0" w:noHBand="0" w:noVBand="1"/>
      </w:tblPr>
      <w:tblGrid>
        <w:gridCol w:w="1429"/>
        <w:gridCol w:w="1267"/>
        <w:gridCol w:w="1267"/>
        <w:gridCol w:w="1267"/>
        <w:gridCol w:w="1536"/>
        <w:gridCol w:w="1267"/>
        <w:gridCol w:w="1267"/>
      </w:tblGrid>
      <w:tr w:rsidR="003D2E90" w:rsidRPr="002A091D" w14:paraId="761334C9" w14:textId="77777777" w:rsidTr="003D2E90">
        <w:trPr>
          <w:trHeight w:val="244"/>
        </w:trPr>
        <w:tc>
          <w:tcPr>
            <w:tcW w:w="1429" w:type="dxa"/>
            <w:tcBorders>
              <w:top w:val="single" w:sz="4" w:space="0" w:color="auto"/>
              <w:left w:val="nil"/>
              <w:bottom w:val="double" w:sz="6" w:space="0" w:color="auto"/>
              <w:right w:val="nil"/>
            </w:tcBorders>
            <w:shd w:val="clear" w:color="auto" w:fill="auto"/>
            <w:noWrap/>
            <w:vAlign w:val="bottom"/>
            <w:hideMark/>
          </w:tcPr>
          <w:p w14:paraId="66D351ED" w14:textId="77777777" w:rsidR="003D2E90" w:rsidRPr="002A091D" w:rsidRDefault="003D2E90" w:rsidP="003D2E90">
            <w:pPr>
              <w:rPr>
                <w:sz w:val="20"/>
                <w:szCs w:val="20"/>
                <w:lang w:val="en-GB" w:eastAsia="en-GB"/>
              </w:rPr>
            </w:pPr>
            <w:r w:rsidRPr="002A091D">
              <w:rPr>
                <w:sz w:val="20"/>
                <w:szCs w:val="20"/>
                <w:lang w:val="en-GB" w:eastAsia="en-GB"/>
              </w:rPr>
              <w:t>Portfolios</w:t>
            </w:r>
          </w:p>
        </w:tc>
        <w:tc>
          <w:tcPr>
            <w:tcW w:w="1267" w:type="dxa"/>
            <w:tcBorders>
              <w:top w:val="single" w:sz="4" w:space="0" w:color="auto"/>
              <w:left w:val="nil"/>
              <w:bottom w:val="double" w:sz="6" w:space="0" w:color="auto"/>
              <w:right w:val="nil"/>
            </w:tcBorders>
            <w:shd w:val="clear" w:color="auto" w:fill="auto"/>
            <w:noWrap/>
            <w:vAlign w:val="bottom"/>
            <w:hideMark/>
          </w:tcPr>
          <w:p w14:paraId="53FAD80C" w14:textId="77777777" w:rsidR="003D2E90" w:rsidRPr="002A091D" w:rsidRDefault="003D2E90" w:rsidP="003D2E90">
            <w:pPr>
              <w:rPr>
                <w:sz w:val="20"/>
                <w:szCs w:val="20"/>
                <w:lang w:val="en-GB" w:eastAsia="en-GB"/>
              </w:rPr>
            </w:pPr>
            <w:r w:rsidRPr="002A091D">
              <w:rPr>
                <w:sz w:val="20"/>
                <w:szCs w:val="20"/>
                <w:lang w:val="en-GB" w:eastAsia="en-GB"/>
              </w:rPr>
              <w:t>EW returns</w:t>
            </w:r>
          </w:p>
        </w:tc>
        <w:tc>
          <w:tcPr>
            <w:tcW w:w="1267" w:type="dxa"/>
            <w:tcBorders>
              <w:top w:val="single" w:sz="4" w:space="0" w:color="auto"/>
              <w:left w:val="nil"/>
              <w:bottom w:val="double" w:sz="6" w:space="0" w:color="auto"/>
              <w:right w:val="nil"/>
            </w:tcBorders>
            <w:shd w:val="clear" w:color="auto" w:fill="auto"/>
            <w:noWrap/>
            <w:vAlign w:val="bottom"/>
            <w:hideMark/>
          </w:tcPr>
          <w:p w14:paraId="593F343A" w14:textId="77777777" w:rsidR="003D2E90" w:rsidRPr="002A091D" w:rsidRDefault="003D2E90" w:rsidP="003D2E90">
            <w:pPr>
              <w:rPr>
                <w:sz w:val="20"/>
                <w:szCs w:val="20"/>
                <w:lang w:val="en-GB" w:eastAsia="en-GB"/>
              </w:rPr>
            </w:pPr>
            <w:r w:rsidRPr="002A091D">
              <w:rPr>
                <w:sz w:val="20"/>
                <w:szCs w:val="20"/>
                <w:lang w:val="en-GB" w:eastAsia="en-GB"/>
              </w:rPr>
              <w:t>VW returns</w:t>
            </w:r>
          </w:p>
        </w:tc>
        <w:tc>
          <w:tcPr>
            <w:tcW w:w="1267" w:type="dxa"/>
            <w:tcBorders>
              <w:top w:val="single" w:sz="4" w:space="0" w:color="auto"/>
              <w:left w:val="nil"/>
              <w:bottom w:val="double" w:sz="6" w:space="0" w:color="auto"/>
              <w:right w:val="nil"/>
            </w:tcBorders>
            <w:shd w:val="clear" w:color="auto" w:fill="auto"/>
            <w:noWrap/>
            <w:vAlign w:val="bottom"/>
            <w:hideMark/>
          </w:tcPr>
          <w:p w14:paraId="68C3762D" w14:textId="77777777" w:rsidR="003D2E90" w:rsidRPr="002A091D" w:rsidRDefault="003D2E90" w:rsidP="003D2E90">
            <w:pPr>
              <w:rPr>
                <w:sz w:val="20"/>
                <w:szCs w:val="20"/>
                <w:lang w:val="en-GB" w:eastAsia="en-GB"/>
              </w:rPr>
            </w:pPr>
            <w:r w:rsidRPr="002A091D">
              <w:rPr>
                <w:sz w:val="20"/>
                <w:szCs w:val="20"/>
                <w:lang w:val="en-GB" w:eastAsia="en-GB"/>
              </w:rPr>
              <w:t>RtoTR ratio</w:t>
            </w:r>
          </w:p>
        </w:tc>
        <w:tc>
          <w:tcPr>
            <w:tcW w:w="1536" w:type="dxa"/>
            <w:tcBorders>
              <w:top w:val="single" w:sz="4" w:space="0" w:color="auto"/>
              <w:left w:val="nil"/>
              <w:bottom w:val="double" w:sz="6" w:space="0" w:color="auto"/>
              <w:right w:val="nil"/>
            </w:tcBorders>
            <w:shd w:val="clear" w:color="auto" w:fill="auto"/>
            <w:noWrap/>
            <w:vAlign w:val="bottom"/>
            <w:hideMark/>
          </w:tcPr>
          <w:p w14:paraId="2D9985C6" w14:textId="77777777" w:rsidR="003D2E90" w:rsidRPr="002A091D" w:rsidRDefault="003D2E90" w:rsidP="003D2E90">
            <w:pPr>
              <w:rPr>
                <w:sz w:val="20"/>
                <w:szCs w:val="20"/>
                <w:lang w:val="en-GB" w:eastAsia="en-GB"/>
              </w:rPr>
            </w:pPr>
            <w:r w:rsidRPr="002A091D">
              <w:rPr>
                <w:sz w:val="20"/>
                <w:szCs w:val="20"/>
                <w:lang w:val="en-GB" w:eastAsia="en-GB"/>
              </w:rPr>
              <w:t>MV</w:t>
            </w:r>
          </w:p>
        </w:tc>
        <w:tc>
          <w:tcPr>
            <w:tcW w:w="1267" w:type="dxa"/>
            <w:tcBorders>
              <w:top w:val="single" w:sz="4" w:space="0" w:color="auto"/>
              <w:left w:val="nil"/>
              <w:bottom w:val="double" w:sz="6" w:space="0" w:color="auto"/>
              <w:right w:val="nil"/>
            </w:tcBorders>
            <w:shd w:val="clear" w:color="auto" w:fill="auto"/>
            <w:noWrap/>
            <w:vAlign w:val="bottom"/>
            <w:hideMark/>
          </w:tcPr>
          <w:p w14:paraId="75ADC635" w14:textId="77777777" w:rsidR="003D2E90" w:rsidRPr="002A091D" w:rsidRDefault="003D2E90" w:rsidP="003D2E90">
            <w:pPr>
              <w:rPr>
                <w:sz w:val="20"/>
                <w:szCs w:val="20"/>
                <w:lang w:val="en-GB" w:eastAsia="en-GB"/>
              </w:rPr>
            </w:pPr>
            <w:r w:rsidRPr="002A091D">
              <w:rPr>
                <w:sz w:val="20"/>
                <w:szCs w:val="20"/>
                <w:lang w:val="en-GB" w:eastAsia="en-GB"/>
              </w:rPr>
              <w:t>Price-to-book</w:t>
            </w:r>
          </w:p>
        </w:tc>
        <w:tc>
          <w:tcPr>
            <w:tcW w:w="1267" w:type="dxa"/>
            <w:tcBorders>
              <w:top w:val="single" w:sz="4" w:space="0" w:color="auto"/>
              <w:left w:val="nil"/>
              <w:bottom w:val="double" w:sz="6" w:space="0" w:color="auto"/>
              <w:right w:val="nil"/>
            </w:tcBorders>
            <w:shd w:val="clear" w:color="auto" w:fill="auto"/>
            <w:noWrap/>
            <w:vAlign w:val="bottom"/>
            <w:hideMark/>
          </w:tcPr>
          <w:p w14:paraId="2699D1D2" w14:textId="77777777" w:rsidR="003D2E90" w:rsidRPr="002A091D" w:rsidRDefault="003D2E90" w:rsidP="003D2E90">
            <w:pPr>
              <w:rPr>
                <w:sz w:val="20"/>
                <w:szCs w:val="20"/>
                <w:lang w:val="en-GB" w:eastAsia="en-GB"/>
              </w:rPr>
            </w:pPr>
            <w:r w:rsidRPr="002A091D">
              <w:rPr>
                <w:sz w:val="20"/>
                <w:szCs w:val="20"/>
                <w:lang w:val="en-GB" w:eastAsia="en-GB"/>
              </w:rPr>
              <w:t>CAPM beta</w:t>
            </w:r>
          </w:p>
        </w:tc>
      </w:tr>
      <w:tr w:rsidR="003D2E90" w:rsidRPr="002A091D" w14:paraId="401AC048" w14:textId="77777777" w:rsidTr="003D2E90">
        <w:trPr>
          <w:trHeight w:val="244"/>
        </w:trPr>
        <w:tc>
          <w:tcPr>
            <w:tcW w:w="1429" w:type="dxa"/>
            <w:tcBorders>
              <w:top w:val="nil"/>
              <w:left w:val="nil"/>
              <w:bottom w:val="nil"/>
              <w:right w:val="nil"/>
            </w:tcBorders>
            <w:shd w:val="clear" w:color="auto" w:fill="auto"/>
            <w:noWrap/>
            <w:vAlign w:val="bottom"/>
            <w:hideMark/>
          </w:tcPr>
          <w:p w14:paraId="59DCF881" w14:textId="77777777" w:rsidR="003D2E90" w:rsidRPr="002A091D" w:rsidRDefault="003D2E90" w:rsidP="003D2E90">
            <w:pPr>
              <w:rPr>
                <w:sz w:val="20"/>
                <w:szCs w:val="20"/>
                <w:lang w:val="en-GB" w:eastAsia="en-GB"/>
              </w:rPr>
            </w:pPr>
            <w:r w:rsidRPr="002A091D">
              <w:rPr>
                <w:sz w:val="20"/>
                <w:szCs w:val="20"/>
                <w:lang w:val="en-GB" w:eastAsia="en-GB"/>
              </w:rPr>
              <w:t>1</w:t>
            </w:r>
          </w:p>
        </w:tc>
        <w:tc>
          <w:tcPr>
            <w:tcW w:w="1267" w:type="dxa"/>
            <w:tcBorders>
              <w:top w:val="nil"/>
              <w:left w:val="nil"/>
              <w:bottom w:val="nil"/>
              <w:right w:val="nil"/>
            </w:tcBorders>
            <w:shd w:val="clear" w:color="auto" w:fill="auto"/>
            <w:noWrap/>
            <w:vAlign w:val="bottom"/>
            <w:hideMark/>
          </w:tcPr>
          <w:p w14:paraId="0D3665E0" w14:textId="77777777" w:rsidR="003D2E90" w:rsidRPr="002A091D" w:rsidRDefault="003D2E90" w:rsidP="003D2E90">
            <w:pPr>
              <w:jc w:val="right"/>
              <w:rPr>
                <w:sz w:val="20"/>
                <w:szCs w:val="20"/>
                <w:lang w:val="en-GB" w:eastAsia="en-GB"/>
              </w:rPr>
            </w:pPr>
            <w:r w:rsidRPr="002A091D">
              <w:rPr>
                <w:sz w:val="20"/>
                <w:szCs w:val="20"/>
                <w:lang w:val="en-GB" w:eastAsia="en-GB"/>
              </w:rPr>
              <w:t>-10.628</w:t>
            </w:r>
          </w:p>
        </w:tc>
        <w:tc>
          <w:tcPr>
            <w:tcW w:w="1267" w:type="dxa"/>
            <w:tcBorders>
              <w:top w:val="nil"/>
              <w:left w:val="nil"/>
              <w:bottom w:val="nil"/>
              <w:right w:val="nil"/>
            </w:tcBorders>
            <w:shd w:val="clear" w:color="auto" w:fill="auto"/>
            <w:noWrap/>
            <w:vAlign w:val="bottom"/>
            <w:hideMark/>
          </w:tcPr>
          <w:p w14:paraId="7AEF0342" w14:textId="77777777" w:rsidR="003D2E90" w:rsidRPr="002A091D" w:rsidRDefault="003D2E90" w:rsidP="003D2E90">
            <w:pPr>
              <w:jc w:val="right"/>
              <w:rPr>
                <w:sz w:val="20"/>
                <w:szCs w:val="20"/>
                <w:lang w:val="en-GB" w:eastAsia="en-GB"/>
              </w:rPr>
            </w:pPr>
            <w:r w:rsidRPr="002A091D">
              <w:rPr>
                <w:sz w:val="20"/>
                <w:szCs w:val="20"/>
                <w:lang w:val="en-GB" w:eastAsia="en-GB"/>
              </w:rPr>
              <w:t>-0.761</w:t>
            </w:r>
          </w:p>
        </w:tc>
        <w:tc>
          <w:tcPr>
            <w:tcW w:w="1267" w:type="dxa"/>
            <w:tcBorders>
              <w:top w:val="nil"/>
              <w:left w:val="nil"/>
              <w:bottom w:val="nil"/>
              <w:right w:val="nil"/>
            </w:tcBorders>
            <w:shd w:val="clear" w:color="auto" w:fill="auto"/>
            <w:noWrap/>
            <w:vAlign w:val="bottom"/>
            <w:hideMark/>
          </w:tcPr>
          <w:p w14:paraId="3E5D06B8" w14:textId="77777777" w:rsidR="003D2E90" w:rsidRPr="002A091D" w:rsidRDefault="003D2E90" w:rsidP="003D2E90">
            <w:pPr>
              <w:jc w:val="right"/>
              <w:rPr>
                <w:sz w:val="20"/>
                <w:szCs w:val="20"/>
                <w:lang w:val="en-GB" w:eastAsia="en-GB"/>
              </w:rPr>
            </w:pPr>
            <w:r w:rsidRPr="002A091D">
              <w:rPr>
                <w:sz w:val="20"/>
                <w:szCs w:val="20"/>
                <w:lang w:val="en-GB" w:eastAsia="en-GB"/>
              </w:rPr>
              <w:t>1.522</w:t>
            </w:r>
          </w:p>
        </w:tc>
        <w:tc>
          <w:tcPr>
            <w:tcW w:w="1536" w:type="dxa"/>
            <w:tcBorders>
              <w:top w:val="nil"/>
              <w:left w:val="nil"/>
              <w:bottom w:val="nil"/>
              <w:right w:val="nil"/>
            </w:tcBorders>
            <w:shd w:val="clear" w:color="auto" w:fill="auto"/>
            <w:noWrap/>
            <w:vAlign w:val="bottom"/>
            <w:hideMark/>
          </w:tcPr>
          <w:p w14:paraId="11D7918B" w14:textId="77777777" w:rsidR="003D2E90" w:rsidRPr="002A091D" w:rsidRDefault="003D2E90" w:rsidP="003D2E90">
            <w:pPr>
              <w:jc w:val="right"/>
              <w:rPr>
                <w:sz w:val="20"/>
                <w:szCs w:val="20"/>
                <w:lang w:val="en-GB" w:eastAsia="en-GB"/>
              </w:rPr>
            </w:pPr>
            <w:r w:rsidRPr="002A091D">
              <w:rPr>
                <w:sz w:val="20"/>
                <w:szCs w:val="20"/>
                <w:lang w:val="en-GB" w:eastAsia="en-GB"/>
              </w:rPr>
              <w:t>22803.970</w:t>
            </w:r>
          </w:p>
        </w:tc>
        <w:tc>
          <w:tcPr>
            <w:tcW w:w="1267" w:type="dxa"/>
            <w:tcBorders>
              <w:top w:val="nil"/>
              <w:left w:val="nil"/>
              <w:bottom w:val="nil"/>
              <w:right w:val="nil"/>
            </w:tcBorders>
            <w:shd w:val="clear" w:color="auto" w:fill="auto"/>
            <w:noWrap/>
            <w:vAlign w:val="bottom"/>
            <w:hideMark/>
          </w:tcPr>
          <w:p w14:paraId="15F74D07" w14:textId="77777777" w:rsidR="003D2E90" w:rsidRPr="002A091D" w:rsidRDefault="003D2E90" w:rsidP="003D2E90">
            <w:pPr>
              <w:jc w:val="right"/>
              <w:rPr>
                <w:sz w:val="20"/>
                <w:szCs w:val="20"/>
                <w:lang w:val="en-GB" w:eastAsia="en-GB"/>
              </w:rPr>
            </w:pPr>
            <w:r w:rsidRPr="002A091D">
              <w:rPr>
                <w:sz w:val="20"/>
                <w:szCs w:val="20"/>
                <w:lang w:val="en-GB" w:eastAsia="en-GB"/>
              </w:rPr>
              <w:t>0.893</w:t>
            </w:r>
          </w:p>
        </w:tc>
        <w:tc>
          <w:tcPr>
            <w:tcW w:w="1267" w:type="dxa"/>
            <w:tcBorders>
              <w:top w:val="nil"/>
              <w:left w:val="nil"/>
              <w:bottom w:val="nil"/>
              <w:right w:val="nil"/>
            </w:tcBorders>
            <w:shd w:val="clear" w:color="auto" w:fill="auto"/>
            <w:noWrap/>
            <w:vAlign w:val="bottom"/>
            <w:hideMark/>
          </w:tcPr>
          <w:p w14:paraId="4B52BC9D" w14:textId="77777777" w:rsidR="003D2E90" w:rsidRPr="002A091D" w:rsidRDefault="003D2E90" w:rsidP="003D2E90">
            <w:pPr>
              <w:jc w:val="right"/>
              <w:rPr>
                <w:sz w:val="20"/>
                <w:szCs w:val="20"/>
                <w:lang w:val="en-GB" w:eastAsia="en-GB"/>
              </w:rPr>
            </w:pPr>
            <w:r w:rsidRPr="002A091D">
              <w:rPr>
                <w:sz w:val="20"/>
                <w:szCs w:val="20"/>
                <w:lang w:val="en-GB" w:eastAsia="en-GB"/>
              </w:rPr>
              <w:t>1.116</w:t>
            </w:r>
          </w:p>
        </w:tc>
      </w:tr>
      <w:tr w:rsidR="003D2E90" w:rsidRPr="002A091D" w14:paraId="0ED444C7" w14:textId="77777777" w:rsidTr="003D2E90">
        <w:trPr>
          <w:trHeight w:val="236"/>
        </w:trPr>
        <w:tc>
          <w:tcPr>
            <w:tcW w:w="1429" w:type="dxa"/>
            <w:tcBorders>
              <w:top w:val="nil"/>
              <w:left w:val="nil"/>
              <w:bottom w:val="nil"/>
              <w:right w:val="nil"/>
            </w:tcBorders>
            <w:shd w:val="clear" w:color="auto" w:fill="auto"/>
            <w:noWrap/>
            <w:vAlign w:val="bottom"/>
            <w:hideMark/>
          </w:tcPr>
          <w:p w14:paraId="5D4F5D8D" w14:textId="77777777" w:rsidR="003D2E90" w:rsidRPr="002A091D" w:rsidRDefault="003D2E90" w:rsidP="003D2E90">
            <w:pPr>
              <w:rPr>
                <w:sz w:val="20"/>
                <w:szCs w:val="20"/>
                <w:lang w:val="en-GB" w:eastAsia="en-GB"/>
              </w:rPr>
            </w:pPr>
            <w:r w:rsidRPr="002A091D">
              <w:rPr>
                <w:sz w:val="20"/>
                <w:szCs w:val="20"/>
                <w:lang w:val="en-GB" w:eastAsia="en-GB"/>
              </w:rPr>
              <w:t>2</w:t>
            </w:r>
          </w:p>
        </w:tc>
        <w:tc>
          <w:tcPr>
            <w:tcW w:w="1267" w:type="dxa"/>
            <w:tcBorders>
              <w:top w:val="nil"/>
              <w:left w:val="nil"/>
              <w:bottom w:val="nil"/>
              <w:right w:val="nil"/>
            </w:tcBorders>
            <w:shd w:val="clear" w:color="auto" w:fill="auto"/>
            <w:noWrap/>
            <w:vAlign w:val="bottom"/>
            <w:hideMark/>
          </w:tcPr>
          <w:p w14:paraId="48C4CA6E" w14:textId="77777777" w:rsidR="003D2E90" w:rsidRPr="002A091D" w:rsidRDefault="003D2E90" w:rsidP="003D2E90">
            <w:pPr>
              <w:jc w:val="right"/>
              <w:rPr>
                <w:sz w:val="20"/>
                <w:szCs w:val="20"/>
                <w:lang w:val="en-GB" w:eastAsia="en-GB"/>
              </w:rPr>
            </w:pPr>
            <w:r w:rsidRPr="002A091D">
              <w:rPr>
                <w:sz w:val="20"/>
                <w:szCs w:val="20"/>
                <w:lang w:val="en-GB" w:eastAsia="en-GB"/>
              </w:rPr>
              <w:t>-7.547</w:t>
            </w:r>
          </w:p>
        </w:tc>
        <w:tc>
          <w:tcPr>
            <w:tcW w:w="1267" w:type="dxa"/>
            <w:tcBorders>
              <w:top w:val="nil"/>
              <w:left w:val="nil"/>
              <w:bottom w:val="nil"/>
              <w:right w:val="nil"/>
            </w:tcBorders>
            <w:shd w:val="clear" w:color="auto" w:fill="auto"/>
            <w:noWrap/>
            <w:vAlign w:val="bottom"/>
            <w:hideMark/>
          </w:tcPr>
          <w:p w14:paraId="4096C07E" w14:textId="77777777" w:rsidR="003D2E90" w:rsidRPr="002A091D" w:rsidRDefault="003D2E90" w:rsidP="003D2E90">
            <w:pPr>
              <w:jc w:val="right"/>
              <w:rPr>
                <w:sz w:val="20"/>
                <w:szCs w:val="20"/>
                <w:lang w:val="en-GB" w:eastAsia="en-GB"/>
              </w:rPr>
            </w:pPr>
            <w:r w:rsidRPr="002A091D">
              <w:rPr>
                <w:sz w:val="20"/>
                <w:szCs w:val="20"/>
                <w:lang w:val="en-GB" w:eastAsia="en-GB"/>
              </w:rPr>
              <w:t>-1.875</w:t>
            </w:r>
          </w:p>
        </w:tc>
        <w:tc>
          <w:tcPr>
            <w:tcW w:w="1267" w:type="dxa"/>
            <w:tcBorders>
              <w:top w:val="nil"/>
              <w:left w:val="nil"/>
              <w:bottom w:val="nil"/>
              <w:right w:val="nil"/>
            </w:tcBorders>
            <w:shd w:val="clear" w:color="auto" w:fill="auto"/>
            <w:noWrap/>
            <w:vAlign w:val="bottom"/>
            <w:hideMark/>
          </w:tcPr>
          <w:p w14:paraId="72637624" w14:textId="77777777" w:rsidR="003D2E90" w:rsidRPr="002A091D" w:rsidRDefault="003D2E90" w:rsidP="003D2E90">
            <w:pPr>
              <w:jc w:val="right"/>
              <w:rPr>
                <w:sz w:val="20"/>
                <w:szCs w:val="20"/>
                <w:lang w:val="en-GB" w:eastAsia="en-GB"/>
              </w:rPr>
            </w:pPr>
            <w:r w:rsidRPr="002A091D">
              <w:rPr>
                <w:sz w:val="20"/>
                <w:szCs w:val="20"/>
                <w:lang w:val="en-GB" w:eastAsia="en-GB"/>
              </w:rPr>
              <w:t>0.370</w:t>
            </w:r>
          </w:p>
        </w:tc>
        <w:tc>
          <w:tcPr>
            <w:tcW w:w="1536" w:type="dxa"/>
            <w:tcBorders>
              <w:top w:val="nil"/>
              <w:left w:val="nil"/>
              <w:bottom w:val="nil"/>
              <w:right w:val="nil"/>
            </w:tcBorders>
            <w:shd w:val="clear" w:color="auto" w:fill="auto"/>
            <w:noWrap/>
            <w:vAlign w:val="bottom"/>
            <w:hideMark/>
          </w:tcPr>
          <w:p w14:paraId="6CB83125" w14:textId="77777777" w:rsidR="003D2E90" w:rsidRPr="002A091D" w:rsidRDefault="003D2E90" w:rsidP="003D2E90">
            <w:pPr>
              <w:jc w:val="right"/>
              <w:rPr>
                <w:sz w:val="20"/>
                <w:szCs w:val="20"/>
                <w:lang w:val="en-GB" w:eastAsia="en-GB"/>
              </w:rPr>
            </w:pPr>
            <w:r w:rsidRPr="002A091D">
              <w:rPr>
                <w:sz w:val="20"/>
                <w:szCs w:val="20"/>
                <w:lang w:val="en-GB" w:eastAsia="en-GB"/>
              </w:rPr>
              <w:t>23193.411</w:t>
            </w:r>
          </w:p>
        </w:tc>
        <w:tc>
          <w:tcPr>
            <w:tcW w:w="1267" w:type="dxa"/>
            <w:tcBorders>
              <w:top w:val="nil"/>
              <w:left w:val="nil"/>
              <w:bottom w:val="nil"/>
              <w:right w:val="nil"/>
            </w:tcBorders>
            <w:shd w:val="clear" w:color="auto" w:fill="auto"/>
            <w:noWrap/>
            <w:vAlign w:val="bottom"/>
            <w:hideMark/>
          </w:tcPr>
          <w:p w14:paraId="71425232" w14:textId="77777777" w:rsidR="003D2E90" w:rsidRPr="002A091D" w:rsidRDefault="003D2E90" w:rsidP="003D2E90">
            <w:pPr>
              <w:jc w:val="right"/>
              <w:rPr>
                <w:sz w:val="20"/>
                <w:szCs w:val="20"/>
                <w:lang w:val="en-GB" w:eastAsia="en-GB"/>
              </w:rPr>
            </w:pPr>
            <w:r w:rsidRPr="002A091D">
              <w:rPr>
                <w:sz w:val="20"/>
                <w:szCs w:val="20"/>
                <w:lang w:val="en-GB" w:eastAsia="en-GB"/>
              </w:rPr>
              <w:t>2.037</w:t>
            </w:r>
          </w:p>
        </w:tc>
        <w:tc>
          <w:tcPr>
            <w:tcW w:w="1267" w:type="dxa"/>
            <w:tcBorders>
              <w:top w:val="nil"/>
              <w:left w:val="nil"/>
              <w:bottom w:val="nil"/>
              <w:right w:val="nil"/>
            </w:tcBorders>
            <w:shd w:val="clear" w:color="auto" w:fill="auto"/>
            <w:noWrap/>
            <w:vAlign w:val="bottom"/>
            <w:hideMark/>
          </w:tcPr>
          <w:p w14:paraId="18584ED0" w14:textId="77777777" w:rsidR="003D2E90" w:rsidRPr="002A091D" w:rsidRDefault="003D2E90" w:rsidP="003D2E90">
            <w:pPr>
              <w:jc w:val="right"/>
              <w:rPr>
                <w:sz w:val="20"/>
                <w:szCs w:val="20"/>
                <w:lang w:val="en-GB" w:eastAsia="en-GB"/>
              </w:rPr>
            </w:pPr>
            <w:r w:rsidRPr="002A091D">
              <w:rPr>
                <w:sz w:val="20"/>
                <w:szCs w:val="20"/>
                <w:lang w:val="en-GB" w:eastAsia="en-GB"/>
              </w:rPr>
              <w:t>1.089</w:t>
            </w:r>
          </w:p>
        </w:tc>
      </w:tr>
      <w:tr w:rsidR="003D2E90" w:rsidRPr="002A091D" w14:paraId="699377F9" w14:textId="77777777" w:rsidTr="003D2E90">
        <w:trPr>
          <w:trHeight w:val="236"/>
        </w:trPr>
        <w:tc>
          <w:tcPr>
            <w:tcW w:w="1429" w:type="dxa"/>
            <w:tcBorders>
              <w:top w:val="nil"/>
              <w:left w:val="nil"/>
              <w:bottom w:val="nil"/>
              <w:right w:val="nil"/>
            </w:tcBorders>
            <w:shd w:val="clear" w:color="auto" w:fill="auto"/>
            <w:noWrap/>
            <w:vAlign w:val="bottom"/>
            <w:hideMark/>
          </w:tcPr>
          <w:p w14:paraId="005F3727" w14:textId="77777777" w:rsidR="003D2E90" w:rsidRPr="002A091D" w:rsidRDefault="003D2E90" w:rsidP="003D2E90">
            <w:pPr>
              <w:rPr>
                <w:sz w:val="20"/>
                <w:szCs w:val="20"/>
                <w:lang w:val="en-GB" w:eastAsia="en-GB"/>
              </w:rPr>
            </w:pPr>
            <w:r w:rsidRPr="002A091D">
              <w:rPr>
                <w:sz w:val="20"/>
                <w:szCs w:val="20"/>
                <w:lang w:val="en-GB" w:eastAsia="en-GB"/>
              </w:rPr>
              <w:t>3</w:t>
            </w:r>
          </w:p>
        </w:tc>
        <w:tc>
          <w:tcPr>
            <w:tcW w:w="1267" w:type="dxa"/>
            <w:tcBorders>
              <w:top w:val="nil"/>
              <w:left w:val="nil"/>
              <w:bottom w:val="nil"/>
              <w:right w:val="nil"/>
            </w:tcBorders>
            <w:shd w:val="clear" w:color="auto" w:fill="auto"/>
            <w:noWrap/>
            <w:vAlign w:val="bottom"/>
            <w:hideMark/>
          </w:tcPr>
          <w:p w14:paraId="5FD370C3" w14:textId="77777777" w:rsidR="003D2E90" w:rsidRPr="002A091D" w:rsidRDefault="003D2E90" w:rsidP="003D2E90">
            <w:pPr>
              <w:jc w:val="right"/>
              <w:rPr>
                <w:sz w:val="20"/>
                <w:szCs w:val="20"/>
                <w:lang w:val="en-GB" w:eastAsia="en-GB"/>
              </w:rPr>
            </w:pPr>
            <w:r w:rsidRPr="002A091D">
              <w:rPr>
                <w:sz w:val="20"/>
                <w:szCs w:val="20"/>
                <w:lang w:val="en-GB" w:eastAsia="en-GB"/>
              </w:rPr>
              <w:t>-5.334</w:t>
            </w:r>
          </w:p>
        </w:tc>
        <w:tc>
          <w:tcPr>
            <w:tcW w:w="1267" w:type="dxa"/>
            <w:tcBorders>
              <w:top w:val="nil"/>
              <w:left w:val="nil"/>
              <w:bottom w:val="nil"/>
              <w:right w:val="nil"/>
            </w:tcBorders>
            <w:shd w:val="clear" w:color="auto" w:fill="auto"/>
            <w:noWrap/>
            <w:vAlign w:val="bottom"/>
            <w:hideMark/>
          </w:tcPr>
          <w:p w14:paraId="4D99DF61" w14:textId="77777777" w:rsidR="003D2E90" w:rsidRPr="002A091D" w:rsidRDefault="003D2E90" w:rsidP="003D2E90">
            <w:pPr>
              <w:jc w:val="right"/>
              <w:rPr>
                <w:sz w:val="20"/>
                <w:szCs w:val="20"/>
                <w:lang w:val="en-GB" w:eastAsia="en-GB"/>
              </w:rPr>
            </w:pPr>
            <w:r w:rsidRPr="002A091D">
              <w:rPr>
                <w:sz w:val="20"/>
                <w:szCs w:val="20"/>
                <w:lang w:val="en-GB" w:eastAsia="en-GB"/>
              </w:rPr>
              <w:t>0.536</w:t>
            </w:r>
          </w:p>
        </w:tc>
        <w:tc>
          <w:tcPr>
            <w:tcW w:w="1267" w:type="dxa"/>
            <w:tcBorders>
              <w:top w:val="nil"/>
              <w:left w:val="nil"/>
              <w:bottom w:val="nil"/>
              <w:right w:val="nil"/>
            </w:tcBorders>
            <w:shd w:val="clear" w:color="auto" w:fill="auto"/>
            <w:noWrap/>
            <w:vAlign w:val="bottom"/>
            <w:hideMark/>
          </w:tcPr>
          <w:p w14:paraId="231B5BBD" w14:textId="77777777" w:rsidR="003D2E90" w:rsidRPr="002A091D" w:rsidRDefault="003D2E90" w:rsidP="003D2E90">
            <w:pPr>
              <w:jc w:val="right"/>
              <w:rPr>
                <w:sz w:val="20"/>
                <w:szCs w:val="20"/>
                <w:lang w:val="en-GB" w:eastAsia="en-GB"/>
              </w:rPr>
            </w:pPr>
            <w:r w:rsidRPr="002A091D">
              <w:rPr>
                <w:sz w:val="20"/>
                <w:szCs w:val="20"/>
                <w:lang w:val="en-GB" w:eastAsia="en-GB"/>
              </w:rPr>
              <w:t>1.434</w:t>
            </w:r>
          </w:p>
        </w:tc>
        <w:tc>
          <w:tcPr>
            <w:tcW w:w="1536" w:type="dxa"/>
            <w:tcBorders>
              <w:top w:val="nil"/>
              <w:left w:val="nil"/>
              <w:bottom w:val="nil"/>
              <w:right w:val="nil"/>
            </w:tcBorders>
            <w:shd w:val="clear" w:color="auto" w:fill="auto"/>
            <w:noWrap/>
            <w:vAlign w:val="bottom"/>
            <w:hideMark/>
          </w:tcPr>
          <w:p w14:paraId="6B9B30C8" w14:textId="77777777" w:rsidR="003D2E90" w:rsidRPr="002A091D" w:rsidRDefault="003D2E90" w:rsidP="003D2E90">
            <w:pPr>
              <w:jc w:val="right"/>
              <w:rPr>
                <w:sz w:val="20"/>
                <w:szCs w:val="20"/>
                <w:lang w:val="en-GB" w:eastAsia="en-GB"/>
              </w:rPr>
            </w:pPr>
            <w:r w:rsidRPr="002A091D">
              <w:rPr>
                <w:sz w:val="20"/>
                <w:szCs w:val="20"/>
                <w:lang w:val="en-GB" w:eastAsia="en-GB"/>
              </w:rPr>
              <w:t>18443.554</w:t>
            </w:r>
          </w:p>
        </w:tc>
        <w:tc>
          <w:tcPr>
            <w:tcW w:w="1267" w:type="dxa"/>
            <w:tcBorders>
              <w:top w:val="nil"/>
              <w:left w:val="nil"/>
              <w:bottom w:val="nil"/>
              <w:right w:val="nil"/>
            </w:tcBorders>
            <w:shd w:val="clear" w:color="auto" w:fill="auto"/>
            <w:noWrap/>
            <w:vAlign w:val="bottom"/>
            <w:hideMark/>
          </w:tcPr>
          <w:p w14:paraId="3BAB61AB" w14:textId="77777777" w:rsidR="003D2E90" w:rsidRPr="002A091D" w:rsidRDefault="003D2E90" w:rsidP="003D2E90">
            <w:pPr>
              <w:jc w:val="right"/>
              <w:rPr>
                <w:sz w:val="20"/>
                <w:szCs w:val="20"/>
                <w:lang w:val="en-GB" w:eastAsia="en-GB"/>
              </w:rPr>
            </w:pPr>
            <w:r w:rsidRPr="002A091D">
              <w:rPr>
                <w:sz w:val="20"/>
                <w:szCs w:val="20"/>
                <w:lang w:val="en-GB" w:eastAsia="en-GB"/>
              </w:rPr>
              <w:t>1.377</w:t>
            </w:r>
          </w:p>
        </w:tc>
        <w:tc>
          <w:tcPr>
            <w:tcW w:w="1267" w:type="dxa"/>
            <w:tcBorders>
              <w:top w:val="nil"/>
              <w:left w:val="nil"/>
              <w:bottom w:val="nil"/>
              <w:right w:val="nil"/>
            </w:tcBorders>
            <w:shd w:val="clear" w:color="auto" w:fill="auto"/>
            <w:noWrap/>
            <w:vAlign w:val="bottom"/>
            <w:hideMark/>
          </w:tcPr>
          <w:p w14:paraId="38CE9E16" w14:textId="77777777" w:rsidR="003D2E90" w:rsidRPr="002A091D" w:rsidRDefault="003D2E90" w:rsidP="003D2E90">
            <w:pPr>
              <w:jc w:val="right"/>
              <w:rPr>
                <w:sz w:val="20"/>
                <w:szCs w:val="20"/>
                <w:lang w:val="en-GB" w:eastAsia="en-GB"/>
              </w:rPr>
            </w:pPr>
            <w:r w:rsidRPr="002A091D">
              <w:rPr>
                <w:sz w:val="20"/>
                <w:szCs w:val="20"/>
                <w:lang w:val="en-GB" w:eastAsia="en-GB"/>
              </w:rPr>
              <w:t>0.914</w:t>
            </w:r>
          </w:p>
        </w:tc>
      </w:tr>
      <w:tr w:rsidR="003D2E90" w:rsidRPr="002A091D" w14:paraId="0BA1B488" w14:textId="77777777" w:rsidTr="003D2E90">
        <w:trPr>
          <w:trHeight w:val="236"/>
        </w:trPr>
        <w:tc>
          <w:tcPr>
            <w:tcW w:w="1429" w:type="dxa"/>
            <w:tcBorders>
              <w:top w:val="nil"/>
              <w:left w:val="nil"/>
              <w:bottom w:val="nil"/>
              <w:right w:val="nil"/>
            </w:tcBorders>
            <w:shd w:val="clear" w:color="auto" w:fill="auto"/>
            <w:noWrap/>
            <w:vAlign w:val="bottom"/>
            <w:hideMark/>
          </w:tcPr>
          <w:p w14:paraId="596E7E52" w14:textId="77777777" w:rsidR="003D2E90" w:rsidRPr="002A091D" w:rsidRDefault="003D2E90" w:rsidP="003D2E90">
            <w:pPr>
              <w:rPr>
                <w:sz w:val="20"/>
                <w:szCs w:val="20"/>
                <w:lang w:val="en-GB" w:eastAsia="en-GB"/>
              </w:rPr>
            </w:pPr>
            <w:r w:rsidRPr="002A091D">
              <w:rPr>
                <w:sz w:val="20"/>
                <w:szCs w:val="20"/>
                <w:lang w:val="en-GB" w:eastAsia="en-GB"/>
              </w:rPr>
              <w:t>4</w:t>
            </w:r>
          </w:p>
        </w:tc>
        <w:tc>
          <w:tcPr>
            <w:tcW w:w="1267" w:type="dxa"/>
            <w:tcBorders>
              <w:top w:val="nil"/>
              <w:left w:val="nil"/>
              <w:bottom w:val="nil"/>
              <w:right w:val="nil"/>
            </w:tcBorders>
            <w:shd w:val="clear" w:color="auto" w:fill="auto"/>
            <w:noWrap/>
            <w:vAlign w:val="bottom"/>
            <w:hideMark/>
          </w:tcPr>
          <w:p w14:paraId="7EF0FB15" w14:textId="77777777" w:rsidR="003D2E90" w:rsidRPr="002A091D" w:rsidRDefault="003D2E90" w:rsidP="003D2E90">
            <w:pPr>
              <w:jc w:val="right"/>
              <w:rPr>
                <w:sz w:val="20"/>
                <w:szCs w:val="20"/>
                <w:lang w:val="en-GB" w:eastAsia="en-GB"/>
              </w:rPr>
            </w:pPr>
            <w:r w:rsidRPr="002A091D">
              <w:rPr>
                <w:sz w:val="20"/>
                <w:szCs w:val="20"/>
                <w:lang w:val="en-GB" w:eastAsia="en-GB"/>
              </w:rPr>
              <w:t>1.725</w:t>
            </w:r>
          </w:p>
        </w:tc>
        <w:tc>
          <w:tcPr>
            <w:tcW w:w="1267" w:type="dxa"/>
            <w:tcBorders>
              <w:top w:val="nil"/>
              <w:left w:val="nil"/>
              <w:bottom w:val="nil"/>
              <w:right w:val="nil"/>
            </w:tcBorders>
            <w:shd w:val="clear" w:color="auto" w:fill="auto"/>
            <w:noWrap/>
            <w:vAlign w:val="bottom"/>
            <w:hideMark/>
          </w:tcPr>
          <w:p w14:paraId="7DDD5906" w14:textId="77777777" w:rsidR="003D2E90" w:rsidRPr="002A091D" w:rsidRDefault="003D2E90" w:rsidP="003D2E90">
            <w:pPr>
              <w:jc w:val="right"/>
              <w:rPr>
                <w:sz w:val="20"/>
                <w:szCs w:val="20"/>
                <w:lang w:val="en-GB" w:eastAsia="en-GB"/>
              </w:rPr>
            </w:pPr>
            <w:r w:rsidRPr="002A091D">
              <w:rPr>
                <w:sz w:val="20"/>
                <w:szCs w:val="20"/>
                <w:lang w:val="en-GB" w:eastAsia="en-GB"/>
              </w:rPr>
              <w:t>3.321</w:t>
            </w:r>
          </w:p>
        </w:tc>
        <w:tc>
          <w:tcPr>
            <w:tcW w:w="1267" w:type="dxa"/>
            <w:tcBorders>
              <w:top w:val="nil"/>
              <w:left w:val="nil"/>
              <w:bottom w:val="nil"/>
              <w:right w:val="nil"/>
            </w:tcBorders>
            <w:shd w:val="clear" w:color="auto" w:fill="auto"/>
            <w:noWrap/>
            <w:vAlign w:val="bottom"/>
            <w:hideMark/>
          </w:tcPr>
          <w:p w14:paraId="2FAD39E2" w14:textId="77777777" w:rsidR="003D2E90" w:rsidRPr="002A091D" w:rsidRDefault="003D2E90" w:rsidP="003D2E90">
            <w:pPr>
              <w:jc w:val="right"/>
              <w:rPr>
                <w:sz w:val="20"/>
                <w:szCs w:val="20"/>
                <w:lang w:val="en-GB" w:eastAsia="en-GB"/>
              </w:rPr>
            </w:pPr>
            <w:r w:rsidRPr="002A091D">
              <w:rPr>
                <w:sz w:val="20"/>
                <w:szCs w:val="20"/>
                <w:lang w:val="en-GB" w:eastAsia="en-GB"/>
              </w:rPr>
              <w:t>4.318</w:t>
            </w:r>
          </w:p>
        </w:tc>
        <w:tc>
          <w:tcPr>
            <w:tcW w:w="1536" w:type="dxa"/>
            <w:tcBorders>
              <w:top w:val="nil"/>
              <w:left w:val="nil"/>
              <w:bottom w:val="nil"/>
              <w:right w:val="nil"/>
            </w:tcBorders>
            <w:shd w:val="clear" w:color="auto" w:fill="auto"/>
            <w:noWrap/>
            <w:vAlign w:val="bottom"/>
            <w:hideMark/>
          </w:tcPr>
          <w:p w14:paraId="239272F0" w14:textId="77777777" w:rsidR="003D2E90" w:rsidRPr="002A091D" w:rsidRDefault="003D2E90" w:rsidP="003D2E90">
            <w:pPr>
              <w:jc w:val="right"/>
              <w:rPr>
                <w:sz w:val="20"/>
                <w:szCs w:val="20"/>
                <w:lang w:val="en-GB" w:eastAsia="en-GB"/>
              </w:rPr>
            </w:pPr>
            <w:r w:rsidRPr="002A091D">
              <w:rPr>
                <w:sz w:val="20"/>
                <w:szCs w:val="20"/>
                <w:lang w:val="en-GB" w:eastAsia="en-GB"/>
              </w:rPr>
              <w:t>15147.193</w:t>
            </w:r>
          </w:p>
        </w:tc>
        <w:tc>
          <w:tcPr>
            <w:tcW w:w="1267" w:type="dxa"/>
            <w:tcBorders>
              <w:top w:val="nil"/>
              <w:left w:val="nil"/>
              <w:bottom w:val="nil"/>
              <w:right w:val="nil"/>
            </w:tcBorders>
            <w:shd w:val="clear" w:color="auto" w:fill="auto"/>
            <w:noWrap/>
            <w:vAlign w:val="bottom"/>
            <w:hideMark/>
          </w:tcPr>
          <w:p w14:paraId="445020E0" w14:textId="77777777" w:rsidR="003D2E90" w:rsidRPr="002A091D" w:rsidRDefault="003D2E90" w:rsidP="003D2E90">
            <w:pPr>
              <w:jc w:val="right"/>
              <w:rPr>
                <w:sz w:val="20"/>
                <w:szCs w:val="20"/>
                <w:lang w:val="en-GB" w:eastAsia="en-GB"/>
              </w:rPr>
            </w:pPr>
            <w:r w:rsidRPr="002A091D">
              <w:rPr>
                <w:sz w:val="20"/>
                <w:szCs w:val="20"/>
                <w:lang w:val="en-GB" w:eastAsia="en-GB"/>
              </w:rPr>
              <w:t>1.432</w:t>
            </w:r>
          </w:p>
        </w:tc>
        <w:tc>
          <w:tcPr>
            <w:tcW w:w="1267" w:type="dxa"/>
            <w:tcBorders>
              <w:top w:val="nil"/>
              <w:left w:val="nil"/>
              <w:bottom w:val="nil"/>
              <w:right w:val="nil"/>
            </w:tcBorders>
            <w:shd w:val="clear" w:color="auto" w:fill="auto"/>
            <w:noWrap/>
            <w:vAlign w:val="bottom"/>
            <w:hideMark/>
          </w:tcPr>
          <w:p w14:paraId="510A1A59" w14:textId="77777777" w:rsidR="003D2E90" w:rsidRPr="002A091D" w:rsidRDefault="003D2E90" w:rsidP="003D2E90">
            <w:pPr>
              <w:jc w:val="right"/>
              <w:rPr>
                <w:sz w:val="20"/>
                <w:szCs w:val="20"/>
                <w:lang w:val="en-GB" w:eastAsia="en-GB"/>
              </w:rPr>
            </w:pPr>
            <w:r w:rsidRPr="002A091D">
              <w:rPr>
                <w:sz w:val="20"/>
                <w:szCs w:val="20"/>
                <w:lang w:val="en-GB" w:eastAsia="en-GB"/>
              </w:rPr>
              <w:t>0.768</w:t>
            </w:r>
          </w:p>
        </w:tc>
      </w:tr>
      <w:tr w:rsidR="003D2E90" w:rsidRPr="002A091D" w14:paraId="14013875" w14:textId="77777777" w:rsidTr="003D2E90">
        <w:trPr>
          <w:trHeight w:val="236"/>
        </w:trPr>
        <w:tc>
          <w:tcPr>
            <w:tcW w:w="1429" w:type="dxa"/>
            <w:tcBorders>
              <w:top w:val="nil"/>
              <w:left w:val="nil"/>
              <w:bottom w:val="nil"/>
              <w:right w:val="nil"/>
            </w:tcBorders>
            <w:shd w:val="clear" w:color="auto" w:fill="auto"/>
            <w:noWrap/>
            <w:vAlign w:val="bottom"/>
            <w:hideMark/>
          </w:tcPr>
          <w:p w14:paraId="559783F8" w14:textId="77777777" w:rsidR="003D2E90" w:rsidRPr="002A091D" w:rsidRDefault="003D2E90" w:rsidP="003D2E90">
            <w:pPr>
              <w:rPr>
                <w:sz w:val="20"/>
                <w:szCs w:val="20"/>
                <w:lang w:val="en-GB" w:eastAsia="en-GB"/>
              </w:rPr>
            </w:pPr>
            <w:r w:rsidRPr="002A091D">
              <w:rPr>
                <w:sz w:val="20"/>
                <w:szCs w:val="20"/>
                <w:lang w:val="en-GB" w:eastAsia="en-GB"/>
              </w:rPr>
              <w:t>5</w:t>
            </w:r>
          </w:p>
        </w:tc>
        <w:tc>
          <w:tcPr>
            <w:tcW w:w="1267" w:type="dxa"/>
            <w:tcBorders>
              <w:top w:val="nil"/>
              <w:left w:val="nil"/>
              <w:bottom w:val="nil"/>
              <w:right w:val="nil"/>
            </w:tcBorders>
            <w:shd w:val="clear" w:color="auto" w:fill="auto"/>
            <w:noWrap/>
            <w:vAlign w:val="bottom"/>
            <w:hideMark/>
          </w:tcPr>
          <w:p w14:paraId="30AEB4A2" w14:textId="77777777" w:rsidR="003D2E90" w:rsidRPr="002A091D" w:rsidRDefault="003D2E90" w:rsidP="003D2E90">
            <w:pPr>
              <w:jc w:val="right"/>
              <w:rPr>
                <w:sz w:val="20"/>
                <w:szCs w:val="20"/>
                <w:lang w:val="en-GB" w:eastAsia="en-GB"/>
              </w:rPr>
            </w:pPr>
            <w:r w:rsidRPr="002A091D">
              <w:rPr>
                <w:sz w:val="20"/>
                <w:szCs w:val="20"/>
                <w:lang w:val="en-GB" w:eastAsia="en-GB"/>
              </w:rPr>
              <w:t>9.743</w:t>
            </w:r>
          </w:p>
        </w:tc>
        <w:tc>
          <w:tcPr>
            <w:tcW w:w="1267" w:type="dxa"/>
            <w:tcBorders>
              <w:top w:val="nil"/>
              <w:left w:val="nil"/>
              <w:bottom w:val="nil"/>
              <w:right w:val="nil"/>
            </w:tcBorders>
            <w:shd w:val="clear" w:color="auto" w:fill="auto"/>
            <w:noWrap/>
            <w:vAlign w:val="bottom"/>
            <w:hideMark/>
          </w:tcPr>
          <w:p w14:paraId="39548823" w14:textId="77777777" w:rsidR="003D2E90" w:rsidRPr="002A091D" w:rsidRDefault="003D2E90" w:rsidP="003D2E90">
            <w:pPr>
              <w:jc w:val="right"/>
              <w:rPr>
                <w:sz w:val="20"/>
                <w:szCs w:val="20"/>
                <w:lang w:val="en-GB" w:eastAsia="en-GB"/>
              </w:rPr>
            </w:pPr>
            <w:r w:rsidRPr="002A091D">
              <w:rPr>
                <w:sz w:val="20"/>
                <w:szCs w:val="20"/>
                <w:lang w:val="en-GB" w:eastAsia="en-GB"/>
              </w:rPr>
              <w:t>4.743</w:t>
            </w:r>
          </w:p>
        </w:tc>
        <w:tc>
          <w:tcPr>
            <w:tcW w:w="1267" w:type="dxa"/>
            <w:tcBorders>
              <w:top w:val="nil"/>
              <w:left w:val="nil"/>
              <w:bottom w:val="nil"/>
              <w:right w:val="nil"/>
            </w:tcBorders>
            <w:shd w:val="clear" w:color="auto" w:fill="auto"/>
            <w:noWrap/>
            <w:vAlign w:val="bottom"/>
            <w:hideMark/>
          </w:tcPr>
          <w:p w14:paraId="7AF78605" w14:textId="77777777" w:rsidR="003D2E90" w:rsidRPr="002A091D" w:rsidRDefault="003D2E90" w:rsidP="003D2E90">
            <w:pPr>
              <w:jc w:val="right"/>
              <w:rPr>
                <w:sz w:val="20"/>
                <w:szCs w:val="20"/>
                <w:lang w:val="en-GB" w:eastAsia="en-GB"/>
              </w:rPr>
            </w:pPr>
            <w:r w:rsidRPr="002A091D">
              <w:rPr>
                <w:sz w:val="20"/>
                <w:szCs w:val="20"/>
                <w:lang w:val="en-GB" w:eastAsia="en-GB"/>
              </w:rPr>
              <w:t>13.063</w:t>
            </w:r>
          </w:p>
        </w:tc>
        <w:tc>
          <w:tcPr>
            <w:tcW w:w="1536" w:type="dxa"/>
            <w:tcBorders>
              <w:top w:val="nil"/>
              <w:left w:val="nil"/>
              <w:bottom w:val="nil"/>
              <w:right w:val="nil"/>
            </w:tcBorders>
            <w:shd w:val="clear" w:color="auto" w:fill="auto"/>
            <w:noWrap/>
            <w:vAlign w:val="bottom"/>
            <w:hideMark/>
          </w:tcPr>
          <w:p w14:paraId="04DD6FD2" w14:textId="77777777" w:rsidR="003D2E90" w:rsidRPr="002A091D" w:rsidRDefault="003D2E90" w:rsidP="003D2E90">
            <w:pPr>
              <w:jc w:val="right"/>
              <w:rPr>
                <w:sz w:val="20"/>
                <w:szCs w:val="20"/>
                <w:lang w:val="en-GB" w:eastAsia="en-GB"/>
              </w:rPr>
            </w:pPr>
            <w:r w:rsidRPr="002A091D">
              <w:rPr>
                <w:sz w:val="20"/>
                <w:szCs w:val="20"/>
                <w:lang w:val="en-GB" w:eastAsia="en-GB"/>
              </w:rPr>
              <w:t>10321.754</w:t>
            </w:r>
          </w:p>
        </w:tc>
        <w:tc>
          <w:tcPr>
            <w:tcW w:w="1267" w:type="dxa"/>
            <w:tcBorders>
              <w:top w:val="nil"/>
              <w:left w:val="nil"/>
              <w:bottom w:val="nil"/>
              <w:right w:val="nil"/>
            </w:tcBorders>
            <w:shd w:val="clear" w:color="auto" w:fill="auto"/>
            <w:noWrap/>
            <w:vAlign w:val="bottom"/>
            <w:hideMark/>
          </w:tcPr>
          <w:p w14:paraId="3E178476" w14:textId="77777777" w:rsidR="003D2E90" w:rsidRPr="002A091D" w:rsidRDefault="003D2E90" w:rsidP="003D2E90">
            <w:pPr>
              <w:jc w:val="right"/>
              <w:rPr>
                <w:sz w:val="20"/>
                <w:szCs w:val="20"/>
                <w:lang w:val="en-GB" w:eastAsia="en-GB"/>
              </w:rPr>
            </w:pPr>
            <w:r w:rsidRPr="002A091D">
              <w:rPr>
                <w:sz w:val="20"/>
                <w:szCs w:val="20"/>
                <w:lang w:val="en-GB" w:eastAsia="en-GB"/>
              </w:rPr>
              <w:t>1.558</w:t>
            </w:r>
          </w:p>
        </w:tc>
        <w:tc>
          <w:tcPr>
            <w:tcW w:w="1267" w:type="dxa"/>
            <w:tcBorders>
              <w:top w:val="nil"/>
              <w:left w:val="nil"/>
              <w:bottom w:val="nil"/>
              <w:right w:val="nil"/>
            </w:tcBorders>
            <w:shd w:val="clear" w:color="auto" w:fill="auto"/>
            <w:noWrap/>
            <w:vAlign w:val="bottom"/>
            <w:hideMark/>
          </w:tcPr>
          <w:p w14:paraId="27416D0C" w14:textId="77777777" w:rsidR="003D2E90" w:rsidRPr="002A091D" w:rsidRDefault="003D2E90" w:rsidP="003D2E90">
            <w:pPr>
              <w:jc w:val="right"/>
              <w:rPr>
                <w:sz w:val="20"/>
                <w:szCs w:val="20"/>
                <w:lang w:val="en-GB" w:eastAsia="en-GB"/>
              </w:rPr>
            </w:pPr>
            <w:r w:rsidRPr="002A091D">
              <w:rPr>
                <w:sz w:val="20"/>
                <w:szCs w:val="20"/>
                <w:lang w:val="en-GB" w:eastAsia="en-GB"/>
              </w:rPr>
              <w:t>0.662</w:t>
            </w:r>
          </w:p>
        </w:tc>
      </w:tr>
      <w:tr w:rsidR="003D2E90" w:rsidRPr="002A091D" w14:paraId="2538C1B2" w14:textId="77777777" w:rsidTr="003D2E90">
        <w:trPr>
          <w:trHeight w:val="236"/>
        </w:trPr>
        <w:tc>
          <w:tcPr>
            <w:tcW w:w="1429" w:type="dxa"/>
            <w:tcBorders>
              <w:top w:val="nil"/>
              <w:left w:val="nil"/>
              <w:bottom w:val="nil"/>
              <w:right w:val="nil"/>
            </w:tcBorders>
            <w:shd w:val="clear" w:color="auto" w:fill="auto"/>
            <w:noWrap/>
            <w:vAlign w:val="bottom"/>
            <w:hideMark/>
          </w:tcPr>
          <w:p w14:paraId="0DDFA4D8" w14:textId="77777777" w:rsidR="003D2E90" w:rsidRPr="002A091D" w:rsidRDefault="003D2E90" w:rsidP="003D2E90">
            <w:pPr>
              <w:rPr>
                <w:sz w:val="20"/>
                <w:szCs w:val="20"/>
                <w:lang w:val="en-GB" w:eastAsia="en-GB"/>
              </w:rPr>
            </w:pPr>
            <w:r w:rsidRPr="002A091D">
              <w:rPr>
                <w:sz w:val="20"/>
                <w:szCs w:val="20"/>
                <w:lang w:val="en-GB" w:eastAsia="en-GB"/>
              </w:rPr>
              <w:t>6</w:t>
            </w:r>
          </w:p>
        </w:tc>
        <w:tc>
          <w:tcPr>
            <w:tcW w:w="1267" w:type="dxa"/>
            <w:tcBorders>
              <w:top w:val="nil"/>
              <w:left w:val="nil"/>
              <w:bottom w:val="nil"/>
              <w:right w:val="nil"/>
            </w:tcBorders>
            <w:shd w:val="clear" w:color="auto" w:fill="auto"/>
            <w:noWrap/>
            <w:vAlign w:val="bottom"/>
            <w:hideMark/>
          </w:tcPr>
          <w:p w14:paraId="57C398C2" w14:textId="77777777" w:rsidR="003D2E90" w:rsidRPr="002A091D" w:rsidRDefault="003D2E90" w:rsidP="003D2E90">
            <w:pPr>
              <w:jc w:val="right"/>
              <w:rPr>
                <w:sz w:val="20"/>
                <w:szCs w:val="20"/>
                <w:lang w:val="en-GB" w:eastAsia="en-GB"/>
              </w:rPr>
            </w:pPr>
            <w:r w:rsidRPr="002A091D">
              <w:rPr>
                <w:sz w:val="20"/>
                <w:szCs w:val="20"/>
                <w:lang w:val="en-GB" w:eastAsia="en-GB"/>
              </w:rPr>
              <w:t>5.579</w:t>
            </w:r>
          </w:p>
        </w:tc>
        <w:tc>
          <w:tcPr>
            <w:tcW w:w="1267" w:type="dxa"/>
            <w:tcBorders>
              <w:top w:val="nil"/>
              <w:left w:val="nil"/>
              <w:bottom w:val="nil"/>
              <w:right w:val="nil"/>
            </w:tcBorders>
            <w:shd w:val="clear" w:color="auto" w:fill="auto"/>
            <w:noWrap/>
            <w:vAlign w:val="bottom"/>
            <w:hideMark/>
          </w:tcPr>
          <w:p w14:paraId="05C81D5A" w14:textId="77777777" w:rsidR="003D2E90" w:rsidRPr="002A091D" w:rsidRDefault="003D2E90" w:rsidP="003D2E90">
            <w:pPr>
              <w:jc w:val="right"/>
              <w:rPr>
                <w:sz w:val="20"/>
                <w:szCs w:val="20"/>
                <w:lang w:val="en-GB" w:eastAsia="en-GB"/>
              </w:rPr>
            </w:pPr>
            <w:r w:rsidRPr="002A091D">
              <w:rPr>
                <w:sz w:val="20"/>
                <w:szCs w:val="20"/>
                <w:lang w:val="en-GB" w:eastAsia="en-GB"/>
              </w:rPr>
              <w:t>5.868</w:t>
            </w:r>
          </w:p>
        </w:tc>
        <w:tc>
          <w:tcPr>
            <w:tcW w:w="1267" w:type="dxa"/>
            <w:tcBorders>
              <w:top w:val="nil"/>
              <w:left w:val="nil"/>
              <w:bottom w:val="nil"/>
              <w:right w:val="nil"/>
            </w:tcBorders>
            <w:shd w:val="clear" w:color="auto" w:fill="auto"/>
            <w:noWrap/>
            <w:vAlign w:val="bottom"/>
            <w:hideMark/>
          </w:tcPr>
          <w:p w14:paraId="691AB51F" w14:textId="77777777" w:rsidR="003D2E90" w:rsidRPr="002A091D" w:rsidRDefault="003D2E90" w:rsidP="003D2E90">
            <w:pPr>
              <w:jc w:val="right"/>
              <w:rPr>
                <w:sz w:val="20"/>
                <w:szCs w:val="20"/>
                <w:lang w:val="en-GB" w:eastAsia="en-GB"/>
              </w:rPr>
            </w:pPr>
            <w:r w:rsidRPr="002A091D">
              <w:rPr>
                <w:sz w:val="20"/>
                <w:szCs w:val="20"/>
                <w:lang w:val="en-GB" w:eastAsia="en-GB"/>
              </w:rPr>
              <w:t>14.768</w:t>
            </w:r>
          </w:p>
        </w:tc>
        <w:tc>
          <w:tcPr>
            <w:tcW w:w="1536" w:type="dxa"/>
            <w:tcBorders>
              <w:top w:val="nil"/>
              <w:left w:val="nil"/>
              <w:bottom w:val="nil"/>
              <w:right w:val="nil"/>
            </w:tcBorders>
            <w:shd w:val="clear" w:color="auto" w:fill="auto"/>
            <w:noWrap/>
            <w:vAlign w:val="bottom"/>
            <w:hideMark/>
          </w:tcPr>
          <w:p w14:paraId="40A365A4" w14:textId="77777777" w:rsidR="003D2E90" w:rsidRPr="002A091D" w:rsidRDefault="003D2E90" w:rsidP="003D2E90">
            <w:pPr>
              <w:jc w:val="right"/>
              <w:rPr>
                <w:sz w:val="20"/>
                <w:szCs w:val="20"/>
                <w:lang w:val="en-GB" w:eastAsia="en-GB"/>
              </w:rPr>
            </w:pPr>
            <w:r w:rsidRPr="002A091D">
              <w:rPr>
                <w:sz w:val="20"/>
                <w:szCs w:val="20"/>
                <w:lang w:val="en-GB" w:eastAsia="en-GB"/>
              </w:rPr>
              <w:t>7856.207</w:t>
            </w:r>
          </w:p>
        </w:tc>
        <w:tc>
          <w:tcPr>
            <w:tcW w:w="1267" w:type="dxa"/>
            <w:tcBorders>
              <w:top w:val="nil"/>
              <w:left w:val="nil"/>
              <w:bottom w:val="nil"/>
              <w:right w:val="nil"/>
            </w:tcBorders>
            <w:shd w:val="clear" w:color="auto" w:fill="auto"/>
            <w:noWrap/>
            <w:vAlign w:val="bottom"/>
            <w:hideMark/>
          </w:tcPr>
          <w:p w14:paraId="577F1653" w14:textId="77777777" w:rsidR="003D2E90" w:rsidRPr="002A091D" w:rsidRDefault="003D2E90" w:rsidP="003D2E90">
            <w:pPr>
              <w:jc w:val="right"/>
              <w:rPr>
                <w:sz w:val="20"/>
                <w:szCs w:val="20"/>
                <w:lang w:val="en-GB" w:eastAsia="en-GB"/>
              </w:rPr>
            </w:pPr>
            <w:r w:rsidRPr="002A091D">
              <w:rPr>
                <w:sz w:val="20"/>
                <w:szCs w:val="20"/>
                <w:lang w:val="en-GB" w:eastAsia="en-GB"/>
              </w:rPr>
              <w:t>1.778</w:t>
            </w:r>
          </w:p>
        </w:tc>
        <w:tc>
          <w:tcPr>
            <w:tcW w:w="1267" w:type="dxa"/>
            <w:tcBorders>
              <w:top w:val="nil"/>
              <w:left w:val="nil"/>
              <w:bottom w:val="nil"/>
              <w:right w:val="nil"/>
            </w:tcBorders>
            <w:shd w:val="clear" w:color="auto" w:fill="auto"/>
            <w:noWrap/>
            <w:vAlign w:val="bottom"/>
            <w:hideMark/>
          </w:tcPr>
          <w:p w14:paraId="41884E83" w14:textId="77777777" w:rsidR="003D2E90" w:rsidRPr="002A091D" w:rsidRDefault="003D2E90" w:rsidP="003D2E90">
            <w:pPr>
              <w:jc w:val="right"/>
              <w:rPr>
                <w:sz w:val="20"/>
                <w:szCs w:val="20"/>
                <w:lang w:val="en-GB" w:eastAsia="en-GB"/>
              </w:rPr>
            </w:pPr>
            <w:r w:rsidRPr="002A091D">
              <w:rPr>
                <w:sz w:val="20"/>
                <w:szCs w:val="20"/>
                <w:lang w:val="en-GB" w:eastAsia="en-GB"/>
              </w:rPr>
              <w:t>0.580</w:t>
            </w:r>
          </w:p>
        </w:tc>
      </w:tr>
      <w:tr w:rsidR="003D2E90" w:rsidRPr="002A091D" w14:paraId="79C957AA" w14:textId="77777777" w:rsidTr="003D2E90">
        <w:trPr>
          <w:trHeight w:val="236"/>
        </w:trPr>
        <w:tc>
          <w:tcPr>
            <w:tcW w:w="1429" w:type="dxa"/>
            <w:tcBorders>
              <w:top w:val="nil"/>
              <w:left w:val="nil"/>
              <w:bottom w:val="nil"/>
              <w:right w:val="nil"/>
            </w:tcBorders>
            <w:shd w:val="clear" w:color="auto" w:fill="auto"/>
            <w:noWrap/>
            <w:vAlign w:val="bottom"/>
            <w:hideMark/>
          </w:tcPr>
          <w:p w14:paraId="0D6B95CB" w14:textId="77777777" w:rsidR="003D2E90" w:rsidRPr="002A091D" w:rsidRDefault="003D2E90" w:rsidP="003D2E90">
            <w:pPr>
              <w:rPr>
                <w:sz w:val="20"/>
                <w:szCs w:val="20"/>
                <w:lang w:val="en-GB" w:eastAsia="en-GB"/>
              </w:rPr>
            </w:pPr>
            <w:r w:rsidRPr="002A091D">
              <w:rPr>
                <w:sz w:val="20"/>
                <w:szCs w:val="20"/>
                <w:lang w:val="en-GB" w:eastAsia="en-GB"/>
              </w:rPr>
              <w:t>7</w:t>
            </w:r>
          </w:p>
        </w:tc>
        <w:tc>
          <w:tcPr>
            <w:tcW w:w="1267" w:type="dxa"/>
            <w:tcBorders>
              <w:top w:val="nil"/>
              <w:left w:val="nil"/>
              <w:bottom w:val="nil"/>
              <w:right w:val="nil"/>
            </w:tcBorders>
            <w:shd w:val="clear" w:color="auto" w:fill="auto"/>
            <w:noWrap/>
            <w:vAlign w:val="bottom"/>
            <w:hideMark/>
          </w:tcPr>
          <w:p w14:paraId="735E5533" w14:textId="77777777" w:rsidR="003D2E90" w:rsidRPr="002A091D" w:rsidRDefault="003D2E90" w:rsidP="003D2E90">
            <w:pPr>
              <w:jc w:val="right"/>
              <w:rPr>
                <w:sz w:val="20"/>
                <w:szCs w:val="20"/>
                <w:lang w:val="en-GB" w:eastAsia="en-GB"/>
              </w:rPr>
            </w:pPr>
            <w:r w:rsidRPr="002A091D">
              <w:rPr>
                <w:sz w:val="20"/>
                <w:szCs w:val="20"/>
                <w:lang w:val="en-GB" w:eastAsia="en-GB"/>
              </w:rPr>
              <w:t>13.006</w:t>
            </w:r>
          </w:p>
        </w:tc>
        <w:tc>
          <w:tcPr>
            <w:tcW w:w="1267" w:type="dxa"/>
            <w:tcBorders>
              <w:top w:val="nil"/>
              <w:left w:val="nil"/>
              <w:bottom w:val="nil"/>
              <w:right w:val="nil"/>
            </w:tcBorders>
            <w:shd w:val="clear" w:color="auto" w:fill="auto"/>
            <w:noWrap/>
            <w:vAlign w:val="bottom"/>
            <w:hideMark/>
          </w:tcPr>
          <w:p w14:paraId="04F7782C" w14:textId="77777777" w:rsidR="003D2E90" w:rsidRPr="002A091D" w:rsidRDefault="003D2E90" w:rsidP="003D2E90">
            <w:pPr>
              <w:jc w:val="right"/>
              <w:rPr>
                <w:sz w:val="20"/>
                <w:szCs w:val="20"/>
                <w:lang w:val="en-GB" w:eastAsia="en-GB"/>
              </w:rPr>
            </w:pPr>
            <w:r w:rsidRPr="002A091D">
              <w:rPr>
                <w:sz w:val="20"/>
                <w:szCs w:val="20"/>
                <w:lang w:val="en-GB" w:eastAsia="en-GB"/>
              </w:rPr>
              <w:t>6.806</w:t>
            </w:r>
          </w:p>
        </w:tc>
        <w:tc>
          <w:tcPr>
            <w:tcW w:w="1267" w:type="dxa"/>
            <w:tcBorders>
              <w:top w:val="nil"/>
              <w:left w:val="nil"/>
              <w:bottom w:val="nil"/>
              <w:right w:val="nil"/>
            </w:tcBorders>
            <w:shd w:val="clear" w:color="auto" w:fill="auto"/>
            <w:noWrap/>
            <w:vAlign w:val="bottom"/>
            <w:hideMark/>
          </w:tcPr>
          <w:p w14:paraId="24C9E02A" w14:textId="77777777" w:rsidR="003D2E90" w:rsidRPr="002A091D" w:rsidRDefault="003D2E90" w:rsidP="003D2E90">
            <w:pPr>
              <w:jc w:val="right"/>
              <w:rPr>
                <w:sz w:val="20"/>
                <w:szCs w:val="20"/>
                <w:lang w:val="en-GB" w:eastAsia="en-GB"/>
              </w:rPr>
            </w:pPr>
            <w:r w:rsidRPr="002A091D">
              <w:rPr>
                <w:sz w:val="20"/>
                <w:szCs w:val="20"/>
                <w:lang w:val="en-GB" w:eastAsia="en-GB"/>
              </w:rPr>
              <w:t>24.567</w:t>
            </w:r>
          </w:p>
        </w:tc>
        <w:tc>
          <w:tcPr>
            <w:tcW w:w="1536" w:type="dxa"/>
            <w:tcBorders>
              <w:top w:val="nil"/>
              <w:left w:val="nil"/>
              <w:bottom w:val="nil"/>
              <w:right w:val="nil"/>
            </w:tcBorders>
            <w:shd w:val="clear" w:color="auto" w:fill="auto"/>
            <w:noWrap/>
            <w:vAlign w:val="bottom"/>
            <w:hideMark/>
          </w:tcPr>
          <w:p w14:paraId="6FA97D3A" w14:textId="77777777" w:rsidR="003D2E90" w:rsidRPr="002A091D" w:rsidRDefault="003D2E90" w:rsidP="003D2E90">
            <w:pPr>
              <w:jc w:val="right"/>
              <w:rPr>
                <w:sz w:val="20"/>
                <w:szCs w:val="20"/>
                <w:lang w:val="en-GB" w:eastAsia="en-GB"/>
              </w:rPr>
            </w:pPr>
            <w:r w:rsidRPr="002A091D">
              <w:rPr>
                <w:sz w:val="20"/>
                <w:szCs w:val="20"/>
                <w:lang w:val="en-GB" w:eastAsia="en-GB"/>
              </w:rPr>
              <w:t>5012.203</w:t>
            </w:r>
          </w:p>
        </w:tc>
        <w:tc>
          <w:tcPr>
            <w:tcW w:w="1267" w:type="dxa"/>
            <w:tcBorders>
              <w:top w:val="nil"/>
              <w:left w:val="nil"/>
              <w:bottom w:val="nil"/>
              <w:right w:val="nil"/>
            </w:tcBorders>
            <w:shd w:val="clear" w:color="auto" w:fill="auto"/>
            <w:noWrap/>
            <w:vAlign w:val="bottom"/>
            <w:hideMark/>
          </w:tcPr>
          <w:p w14:paraId="54360F55" w14:textId="77777777" w:rsidR="003D2E90" w:rsidRPr="002A091D" w:rsidRDefault="003D2E90" w:rsidP="003D2E90">
            <w:pPr>
              <w:jc w:val="right"/>
              <w:rPr>
                <w:sz w:val="20"/>
                <w:szCs w:val="20"/>
                <w:lang w:val="en-GB" w:eastAsia="en-GB"/>
              </w:rPr>
            </w:pPr>
            <w:r w:rsidRPr="002A091D">
              <w:rPr>
                <w:sz w:val="20"/>
                <w:szCs w:val="20"/>
                <w:lang w:val="en-GB" w:eastAsia="en-GB"/>
              </w:rPr>
              <w:t>1.442</w:t>
            </w:r>
          </w:p>
        </w:tc>
        <w:tc>
          <w:tcPr>
            <w:tcW w:w="1267" w:type="dxa"/>
            <w:tcBorders>
              <w:top w:val="nil"/>
              <w:left w:val="nil"/>
              <w:bottom w:val="nil"/>
              <w:right w:val="nil"/>
            </w:tcBorders>
            <w:shd w:val="clear" w:color="auto" w:fill="auto"/>
            <w:noWrap/>
            <w:vAlign w:val="bottom"/>
            <w:hideMark/>
          </w:tcPr>
          <w:p w14:paraId="38F7140F" w14:textId="77777777" w:rsidR="003D2E90" w:rsidRPr="002A091D" w:rsidRDefault="003D2E90" w:rsidP="003D2E90">
            <w:pPr>
              <w:jc w:val="right"/>
              <w:rPr>
                <w:sz w:val="20"/>
                <w:szCs w:val="20"/>
                <w:lang w:val="en-GB" w:eastAsia="en-GB"/>
              </w:rPr>
            </w:pPr>
            <w:r w:rsidRPr="002A091D">
              <w:rPr>
                <w:sz w:val="20"/>
                <w:szCs w:val="20"/>
                <w:lang w:val="en-GB" w:eastAsia="en-GB"/>
              </w:rPr>
              <w:t>0.547</w:t>
            </w:r>
          </w:p>
        </w:tc>
      </w:tr>
      <w:tr w:rsidR="003D2E90" w:rsidRPr="002A091D" w14:paraId="2C489D7C" w14:textId="77777777" w:rsidTr="003D2E90">
        <w:trPr>
          <w:trHeight w:val="236"/>
        </w:trPr>
        <w:tc>
          <w:tcPr>
            <w:tcW w:w="1429" w:type="dxa"/>
            <w:tcBorders>
              <w:top w:val="nil"/>
              <w:left w:val="nil"/>
              <w:bottom w:val="nil"/>
              <w:right w:val="nil"/>
            </w:tcBorders>
            <w:shd w:val="clear" w:color="auto" w:fill="auto"/>
            <w:noWrap/>
            <w:vAlign w:val="bottom"/>
            <w:hideMark/>
          </w:tcPr>
          <w:p w14:paraId="3C351B41" w14:textId="77777777" w:rsidR="003D2E90" w:rsidRPr="002A091D" w:rsidRDefault="003D2E90" w:rsidP="003D2E90">
            <w:pPr>
              <w:rPr>
                <w:sz w:val="20"/>
                <w:szCs w:val="20"/>
                <w:lang w:val="en-GB" w:eastAsia="en-GB"/>
              </w:rPr>
            </w:pPr>
            <w:r w:rsidRPr="002A091D">
              <w:rPr>
                <w:sz w:val="20"/>
                <w:szCs w:val="20"/>
                <w:lang w:val="en-GB" w:eastAsia="en-GB"/>
              </w:rPr>
              <w:t>8</w:t>
            </w:r>
          </w:p>
        </w:tc>
        <w:tc>
          <w:tcPr>
            <w:tcW w:w="1267" w:type="dxa"/>
            <w:tcBorders>
              <w:top w:val="nil"/>
              <w:left w:val="nil"/>
              <w:bottom w:val="nil"/>
              <w:right w:val="nil"/>
            </w:tcBorders>
            <w:shd w:val="clear" w:color="auto" w:fill="auto"/>
            <w:noWrap/>
            <w:vAlign w:val="bottom"/>
            <w:hideMark/>
          </w:tcPr>
          <w:p w14:paraId="5C636840" w14:textId="77777777" w:rsidR="003D2E90" w:rsidRPr="002A091D" w:rsidRDefault="003D2E90" w:rsidP="003D2E90">
            <w:pPr>
              <w:jc w:val="right"/>
              <w:rPr>
                <w:sz w:val="20"/>
                <w:szCs w:val="20"/>
                <w:lang w:val="en-GB" w:eastAsia="en-GB"/>
              </w:rPr>
            </w:pPr>
            <w:r w:rsidRPr="002A091D">
              <w:rPr>
                <w:sz w:val="20"/>
                <w:szCs w:val="20"/>
                <w:lang w:val="en-GB" w:eastAsia="en-GB"/>
              </w:rPr>
              <w:t>13.474</w:t>
            </w:r>
          </w:p>
        </w:tc>
        <w:tc>
          <w:tcPr>
            <w:tcW w:w="1267" w:type="dxa"/>
            <w:tcBorders>
              <w:top w:val="nil"/>
              <w:left w:val="nil"/>
              <w:bottom w:val="nil"/>
              <w:right w:val="nil"/>
            </w:tcBorders>
            <w:shd w:val="clear" w:color="auto" w:fill="auto"/>
            <w:noWrap/>
            <w:vAlign w:val="bottom"/>
            <w:hideMark/>
          </w:tcPr>
          <w:p w14:paraId="6CA33EB5" w14:textId="77777777" w:rsidR="003D2E90" w:rsidRPr="002A091D" w:rsidRDefault="003D2E90" w:rsidP="003D2E90">
            <w:pPr>
              <w:jc w:val="right"/>
              <w:rPr>
                <w:sz w:val="20"/>
                <w:szCs w:val="20"/>
                <w:lang w:val="en-GB" w:eastAsia="en-GB"/>
              </w:rPr>
            </w:pPr>
            <w:r w:rsidRPr="002A091D">
              <w:rPr>
                <w:sz w:val="20"/>
                <w:szCs w:val="20"/>
                <w:lang w:val="en-GB" w:eastAsia="en-GB"/>
              </w:rPr>
              <w:t>7.407</w:t>
            </w:r>
          </w:p>
        </w:tc>
        <w:tc>
          <w:tcPr>
            <w:tcW w:w="1267" w:type="dxa"/>
            <w:tcBorders>
              <w:top w:val="nil"/>
              <w:left w:val="nil"/>
              <w:bottom w:val="nil"/>
              <w:right w:val="nil"/>
            </w:tcBorders>
            <w:shd w:val="clear" w:color="auto" w:fill="auto"/>
            <w:noWrap/>
            <w:vAlign w:val="bottom"/>
            <w:hideMark/>
          </w:tcPr>
          <w:p w14:paraId="4DA98F54" w14:textId="77777777" w:rsidR="003D2E90" w:rsidRPr="002A091D" w:rsidRDefault="003D2E90" w:rsidP="003D2E90">
            <w:pPr>
              <w:jc w:val="right"/>
              <w:rPr>
                <w:sz w:val="20"/>
                <w:szCs w:val="20"/>
                <w:lang w:val="en-GB" w:eastAsia="en-GB"/>
              </w:rPr>
            </w:pPr>
            <w:r w:rsidRPr="002A091D">
              <w:rPr>
                <w:sz w:val="20"/>
                <w:szCs w:val="20"/>
                <w:lang w:val="en-GB" w:eastAsia="en-GB"/>
              </w:rPr>
              <w:t>29.965</w:t>
            </w:r>
          </w:p>
        </w:tc>
        <w:tc>
          <w:tcPr>
            <w:tcW w:w="1536" w:type="dxa"/>
            <w:tcBorders>
              <w:top w:val="nil"/>
              <w:left w:val="nil"/>
              <w:bottom w:val="nil"/>
              <w:right w:val="nil"/>
            </w:tcBorders>
            <w:shd w:val="clear" w:color="auto" w:fill="auto"/>
            <w:noWrap/>
            <w:vAlign w:val="bottom"/>
            <w:hideMark/>
          </w:tcPr>
          <w:p w14:paraId="7CEC60CE" w14:textId="77777777" w:rsidR="003D2E90" w:rsidRPr="002A091D" w:rsidRDefault="003D2E90" w:rsidP="003D2E90">
            <w:pPr>
              <w:jc w:val="right"/>
              <w:rPr>
                <w:sz w:val="20"/>
                <w:szCs w:val="20"/>
                <w:lang w:val="en-GB" w:eastAsia="en-GB"/>
              </w:rPr>
            </w:pPr>
            <w:r w:rsidRPr="002A091D">
              <w:rPr>
                <w:sz w:val="20"/>
                <w:szCs w:val="20"/>
                <w:lang w:val="en-GB" w:eastAsia="en-GB"/>
              </w:rPr>
              <w:t>4367.161</w:t>
            </w:r>
          </w:p>
        </w:tc>
        <w:tc>
          <w:tcPr>
            <w:tcW w:w="1267" w:type="dxa"/>
            <w:tcBorders>
              <w:top w:val="nil"/>
              <w:left w:val="nil"/>
              <w:bottom w:val="nil"/>
              <w:right w:val="nil"/>
            </w:tcBorders>
            <w:shd w:val="clear" w:color="auto" w:fill="auto"/>
            <w:noWrap/>
            <w:vAlign w:val="bottom"/>
            <w:hideMark/>
          </w:tcPr>
          <w:p w14:paraId="134AB021" w14:textId="77777777" w:rsidR="003D2E90" w:rsidRPr="002A091D" w:rsidRDefault="003D2E90" w:rsidP="003D2E90">
            <w:pPr>
              <w:jc w:val="right"/>
              <w:rPr>
                <w:sz w:val="20"/>
                <w:szCs w:val="20"/>
                <w:lang w:val="en-GB" w:eastAsia="en-GB"/>
              </w:rPr>
            </w:pPr>
            <w:r w:rsidRPr="002A091D">
              <w:rPr>
                <w:sz w:val="20"/>
                <w:szCs w:val="20"/>
                <w:lang w:val="en-GB" w:eastAsia="en-GB"/>
              </w:rPr>
              <w:t>1.363</w:t>
            </w:r>
          </w:p>
        </w:tc>
        <w:tc>
          <w:tcPr>
            <w:tcW w:w="1267" w:type="dxa"/>
            <w:tcBorders>
              <w:top w:val="nil"/>
              <w:left w:val="nil"/>
              <w:bottom w:val="nil"/>
              <w:right w:val="nil"/>
            </w:tcBorders>
            <w:shd w:val="clear" w:color="auto" w:fill="auto"/>
            <w:noWrap/>
            <w:vAlign w:val="bottom"/>
            <w:hideMark/>
          </w:tcPr>
          <w:p w14:paraId="3353AE0B" w14:textId="77777777" w:rsidR="003D2E90" w:rsidRPr="002A091D" w:rsidRDefault="003D2E90" w:rsidP="003D2E90">
            <w:pPr>
              <w:jc w:val="right"/>
              <w:rPr>
                <w:sz w:val="20"/>
                <w:szCs w:val="20"/>
                <w:lang w:val="en-GB" w:eastAsia="en-GB"/>
              </w:rPr>
            </w:pPr>
            <w:r w:rsidRPr="002A091D">
              <w:rPr>
                <w:sz w:val="20"/>
                <w:szCs w:val="20"/>
                <w:lang w:val="en-GB" w:eastAsia="en-GB"/>
              </w:rPr>
              <w:t>0.498</w:t>
            </w:r>
          </w:p>
        </w:tc>
      </w:tr>
      <w:tr w:rsidR="003D2E90" w:rsidRPr="002A091D" w14:paraId="54A7F3B7" w14:textId="77777777" w:rsidTr="003D2E90">
        <w:trPr>
          <w:trHeight w:val="236"/>
        </w:trPr>
        <w:tc>
          <w:tcPr>
            <w:tcW w:w="1429" w:type="dxa"/>
            <w:tcBorders>
              <w:top w:val="nil"/>
              <w:left w:val="nil"/>
              <w:bottom w:val="nil"/>
              <w:right w:val="nil"/>
            </w:tcBorders>
            <w:shd w:val="clear" w:color="auto" w:fill="auto"/>
            <w:noWrap/>
            <w:vAlign w:val="bottom"/>
            <w:hideMark/>
          </w:tcPr>
          <w:p w14:paraId="78CE6E71" w14:textId="77777777" w:rsidR="003D2E90" w:rsidRPr="002A091D" w:rsidRDefault="003D2E90" w:rsidP="003D2E90">
            <w:pPr>
              <w:rPr>
                <w:sz w:val="20"/>
                <w:szCs w:val="20"/>
                <w:lang w:val="en-GB" w:eastAsia="en-GB"/>
              </w:rPr>
            </w:pPr>
            <w:r w:rsidRPr="002A091D">
              <w:rPr>
                <w:sz w:val="20"/>
                <w:szCs w:val="20"/>
                <w:lang w:val="en-GB" w:eastAsia="en-GB"/>
              </w:rPr>
              <w:t>9</w:t>
            </w:r>
          </w:p>
        </w:tc>
        <w:tc>
          <w:tcPr>
            <w:tcW w:w="1267" w:type="dxa"/>
            <w:tcBorders>
              <w:top w:val="nil"/>
              <w:left w:val="nil"/>
              <w:bottom w:val="nil"/>
              <w:right w:val="nil"/>
            </w:tcBorders>
            <w:shd w:val="clear" w:color="auto" w:fill="auto"/>
            <w:noWrap/>
            <w:vAlign w:val="bottom"/>
            <w:hideMark/>
          </w:tcPr>
          <w:p w14:paraId="226FE16F" w14:textId="77777777" w:rsidR="003D2E90" w:rsidRPr="002A091D" w:rsidRDefault="003D2E90" w:rsidP="003D2E90">
            <w:pPr>
              <w:jc w:val="right"/>
              <w:rPr>
                <w:sz w:val="20"/>
                <w:szCs w:val="20"/>
                <w:lang w:val="en-GB" w:eastAsia="en-GB"/>
              </w:rPr>
            </w:pPr>
            <w:r w:rsidRPr="002A091D">
              <w:rPr>
                <w:sz w:val="20"/>
                <w:szCs w:val="20"/>
                <w:lang w:val="en-GB" w:eastAsia="en-GB"/>
              </w:rPr>
              <w:t>14.889</w:t>
            </w:r>
          </w:p>
        </w:tc>
        <w:tc>
          <w:tcPr>
            <w:tcW w:w="1267" w:type="dxa"/>
            <w:tcBorders>
              <w:top w:val="nil"/>
              <w:left w:val="nil"/>
              <w:bottom w:val="nil"/>
              <w:right w:val="nil"/>
            </w:tcBorders>
            <w:shd w:val="clear" w:color="auto" w:fill="auto"/>
            <w:noWrap/>
            <w:vAlign w:val="bottom"/>
            <w:hideMark/>
          </w:tcPr>
          <w:p w14:paraId="392826E2" w14:textId="77777777" w:rsidR="003D2E90" w:rsidRPr="002A091D" w:rsidRDefault="003D2E90" w:rsidP="003D2E90">
            <w:pPr>
              <w:jc w:val="right"/>
              <w:rPr>
                <w:sz w:val="20"/>
                <w:szCs w:val="20"/>
                <w:lang w:val="en-GB" w:eastAsia="en-GB"/>
              </w:rPr>
            </w:pPr>
            <w:r w:rsidRPr="002A091D">
              <w:rPr>
                <w:sz w:val="20"/>
                <w:szCs w:val="20"/>
                <w:lang w:val="en-GB" w:eastAsia="en-GB"/>
              </w:rPr>
              <w:t>8.124</w:t>
            </w:r>
          </w:p>
        </w:tc>
        <w:tc>
          <w:tcPr>
            <w:tcW w:w="1267" w:type="dxa"/>
            <w:tcBorders>
              <w:top w:val="nil"/>
              <w:left w:val="nil"/>
              <w:bottom w:val="nil"/>
              <w:right w:val="nil"/>
            </w:tcBorders>
            <w:shd w:val="clear" w:color="auto" w:fill="auto"/>
            <w:noWrap/>
            <w:vAlign w:val="bottom"/>
            <w:hideMark/>
          </w:tcPr>
          <w:p w14:paraId="5468717C" w14:textId="77777777" w:rsidR="003D2E90" w:rsidRPr="002A091D" w:rsidRDefault="003D2E90" w:rsidP="003D2E90">
            <w:pPr>
              <w:jc w:val="right"/>
              <w:rPr>
                <w:sz w:val="20"/>
                <w:szCs w:val="20"/>
                <w:lang w:val="en-GB" w:eastAsia="en-GB"/>
              </w:rPr>
            </w:pPr>
            <w:r w:rsidRPr="002A091D">
              <w:rPr>
                <w:sz w:val="20"/>
                <w:szCs w:val="20"/>
                <w:lang w:val="en-GB" w:eastAsia="en-GB"/>
              </w:rPr>
              <w:t>42.936</w:t>
            </w:r>
          </w:p>
        </w:tc>
        <w:tc>
          <w:tcPr>
            <w:tcW w:w="1536" w:type="dxa"/>
            <w:tcBorders>
              <w:top w:val="nil"/>
              <w:left w:val="nil"/>
              <w:bottom w:val="nil"/>
              <w:right w:val="nil"/>
            </w:tcBorders>
            <w:shd w:val="clear" w:color="auto" w:fill="auto"/>
            <w:noWrap/>
            <w:vAlign w:val="bottom"/>
            <w:hideMark/>
          </w:tcPr>
          <w:p w14:paraId="45D68387" w14:textId="77777777" w:rsidR="003D2E90" w:rsidRPr="002A091D" w:rsidRDefault="003D2E90" w:rsidP="003D2E90">
            <w:pPr>
              <w:jc w:val="right"/>
              <w:rPr>
                <w:sz w:val="20"/>
                <w:szCs w:val="20"/>
                <w:lang w:val="en-GB" w:eastAsia="en-GB"/>
              </w:rPr>
            </w:pPr>
            <w:r w:rsidRPr="002A091D">
              <w:rPr>
                <w:sz w:val="20"/>
                <w:szCs w:val="20"/>
                <w:lang w:val="en-GB" w:eastAsia="en-GB"/>
              </w:rPr>
              <w:t>5185.761</w:t>
            </w:r>
          </w:p>
        </w:tc>
        <w:tc>
          <w:tcPr>
            <w:tcW w:w="1267" w:type="dxa"/>
            <w:tcBorders>
              <w:top w:val="nil"/>
              <w:left w:val="nil"/>
              <w:bottom w:val="nil"/>
              <w:right w:val="nil"/>
            </w:tcBorders>
            <w:shd w:val="clear" w:color="auto" w:fill="auto"/>
            <w:noWrap/>
            <w:vAlign w:val="bottom"/>
            <w:hideMark/>
          </w:tcPr>
          <w:p w14:paraId="5180B7F2" w14:textId="77777777" w:rsidR="003D2E90" w:rsidRPr="002A091D" w:rsidRDefault="003D2E90" w:rsidP="003D2E90">
            <w:pPr>
              <w:jc w:val="right"/>
              <w:rPr>
                <w:sz w:val="20"/>
                <w:szCs w:val="20"/>
                <w:lang w:val="en-GB" w:eastAsia="en-GB"/>
              </w:rPr>
            </w:pPr>
            <w:r w:rsidRPr="002A091D">
              <w:rPr>
                <w:sz w:val="20"/>
                <w:szCs w:val="20"/>
                <w:lang w:val="en-GB" w:eastAsia="en-GB"/>
              </w:rPr>
              <w:t>1.686</w:t>
            </w:r>
          </w:p>
        </w:tc>
        <w:tc>
          <w:tcPr>
            <w:tcW w:w="1267" w:type="dxa"/>
            <w:tcBorders>
              <w:top w:val="nil"/>
              <w:left w:val="nil"/>
              <w:bottom w:val="nil"/>
              <w:right w:val="nil"/>
            </w:tcBorders>
            <w:shd w:val="clear" w:color="auto" w:fill="auto"/>
            <w:noWrap/>
            <w:vAlign w:val="bottom"/>
            <w:hideMark/>
          </w:tcPr>
          <w:p w14:paraId="521D99F3" w14:textId="77777777" w:rsidR="003D2E90" w:rsidRPr="002A091D" w:rsidRDefault="003D2E90" w:rsidP="003D2E90">
            <w:pPr>
              <w:jc w:val="right"/>
              <w:rPr>
                <w:sz w:val="20"/>
                <w:szCs w:val="20"/>
                <w:lang w:val="en-GB" w:eastAsia="en-GB"/>
              </w:rPr>
            </w:pPr>
            <w:r w:rsidRPr="002A091D">
              <w:rPr>
                <w:sz w:val="20"/>
                <w:szCs w:val="20"/>
                <w:lang w:val="en-GB" w:eastAsia="en-GB"/>
              </w:rPr>
              <w:t>0.447</w:t>
            </w:r>
          </w:p>
        </w:tc>
      </w:tr>
      <w:tr w:rsidR="003D2E90" w:rsidRPr="002A091D" w14:paraId="1F52B46A" w14:textId="77777777" w:rsidTr="003D2E90">
        <w:trPr>
          <w:trHeight w:val="236"/>
        </w:trPr>
        <w:tc>
          <w:tcPr>
            <w:tcW w:w="1429" w:type="dxa"/>
            <w:tcBorders>
              <w:top w:val="nil"/>
              <w:left w:val="nil"/>
              <w:bottom w:val="single" w:sz="4" w:space="0" w:color="auto"/>
              <w:right w:val="nil"/>
            </w:tcBorders>
            <w:shd w:val="clear" w:color="auto" w:fill="auto"/>
            <w:noWrap/>
            <w:vAlign w:val="bottom"/>
            <w:hideMark/>
          </w:tcPr>
          <w:p w14:paraId="4A3D97A9" w14:textId="77777777" w:rsidR="003D2E90" w:rsidRPr="002A091D" w:rsidRDefault="003D2E90" w:rsidP="003D2E90">
            <w:pPr>
              <w:rPr>
                <w:sz w:val="20"/>
                <w:szCs w:val="20"/>
                <w:lang w:val="en-GB" w:eastAsia="en-GB"/>
              </w:rPr>
            </w:pPr>
            <w:r w:rsidRPr="002A091D">
              <w:rPr>
                <w:sz w:val="20"/>
                <w:szCs w:val="20"/>
                <w:lang w:val="en-GB" w:eastAsia="en-GB"/>
              </w:rPr>
              <w:t>10</w:t>
            </w:r>
          </w:p>
        </w:tc>
        <w:tc>
          <w:tcPr>
            <w:tcW w:w="1267" w:type="dxa"/>
            <w:tcBorders>
              <w:top w:val="nil"/>
              <w:left w:val="nil"/>
              <w:bottom w:val="single" w:sz="4" w:space="0" w:color="auto"/>
              <w:right w:val="nil"/>
            </w:tcBorders>
            <w:shd w:val="clear" w:color="auto" w:fill="auto"/>
            <w:noWrap/>
            <w:vAlign w:val="bottom"/>
            <w:hideMark/>
          </w:tcPr>
          <w:p w14:paraId="37F0029D" w14:textId="77777777" w:rsidR="003D2E90" w:rsidRPr="002A091D" w:rsidRDefault="003D2E90" w:rsidP="003D2E90">
            <w:pPr>
              <w:jc w:val="right"/>
              <w:rPr>
                <w:sz w:val="20"/>
                <w:szCs w:val="20"/>
                <w:lang w:val="en-GB" w:eastAsia="en-GB"/>
              </w:rPr>
            </w:pPr>
            <w:r w:rsidRPr="002A091D">
              <w:rPr>
                <w:sz w:val="20"/>
                <w:szCs w:val="20"/>
                <w:lang w:val="en-GB" w:eastAsia="en-GB"/>
              </w:rPr>
              <w:t>16.500</w:t>
            </w:r>
          </w:p>
        </w:tc>
        <w:tc>
          <w:tcPr>
            <w:tcW w:w="1267" w:type="dxa"/>
            <w:tcBorders>
              <w:top w:val="nil"/>
              <w:left w:val="nil"/>
              <w:bottom w:val="single" w:sz="4" w:space="0" w:color="auto"/>
              <w:right w:val="nil"/>
            </w:tcBorders>
            <w:shd w:val="clear" w:color="auto" w:fill="auto"/>
            <w:noWrap/>
            <w:vAlign w:val="bottom"/>
            <w:hideMark/>
          </w:tcPr>
          <w:p w14:paraId="0DA1212C" w14:textId="77777777" w:rsidR="003D2E90" w:rsidRPr="002A091D" w:rsidRDefault="003D2E90" w:rsidP="003D2E90">
            <w:pPr>
              <w:jc w:val="right"/>
              <w:rPr>
                <w:sz w:val="20"/>
                <w:szCs w:val="20"/>
                <w:lang w:val="en-GB" w:eastAsia="en-GB"/>
              </w:rPr>
            </w:pPr>
            <w:r w:rsidRPr="002A091D">
              <w:rPr>
                <w:sz w:val="20"/>
                <w:szCs w:val="20"/>
                <w:lang w:val="en-GB" w:eastAsia="en-GB"/>
              </w:rPr>
              <w:t>9.226</w:t>
            </w:r>
          </w:p>
        </w:tc>
        <w:tc>
          <w:tcPr>
            <w:tcW w:w="1267" w:type="dxa"/>
            <w:tcBorders>
              <w:top w:val="nil"/>
              <w:left w:val="nil"/>
              <w:bottom w:val="single" w:sz="4" w:space="0" w:color="auto"/>
              <w:right w:val="nil"/>
            </w:tcBorders>
            <w:shd w:val="clear" w:color="auto" w:fill="auto"/>
            <w:noWrap/>
            <w:vAlign w:val="bottom"/>
            <w:hideMark/>
          </w:tcPr>
          <w:p w14:paraId="79824A2E" w14:textId="77777777" w:rsidR="003D2E90" w:rsidRPr="002A091D" w:rsidRDefault="003D2E90" w:rsidP="003D2E90">
            <w:pPr>
              <w:jc w:val="right"/>
              <w:rPr>
                <w:sz w:val="20"/>
                <w:szCs w:val="20"/>
                <w:lang w:val="en-GB" w:eastAsia="en-GB"/>
              </w:rPr>
            </w:pPr>
            <w:r w:rsidRPr="002A091D">
              <w:rPr>
                <w:sz w:val="20"/>
                <w:szCs w:val="20"/>
                <w:lang w:val="en-GB" w:eastAsia="en-GB"/>
              </w:rPr>
              <w:t>137.984</w:t>
            </w:r>
          </w:p>
        </w:tc>
        <w:tc>
          <w:tcPr>
            <w:tcW w:w="1536" w:type="dxa"/>
            <w:tcBorders>
              <w:top w:val="nil"/>
              <w:left w:val="nil"/>
              <w:bottom w:val="single" w:sz="4" w:space="0" w:color="auto"/>
              <w:right w:val="nil"/>
            </w:tcBorders>
            <w:shd w:val="clear" w:color="auto" w:fill="auto"/>
            <w:noWrap/>
            <w:vAlign w:val="bottom"/>
            <w:hideMark/>
          </w:tcPr>
          <w:p w14:paraId="1664C591" w14:textId="77777777" w:rsidR="003D2E90" w:rsidRPr="002A091D" w:rsidRDefault="003D2E90" w:rsidP="003D2E90">
            <w:pPr>
              <w:jc w:val="right"/>
              <w:rPr>
                <w:sz w:val="20"/>
                <w:szCs w:val="20"/>
                <w:lang w:val="en-GB" w:eastAsia="en-GB"/>
              </w:rPr>
            </w:pPr>
            <w:r w:rsidRPr="002A091D">
              <w:rPr>
                <w:sz w:val="20"/>
                <w:szCs w:val="20"/>
                <w:lang w:val="en-GB" w:eastAsia="en-GB"/>
              </w:rPr>
              <w:t>19567.364</w:t>
            </w:r>
          </w:p>
        </w:tc>
        <w:tc>
          <w:tcPr>
            <w:tcW w:w="1267" w:type="dxa"/>
            <w:tcBorders>
              <w:top w:val="nil"/>
              <w:left w:val="nil"/>
              <w:bottom w:val="single" w:sz="4" w:space="0" w:color="auto"/>
              <w:right w:val="nil"/>
            </w:tcBorders>
            <w:shd w:val="clear" w:color="auto" w:fill="auto"/>
            <w:noWrap/>
            <w:vAlign w:val="bottom"/>
            <w:hideMark/>
          </w:tcPr>
          <w:p w14:paraId="32FC1315" w14:textId="77777777" w:rsidR="003D2E90" w:rsidRPr="002A091D" w:rsidRDefault="003D2E90" w:rsidP="003D2E90">
            <w:pPr>
              <w:jc w:val="right"/>
              <w:rPr>
                <w:sz w:val="20"/>
                <w:szCs w:val="20"/>
                <w:lang w:val="en-GB" w:eastAsia="en-GB"/>
              </w:rPr>
            </w:pPr>
            <w:r w:rsidRPr="002A091D">
              <w:rPr>
                <w:sz w:val="20"/>
                <w:szCs w:val="20"/>
                <w:lang w:val="en-GB" w:eastAsia="en-GB"/>
              </w:rPr>
              <w:t>3.696</w:t>
            </w:r>
          </w:p>
        </w:tc>
        <w:tc>
          <w:tcPr>
            <w:tcW w:w="1267" w:type="dxa"/>
            <w:tcBorders>
              <w:top w:val="nil"/>
              <w:left w:val="nil"/>
              <w:bottom w:val="single" w:sz="4" w:space="0" w:color="auto"/>
              <w:right w:val="nil"/>
            </w:tcBorders>
            <w:shd w:val="clear" w:color="auto" w:fill="auto"/>
            <w:noWrap/>
            <w:vAlign w:val="bottom"/>
            <w:hideMark/>
          </w:tcPr>
          <w:p w14:paraId="0B74EA71" w14:textId="77777777" w:rsidR="003D2E90" w:rsidRPr="002A091D" w:rsidRDefault="003D2E90" w:rsidP="003D2E90">
            <w:pPr>
              <w:jc w:val="right"/>
              <w:rPr>
                <w:sz w:val="20"/>
                <w:szCs w:val="20"/>
                <w:lang w:val="en-GB" w:eastAsia="en-GB"/>
              </w:rPr>
            </w:pPr>
            <w:r w:rsidRPr="002A091D">
              <w:rPr>
                <w:sz w:val="20"/>
                <w:szCs w:val="20"/>
                <w:lang w:val="en-GB" w:eastAsia="en-GB"/>
              </w:rPr>
              <w:t>0.387</w:t>
            </w:r>
          </w:p>
        </w:tc>
      </w:tr>
      <w:tr w:rsidR="003D2E90" w:rsidRPr="002A091D" w14:paraId="7140463F" w14:textId="77777777" w:rsidTr="003D2E90">
        <w:trPr>
          <w:trHeight w:val="236"/>
        </w:trPr>
        <w:tc>
          <w:tcPr>
            <w:tcW w:w="1429" w:type="dxa"/>
            <w:tcBorders>
              <w:top w:val="nil"/>
              <w:left w:val="nil"/>
              <w:bottom w:val="nil"/>
              <w:right w:val="nil"/>
            </w:tcBorders>
            <w:shd w:val="clear" w:color="auto" w:fill="auto"/>
            <w:noWrap/>
            <w:vAlign w:val="bottom"/>
            <w:hideMark/>
          </w:tcPr>
          <w:p w14:paraId="42E0054C" w14:textId="77777777" w:rsidR="003D2E90" w:rsidRPr="002A091D" w:rsidRDefault="003D2E90" w:rsidP="003D2E90">
            <w:pPr>
              <w:rPr>
                <w:sz w:val="20"/>
                <w:szCs w:val="20"/>
                <w:lang w:val="en-GB" w:eastAsia="en-GB"/>
              </w:rPr>
            </w:pPr>
            <w:r w:rsidRPr="002A091D">
              <w:rPr>
                <w:sz w:val="20"/>
                <w:szCs w:val="20"/>
                <w:lang w:val="en-GB" w:eastAsia="en-GB"/>
              </w:rPr>
              <w:t>Total</w:t>
            </w:r>
          </w:p>
        </w:tc>
        <w:tc>
          <w:tcPr>
            <w:tcW w:w="1267" w:type="dxa"/>
            <w:tcBorders>
              <w:top w:val="nil"/>
              <w:left w:val="nil"/>
              <w:bottom w:val="nil"/>
              <w:right w:val="nil"/>
            </w:tcBorders>
            <w:shd w:val="clear" w:color="auto" w:fill="auto"/>
            <w:noWrap/>
            <w:vAlign w:val="bottom"/>
            <w:hideMark/>
          </w:tcPr>
          <w:p w14:paraId="273816B1" w14:textId="77777777" w:rsidR="003D2E90" w:rsidRPr="002A091D" w:rsidRDefault="003D2E90" w:rsidP="003D2E90">
            <w:pPr>
              <w:jc w:val="right"/>
              <w:rPr>
                <w:sz w:val="20"/>
                <w:szCs w:val="20"/>
                <w:lang w:val="en-GB" w:eastAsia="en-GB"/>
              </w:rPr>
            </w:pPr>
            <w:r w:rsidRPr="002A091D">
              <w:rPr>
                <w:sz w:val="20"/>
                <w:szCs w:val="20"/>
                <w:lang w:val="en-GB" w:eastAsia="en-GB"/>
              </w:rPr>
              <w:t>5.081</w:t>
            </w:r>
          </w:p>
        </w:tc>
        <w:tc>
          <w:tcPr>
            <w:tcW w:w="1267" w:type="dxa"/>
            <w:tcBorders>
              <w:top w:val="nil"/>
              <w:left w:val="nil"/>
              <w:bottom w:val="nil"/>
              <w:right w:val="nil"/>
            </w:tcBorders>
            <w:shd w:val="clear" w:color="auto" w:fill="auto"/>
            <w:noWrap/>
            <w:vAlign w:val="bottom"/>
            <w:hideMark/>
          </w:tcPr>
          <w:p w14:paraId="2DCB553A" w14:textId="77777777" w:rsidR="003D2E90" w:rsidRPr="002A091D" w:rsidRDefault="003D2E90" w:rsidP="003D2E90">
            <w:pPr>
              <w:jc w:val="right"/>
              <w:rPr>
                <w:sz w:val="20"/>
                <w:szCs w:val="20"/>
                <w:lang w:val="en-GB" w:eastAsia="en-GB"/>
              </w:rPr>
            </w:pPr>
            <w:r w:rsidRPr="002A091D">
              <w:rPr>
                <w:sz w:val="20"/>
                <w:szCs w:val="20"/>
                <w:lang w:val="en-GB" w:eastAsia="en-GB"/>
              </w:rPr>
              <w:t>4.318</w:t>
            </w:r>
          </w:p>
        </w:tc>
        <w:tc>
          <w:tcPr>
            <w:tcW w:w="1267" w:type="dxa"/>
            <w:tcBorders>
              <w:top w:val="nil"/>
              <w:left w:val="nil"/>
              <w:bottom w:val="nil"/>
              <w:right w:val="nil"/>
            </w:tcBorders>
            <w:shd w:val="clear" w:color="auto" w:fill="auto"/>
            <w:noWrap/>
            <w:vAlign w:val="bottom"/>
            <w:hideMark/>
          </w:tcPr>
          <w:p w14:paraId="6C914C23" w14:textId="77777777" w:rsidR="003D2E90" w:rsidRPr="002A091D" w:rsidRDefault="003D2E90" w:rsidP="003D2E90">
            <w:pPr>
              <w:jc w:val="right"/>
              <w:rPr>
                <w:sz w:val="20"/>
                <w:szCs w:val="20"/>
                <w:lang w:val="en-GB" w:eastAsia="en-GB"/>
              </w:rPr>
            </w:pPr>
            <w:r w:rsidRPr="002A091D">
              <w:rPr>
                <w:sz w:val="20"/>
                <w:szCs w:val="20"/>
                <w:lang w:val="en-GB" w:eastAsia="en-GB"/>
              </w:rPr>
              <w:t>26.129</w:t>
            </w:r>
          </w:p>
        </w:tc>
        <w:tc>
          <w:tcPr>
            <w:tcW w:w="1536" w:type="dxa"/>
            <w:tcBorders>
              <w:top w:val="nil"/>
              <w:left w:val="nil"/>
              <w:bottom w:val="nil"/>
              <w:right w:val="nil"/>
            </w:tcBorders>
            <w:shd w:val="clear" w:color="auto" w:fill="auto"/>
            <w:noWrap/>
            <w:vAlign w:val="bottom"/>
            <w:hideMark/>
          </w:tcPr>
          <w:p w14:paraId="1D22D227" w14:textId="77777777" w:rsidR="003D2E90" w:rsidRPr="002A091D" w:rsidRDefault="003D2E90" w:rsidP="003D2E90">
            <w:pPr>
              <w:jc w:val="right"/>
              <w:rPr>
                <w:sz w:val="20"/>
                <w:szCs w:val="20"/>
                <w:lang w:val="en-GB" w:eastAsia="en-GB"/>
              </w:rPr>
            </w:pPr>
            <w:r w:rsidRPr="002A091D">
              <w:rPr>
                <w:sz w:val="20"/>
                <w:szCs w:val="20"/>
                <w:lang w:val="en-GB" w:eastAsia="en-GB"/>
              </w:rPr>
              <w:t>13199.076</w:t>
            </w:r>
          </w:p>
        </w:tc>
        <w:tc>
          <w:tcPr>
            <w:tcW w:w="1267" w:type="dxa"/>
            <w:tcBorders>
              <w:top w:val="nil"/>
              <w:left w:val="nil"/>
              <w:bottom w:val="nil"/>
              <w:right w:val="nil"/>
            </w:tcBorders>
            <w:shd w:val="clear" w:color="auto" w:fill="auto"/>
            <w:noWrap/>
            <w:vAlign w:val="bottom"/>
            <w:hideMark/>
          </w:tcPr>
          <w:p w14:paraId="5BE4EA53" w14:textId="77777777" w:rsidR="003D2E90" w:rsidRPr="002A091D" w:rsidRDefault="003D2E90" w:rsidP="003D2E90">
            <w:pPr>
              <w:jc w:val="right"/>
              <w:rPr>
                <w:sz w:val="20"/>
                <w:szCs w:val="20"/>
                <w:lang w:val="en-GB" w:eastAsia="en-GB"/>
              </w:rPr>
            </w:pPr>
            <w:r w:rsidRPr="002A091D">
              <w:rPr>
                <w:sz w:val="20"/>
                <w:szCs w:val="20"/>
                <w:lang w:val="en-GB" w:eastAsia="en-GB"/>
              </w:rPr>
              <w:t>1.721</w:t>
            </w:r>
          </w:p>
        </w:tc>
        <w:tc>
          <w:tcPr>
            <w:tcW w:w="1267" w:type="dxa"/>
            <w:tcBorders>
              <w:top w:val="nil"/>
              <w:left w:val="nil"/>
              <w:bottom w:val="nil"/>
              <w:right w:val="nil"/>
            </w:tcBorders>
            <w:shd w:val="clear" w:color="auto" w:fill="auto"/>
            <w:noWrap/>
            <w:vAlign w:val="bottom"/>
            <w:hideMark/>
          </w:tcPr>
          <w:p w14:paraId="77FE48EB" w14:textId="77777777" w:rsidR="003D2E90" w:rsidRPr="002A091D" w:rsidRDefault="003D2E90" w:rsidP="003D2E90">
            <w:pPr>
              <w:jc w:val="right"/>
              <w:rPr>
                <w:sz w:val="20"/>
                <w:szCs w:val="20"/>
                <w:lang w:val="en-GB" w:eastAsia="en-GB"/>
              </w:rPr>
            </w:pPr>
            <w:r w:rsidRPr="002A091D">
              <w:rPr>
                <w:sz w:val="20"/>
                <w:szCs w:val="20"/>
                <w:lang w:val="en-GB" w:eastAsia="en-GB"/>
              </w:rPr>
              <w:t>0.702</w:t>
            </w:r>
          </w:p>
        </w:tc>
      </w:tr>
      <w:tr w:rsidR="003D2E90" w:rsidRPr="002A091D" w14:paraId="1AC2ED4A" w14:textId="77777777" w:rsidTr="003D2E90">
        <w:trPr>
          <w:trHeight w:val="236"/>
        </w:trPr>
        <w:tc>
          <w:tcPr>
            <w:tcW w:w="1429" w:type="dxa"/>
            <w:tcBorders>
              <w:top w:val="nil"/>
              <w:left w:val="nil"/>
              <w:bottom w:val="nil"/>
              <w:right w:val="nil"/>
            </w:tcBorders>
            <w:shd w:val="clear" w:color="auto" w:fill="auto"/>
            <w:noWrap/>
            <w:vAlign w:val="bottom"/>
            <w:hideMark/>
          </w:tcPr>
          <w:p w14:paraId="49D3C7DC" w14:textId="77777777" w:rsidR="003D2E90" w:rsidRPr="002A091D" w:rsidRDefault="003D2E90" w:rsidP="003D2E90">
            <w:pPr>
              <w:rPr>
                <w:sz w:val="20"/>
                <w:szCs w:val="20"/>
                <w:lang w:val="en-GB" w:eastAsia="en-GB"/>
              </w:rPr>
            </w:pPr>
            <w:r w:rsidRPr="002A091D">
              <w:rPr>
                <w:sz w:val="20"/>
                <w:szCs w:val="20"/>
                <w:lang w:val="en-GB" w:eastAsia="en-GB"/>
              </w:rPr>
              <w:t>P10-P1</w:t>
            </w:r>
          </w:p>
        </w:tc>
        <w:tc>
          <w:tcPr>
            <w:tcW w:w="1267" w:type="dxa"/>
            <w:tcBorders>
              <w:top w:val="nil"/>
              <w:left w:val="nil"/>
              <w:bottom w:val="nil"/>
              <w:right w:val="nil"/>
            </w:tcBorders>
            <w:shd w:val="clear" w:color="auto" w:fill="auto"/>
            <w:noWrap/>
            <w:vAlign w:val="bottom"/>
            <w:hideMark/>
          </w:tcPr>
          <w:p w14:paraId="5CA72F31" w14:textId="77777777" w:rsidR="003D2E90" w:rsidRPr="002A091D" w:rsidRDefault="003D2E90" w:rsidP="003D2E90">
            <w:pPr>
              <w:jc w:val="right"/>
              <w:rPr>
                <w:sz w:val="20"/>
                <w:szCs w:val="20"/>
                <w:lang w:val="en-GB" w:eastAsia="en-GB"/>
              </w:rPr>
            </w:pPr>
            <w:r w:rsidRPr="002A091D">
              <w:rPr>
                <w:sz w:val="20"/>
                <w:szCs w:val="20"/>
                <w:lang w:val="en-GB" w:eastAsia="en-GB"/>
              </w:rPr>
              <w:t>27.128</w:t>
            </w:r>
          </w:p>
        </w:tc>
        <w:tc>
          <w:tcPr>
            <w:tcW w:w="1267" w:type="dxa"/>
            <w:tcBorders>
              <w:top w:val="nil"/>
              <w:left w:val="nil"/>
              <w:bottom w:val="nil"/>
              <w:right w:val="nil"/>
            </w:tcBorders>
            <w:shd w:val="clear" w:color="auto" w:fill="auto"/>
            <w:noWrap/>
            <w:vAlign w:val="bottom"/>
            <w:hideMark/>
          </w:tcPr>
          <w:p w14:paraId="14CA56B3" w14:textId="77777777" w:rsidR="003D2E90" w:rsidRPr="002A091D" w:rsidRDefault="003D2E90" w:rsidP="003D2E90">
            <w:pPr>
              <w:jc w:val="right"/>
              <w:rPr>
                <w:sz w:val="20"/>
                <w:szCs w:val="20"/>
                <w:lang w:val="en-GB" w:eastAsia="en-GB"/>
              </w:rPr>
            </w:pPr>
            <w:r w:rsidRPr="002A091D">
              <w:rPr>
                <w:sz w:val="20"/>
                <w:szCs w:val="20"/>
                <w:lang w:val="en-GB" w:eastAsia="en-GB"/>
              </w:rPr>
              <w:t>9.986</w:t>
            </w:r>
          </w:p>
        </w:tc>
        <w:tc>
          <w:tcPr>
            <w:tcW w:w="1267" w:type="dxa"/>
            <w:tcBorders>
              <w:top w:val="nil"/>
              <w:left w:val="nil"/>
              <w:bottom w:val="nil"/>
              <w:right w:val="nil"/>
            </w:tcBorders>
            <w:shd w:val="clear" w:color="auto" w:fill="auto"/>
            <w:noWrap/>
            <w:vAlign w:val="bottom"/>
            <w:hideMark/>
          </w:tcPr>
          <w:p w14:paraId="316CDA15" w14:textId="77777777" w:rsidR="003D2E90" w:rsidRPr="002A091D" w:rsidRDefault="003D2E90" w:rsidP="003D2E90">
            <w:pPr>
              <w:jc w:val="right"/>
              <w:rPr>
                <w:sz w:val="20"/>
                <w:szCs w:val="20"/>
                <w:lang w:val="en-GB" w:eastAsia="en-GB"/>
              </w:rPr>
            </w:pPr>
            <w:r w:rsidRPr="002A091D">
              <w:rPr>
                <w:sz w:val="20"/>
                <w:szCs w:val="20"/>
                <w:lang w:val="en-GB" w:eastAsia="en-GB"/>
              </w:rPr>
              <w:t>136.461</w:t>
            </w:r>
          </w:p>
        </w:tc>
        <w:tc>
          <w:tcPr>
            <w:tcW w:w="1536" w:type="dxa"/>
            <w:tcBorders>
              <w:top w:val="nil"/>
              <w:left w:val="nil"/>
              <w:bottom w:val="nil"/>
              <w:right w:val="nil"/>
            </w:tcBorders>
            <w:shd w:val="clear" w:color="auto" w:fill="auto"/>
            <w:noWrap/>
            <w:vAlign w:val="bottom"/>
            <w:hideMark/>
          </w:tcPr>
          <w:p w14:paraId="37F7354A" w14:textId="77777777" w:rsidR="003D2E90" w:rsidRPr="002A091D" w:rsidRDefault="003D2E90" w:rsidP="003D2E90">
            <w:pPr>
              <w:jc w:val="right"/>
              <w:rPr>
                <w:sz w:val="20"/>
                <w:szCs w:val="20"/>
                <w:lang w:val="en-GB" w:eastAsia="en-GB"/>
              </w:rPr>
            </w:pPr>
            <w:r w:rsidRPr="002A091D">
              <w:rPr>
                <w:sz w:val="20"/>
                <w:szCs w:val="20"/>
                <w:lang w:val="en-GB" w:eastAsia="en-GB"/>
              </w:rPr>
              <w:t>-3236.606</w:t>
            </w:r>
          </w:p>
        </w:tc>
        <w:tc>
          <w:tcPr>
            <w:tcW w:w="1267" w:type="dxa"/>
            <w:tcBorders>
              <w:top w:val="nil"/>
              <w:left w:val="nil"/>
              <w:bottom w:val="nil"/>
              <w:right w:val="nil"/>
            </w:tcBorders>
            <w:shd w:val="clear" w:color="auto" w:fill="auto"/>
            <w:noWrap/>
            <w:vAlign w:val="bottom"/>
            <w:hideMark/>
          </w:tcPr>
          <w:p w14:paraId="21C433AC" w14:textId="77777777" w:rsidR="003D2E90" w:rsidRPr="002A091D" w:rsidRDefault="003D2E90" w:rsidP="003D2E90">
            <w:pPr>
              <w:jc w:val="right"/>
              <w:rPr>
                <w:sz w:val="20"/>
                <w:szCs w:val="20"/>
                <w:lang w:val="en-GB" w:eastAsia="en-GB"/>
              </w:rPr>
            </w:pPr>
            <w:r w:rsidRPr="002A091D">
              <w:rPr>
                <w:sz w:val="20"/>
                <w:szCs w:val="20"/>
                <w:lang w:val="en-GB" w:eastAsia="en-GB"/>
              </w:rPr>
              <w:t>2.803</w:t>
            </w:r>
          </w:p>
        </w:tc>
        <w:tc>
          <w:tcPr>
            <w:tcW w:w="1267" w:type="dxa"/>
            <w:tcBorders>
              <w:top w:val="nil"/>
              <w:left w:val="nil"/>
              <w:bottom w:val="nil"/>
              <w:right w:val="nil"/>
            </w:tcBorders>
            <w:shd w:val="clear" w:color="auto" w:fill="auto"/>
            <w:noWrap/>
            <w:vAlign w:val="bottom"/>
            <w:hideMark/>
          </w:tcPr>
          <w:p w14:paraId="7EFF1483" w14:textId="77777777" w:rsidR="003D2E90" w:rsidRPr="002A091D" w:rsidRDefault="003D2E90" w:rsidP="003D2E90">
            <w:pPr>
              <w:jc w:val="right"/>
              <w:rPr>
                <w:sz w:val="20"/>
                <w:szCs w:val="20"/>
                <w:lang w:val="en-GB" w:eastAsia="en-GB"/>
              </w:rPr>
            </w:pPr>
            <w:r w:rsidRPr="002A091D">
              <w:rPr>
                <w:sz w:val="20"/>
                <w:szCs w:val="20"/>
                <w:lang w:val="en-GB" w:eastAsia="en-GB"/>
              </w:rPr>
              <w:t>-0.729</w:t>
            </w:r>
          </w:p>
        </w:tc>
      </w:tr>
      <w:tr w:rsidR="003D2E90" w:rsidRPr="002A091D" w14:paraId="7C6D01CB" w14:textId="77777777" w:rsidTr="003D2E90">
        <w:trPr>
          <w:trHeight w:val="244"/>
        </w:trPr>
        <w:tc>
          <w:tcPr>
            <w:tcW w:w="1429" w:type="dxa"/>
            <w:tcBorders>
              <w:top w:val="nil"/>
              <w:left w:val="nil"/>
              <w:bottom w:val="double" w:sz="6" w:space="0" w:color="auto"/>
              <w:right w:val="nil"/>
            </w:tcBorders>
            <w:shd w:val="clear" w:color="auto" w:fill="auto"/>
            <w:noWrap/>
            <w:vAlign w:val="bottom"/>
            <w:hideMark/>
          </w:tcPr>
          <w:p w14:paraId="4315E18F" w14:textId="77777777" w:rsidR="003D2E90" w:rsidRPr="002A091D" w:rsidRDefault="003D2E90" w:rsidP="003D2E90">
            <w:pPr>
              <w:rPr>
                <w:sz w:val="20"/>
                <w:szCs w:val="20"/>
                <w:lang w:val="en-GB" w:eastAsia="en-GB"/>
              </w:rPr>
            </w:pPr>
            <w:r w:rsidRPr="002A091D">
              <w:rPr>
                <w:sz w:val="20"/>
                <w:szCs w:val="20"/>
                <w:lang w:val="en-GB" w:eastAsia="en-GB"/>
              </w:rPr>
              <w:t>t-Test</w:t>
            </w:r>
          </w:p>
        </w:tc>
        <w:tc>
          <w:tcPr>
            <w:tcW w:w="1267" w:type="dxa"/>
            <w:tcBorders>
              <w:top w:val="nil"/>
              <w:left w:val="nil"/>
              <w:bottom w:val="double" w:sz="6" w:space="0" w:color="auto"/>
              <w:right w:val="nil"/>
            </w:tcBorders>
            <w:shd w:val="clear" w:color="auto" w:fill="auto"/>
            <w:noWrap/>
            <w:vAlign w:val="bottom"/>
            <w:hideMark/>
          </w:tcPr>
          <w:p w14:paraId="397B1533" w14:textId="77777777" w:rsidR="003D2E90" w:rsidRPr="002A091D" w:rsidRDefault="003D2E90" w:rsidP="003D2E90">
            <w:pPr>
              <w:jc w:val="right"/>
              <w:rPr>
                <w:sz w:val="20"/>
                <w:szCs w:val="20"/>
                <w:lang w:val="en-GB" w:eastAsia="en-GB"/>
              </w:rPr>
            </w:pPr>
            <w:r w:rsidRPr="002A091D">
              <w:rPr>
                <w:sz w:val="20"/>
                <w:szCs w:val="20"/>
                <w:lang w:val="en-GB" w:eastAsia="en-GB"/>
              </w:rPr>
              <w:t>7.179</w:t>
            </w:r>
          </w:p>
        </w:tc>
        <w:tc>
          <w:tcPr>
            <w:tcW w:w="1267" w:type="dxa"/>
            <w:tcBorders>
              <w:top w:val="nil"/>
              <w:left w:val="nil"/>
              <w:bottom w:val="double" w:sz="6" w:space="0" w:color="auto"/>
              <w:right w:val="nil"/>
            </w:tcBorders>
            <w:shd w:val="clear" w:color="auto" w:fill="auto"/>
            <w:noWrap/>
            <w:vAlign w:val="bottom"/>
            <w:hideMark/>
          </w:tcPr>
          <w:p w14:paraId="41E90EBC" w14:textId="77777777" w:rsidR="003D2E90" w:rsidRPr="002A091D" w:rsidRDefault="003D2E90" w:rsidP="003D2E90">
            <w:pPr>
              <w:jc w:val="right"/>
              <w:rPr>
                <w:sz w:val="20"/>
                <w:szCs w:val="20"/>
                <w:lang w:val="en-GB" w:eastAsia="en-GB"/>
              </w:rPr>
            </w:pPr>
            <w:r w:rsidRPr="002A091D">
              <w:rPr>
                <w:sz w:val="20"/>
                <w:szCs w:val="20"/>
                <w:lang w:val="en-GB" w:eastAsia="en-GB"/>
              </w:rPr>
              <w:t>18.613</w:t>
            </w:r>
          </w:p>
        </w:tc>
        <w:tc>
          <w:tcPr>
            <w:tcW w:w="1267" w:type="dxa"/>
            <w:tcBorders>
              <w:top w:val="nil"/>
              <w:left w:val="nil"/>
              <w:bottom w:val="double" w:sz="6" w:space="0" w:color="auto"/>
              <w:right w:val="nil"/>
            </w:tcBorders>
            <w:shd w:val="clear" w:color="auto" w:fill="auto"/>
            <w:noWrap/>
            <w:vAlign w:val="bottom"/>
            <w:hideMark/>
          </w:tcPr>
          <w:p w14:paraId="24E70788" w14:textId="77777777" w:rsidR="003D2E90" w:rsidRPr="002A091D" w:rsidRDefault="003D2E90" w:rsidP="003D2E90">
            <w:pPr>
              <w:jc w:val="right"/>
              <w:rPr>
                <w:sz w:val="20"/>
                <w:szCs w:val="20"/>
                <w:lang w:val="en-GB" w:eastAsia="en-GB"/>
              </w:rPr>
            </w:pPr>
            <w:r w:rsidRPr="002A091D">
              <w:rPr>
                <w:sz w:val="20"/>
                <w:szCs w:val="20"/>
                <w:lang w:val="en-GB" w:eastAsia="en-GB"/>
              </w:rPr>
              <w:t>12.156</w:t>
            </w:r>
          </w:p>
        </w:tc>
        <w:tc>
          <w:tcPr>
            <w:tcW w:w="1536" w:type="dxa"/>
            <w:tcBorders>
              <w:top w:val="nil"/>
              <w:left w:val="nil"/>
              <w:bottom w:val="double" w:sz="6" w:space="0" w:color="auto"/>
              <w:right w:val="nil"/>
            </w:tcBorders>
            <w:shd w:val="clear" w:color="auto" w:fill="auto"/>
            <w:noWrap/>
            <w:vAlign w:val="bottom"/>
            <w:hideMark/>
          </w:tcPr>
          <w:p w14:paraId="4E18BFF3" w14:textId="77777777" w:rsidR="003D2E90" w:rsidRPr="002A091D" w:rsidRDefault="003D2E90" w:rsidP="003D2E90">
            <w:pPr>
              <w:jc w:val="right"/>
              <w:rPr>
                <w:sz w:val="20"/>
                <w:szCs w:val="20"/>
                <w:lang w:val="en-GB" w:eastAsia="en-GB"/>
              </w:rPr>
            </w:pPr>
            <w:r w:rsidRPr="002A091D">
              <w:rPr>
                <w:sz w:val="20"/>
                <w:szCs w:val="20"/>
                <w:lang w:val="en-GB" w:eastAsia="en-GB"/>
              </w:rPr>
              <w:t>-3.188</w:t>
            </w:r>
          </w:p>
        </w:tc>
        <w:tc>
          <w:tcPr>
            <w:tcW w:w="1267" w:type="dxa"/>
            <w:tcBorders>
              <w:top w:val="nil"/>
              <w:left w:val="nil"/>
              <w:bottom w:val="double" w:sz="6" w:space="0" w:color="auto"/>
              <w:right w:val="nil"/>
            </w:tcBorders>
            <w:shd w:val="clear" w:color="auto" w:fill="auto"/>
            <w:noWrap/>
            <w:vAlign w:val="bottom"/>
            <w:hideMark/>
          </w:tcPr>
          <w:p w14:paraId="2688BB6C" w14:textId="77777777" w:rsidR="003D2E90" w:rsidRPr="002A091D" w:rsidRDefault="003D2E90" w:rsidP="003D2E90">
            <w:pPr>
              <w:jc w:val="right"/>
              <w:rPr>
                <w:sz w:val="20"/>
                <w:szCs w:val="20"/>
                <w:lang w:val="en-GB" w:eastAsia="en-GB"/>
              </w:rPr>
            </w:pPr>
            <w:r w:rsidRPr="002A091D">
              <w:rPr>
                <w:sz w:val="20"/>
                <w:szCs w:val="20"/>
                <w:lang w:val="en-GB" w:eastAsia="en-GB"/>
              </w:rPr>
              <w:t>5.347</w:t>
            </w:r>
          </w:p>
        </w:tc>
        <w:tc>
          <w:tcPr>
            <w:tcW w:w="1267" w:type="dxa"/>
            <w:tcBorders>
              <w:top w:val="nil"/>
              <w:left w:val="nil"/>
              <w:bottom w:val="double" w:sz="6" w:space="0" w:color="auto"/>
              <w:right w:val="nil"/>
            </w:tcBorders>
            <w:shd w:val="clear" w:color="auto" w:fill="auto"/>
            <w:noWrap/>
            <w:vAlign w:val="bottom"/>
            <w:hideMark/>
          </w:tcPr>
          <w:p w14:paraId="668AF885" w14:textId="77777777" w:rsidR="003D2E90" w:rsidRPr="002A091D" w:rsidRDefault="003D2E90" w:rsidP="003D2E90">
            <w:pPr>
              <w:jc w:val="right"/>
              <w:rPr>
                <w:sz w:val="20"/>
                <w:szCs w:val="20"/>
                <w:lang w:val="en-GB" w:eastAsia="en-GB"/>
              </w:rPr>
            </w:pPr>
            <w:r w:rsidRPr="002A091D">
              <w:rPr>
                <w:sz w:val="20"/>
                <w:szCs w:val="20"/>
                <w:lang w:val="en-GB" w:eastAsia="en-GB"/>
              </w:rPr>
              <w:t>-38.024</w:t>
            </w:r>
          </w:p>
        </w:tc>
      </w:tr>
    </w:tbl>
    <w:p w14:paraId="7CEAD622" w14:textId="77777777" w:rsidR="009B0551" w:rsidRPr="002A091D" w:rsidRDefault="009B0551" w:rsidP="00F832F9"/>
    <w:p w14:paraId="5825CD43" w14:textId="77777777" w:rsidR="00740866" w:rsidRPr="002A091D" w:rsidRDefault="00C97C97" w:rsidP="00C97C97">
      <w:pPr>
        <w:autoSpaceDE w:val="0"/>
        <w:autoSpaceDN w:val="0"/>
        <w:adjustRightInd w:val="0"/>
        <w:ind w:right="-755"/>
        <w:jc w:val="both"/>
        <w:rPr>
          <w:bCs/>
          <w:sz w:val="20"/>
          <w:szCs w:val="20"/>
        </w:rPr>
      </w:pPr>
      <w:r w:rsidRPr="002A091D">
        <w:rPr>
          <w:bCs/>
          <w:sz w:val="20"/>
          <w:szCs w:val="20"/>
        </w:rPr>
        <w:t xml:space="preserve">The performance and attributes of the 10 (decile) portfolios developed in support of the return-to-turnover (RtoTR) price impact ratio. Table 3 identifies the return-to-turnover (RtoTR) price impact ratio developed by </w:t>
      </w:r>
      <w:r w:rsidRPr="002A091D">
        <w:rPr>
          <w:sz w:val="20"/>
          <w:szCs w:val="20"/>
        </w:rPr>
        <w:t>Florackis et al. (2011).</w:t>
      </w:r>
      <w:r w:rsidRPr="002A091D">
        <w:rPr>
          <w:bCs/>
          <w:sz w:val="20"/>
          <w:szCs w:val="20"/>
        </w:rPr>
        <w:t xml:space="preserve"> These stocks are categorized in month t-1 in ascending order based on the results for the RtoTR ratios. Further, on the basis of these ratios, they are constructed into 10 portfolios. Portfolio 1 is the portfolio comprising the stocks with the lowest RtoTR ratios, and portfolio 10 is the portfolio comprising the stocks with the highest RtoTR ratios. Moreover, the excess returns of all the portfolios in month t are determined through ex-post ranking of the returns. In addition, portfolios (1 – 10) indicates the spread. The rebalancing approach is used, so the portfolios are rebalanced on a monthly basis. The EW returns represent the annualized average monthly returns of the equally weighted portfolios. The VW returns represent the annualized average monthly returns of the value-weighted portfolios. MV is the average market value of the stocks in each portfolio (in PKR million); MV is the share price multiplied by the number of ordinary shares outstanding. The price-to-book ratio is calculated as the average ratio of the share price divided by the book value per share for the stocks in each portfolio. The CAPM beta is the average stock beta in each portfolio determined through a 24-month rolling window. Finally, the t test is calculated on the basis of the </w:t>
      </w:r>
      <w:r w:rsidR="00740866" w:rsidRPr="002A091D">
        <w:rPr>
          <w:bCs/>
          <w:sz w:val="20"/>
          <w:szCs w:val="20"/>
        </w:rPr>
        <w:t xml:space="preserve">following </w:t>
      </w:r>
      <w:r w:rsidRPr="002A091D">
        <w:rPr>
          <w:bCs/>
          <w:sz w:val="20"/>
          <w:szCs w:val="20"/>
        </w:rPr>
        <w:t>null hypothesis</w:t>
      </w:r>
      <w:r w:rsidR="00740866" w:rsidRPr="002A091D">
        <w:rPr>
          <w:bCs/>
          <w:sz w:val="20"/>
          <w:szCs w:val="20"/>
        </w:rPr>
        <w:t>:</w:t>
      </w:r>
    </w:p>
    <w:p w14:paraId="3D40675F" w14:textId="77777777" w:rsidR="00C97C97" w:rsidRPr="002A091D" w:rsidRDefault="00C97C97" w:rsidP="00C97C97">
      <w:pPr>
        <w:autoSpaceDE w:val="0"/>
        <w:autoSpaceDN w:val="0"/>
        <w:adjustRightInd w:val="0"/>
        <w:ind w:right="-755"/>
        <w:jc w:val="both"/>
        <w:rPr>
          <w:rFonts w:eastAsiaTheme="minorEastAsia"/>
          <w:sz w:val="20"/>
          <w:szCs w:val="20"/>
        </w:rPr>
      </w:pPr>
      <w:r w:rsidRPr="002A091D">
        <w:rPr>
          <w:bCs/>
          <w:sz w:val="20"/>
          <w:szCs w:val="20"/>
        </w:rPr>
        <w:t xml:space="preserve"> </w:t>
      </w:r>
      <m:oMath>
        <m:sSub>
          <m:sSubPr>
            <m:ctrlPr>
              <w:rPr>
                <w:rFonts w:ascii="Cambria Math" w:hAnsi="Cambria Math"/>
                <w:bCs/>
                <w:i/>
                <w:sz w:val="20"/>
                <w:szCs w:val="20"/>
              </w:rPr>
            </m:ctrlPr>
          </m:sSubPr>
          <m:e>
            <m:r>
              <w:rPr>
                <w:rFonts w:ascii="Cambria Math" w:hAnsi="Cambria Math"/>
                <w:sz w:val="20"/>
                <w:szCs w:val="20"/>
              </w:rPr>
              <m:t>H</m:t>
            </m:r>
          </m:e>
          <m:sub>
            <m:r>
              <w:rPr>
                <w:rFonts w:ascii="Cambria Math" w:hAnsi="Cambria Math"/>
                <w:sz w:val="20"/>
                <w:szCs w:val="20"/>
              </w:rPr>
              <m:t>o</m:t>
            </m:r>
          </m:sub>
        </m:sSub>
        <m:r>
          <w:rPr>
            <w:rFonts w:ascii="Cambria Math" w:hAnsi="Cambria Math"/>
            <w:sz w:val="20"/>
            <w:szCs w:val="20"/>
          </w:rPr>
          <m:t>=There is no difference in means between the features of portfolio 10 and portfolio 1</m:t>
        </m:r>
      </m:oMath>
      <w:r w:rsidRPr="002A091D">
        <w:rPr>
          <w:rFonts w:eastAsiaTheme="minorEastAsia"/>
          <w:sz w:val="20"/>
          <w:szCs w:val="20"/>
        </w:rPr>
        <w:t>.</w:t>
      </w:r>
    </w:p>
    <w:p w14:paraId="6ACA6DCB" w14:textId="77777777" w:rsidR="009B0551" w:rsidRPr="002A091D" w:rsidRDefault="009B0551" w:rsidP="00F832F9">
      <w:pPr>
        <w:sectPr w:rsidR="009B0551" w:rsidRPr="002A091D" w:rsidSect="00C3707A">
          <w:pgSz w:w="11906" w:h="16838"/>
          <w:pgMar w:top="1440" w:right="1440" w:bottom="1440" w:left="1440" w:header="708" w:footer="708" w:gutter="0"/>
          <w:cols w:space="708"/>
          <w:docGrid w:linePitch="360"/>
        </w:sectPr>
      </w:pPr>
    </w:p>
    <w:p w14:paraId="72E2ED1E" w14:textId="77777777" w:rsidR="009B0551" w:rsidRPr="002A091D" w:rsidRDefault="009B0551" w:rsidP="009B0551">
      <w:pPr>
        <w:pStyle w:val="Caption"/>
        <w:rPr>
          <w:rFonts w:ascii="Times New Roman" w:hAnsi="Times New Roman" w:cs="Times New Roman"/>
          <w:b/>
          <w:i w:val="0"/>
          <w:color w:val="auto"/>
          <w:sz w:val="20"/>
          <w:szCs w:val="20"/>
        </w:rPr>
      </w:pPr>
      <w:bookmarkStart w:id="30" w:name="_Toc489731658"/>
      <w:r w:rsidRPr="002A091D">
        <w:rPr>
          <w:rFonts w:ascii="Times New Roman" w:hAnsi="Times New Roman" w:cs="Times New Roman"/>
          <w:b/>
          <w:i w:val="0"/>
          <w:color w:val="auto"/>
          <w:sz w:val="20"/>
          <w:szCs w:val="20"/>
        </w:rPr>
        <w:lastRenderedPageBreak/>
        <w:t xml:space="preserve">Table </w:t>
      </w:r>
      <w:r w:rsidR="003741DC" w:rsidRPr="002A091D">
        <w:rPr>
          <w:rFonts w:ascii="Times New Roman" w:hAnsi="Times New Roman" w:cs="Times New Roman"/>
          <w:b/>
          <w:i w:val="0"/>
          <w:color w:val="auto"/>
          <w:sz w:val="20"/>
          <w:szCs w:val="20"/>
        </w:rPr>
        <w:t>4</w:t>
      </w:r>
      <w:r w:rsidRPr="002A091D">
        <w:rPr>
          <w:rFonts w:ascii="Times New Roman" w:hAnsi="Times New Roman" w:cs="Times New Roman"/>
          <w:b/>
          <w:i w:val="0"/>
          <w:color w:val="auto"/>
          <w:sz w:val="20"/>
          <w:szCs w:val="20"/>
        </w:rPr>
        <w:t>: Alphas of the Value-Weighted Portfolios Sorted by the Return-to-Volume (RtoV) Price Impact Ratio</w:t>
      </w:r>
      <w:bookmarkEnd w:id="30"/>
    </w:p>
    <w:tbl>
      <w:tblPr>
        <w:tblW w:w="14589" w:type="dxa"/>
        <w:tblLook w:val="04A0" w:firstRow="1" w:lastRow="0" w:firstColumn="1" w:lastColumn="0" w:noHBand="0" w:noVBand="1"/>
      </w:tblPr>
      <w:tblGrid>
        <w:gridCol w:w="2044"/>
        <w:gridCol w:w="842"/>
        <w:gridCol w:w="1080"/>
        <w:gridCol w:w="1341"/>
        <w:gridCol w:w="1109"/>
        <w:gridCol w:w="1173"/>
        <w:gridCol w:w="843"/>
        <w:gridCol w:w="1173"/>
        <w:gridCol w:w="843"/>
        <w:gridCol w:w="952"/>
        <w:gridCol w:w="1173"/>
        <w:gridCol w:w="1173"/>
        <w:gridCol w:w="843"/>
      </w:tblGrid>
      <w:tr w:rsidR="003C25CE" w:rsidRPr="002A091D" w14:paraId="35611FA2" w14:textId="77777777" w:rsidTr="003C25CE">
        <w:trPr>
          <w:trHeight w:val="279"/>
        </w:trPr>
        <w:tc>
          <w:tcPr>
            <w:tcW w:w="2044" w:type="dxa"/>
            <w:tcBorders>
              <w:top w:val="nil"/>
              <w:left w:val="nil"/>
              <w:bottom w:val="nil"/>
              <w:right w:val="nil"/>
            </w:tcBorders>
            <w:shd w:val="clear" w:color="auto" w:fill="auto"/>
            <w:noWrap/>
            <w:vAlign w:val="bottom"/>
            <w:hideMark/>
          </w:tcPr>
          <w:p w14:paraId="06AF9927" w14:textId="77777777" w:rsidR="003D2E90" w:rsidRPr="002A091D" w:rsidRDefault="003D2E90" w:rsidP="003D2E90">
            <w:pPr>
              <w:rPr>
                <w:sz w:val="20"/>
                <w:szCs w:val="20"/>
                <w:lang w:val="en-GB" w:eastAsia="en-GB"/>
              </w:rPr>
            </w:pPr>
          </w:p>
        </w:tc>
        <w:tc>
          <w:tcPr>
            <w:tcW w:w="842" w:type="dxa"/>
            <w:tcBorders>
              <w:top w:val="single" w:sz="4" w:space="0" w:color="auto"/>
              <w:left w:val="nil"/>
              <w:bottom w:val="single" w:sz="8" w:space="0" w:color="auto"/>
              <w:right w:val="nil"/>
            </w:tcBorders>
            <w:shd w:val="clear" w:color="auto" w:fill="auto"/>
            <w:noWrap/>
            <w:vAlign w:val="bottom"/>
            <w:hideMark/>
          </w:tcPr>
          <w:p w14:paraId="19932D62" w14:textId="77777777" w:rsidR="003D2E90" w:rsidRPr="002A091D" w:rsidRDefault="003D2E90" w:rsidP="003D2E90">
            <w:pPr>
              <w:rPr>
                <w:sz w:val="20"/>
                <w:szCs w:val="20"/>
                <w:lang w:val="en-GB" w:eastAsia="en-GB"/>
              </w:rPr>
            </w:pPr>
            <w:r w:rsidRPr="002A091D">
              <w:rPr>
                <w:sz w:val="20"/>
                <w:szCs w:val="20"/>
                <w:lang w:val="en-GB" w:eastAsia="en-GB"/>
              </w:rPr>
              <w:t>P1</w:t>
            </w:r>
          </w:p>
        </w:tc>
        <w:tc>
          <w:tcPr>
            <w:tcW w:w="1080" w:type="dxa"/>
            <w:tcBorders>
              <w:top w:val="single" w:sz="4" w:space="0" w:color="auto"/>
              <w:left w:val="nil"/>
              <w:bottom w:val="single" w:sz="8" w:space="0" w:color="auto"/>
              <w:right w:val="nil"/>
            </w:tcBorders>
            <w:shd w:val="clear" w:color="auto" w:fill="auto"/>
            <w:noWrap/>
            <w:vAlign w:val="bottom"/>
            <w:hideMark/>
          </w:tcPr>
          <w:p w14:paraId="3E40D5A1" w14:textId="77777777" w:rsidR="003D2E90" w:rsidRPr="002A091D" w:rsidRDefault="003D2E90" w:rsidP="003D2E90">
            <w:pPr>
              <w:rPr>
                <w:sz w:val="20"/>
                <w:szCs w:val="20"/>
                <w:lang w:val="en-GB" w:eastAsia="en-GB"/>
              </w:rPr>
            </w:pPr>
            <w:r w:rsidRPr="002A091D">
              <w:rPr>
                <w:sz w:val="20"/>
                <w:szCs w:val="20"/>
                <w:lang w:val="en-GB" w:eastAsia="en-GB"/>
              </w:rPr>
              <w:t>P2</w:t>
            </w:r>
          </w:p>
        </w:tc>
        <w:tc>
          <w:tcPr>
            <w:tcW w:w="1341" w:type="dxa"/>
            <w:tcBorders>
              <w:top w:val="single" w:sz="4" w:space="0" w:color="auto"/>
              <w:left w:val="nil"/>
              <w:bottom w:val="single" w:sz="8" w:space="0" w:color="auto"/>
              <w:right w:val="nil"/>
            </w:tcBorders>
            <w:shd w:val="clear" w:color="auto" w:fill="auto"/>
            <w:noWrap/>
            <w:vAlign w:val="bottom"/>
            <w:hideMark/>
          </w:tcPr>
          <w:p w14:paraId="585050D6" w14:textId="77777777" w:rsidR="003D2E90" w:rsidRPr="002A091D" w:rsidRDefault="003D2E90" w:rsidP="003D2E90">
            <w:pPr>
              <w:rPr>
                <w:sz w:val="20"/>
                <w:szCs w:val="20"/>
                <w:lang w:val="en-GB" w:eastAsia="en-GB"/>
              </w:rPr>
            </w:pPr>
            <w:r w:rsidRPr="002A091D">
              <w:rPr>
                <w:sz w:val="20"/>
                <w:szCs w:val="20"/>
                <w:lang w:val="en-GB" w:eastAsia="en-GB"/>
              </w:rPr>
              <w:t>P3</w:t>
            </w:r>
          </w:p>
        </w:tc>
        <w:tc>
          <w:tcPr>
            <w:tcW w:w="1109" w:type="dxa"/>
            <w:tcBorders>
              <w:top w:val="single" w:sz="4" w:space="0" w:color="auto"/>
              <w:left w:val="nil"/>
              <w:bottom w:val="single" w:sz="8" w:space="0" w:color="auto"/>
              <w:right w:val="nil"/>
            </w:tcBorders>
            <w:shd w:val="clear" w:color="auto" w:fill="auto"/>
            <w:noWrap/>
            <w:vAlign w:val="bottom"/>
            <w:hideMark/>
          </w:tcPr>
          <w:p w14:paraId="1C3A094C" w14:textId="77777777" w:rsidR="003D2E90" w:rsidRPr="002A091D" w:rsidRDefault="003D2E90" w:rsidP="003D2E90">
            <w:pPr>
              <w:rPr>
                <w:sz w:val="20"/>
                <w:szCs w:val="20"/>
                <w:lang w:val="en-GB" w:eastAsia="en-GB"/>
              </w:rPr>
            </w:pPr>
            <w:r w:rsidRPr="002A091D">
              <w:rPr>
                <w:sz w:val="20"/>
                <w:szCs w:val="20"/>
                <w:lang w:val="en-GB" w:eastAsia="en-GB"/>
              </w:rPr>
              <w:t>P4</w:t>
            </w:r>
          </w:p>
        </w:tc>
        <w:tc>
          <w:tcPr>
            <w:tcW w:w="1173" w:type="dxa"/>
            <w:tcBorders>
              <w:top w:val="single" w:sz="4" w:space="0" w:color="auto"/>
              <w:left w:val="nil"/>
              <w:bottom w:val="single" w:sz="8" w:space="0" w:color="auto"/>
              <w:right w:val="nil"/>
            </w:tcBorders>
            <w:shd w:val="clear" w:color="auto" w:fill="auto"/>
            <w:noWrap/>
            <w:vAlign w:val="bottom"/>
            <w:hideMark/>
          </w:tcPr>
          <w:p w14:paraId="79835D22" w14:textId="77777777" w:rsidR="003D2E90" w:rsidRPr="002A091D" w:rsidRDefault="003D2E90" w:rsidP="003D2E90">
            <w:pPr>
              <w:rPr>
                <w:sz w:val="20"/>
                <w:szCs w:val="20"/>
                <w:lang w:val="en-GB" w:eastAsia="en-GB"/>
              </w:rPr>
            </w:pPr>
            <w:r w:rsidRPr="002A091D">
              <w:rPr>
                <w:sz w:val="20"/>
                <w:szCs w:val="20"/>
                <w:lang w:val="en-GB" w:eastAsia="en-GB"/>
              </w:rPr>
              <w:t>P5</w:t>
            </w:r>
          </w:p>
        </w:tc>
        <w:tc>
          <w:tcPr>
            <w:tcW w:w="843" w:type="dxa"/>
            <w:tcBorders>
              <w:top w:val="single" w:sz="4" w:space="0" w:color="auto"/>
              <w:left w:val="nil"/>
              <w:bottom w:val="single" w:sz="8" w:space="0" w:color="auto"/>
              <w:right w:val="nil"/>
            </w:tcBorders>
            <w:shd w:val="clear" w:color="auto" w:fill="auto"/>
            <w:noWrap/>
            <w:vAlign w:val="bottom"/>
            <w:hideMark/>
          </w:tcPr>
          <w:p w14:paraId="3F98C7DB" w14:textId="77777777" w:rsidR="003D2E90" w:rsidRPr="002A091D" w:rsidRDefault="003D2E90" w:rsidP="003D2E90">
            <w:pPr>
              <w:rPr>
                <w:sz w:val="20"/>
                <w:szCs w:val="20"/>
                <w:lang w:val="en-GB" w:eastAsia="en-GB"/>
              </w:rPr>
            </w:pPr>
            <w:r w:rsidRPr="002A091D">
              <w:rPr>
                <w:sz w:val="20"/>
                <w:szCs w:val="20"/>
                <w:lang w:val="en-GB" w:eastAsia="en-GB"/>
              </w:rPr>
              <w:t>P6</w:t>
            </w:r>
          </w:p>
        </w:tc>
        <w:tc>
          <w:tcPr>
            <w:tcW w:w="1173" w:type="dxa"/>
            <w:tcBorders>
              <w:top w:val="single" w:sz="4" w:space="0" w:color="auto"/>
              <w:left w:val="nil"/>
              <w:bottom w:val="single" w:sz="8" w:space="0" w:color="auto"/>
              <w:right w:val="nil"/>
            </w:tcBorders>
            <w:shd w:val="clear" w:color="auto" w:fill="auto"/>
            <w:noWrap/>
            <w:vAlign w:val="bottom"/>
            <w:hideMark/>
          </w:tcPr>
          <w:p w14:paraId="6337E29D" w14:textId="77777777" w:rsidR="003D2E90" w:rsidRPr="002A091D" w:rsidRDefault="003D2E90" w:rsidP="003D2E90">
            <w:pPr>
              <w:rPr>
                <w:sz w:val="20"/>
                <w:szCs w:val="20"/>
                <w:lang w:val="en-GB" w:eastAsia="en-GB"/>
              </w:rPr>
            </w:pPr>
            <w:r w:rsidRPr="002A091D">
              <w:rPr>
                <w:sz w:val="20"/>
                <w:szCs w:val="20"/>
                <w:lang w:val="en-GB" w:eastAsia="en-GB"/>
              </w:rPr>
              <w:t>P7</w:t>
            </w:r>
          </w:p>
        </w:tc>
        <w:tc>
          <w:tcPr>
            <w:tcW w:w="843" w:type="dxa"/>
            <w:tcBorders>
              <w:top w:val="single" w:sz="4" w:space="0" w:color="auto"/>
              <w:left w:val="nil"/>
              <w:bottom w:val="single" w:sz="8" w:space="0" w:color="auto"/>
              <w:right w:val="nil"/>
            </w:tcBorders>
            <w:shd w:val="clear" w:color="auto" w:fill="auto"/>
            <w:noWrap/>
            <w:vAlign w:val="bottom"/>
            <w:hideMark/>
          </w:tcPr>
          <w:p w14:paraId="71FD9ADE" w14:textId="77777777" w:rsidR="003D2E90" w:rsidRPr="002A091D" w:rsidRDefault="003D2E90" w:rsidP="003D2E90">
            <w:pPr>
              <w:rPr>
                <w:sz w:val="20"/>
                <w:szCs w:val="20"/>
                <w:lang w:val="en-GB" w:eastAsia="en-GB"/>
              </w:rPr>
            </w:pPr>
            <w:r w:rsidRPr="002A091D">
              <w:rPr>
                <w:sz w:val="20"/>
                <w:szCs w:val="20"/>
                <w:lang w:val="en-GB" w:eastAsia="en-GB"/>
              </w:rPr>
              <w:t>P8</w:t>
            </w:r>
          </w:p>
        </w:tc>
        <w:tc>
          <w:tcPr>
            <w:tcW w:w="952" w:type="dxa"/>
            <w:tcBorders>
              <w:top w:val="single" w:sz="4" w:space="0" w:color="auto"/>
              <w:left w:val="nil"/>
              <w:bottom w:val="single" w:sz="8" w:space="0" w:color="auto"/>
              <w:right w:val="nil"/>
            </w:tcBorders>
            <w:shd w:val="clear" w:color="auto" w:fill="auto"/>
            <w:noWrap/>
            <w:vAlign w:val="bottom"/>
            <w:hideMark/>
          </w:tcPr>
          <w:p w14:paraId="292B1DD4" w14:textId="77777777" w:rsidR="003D2E90" w:rsidRPr="002A091D" w:rsidRDefault="003D2E90" w:rsidP="003D2E90">
            <w:pPr>
              <w:rPr>
                <w:sz w:val="20"/>
                <w:szCs w:val="20"/>
                <w:lang w:val="en-GB" w:eastAsia="en-GB"/>
              </w:rPr>
            </w:pPr>
            <w:r w:rsidRPr="002A091D">
              <w:rPr>
                <w:sz w:val="20"/>
                <w:szCs w:val="20"/>
                <w:lang w:val="en-GB" w:eastAsia="en-GB"/>
              </w:rPr>
              <w:t>P9</w:t>
            </w:r>
          </w:p>
        </w:tc>
        <w:tc>
          <w:tcPr>
            <w:tcW w:w="1173" w:type="dxa"/>
            <w:tcBorders>
              <w:top w:val="single" w:sz="4" w:space="0" w:color="auto"/>
              <w:left w:val="nil"/>
              <w:bottom w:val="single" w:sz="8" w:space="0" w:color="auto"/>
              <w:right w:val="nil"/>
            </w:tcBorders>
            <w:shd w:val="clear" w:color="auto" w:fill="auto"/>
            <w:noWrap/>
            <w:vAlign w:val="bottom"/>
            <w:hideMark/>
          </w:tcPr>
          <w:p w14:paraId="76240622" w14:textId="77777777" w:rsidR="003D2E90" w:rsidRPr="002A091D" w:rsidRDefault="003D2E90" w:rsidP="003D2E90">
            <w:pPr>
              <w:rPr>
                <w:sz w:val="20"/>
                <w:szCs w:val="20"/>
                <w:lang w:val="en-GB" w:eastAsia="en-GB"/>
              </w:rPr>
            </w:pPr>
            <w:r w:rsidRPr="002A091D">
              <w:rPr>
                <w:sz w:val="20"/>
                <w:szCs w:val="20"/>
                <w:lang w:val="en-GB" w:eastAsia="en-GB"/>
              </w:rPr>
              <w:t>P10</w:t>
            </w:r>
          </w:p>
        </w:tc>
        <w:tc>
          <w:tcPr>
            <w:tcW w:w="1173" w:type="dxa"/>
            <w:tcBorders>
              <w:top w:val="single" w:sz="4" w:space="0" w:color="auto"/>
              <w:left w:val="nil"/>
              <w:bottom w:val="single" w:sz="8" w:space="0" w:color="auto"/>
              <w:right w:val="nil"/>
            </w:tcBorders>
            <w:shd w:val="clear" w:color="auto" w:fill="auto"/>
            <w:noWrap/>
            <w:vAlign w:val="bottom"/>
            <w:hideMark/>
          </w:tcPr>
          <w:p w14:paraId="5F0C486D" w14:textId="77777777" w:rsidR="003D2E90" w:rsidRPr="002A091D" w:rsidRDefault="003D2E90" w:rsidP="003D2E90">
            <w:pPr>
              <w:rPr>
                <w:sz w:val="20"/>
                <w:szCs w:val="20"/>
                <w:lang w:val="en-GB" w:eastAsia="en-GB"/>
              </w:rPr>
            </w:pPr>
            <w:r w:rsidRPr="002A091D">
              <w:rPr>
                <w:sz w:val="20"/>
                <w:szCs w:val="20"/>
                <w:lang w:val="en-GB" w:eastAsia="en-GB"/>
              </w:rPr>
              <w:t>P1-P10</w:t>
            </w:r>
          </w:p>
        </w:tc>
        <w:tc>
          <w:tcPr>
            <w:tcW w:w="843" w:type="dxa"/>
            <w:tcBorders>
              <w:top w:val="single" w:sz="4" w:space="0" w:color="auto"/>
              <w:left w:val="nil"/>
              <w:bottom w:val="single" w:sz="8" w:space="0" w:color="auto"/>
              <w:right w:val="nil"/>
            </w:tcBorders>
            <w:shd w:val="clear" w:color="auto" w:fill="auto"/>
            <w:noWrap/>
            <w:vAlign w:val="bottom"/>
            <w:hideMark/>
          </w:tcPr>
          <w:p w14:paraId="75436406" w14:textId="77777777" w:rsidR="003D2E90" w:rsidRPr="002A091D" w:rsidRDefault="003D2E90" w:rsidP="003D2E90">
            <w:pPr>
              <w:rPr>
                <w:sz w:val="20"/>
                <w:szCs w:val="20"/>
                <w:lang w:val="en-GB" w:eastAsia="en-GB"/>
              </w:rPr>
            </w:pPr>
            <w:r w:rsidRPr="002A091D">
              <w:rPr>
                <w:sz w:val="20"/>
                <w:szCs w:val="20"/>
                <w:lang w:val="en-GB" w:eastAsia="en-GB"/>
              </w:rPr>
              <w:t>Wald</w:t>
            </w:r>
          </w:p>
        </w:tc>
      </w:tr>
      <w:tr w:rsidR="003C25CE" w:rsidRPr="002A091D" w14:paraId="1ABED6E3" w14:textId="77777777" w:rsidTr="003C25CE">
        <w:trPr>
          <w:trHeight w:val="270"/>
        </w:trPr>
        <w:tc>
          <w:tcPr>
            <w:tcW w:w="2044" w:type="dxa"/>
            <w:tcBorders>
              <w:top w:val="nil"/>
              <w:left w:val="nil"/>
              <w:bottom w:val="nil"/>
              <w:right w:val="nil"/>
            </w:tcBorders>
            <w:shd w:val="clear" w:color="auto" w:fill="auto"/>
            <w:noWrap/>
            <w:vAlign w:val="bottom"/>
            <w:hideMark/>
          </w:tcPr>
          <w:p w14:paraId="6A076197" w14:textId="77777777" w:rsidR="003D2E90" w:rsidRPr="002A091D" w:rsidRDefault="003D2E90" w:rsidP="003D2E90">
            <w:pPr>
              <w:rPr>
                <w:sz w:val="20"/>
                <w:szCs w:val="20"/>
                <w:lang w:val="en-GB" w:eastAsia="en-GB"/>
              </w:rPr>
            </w:pPr>
            <w:r w:rsidRPr="002A091D">
              <w:rPr>
                <w:sz w:val="20"/>
                <w:szCs w:val="20"/>
                <w:lang w:val="en-GB" w:eastAsia="en-GB"/>
              </w:rPr>
              <w:t>CAPM_alpha</w:t>
            </w:r>
          </w:p>
        </w:tc>
        <w:tc>
          <w:tcPr>
            <w:tcW w:w="842" w:type="dxa"/>
            <w:tcBorders>
              <w:top w:val="nil"/>
              <w:left w:val="nil"/>
              <w:bottom w:val="nil"/>
              <w:right w:val="nil"/>
            </w:tcBorders>
            <w:shd w:val="clear" w:color="auto" w:fill="auto"/>
            <w:noWrap/>
            <w:vAlign w:val="bottom"/>
            <w:hideMark/>
          </w:tcPr>
          <w:p w14:paraId="3837D298" w14:textId="77777777" w:rsidR="003D2E90" w:rsidRPr="002A091D" w:rsidRDefault="003D2E90" w:rsidP="003D2E90">
            <w:pPr>
              <w:jc w:val="right"/>
              <w:rPr>
                <w:sz w:val="20"/>
                <w:szCs w:val="20"/>
                <w:lang w:val="en-GB" w:eastAsia="en-GB"/>
              </w:rPr>
            </w:pPr>
            <w:r w:rsidRPr="002A091D">
              <w:rPr>
                <w:sz w:val="20"/>
                <w:szCs w:val="20"/>
                <w:lang w:val="en-GB" w:eastAsia="en-GB"/>
              </w:rPr>
              <w:t>-0.0014</w:t>
            </w:r>
          </w:p>
        </w:tc>
        <w:tc>
          <w:tcPr>
            <w:tcW w:w="1080" w:type="dxa"/>
            <w:tcBorders>
              <w:top w:val="nil"/>
              <w:left w:val="nil"/>
              <w:bottom w:val="nil"/>
              <w:right w:val="nil"/>
            </w:tcBorders>
            <w:shd w:val="clear" w:color="auto" w:fill="auto"/>
            <w:noWrap/>
            <w:vAlign w:val="bottom"/>
            <w:hideMark/>
          </w:tcPr>
          <w:p w14:paraId="5096EAE8" w14:textId="77777777" w:rsidR="003D2E90" w:rsidRPr="002A091D" w:rsidRDefault="003D2E90" w:rsidP="003D2E90">
            <w:pPr>
              <w:jc w:val="right"/>
              <w:rPr>
                <w:sz w:val="20"/>
                <w:szCs w:val="20"/>
                <w:lang w:val="en-GB" w:eastAsia="en-GB"/>
              </w:rPr>
            </w:pPr>
            <w:r w:rsidRPr="002A091D">
              <w:rPr>
                <w:sz w:val="20"/>
                <w:szCs w:val="20"/>
                <w:lang w:val="en-GB" w:eastAsia="en-GB"/>
              </w:rPr>
              <w:t>-0.0113</w:t>
            </w:r>
          </w:p>
        </w:tc>
        <w:tc>
          <w:tcPr>
            <w:tcW w:w="1341" w:type="dxa"/>
            <w:tcBorders>
              <w:top w:val="nil"/>
              <w:left w:val="nil"/>
              <w:bottom w:val="nil"/>
              <w:right w:val="nil"/>
            </w:tcBorders>
            <w:shd w:val="clear" w:color="auto" w:fill="auto"/>
            <w:noWrap/>
            <w:vAlign w:val="bottom"/>
            <w:hideMark/>
          </w:tcPr>
          <w:p w14:paraId="48BEB061" w14:textId="77777777" w:rsidR="003D2E90" w:rsidRPr="002A091D" w:rsidRDefault="003D2E90" w:rsidP="003D2E90">
            <w:pPr>
              <w:jc w:val="right"/>
              <w:rPr>
                <w:sz w:val="20"/>
                <w:szCs w:val="20"/>
                <w:lang w:val="en-GB" w:eastAsia="en-GB"/>
              </w:rPr>
            </w:pPr>
            <w:r w:rsidRPr="002A091D">
              <w:rPr>
                <w:sz w:val="20"/>
                <w:szCs w:val="20"/>
                <w:lang w:val="en-GB" w:eastAsia="en-GB"/>
              </w:rPr>
              <w:t>-0.0088</w:t>
            </w:r>
          </w:p>
        </w:tc>
        <w:tc>
          <w:tcPr>
            <w:tcW w:w="1109" w:type="dxa"/>
            <w:tcBorders>
              <w:top w:val="nil"/>
              <w:left w:val="nil"/>
              <w:bottom w:val="nil"/>
              <w:right w:val="nil"/>
            </w:tcBorders>
            <w:shd w:val="clear" w:color="auto" w:fill="auto"/>
            <w:noWrap/>
            <w:vAlign w:val="bottom"/>
            <w:hideMark/>
          </w:tcPr>
          <w:p w14:paraId="56815ADE" w14:textId="77777777" w:rsidR="003D2E90" w:rsidRPr="002A091D" w:rsidRDefault="003D2E90" w:rsidP="003D2E90">
            <w:pPr>
              <w:jc w:val="right"/>
              <w:rPr>
                <w:sz w:val="20"/>
                <w:szCs w:val="20"/>
                <w:lang w:val="en-GB" w:eastAsia="en-GB"/>
              </w:rPr>
            </w:pPr>
            <w:r w:rsidRPr="002A091D">
              <w:rPr>
                <w:sz w:val="20"/>
                <w:szCs w:val="20"/>
                <w:lang w:val="en-GB" w:eastAsia="en-GB"/>
              </w:rPr>
              <w:t>-0.0052</w:t>
            </w:r>
          </w:p>
        </w:tc>
        <w:tc>
          <w:tcPr>
            <w:tcW w:w="1173" w:type="dxa"/>
            <w:tcBorders>
              <w:top w:val="nil"/>
              <w:left w:val="nil"/>
              <w:bottom w:val="nil"/>
              <w:right w:val="nil"/>
            </w:tcBorders>
            <w:shd w:val="clear" w:color="auto" w:fill="auto"/>
            <w:noWrap/>
            <w:vAlign w:val="bottom"/>
            <w:hideMark/>
          </w:tcPr>
          <w:p w14:paraId="3B87EA7D" w14:textId="77777777" w:rsidR="003D2E90" w:rsidRPr="002A091D" w:rsidRDefault="003D2E90" w:rsidP="003D2E90">
            <w:pPr>
              <w:jc w:val="right"/>
              <w:rPr>
                <w:sz w:val="20"/>
                <w:szCs w:val="20"/>
                <w:lang w:val="en-GB" w:eastAsia="en-GB"/>
              </w:rPr>
            </w:pPr>
            <w:r w:rsidRPr="002A091D">
              <w:rPr>
                <w:sz w:val="20"/>
                <w:szCs w:val="20"/>
                <w:lang w:val="en-GB" w:eastAsia="en-GB"/>
              </w:rPr>
              <w:t>0.0005</w:t>
            </w:r>
          </w:p>
        </w:tc>
        <w:tc>
          <w:tcPr>
            <w:tcW w:w="843" w:type="dxa"/>
            <w:tcBorders>
              <w:top w:val="nil"/>
              <w:left w:val="nil"/>
              <w:bottom w:val="nil"/>
              <w:right w:val="nil"/>
            </w:tcBorders>
            <w:shd w:val="clear" w:color="auto" w:fill="auto"/>
            <w:noWrap/>
            <w:vAlign w:val="bottom"/>
            <w:hideMark/>
          </w:tcPr>
          <w:p w14:paraId="683B9034" w14:textId="77777777" w:rsidR="003D2E90" w:rsidRPr="002A091D" w:rsidRDefault="003D2E90" w:rsidP="003D2E90">
            <w:pPr>
              <w:jc w:val="right"/>
              <w:rPr>
                <w:sz w:val="20"/>
                <w:szCs w:val="20"/>
                <w:lang w:val="en-GB" w:eastAsia="en-GB"/>
              </w:rPr>
            </w:pPr>
            <w:r w:rsidRPr="002A091D">
              <w:rPr>
                <w:sz w:val="20"/>
                <w:szCs w:val="20"/>
                <w:lang w:val="en-GB" w:eastAsia="en-GB"/>
              </w:rPr>
              <w:t>-0.0032</w:t>
            </w:r>
          </w:p>
        </w:tc>
        <w:tc>
          <w:tcPr>
            <w:tcW w:w="1173" w:type="dxa"/>
            <w:tcBorders>
              <w:top w:val="nil"/>
              <w:left w:val="nil"/>
              <w:bottom w:val="nil"/>
              <w:right w:val="nil"/>
            </w:tcBorders>
            <w:shd w:val="clear" w:color="auto" w:fill="auto"/>
            <w:noWrap/>
            <w:vAlign w:val="bottom"/>
            <w:hideMark/>
          </w:tcPr>
          <w:p w14:paraId="50181014" w14:textId="77777777" w:rsidR="003D2E90" w:rsidRPr="002A091D" w:rsidRDefault="003D2E90" w:rsidP="003D2E90">
            <w:pPr>
              <w:jc w:val="right"/>
              <w:rPr>
                <w:sz w:val="20"/>
                <w:szCs w:val="20"/>
                <w:lang w:val="en-GB" w:eastAsia="en-GB"/>
              </w:rPr>
            </w:pPr>
            <w:r w:rsidRPr="002A091D">
              <w:rPr>
                <w:sz w:val="20"/>
                <w:szCs w:val="20"/>
                <w:lang w:val="en-GB" w:eastAsia="en-GB"/>
              </w:rPr>
              <w:t>0.0006</w:t>
            </w:r>
          </w:p>
        </w:tc>
        <w:tc>
          <w:tcPr>
            <w:tcW w:w="843" w:type="dxa"/>
            <w:tcBorders>
              <w:top w:val="nil"/>
              <w:left w:val="nil"/>
              <w:bottom w:val="nil"/>
              <w:right w:val="nil"/>
            </w:tcBorders>
            <w:shd w:val="clear" w:color="auto" w:fill="auto"/>
            <w:noWrap/>
            <w:vAlign w:val="bottom"/>
            <w:hideMark/>
          </w:tcPr>
          <w:p w14:paraId="462DAC67" w14:textId="77777777" w:rsidR="003D2E90" w:rsidRPr="002A091D" w:rsidRDefault="003D2E90" w:rsidP="003D2E90">
            <w:pPr>
              <w:jc w:val="right"/>
              <w:rPr>
                <w:sz w:val="20"/>
                <w:szCs w:val="20"/>
                <w:lang w:val="en-GB" w:eastAsia="en-GB"/>
              </w:rPr>
            </w:pPr>
            <w:r w:rsidRPr="002A091D">
              <w:rPr>
                <w:sz w:val="20"/>
                <w:szCs w:val="20"/>
                <w:lang w:val="en-GB" w:eastAsia="en-GB"/>
              </w:rPr>
              <w:t>-0.0023</w:t>
            </w:r>
          </w:p>
        </w:tc>
        <w:tc>
          <w:tcPr>
            <w:tcW w:w="952" w:type="dxa"/>
            <w:tcBorders>
              <w:top w:val="nil"/>
              <w:left w:val="nil"/>
              <w:bottom w:val="nil"/>
              <w:right w:val="nil"/>
            </w:tcBorders>
            <w:shd w:val="clear" w:color="auto" w:fill="auto"/>
            <w:noWrap/>
            <w:vAlign w:val="bottom"/>
            <w:hideMark/>
          </w:tcPr>
          <w:p w14:paraId="613BBCCA" w14:textId="77777777" w:rsidR="003D2E90" w:rsidRPr="002A091D" w:rsidRDefault="003D2E90" w:rsidP="003D2E90">
            <w:pPr>
              <w:jc w:val="right"/>
              <w:rPr>
                <w:sz w:val="20"/>
                <w:szCs w:val="20"/>
                <w:lang w:val="en-GB" w:eastAsia="en-GB"/>
              </w:rPr>
            </w:pPr>
            <w:r w:rsidRPr="002A091D">
              <w:rPr>
                <w:sz w:val="20"/>
                <w:szCs w:val="20"/>
                <w:lang w:val="en-GB" w:eastAsia="en-GB"/>
              </w:rPr>
              <w:t>0.0106</w:t>
            </w:r>
          </w:p>
        </w:tc>
        <w:tc>
          <w:tcPr>
            <w:tcW w:w="1173" w:type="dxa"/>
            <w:tcBorders>
              <w:top w:val="nil"/>
              <w:left w:val="nil"/>
              <w:bottom w:val="nil"/>
              <w:right w:val="nil"/>
            </w:tcBorders>
            <w:shd w:val="clear" w:color="auto" w:fill="auto"/>
            <w:noWrap/>
            <w:vAlign w:val="bottom"/>
            <w:hideMark/>
          </w:tcPr>
          <w:p w14:paraId="4BC67543" w14:textId="77777777" w:rsidR="003D2E90" w:rsidRPr="002A091D" w:rsidRDefault="003D2E90" w:rsidP="003D2E90">
            <w:pPr>
              <w:jc w:val="right"/>
              <w:rPr>
                <w:sz w:val="20"/>
                <w:szCs w:val="20"/>
                <w:lang w:val="en-GB" w:eastAsia="en-GB"/>
              </w:rPr>
            </w:pPr>
            <w:r w:rsidRPr="002A091D">
              <w:rPr>
                <w:sz w:val="20"/>
                <w:szCs w:val="20"/>
                <w:lang w:val="en-GB" w:eastAsia="en-GB"/>
              </w:rPr>
              <w:t>0.0134</w:t>
            </w:r>
          </w:p>
        </w:tc>
        <w:tc>
          <w:tcPr>
            <w:tcW w:w="1173" w:type="dxa"/>
            <w:tcBorders>
              <w:top w:val="nil"/>
              <w:left w:val="nil"/>
              <w:bottom w:val="nil"/>
              <w:right w:val="nil"/>
            </w:tcBorders>
            <w:shd w:val="clear" w:color="auto" w:fill="auto"/>
            <w:noWrap/>
            <w:vAlign w:val="bottom"/>
            <w:hideMark/>
          </w:tcPr>
          <w:p w14:paraId="178D6A0D" w14:textId="77777777" w:rsidR="003D2E90" w:rsidRPr="002A091D" w:rsidRDefault="003D2E90" w:rsidP="003D2E90">
            <w:pPr>
              <w:jc w:val="right"/>
              <w:rPr>
                <w:sz w:val="20"/>
                <w:szCs w:val="20"/>
                <w:lang w:val="en-GB" w:eastAsia="en-GB"/>
              </w:rPr>
            </w:pPr>
            <w:r w:rsidRPr="002A091D">
              <w:rPr>
                <w:sz w:val="20"/>
                <w:szCs w:val="20"/>
                <w:lang w:val="en-GB" w:eastAsia="en-GB"/>
              </w:rPr>
              <w:t>0.0153</w:t>
            </w:r>
          </w:p>
        </w:tc>
        <w:tc>
          <w:tcPr>
            <w:tcW w:w="843" w:type="dxa"/>
            <w:tcBorders>
              <w:top w:val="nil"/>
              <w:left w:val="nil"/>
              <w:bottom w:val="nil"/>
              <w:right w:val="nil"/>
            </w:tcBorders>
            <w:shd w:val="clear" w:color="auto" w:fill="auto"/>
            <w:noWrap/>
            <w:vAlign w:val="bottom"/>
            <w:hideMark/>
          </w:tcPr>
          <w:p w14:paraId="272A3EFA" w14:textId="77777777" w:rsidR="003D2E90" w:rsidRPr="002A091D" w:rsidRDefault="003D2E90" w:rsidP="003D2E90">
            <w:pPr>
              <w:jc w:val="right"/>
              <w:rPr>
                <w:sz w:val="20"/>
                <w:szCs w:val="20"/>
                <w:lang w:val="en-GB" w:eastAsia="en-GB"/>
              </w:rPr>
            </w:pPr>
            <w:r w:rsidRPr="002A091D">
              <w:rPr>
                <w:sz w:val="20"/>
                <w:szCs w:val="20"/>
                <w:lang w:val="en-GB" w:eastAsia="en-GB"/>
              </w:rPr>
              <w:t>2.7200</w:t>
            </w:r>
          </w:p>
        </w:tc>
      </w:tr>
      <w:tr w:rsidR="003C25CE" w:rsidRPr="002A091D" w14:paraId="764990EF" w14:textId="77777777" w:rsidTr="003C25CE">
        <w:trPr>
          <w:trHeight w:val="270"/>
        </w:trPr>
        <w:tc>
          <w:tcPr>
            <w:tcW w:w="2044" w:type="dxa"/>
            <w:tcBorders>
              <w:top w:val="nil"/>
              <w:left w:val="nil"/>
              <w:bottom w:val="nil"/>
              <w:right w:val="nil"/>
            </w:tcBorders>
            <w:shd w:val="clear" w:color="auto" w:fill="auto"/>
            <w:noWrap/>
            <w:vAlign w:val="bottom"/>
            <w:hideMark/>
          </w:tcPr>
          <w:p w14:paraId="264682AE" w14:textId="77777777" w:rsidR="003D2E90" w:rsidRPr="002A091D" w:rsidRDefault="003D2E90" w:rsidP="003D2E90">
            <w:pPr>
              <w:rPr>
                <w:sz w:val="20"/>
                <w:szCs w:val="20"/>
                <w:lang w:val="en-GB" w:eastAsia="en-GB"/>
              </w:rPr>
            </w:pPr>
            <w:r w:rsidRPr="002A091D">
              <w:rPr>
                <w:sz w:val="20"/>
                <w:szCs w:val="20"/>
                <w:lang w:val="en-GB" w:eastAsia="en-GB"/>
              </w:rPr>
              <w:t>T-value</w:t>
            </w:r>
          </w:p>
        </w:tc>
        <w:tc>
          <w:tcPr>
            <w:tcW w:w="842" w:type="dxa"/>
            <w:tcBorders>
              <w:top w:val="nil"/>
              <w:left w:val="nil"/>
              <w:bottom w:val="nil"/>
              <w:right w:val="nil"/>
            </w:tcBorders>
            <w:shd w:val="clear" w:color="auto" w:fill="auto"/>
            <w:noWrap/>
            <w:vAlign w:val="bottom"/>
            <w:hideMark/>
          </w:tcPr>
          <w:p w14:paraId="7A101A3C" w14:textId="77777777" w:rsidR="003D2E90" w:rsidRPr="002A091D" w:rsidRDefault="003D2E90" w:rsidP="003D2E90">
            <w:pPr>
              <w:jc w:val="right"/>
              <w:rPr>
                <w:sz w:val="20"/>
                <w:szCs w:val="20"/>
                <w:lang w:val="en-GB" w:eastAsia="en-GB"/>
              </w:rPr>
            </w:pPr>
            <w:r w:rsidRPr="002A091D">
              <w:rPr>
                <w:sz w:val="20"/>
                <w:szCs w:val="20"/>
                <w:lang w:val="en-GB" w:eastAsia="en-GB"/>
              </w:rPr>
              <w:t>-0.4614</w:t>
            </w:r>
          </w:p>
        </w:tc>
        <w:tc>
          <w:tcPr>
            <w:tcW w:w="1080" w:type="dxa"/>
            <w:tcBorders>
              <w:top w:val="nil"/>
              <w:left w:val="nil"/>
              <w:bottom w:val="nil"/>
              <w:right w:val="nil"/>
            </w:tcBorders>
            <w:shd w:val="clear" w:color="auto" w:fill="auto"/>
            <w:noWrap/>
            <w:vAlign w:val="bottom"/>
            <w:hideMark/>
          </w:tcPr>
          <w:p w14:paraId="56CB6582" w14:textId="77777777" w:rsidR="003D2E90" w:rsidRPr="002A091D" w:rsidRDefault="003D2E90" w:rsidP="003D2E90">
            <w:pPr>
              <w:jc w:val="right"/>
              <w:rPr>
                <w:sz w:val="20"/>
                <w:szCs w:val="20"/>
                <w:lang w:val="en-GB" w:eastAsia="en-GB"/>
              </w:rPr>
            </w:pPr>
            <w:r w:rsidRPr="002A091D">
              <w:rPr>
                <w:sz w:val="20"/>
                <w:szCs w:val="20"/>
                <w:lang w:val="en-GB" w:eastAsia="en-GB"/>
              </w:rPr>
              <w:t>-2.6495</w:t>
            </w:r>
          </w:p>
        </w:tc>
        <w:tc>
          <w:tcPr>
            <w:tcW w:w="1341" w:type="dxa"/>
            <w:tcBorders>
              <w:top w:val="nil"/>
              <w:left w:val="nil"/>
              <w:bottom w:val="nil"/>
              <w:right w:val="nil"/>
            </w:tcBorders>
            <w:shd w:val="clear" w:color="auto" w:fill="auto"/>
            <w:noWrap/>
            <w:vAlign w:val="bottom"/>
            <w:hideMark/>
          </w:tcPr>
          <w:p w14:paraId="540213DA" w14:textId="77777777" w:rsidR="003D2E90" w:rsidRPr="002A091D" w:rsidRDefault="003D2E90" w:rsidP="003D2E90">
            <w:pPr>
              <w:jc w:val="right"/>
              <w:rPr>
                <w:sz w:val="20"/>
                <w:szCs w:val="20"/>
                <w:lang w:val="en-GB" w:eastAsia="en-GB"/>
              </w:rPr>
            </w:pPr>
            <w:r w:rsidRPr="002A091D">
              <w:rPr>
                <w:sz w:val="20"/>
                <w:szCs w:val="20"/>
                <w:lang w:val="en-GB" w:eastAsia="en-GB"/>
              </w:rPr>
              <w:t>-2.2644</w:t>
            </w:r>
            <w:r w:rsidR="003C25CE" w:rsidRPr="002A091D">
              <w:rPr>
                <w:sz w:val="20"/>
                <w:szCs w:val="20"/>
                <w:lang w:val="en-GB" w:eastAsia="en-GB"/>
              </w:rPr>
              <w:t>***</w:t>
            </w:r>
          </w:p>
        </w:tc>
        <w:tc>
          <w:tcPr>
            <w:tcW w:w="1109" w:type="dxa"/>
            <w:tcBorders>
              <w:top w:val="nil"/>
              <w:left w:val="nil"/>
              <w:bottom w:val="nil"/>
              <w:right w:val="nil"/>
            </w:tcBorders>
            <w:shd w:val="clear" w:color="auto" w:fill="auto"/>
            <w:noWrap/>
            <w:vAlign w:val="bottom"/>
            <w:hideMark/>
          </w:tcPr>
          <w:p w14:paraId="6EC0740D" w14:textId="77777777" w:rsidR="003D2E90" w:rsidRPr="002A091D" w:rsidRDefault="003D2E90" w:rsidP="003D2E90">
            <w:pPr>
              <w:jc w:val="right"/>
              <w:rPr>
                <w:sz w:val="20"/>
                <w:szCs w:val="20"/>
                <w:lang w:val="en-GB" w:eastAsia="en-GB"/>
              </w:rPr>
            </w:pPr>
            <w:r w:rsidRPr="002A091D">
              <w:rPr>
                <w:sz w:val="20"/>
                <w:szCs w:val="20"/>
                <w:lang w:val="en-GB" w:eastAsia="en-GB"/>
              </w:rPr>
              <w:t>-1.4126</w:t>
            </w:r>
          </w:p>
        </w:tc>
        <w:tc>
          <w:tcPr>
            <w:tcW w:w="1173" w:type="dxa"/>
            <w:tcBorders>
              <w:top w:val="nil"/>
              <w:left w:val="nil"/>
              <w:bottom w:val="nil"/>
              <w:right w:val="nil"/>
            </w:tcBorders>
            <w:shd w:val="clear" w:color="auto" w:fill="auto"/>
            <w:noWrap/>
            <w:vAlign w:val="bottom"/>
            <w:hideMark/>
          </w:tcPr>
          <w:p w14:paraId="6830F91A" w14:textId="77777777" w:rsidR="003D2E90" w:rsidRPr="002A091D" w:rsidRDefault="003D2E90" w:rsidP="003D2E90">
            <w:pPr>
              <w:jc w:val="right"/>
              <w:rPr>
                <w:sz w:val="20"/>
                <w:szCs w:val="20"/>
                <w:lang w:val="en-GB" w:eastAsia="en-GB"/>
              </w:rPr>
            </w:pPr>
            <w:r w:rsidRPr="002A091D">
              <w:rPr>
                <w:sz w:val="20"/>
                <w:szCs w:val="20"/>
                <w:lang w:val="en-GB" w:eastAsia="en-GB"/>
              </w:rPr>
              <w:t>0.1216</w:t>
            </w:r>
          </w:p>
        </w:tc>
        <w:tc>
          <w:tcPr>
            <w:tcW w:w="843" w:type="dxa"/>
            <w:tcBorders>
              <w:top w:val="nil"/>
              <w:left w:val="nil"/>
              <w:bottom w:val="nil"/>
              <w:right w:val="nil"/>
            </w:tcBorders>
            <w:shd w:val="clear" w:color="auto" w:fill="auto"/>
            <w:noWrap/>
            <w:vAlign w:val="bottom"/>
            <w:hideMark/>
          </w:tcPr>
          <w:p w14:paraId="39D14751" w14:textId="77777777" w:rsidR="003D2E90" w:rsidRPr="002A091D" w:rsidRDefault="003D2E90" w:rsidP="003D2E90">
            <w:pPr>
              <w:jc w:val="right"/>
              <w:rPr>
                <w:sz w:val="20"/>
                <w:szCs w:val="20"/>
                <w:lang w:val="en-GB" w:eastAsia="en-GB"/>
              </w:rPr>
            </w:pPr>
            <w:r w:rsidRPr="002A091D">
              <w:rPr>
                <w:sz w:val="20"/>
                <w:szCs w:val="20"/>
                <w:lang w:val="en-GB" w:eastAsia="en-GB"/>
              </w:rPr>
              <w:t>-0.8158</w:t>
            </w:r>
          </w:p>
        </w:tc>
        <w:tc>
          <w:tcPr>
            <w:tcW w:w="1173" w:type="dxa"/>
            <w:tcBorders>
              <w:top w:val="nil"/>
              <w:left w:val="nil"/>
              <w:bottom w:val="nil"/>
              <w:right w:val="nil"/>
            </w:tcBorders>
            <w:shd w:val="clear" w:color="auto" w:fill="auto"/>
            <w:noWrap/>
            <w:vAlign w:val="bottom"/>
            <w:hideMark/>
          </w:tcPr>
          <w:p w14:paraId="2CA9C558" w14:textId="77777777" w:rsidR="003D2E90" w:rsidRPr="002A091D" w:rsidRDefault="003D2E90" w:rsidP="003D2E90">
            <w:pPr>
              <w:jc w:val="right"/>
              <w:rPr>
                <w:sz w:val="20"/>
                <w:szCs w:val="20"/>
                <w:lang w:val="en-GB" w:eastAsia="en-GB"/>
              </w:rPr>
            </w:pPr>
            <w:r w:rsidRPr="002A091D">
              <w:rPr>
                <w:sz w:val="20"/>
                <w:szCs w:val="20"/>
                <w:lang w:val="en-GB" w:eastAsia="en-GB"/>
              </w:rPr>
              <w:t>0.1519</w:t>
            </w:r>
          </w:p>
        </w:tc>
        <w:tc>
          <w:tcPr>
            <w:tcW w:w="843" w:type="dxa"/>
            <w:tcBorders>
              <w:top w:val="nil"/>
              <w:left w:val="nil"/>
              <w:bottom w:val="nil"/>
              <w:right w:val="nil"/>
            </w:tcBorders>
            <w:shd w:val="clear" w:color="auto" w:fill="auto"/>
            <w:noWrap/>
            <w:vAlign w:val="bottom"/>
            <w:hideMark/>
          </w:tcPr>
          <w:p w14:paraId="08048F6C" w14:textId="77777777" w:rsidR="003D2E90" w:rsidRPr="002A091D" w:rsidRDefault="003D2E90" w:rsidP="003D2E90">
            <w:pPr>
              <w:jc w:val="right"/>
              <w:rPr>
                <w:sz w:val="20"/>
                <w:szCs w:val="20"/>
                <w:lang w:val="en-GB" w:eastAsia="en-GB"/>
              </w:rPr>
            </w:pPr>
            <w:r w:rsidRPr="002A091D">
              <w:rPr>
                <w:sz w:val="20"/>
                <w:szCs w:val="20"/>
                <w:lang w:val="en-GB" w:eastAsia="en-GB"/>
              </w:rPr>
              <w:t>-0.5202</w:t>
            </w:r>
          </w:p>
        </w:tc>
        <w:tc>
          <w:tcPr>
            <w:tcW w:w="952" w:type="dxa"/>
            <w:tcBorders>
              <w:top w:val="nil"/>
              <w:left w:val="nil"/>
              <w:bottom w:val="nil"/>
              <w:right w:val="nil"/>
            </w:tcBorders>
            <w:shd w:val="clear" w:color="auto" w:fill="auto"/>
            <w:noWrap/>
            <w:vAlign w:val="bottom"/>
            <w:hideMark/>
          </w:tcPr>
          <w:p w14:paraId="31FEDC88" w14:textId="77777777" w:rsidR="003D2E90" w:rsidRPr="002A091D" w:rsidRDefault="003D2E90" w:rsidP="003D2E90">
            <w:pPr>
              <w:jc w:val="right"/>
              <w:rPr>
                <w:sz w:val="20"/>
                <w:szCs w:val="20"/>
                <w:lang w:val="en-GB" w:eastAsia="en-GB"/>
              </w:rPr>
            </w:pPr>
            <w:r w:rsidRPr="002A091D">
              <w:rPr>
                <w:sz w:val="20"/>
                <w:szCs w:val="20"/>
                <w:lang w:val="en-GB" w:eastAsia="en-GB"/>
              </w:rPr>
              <w:t>1.6475</w:t>
            </w:r>
            <w:r w:rsidR="003C25CE" w:rsidRPr="002A091D">
              <w:rPr>
                <w:sz w:val="20"/>
                <w:szCs w:val="20"/>
                <w:lang w:val="en-GB" w:eastAsia="en-GB"/>
              </w:rPr>
              <w:t>*</w:t>
            </w:r>
          </w:p>
        </w:tc>
        <w:tc>
          <w:tcPr>
            <w:tcW w:w="1173" w:type="dxa"/>
            <w:tcBorders>
              <w:top w:val="nil"/>
              <w:left w:val="nil"/>
              <w:bottom w:val="nil"/>
              <w:right w:val="nil"/>
            </w:tcBorders>
            <w:shd w:val="clear" w:color="auto" w:fill="auto"/>
            <w:noWrap/>
            <w:vAlign w:val="bottom"/>
            <w:hideMark/>
          </w:tcPr>
          <w:p w14:paraId="195F0D06" w14:textId="77777777" w:rsidR="003D2E90" w:rsidRPr="002A091D" w:rsidRDefault="003D2E90" w:rsidP="003D2E90">
            <w:pPr>
              <w:jc w:val="right"/>
              <w:rPr>
                <w:sz w:val="20"/>
                <w:szCs w:val="20"/>
                <w:lang w:val="en-GB" w:eastAsia="en-GB"/>
              </w:rPr>
            </w:pPr>
            <w:r w:rsidRPr="002A091D">
              <w:rPr>
                <w:sz w:val="20"/>
                <w:szCs w:val="20"/>
                <w:lang w:val="en-GB" w:eastAsia="en-GB"/>
              </w:rPr>
              <w:t>2.3018</w:t>
            </w:r>
            <w:r w:rsidR="003C25CE" w:rsidRPr="002A091D">
              <w:rPr>
                <w:sz w:val="20"/>
                <w:szCs w:val="20"/>
                <w:lang w:val="en-GB" w:eastAsia="en-GB"/>
              </w:rPr>
              <w:t>***</w:t>
            </w:r>
          </w:p>
        </w:tc>
        <w:tc>
          <w:tcPr>
            <w:tcW w:w="1173" w:type="dxa"/>
            <w:tcBorders>
              <w:top w:val="nil"/>
              <w:left w:val="nil"/>
              <w:bottom w:val="nil"/>
              <w:right w:val="nil"/>
            </w:tcBorders>
            <w:shd w:val="clear" w:color="auto" w:fill="auto"/>
            <w:noWrap/>
            <w:vAlign w:val="bottom"/>
            <w:hideMark/>
          </w:tcPr>
          <w:p w14:paraId="6E835AD2" w14:textId="77777777" w:rsidR="003D2E90" w:rsidRPr="002A091D" w:rsidRDefault="003D2E90" w:rsidP="003D2E90">
            <w:pPr>
              <w:jc w:val="right"/>
              <w:rPr>
                <w:sz w:val="20"/>
                <w:szCs w:val="20"/>
                <w:lang w:val="en-GB" w:eastAsia="en-GB"/>
              </w:rPr>
            </w:pPr>
            <w:r w:rsidRPr="002A091D">
              <w:rPr>
                <w:sz w:val="20"/>
                <w:szCs w:val="20"/>
                <w:lang w:val="en-GB" w:eastAsia="en-GB"/>
              </w:rPr>
              <w:t>2.3920</w:t>
            </w:r>
            <w:r w:rsidR="003C25CE" w:rsidRPr="002A091D">
              <w:rPr>
                <w:sz w:val="20"/>
                <w:szCs w:val="20"/>
                <w:lang w:val="en-GB" w:eastAsia="en-GB"/>
              </w:rPr>
              <w:t>***</w:t>
            </w:r>
          </w:p>
        </w:tc>
        <w:tc>
          <w:tcPr>
            <w:tcW w:w="843" w:type="dxa"/>
            <w:tcBorders>
              <w:top w:val="nil"/>
              <w:left w:val="nil"/>
              <w:bottom w:val="nil"/>
              <w:right w:val="nil"/>
            </w:tcBorders>
            <w:shd w:val="clear" w:color="auto" w:fill="auto"/>
            <w:noWrap/>
            <w:vAlign w:val="bottom"/>
            <w:hideMark/>
          </w:tcPr>
          <w:p w14:paraId="40401A9B" w14:textId="77777777" w:rsidR="003D2E90" w:rsidRPr="002A091D" w:rsidRDefault="003D2E90" w:rsidP="003D2E90">
            <w:pPr>
              <w:jc w:val="right"/>
              <w:rPr>
                <w:sz w:val="20"/>
                <w:szCs w:val="20"/>
                <w:lang w:val="en-GB" w:eastAsia="en-GB"/>
              </w:rPr>
            </w:pPr>
            <w:r w:rsidRPr="002A091D">
              <w:rPr>
                <w:sz w:val="20"/>
                <w:szCs w:val="20"/>
                <w:lang w:val="en-GB" w:eastAsia="en-GB"/>
              </w:rPr>
              <w:t>0.1008</w:t>
            </w:r>
          </w:p>
        </w:tc>
      </w:tr>
      <w:tr w:rsidR="003C25CE" w:rsidRPr="002A091D" w14:paraId="05504631" w14:textId="77777777" w:rsidTr="003C25CE">
        <w:trPr>
          <w:trHeight w:val="270"/>
        </w:trPr>
        <w:tc>
          <w:tcPr>
            <w:tcW w:w="2044" w:type="dxa"/>
            <w:tcBorders>
              <w:top w:val="nil"/>
              <w:left w:val="nil"/>
              <w:bottom w:val="nil"/>
              <w:right w:val="nil"/>
            </w:tcBorders>
            <w:shd w:val="clear" w:color="auto" w:fill="auto"/>
            <w:noWrap/>
            <w:vAlign w:val="bottom"/>
            <w:hideMark/>
          </w:tcPr>
          <w:p w14:paraId="7F4A1EDA" w14:textId="77777777" w:rsidR="003D2E90" w:rsidRPr="002A091D" w:rsidRDefault="003D2E90" w:rsidP="003D2E90">
            <w:pPr>
              <w:rPr>
                <w:sz w:val="20"/>
                <w:szCs w:val="20"/>
                <w:lang w:val="en-GB" w:eastAsia="en-GB"/>
              </w:rPr>
            </w:pPr>
            <w:r w:rsidRPr="002A091D">
              <w:rPr>
                <w:sz w:val="20"/>
                <w:szCs w:val="20"/>
                <w:lang w:val="en-GB" w:eastAsia="en-GB"/>
              </w:rPr>
              <w:t>Fama_French_alpha</w:t>
            </w:r>
          </w:p>
        </w:tc>
        <w:tc>
          <w:tcPr>
            <w:tcW w:w="842" w:type="dxa"/>
            <w:tcBorders>
              <w:top w:val="nil"/>
              <w:left w:val="nil"/>
              <w:bottom w:val="nil"/>
              <w:right w:val="nil"/>
            </w:tcBorders>
            <w:shd w:val="clear" w:color="auto" w:fill="auto"/>
            <w:noWrap/>
            <w:vAlign w:val="bottom"/>
            <w:hideMark/>
          </w:tcPr>
          <w:p w14:paraId="598E7F1D" w14:textId="77777777" w:rsidR="003D2E90" w:rsidRPr="002A091D" w:rsidRDefault="003D2E90" w:rsidP="003D2E90">
            <w:pPr>
              <w:jc w:val="right"/>
              <w:rPr>
                <w:sz w:val="20"/>
                <w:szCs w:val="20"/>
                <w:lang w:val="en-GB" w:eastAsia="en-GB"/>
              </w:rPr>
            </w:pPr>
            <w:r w:rsidRPr="002A091D">
              <w:rPr>
                <w:sz w:val="20"/>
                <w:szCs w:val="20"/>
                <w:lang w:val="en-GB" w:eastAsia="en-GB"/>
              </w:rPr>
              <w:t>0.0027</w:t>
            </w:r>
          </w:p>
        </w:tc>
        <w:tc>
          <w:tcPr>
            <w:tcW w:w="1080" w:type="dxa"/>
            <w:tcBorders>
              <w:top w:val="nil"/>
              <w:left w:val="nil"/>
              <w:bottom w:val="nil"/>
              <w:right w:val="nil"/>
            </w:tcBorders>
            <w:shd w:val="clear" w:color="auto" w:fill="auto"/>
            <w:noWrap/>
            <w:vAlign w:val="bottom"/>
            <w:hideMark/>
          </w:tcPr>
          <w:p w14:paraId="4AAF675B" w14:textId="77777777" w:rsidR="003D2E90" w:rsidRPr="002A091D" w:rsidRDefault="003D2E90" w:rsidP="003D2E90">
            <w:pPr>
              <w:jc w:val="right"/>
              <w:rPr>
                <w:sz w:val="20"/>
                <w:szCs w:val="20"/>
                <w:lang w:val="en-GB" w:eastAsia="en-GB"/>
              </w:rPr>
            </w:pPr>
            <w:r w:rsidRPr="002A091D">
              <w:rPr>
                <w:sz w:val="20"/>
                <w:szCs w:val="20"/>
                <w:lang w:val="en-GB" w:eastAsia="en-GB"/>
              </w:rPr>
              <w:t>-0.0087</w:t>
            </w:r>
          </w:p>
        </w:tc>
        <w:tc>
          <w:tcPr>
            <w:tcW w:w="1341" w:type="dxa"/>
            <w:tcBorders>
              <w:top w:val="nil"/>
              <w:left w:val="nil"/>
              <w:bottom w:val="nil"/>
              <w:right w:val="nil"/>
            </w:tcBorders>
            <w:shd w:val="clear" w:color="auto" w:fill="auto"/>
            <w:noWrap/>
            <w:vAlign w:val="bottom"/>
            <w:hideMark/>
          </w:tcPr>
          <w:p w14:paraId="461CF682" w14:textId="77777777" w:rsidR="003D2E90" w:rsidRPr="002A091D" w:rsidRDefault="003D2E90" w:rsidP="003D2E90">
            <w:pPr>
              <w:jc w:val="right"/>
              <w:rPr>
                <w:sz w:val="20"/>
                <w:szCs w:val="20"/>
                <w:lang w:val="en-GB" w:eastAsia="en-GB"/>
              </w:rPr>
            </w:pPr>
            <w:r w:rsidRPr="002A091D">
              <w:rPr>
                <w:sz w:val="20"/>
                <w:szCs w:val="20"/>
                <w:lang w:val="en-GB" w:eastAsia="en-GB"/>
              </w:rPr>
              <w:t>-0.0091</w:t>
            </w:r>
          </w:p>
        </w:tc>
        <w:tc>
          <w:tcPr>
            <w:tcW w:w="1109" w:type="dxa"/>
            <w:tcBorders>
              <w:top w:val="nil"/>
              <w:left w:val="nil"/>
              <w:bottom w:val="nil"/>
              <w:right w:val="nil"/>
            </w:tcBorders>
            <w:shd w:val="clear" w:color="auto" w:fill="auto"/>
            <w:noWrap/>
            <w:vAlign w:val="bottom"/>
            <w:hideMark/>
          </w:tcPr>
          <w:p w14:paraId="6029BB02" w14:textId="77777777" w:rsidR="003D2E90" w:rsidRPr="002A091D" w:rsidRDefault="003D2E90" w:rsidP="003D2E90">
            <w:pPr>
              <w:jc w:val="right"/>
              <w:rPr>
                <w:sz w:val="20"/>
                <w:szCs w:val="20"/>
                <w:lang w:val="en-GB" w:eastAsia="en-GB"/>
              </w:rPr>
            </w:pPr>
            <w:r w:rsidRPr="002A091D">
              <w:rPr>
                <w:sz w:val="20"/>
                <w:szCs w:val="20"/>
                <w:lang w:val="en-GB" w:eastAsia="en-GB"/>
              </w:rPr>
              <w:t>-0.0080</w:t>
            </w:r>
          </w:p>
        </w:tc>
        <w:tc>
          <w:tcPr>
            <w:tcW w:w="1173" w:type="dxa"/>
            <w:tcBorders>
              <w:top w:val="nil"/>
              <w:left w:val="nil"/>
              <w:bottom w:val="nil"/>
              <w:right w:val="nil"/>
            </w:tcBorders>
            <w:shd w:val="clear" w:color="auto" w:fill="auto"/>
            <w:noWrap/>
            <w:vAlign w:val="bottom"/>
            <w:hideMark/>
          </w:tcPr>
          <w:p w14:paraId="3BF81724" w14:textId="77777777" w:rsidR="003D2E90" w:rsidRPr="002A091D" w:rsidRDefault="003D2E90" w:rsidP="003D2E90">
            <w:pPr>
              <w:jc w:val="right"/>
              <w:rPr>
                <w:sz w:val="20"/>
                <w:szCs w:val="20"/>
                <w:lang w:val="en-GB" w:eastAsia="en-GB"/>
              </w:rPr>
            </w:pPr>
            <w:r w:rsidRPr="002A091D">
              <w:rPr>
                <w:sz w:val="20"/>
                <w:szCs w:val="20"/>
                <w:lang w:val="en-GB" w:eastAsia="en-GB"/>
              </w:rPr>
              <w:t>-0.0058</w:t>
            </w:r>
          </w:p>
        </w:tc>
        <w:tc>
          <w:tcPr>
            <w:tcW w:w="843" w:type="dxa"/>
            <w:tcBorders>
              <w:top w:val="nil"/>
              <w:left w:val="nil"/>
              <w:bottom w:val="nil"/>
              <w:right w:val="nil"/>
            </w:tcBorders>
            <w:shd w:val="clear" w:color="auto" w:fill="auto"/>
            <w:noWrap/>
            <w:vAlign w:val="bottom"/>
            <w:hideMark/>
          </w:tcPr>
          <w:p w14:paraId="379C8AA2" w14:textId="77777777" w:rsidR="003D2E90" w:rsidRPr="002A091D" w:rsidRDefault="003D2E90" w:rsidP="003D2E90">
            <w:pPr>
              <w:jc w:val="right"/>
              <w:rPr>
                <w:sz w:val="20"/>
                <w:szCs w:val="20"/>
                <w:lang w:val="en-GB" w:eastAsia="en-GB"/>
              </w:rPr>
            </w:pPr>
            <w:r w:rsidRPr="002A091D">
              <w:rPr>
                <w:sz w:val="20"/>
                <w:szCs w:val="20"/>
                <w:lang w:val="en-GB" w:eastAsia="en-GB"/>
              </w:rPr>
              <w:t>-0.0095</w:t>
            </w:r>
          </w:p>
        </w:tc>
        <w:tc>
          <w:tcPr>
            <w:tcW w:w="1173" w:type="dxa"/>
            <w:tcBorders>
              <w:top w:val="nil"/>
              <w:left w:val="nil"/>
              <w:bottom w:val="nil"/>
              <w:right w:val="nil"/>
            </w:tcBorders>
            <w:shd w:val="clear" w:color="auto" w:fill="auto"/>
            <w:noWrap/>
            <w:vAlign w:val="bottom"/>
            <w:hideMark/>
          </w:tcPr>
          <w:p w14:paraId="0B7F386E" w14:textId="77777777" w:rsidR="003D2E90" w:rsidRPr="002A091D" w:rsidRDefault="003D2E90" w:rsidP="003D2E90">
            <w:pPr>
              <w:jc w:val="right"/>
              <w:rPr>
                <w:sz w:val="20"/>
                <w:szCs w:val="20"/>
                <w:lang w:val="en-GB" w:eastAsia="en-GB"/>
              </w:rPr>
            </w:pPr>
            <w:r w:rsidRPr="002A091D">
              <w:rPr>
                <w:sz w:val="20"/>
                <w:szCs w:val="20"/>
                <w:lang w:val="en-GB" w:eastAsia="en-GB"/>
              </w:rPr>
              <w:t>-0.0093</w:t>
            </w:r>
          </w:p>
        </w:tc>
        <w:tc>
          <w:tcPr>
            <w:tcW w:w="843" w:type="dxa"/>
            <w:tcBorders>
              <w:top w:val="nil"/>
              <w:left w:val="nil"/>
              <w:bottom w:val="nil"/>
              <w:right w:val="nil"/>
            </w:tcBorders>
            <w:shd w:val="clear" w:color="auto" w:fill="auto"/>
            <w:noWrap/>
            <w:vAlign w:val="bottom"/>
            <w:hideMark/>
          </w:tcPr>
          <w:p w14:paraId="2AA483B1" w14:textId="77777777" w:rsidR="003D2E90" w:rsidRPr="002A091D" w:rsidRDefault="003D2E90" w:rsidP="003D2E90">
            <w:pPr>
              <w:jc w:val="right"/>
              <w:rPr>
                <w:sz w:val="20"/>
                <w:szCs w:val="20"/>
                <w:lang w:val="en-GB" w:eastAsia="en-GB"/>
              </w:rPr>
            </w:pPr>
            <w:r w:rsidRPr="002A091D">
              <w:rPr>
                <w:sz w:val="20"/>
                <w:szCs w:val="20"/>
                <w:lang w:val="en-GB" w:eastAsia="en-GB"/>
              </w:rPr>
              <w:t>-0.0153</w:t>
            </w:r>
          </w:p>
        </w:tc>
        <w:tc>
          <w:tcPr>
            <w:tcW w:w="952" w:type="dxa"/>
            <w:tcBorders>
              <w:top w:val="nil"/>
              <w:left w:val="nil"/>
              <w:bottom w:val="nil"/>
              <w:right w:val="nil"/>
            </w:tcBorders>
            <w:shd w:val="clear" w:color="auto" w:fill="auto"/>
            <w:noWrap/>
            <w:vAlign w:val="bottom"/>
            <w:hideMark/>
          </w:tcPr>
          <w:p w14:paraId="045CEBD4" w14:textId="77777777" w:rsidR="003D2E90" w:rsidRPr="002A091D" w:rsidRDefault="003D2E90" w:rsidP="003D2E90">
            <w:pPr>
              <w:jc w:val="right"/>
              <w:rPr>
                <w:sz w:val="20"/>
                <w:szCs w:val="20"/>
                <w:lang w:val="en-GB" w:eastAsia="en-GB"/>
              </w:rPr>
            </w:pPr>
            <w:r w:rsidRPr="002A091D">
              <w:rPr>
                <w:sz w:val="20"/>
                <w:szCs w:val="20"/>
                <w:lang w:val="en-GB" w:eastAsia="en-GB"/>
              </w:rPr>
              <w:t>0.0037</w:t>
            </w:r>
          </w:p>
        </w:tc>
        <w:tc>
          <w:tcPr>
            <w:tcW w:w="1173" w:type="dxa"/>
            <w:tcBorders>
              <w:top w:val="nil"/>
              <w:left w:val="nil"/>
              <w:bottom w:val="nil"/>
              <w:right w:val="nil"/>
            </w:tcBorders>
            <w:shd w:val="clear" w:color="auto" w:fill="auto"/>
            <w:noWrap/>
            <w:vAlign w:val="bottom"/>
            <w:hideMark/>
          </w:tcPr>
          <w:p w14:paraId="7BCFE546" w14:textId="77777777" w:rsidR="003D2E90" w:rsidRPr="002A091D" w:rsidRDefault="003D2E90" w:rsidP="003D2E90">
            <w:pPr>
              <w:jc w:val="right"/>
              <w:rPr>
                <w:sz w:val="20"/>
                <w:szCs w:val="20"/>
                <w:lang w:val="en-GB" w:eastAsia="en-GB"/>
              </w:rPr>
            </w:pPr>
            <w:r w:rsidRPr="002A091D">
              <w:rPr>
                <w:sz w:val="20"/>
                <w:szCs w:val="20"/>
                <w:lang w:val="en-GB" w:eastAsia="en-GB"/>
              </w:rPr>
              <w:t>-0.0063</w:t>
            </w:r>
          </w:p>
        </w:tc>
        <w:tc>
          <w:tcPr>
            <w:tcW w:w="1173" w:type="dxa"/>
            <w:tcBorders>
              <w:top w:val="nil"/>
              <w:left w:val="nil"/>
              <w:bottom w:val="nil"/>
              <w:right w:val="nil"/>
            </w:tcBorders>
            <w:shd w:val="clear" w:color="auto" w:fill="auto"/>
            <w:noWrap/>
            <w:vAlign w:val="bottom"/>
            <w:hideMark/>
          </w:tcPr>
          <w:p w14:paraId="719BB6A6" w14:textId="77777777" w:rsidR="003D2E90" w:rsidRPr="002A091D" w:rsidRDefault="003D2E90" w:rsidP="003D2E90">
            <w:pPr>
              <w:jc w:val="right"/>
              <w:rPr>
                <w:sz w:val="20"/>
                <w:szCs w:val="20"/>
                <w:lang w:val="en-GB" w:eastAsia="en-GB"/>
              </w:rPr>
            </w:pPr>
            <w:r w:rsidRPr="002A091D">
              <w:rPr>
                <w:sz w:val="20"/>
                <w:szCs w:val="20"/>
                <w:lang w:val="en-GB" w:eastAsia="en-GB"/>
              </w:rPr>
              <w:t>-0.0042</w:t>
            </w:r>
          </w:p>
        </w:tc>
        <w:tc>
          <w:tcPr>
            <w:tcW w:w="843" w:type="dxa"/>
            <w:tcBorders>
              <w:top w:val="nil"/>
              <w:left w:val="nil"/>
              <w:bottom w:val="nil"/>
              <w:right w:val="nil"/>
            </w:tcBorders>
            <w:shd w:val="clear" w:color="auto" w:fill="auto"/>
            <w:noWrap/>
            <w:vAlign w:val="bottom"/>
            <w:hideMark/>
          </w:tcPr>
          <w:p w14:paraId="7DBAE0D5" w14:textId="77777777" w:rsidR="003D2E90" w:rsidRPr="002A091D" w:rsidRDefault="003D2E90" w:rsidP="003D2E90">
            <w:pPr>
              <w:jc w:val="right"/>
              <w:rPr>
                <w:sz w:val="20"/>
                <w:szCs w:val="20"/>
                <w:lang w:val="en-GB" w:eastAsia="en-GB"/>
              </w:rPr>
            </w:pPr>
            <w:r w:rsidRPr="002A091D">
              <w:rPr>
                <w:sz w:val="20"/>
                <w:szCs w:val="20"/>
                <w:lang w:val="en-GB" w:eastAsia="en-GB"/>
              </w:rPr>
              <w:t>4.0100</w:t>
            </w:r>
          </w:p>
        </w:tc>
      </w:tr>
      <w:tr w:rsidR="003C25CE" w:rsidRPr="002A091D" w14:paraId="2E42766D" w14:textId="77777777" w:rsidTr="003C25CE">
        <w:trPr>
          <w:trHeight w:val="270"/>
        </w:trPr>
        <w:tc>
          <w:tcPr>
            <w:tcW w:w="2044" w:type="dxa"/>
            <w:tcBorders>
              <w:top w:val="nil"/>
              <w:left w:val="nil"/>
              <w:bottom w:val="nil"/>
              <w:right w:val="nil"/>
            </w:tcBorders>
            <w:shd w:val="clear" w:color="auto" w:fill="auto"/>
            <w:noWrap/>
            <w:vAlign w:val="bottom"/>
            <w:hideMark/>
          </w:tcPr>
          <w:p w14:paraId="73A16E2F" w14:textId="77777777" w:rsidR="003D2E90" w:rsidRPr="002A091D" w:rsidRDefault="003D2E90" w:rsidP="003D2E90">
            <w:pPr>
              <w:rPr>
                <w:sz w:val="20"/>
                <w:szCs w:val="20"/>
                <w:lang w:val="en-GB" w:eastAsia="en-GB"/>
              </w:rPr>
            </w:pPr>
            <w:r w:rsidRPr="002A091D">
              <w:rPr>
                <w:sz w:val="20"/>
                <w:szCs w:val="20"/>
                <w:lang w:val="en-GB" w:eastAsia="en-GB"/>
              </w:rPr>
              <w:t>T_value</w:t>
            </w:r>
          </w:p>
        </w:tc>
        <w:tc>
          <w:tcPr>
            <w:tcW w:w="842" w:type="dxa"/>
            <w:tcBorders>
              <w:top w:val="nil"/>
              <w:left w:val="nil"/>
              <w:bottom w:val="nil"/>
              <w:right w:val="nil"/>
            </w:tcBorders>
            <w:shd w:val="clear" w:color="auto" w:fill="auto"/>
            <w:noWrap/>
            <w:vAlign w:val="bottom"/>
            <w:hideMark/>
          </w:tcPr>
          <w:p w14:paraId="130CFD9C" w14:textId="77777777" w:rsidR="003D2E90" w:rsidRPr="002A091D" w:rsidRDefault="003D2E90" w:rsidP="003D2E90">
            <w:pPr>
              <w:jc w:val="right"/>
              <w:rPr>
                <w:sz w:val="20"/>
                <w:szCs w:val="20"/>
                <w:lang w:val="en-GB" w:eastAsia="en-GB"/>
              </w:rPr>
            </w:pPr>
            <w:r w:rsidRPr="002A091D">
              <w:rPr>
                <w:sz w:val="20"/>
                <w:szCs w:val="20"/>
                <w:lang w:val="en-GB" w:eastAsia="en-GB"/>
              </w:rPr>
              <w:t>0.7665</w:t>
            </w:r>
          </w:p>
        </w:tc>
        <w:tc>
          <w:tcPr>
            <w:tcW w:w="1080" w:type="dxa"/>
            <w:tcBorders>
              <w:top w:val="nil"/>
              <w:left w:val="nil"/>
              <w:bottom w:val="nil"/>
              <w:right w:val="nil"/>
            </w:tcBorders>
            <w:shd w:val="clear" w:color="auto" w:fill="auto"/>
            <w:noWrap/>
            <w:vAlign w:val="bottom"/>
            <w:hideMark/>
          </w:tcPr>
          <w:p w14:paraId="7469F8F3" w14:textId="77777777" w:rsidR="003D2E90" w:rsidRPr="002A091D" w:rsidRDefault="003D2E90" w:rsidP="003D2E90">
            <w:pPr>
              <w:jc w:val="right"/>
              <w:rPr>
                <w:sz w:val="20"/>
                <w:szCs w:val="20"/>
                <w:lang w:val="en-GB" w:eastAsia="en-GB"/>
              </w:rPr>
            </w:pPr>
            <w:r w:rsidRPr="002A091D">
              <w:rPr>
                <w:sz w:val="20"/>
                <w:szCs w:val="20"/>
                <w:lang w:val="en-GB" w:eastAsia="en-GB"/>
              </w:rPr>
              <w:t>-1.9379</w:t>
            </w:r>
            <w:r w:rsidR="003C25CE" w:rsidRPr="002A091D">
              <w:rPr>
                <w:sz w:val="20"/>
                <w:szCs w:val="20"/>
                <w:lang w:val="en-GB" w:eastAsia="en-GB"/>
              </w:rPr>
              <w:t>*</w:t>
            </w:r>
          </w:p>
        </w:tc>
        <w:tc>
          <w:tcPr>
            <w:tcW w:w="1341" w:type="dxa"/>
            <w:tcBorders>
              <w:top w:val="nil"/>
              <w:left w:val="nil"/>
              <w:bottom w:val="nil"/>
              <w:right w:val="nil"/>
            </w:tcBorders>
            <w:shd w:val="clear" w:color="auto" w:fill="auto"/>
            <w:noWrap/>
            <w:vAlign w:val="bottom"/>
            <w:hideMark/>
          </w:tcPr>
          <w:p w14:paraId="208073B9" w14:textId="77777777" w:rsidR="003D2E90" w:rsidRPr="002A091D" w:rsidRDefault="003D2E90" w:rsidP="003D2E90">
            <w:pPr>
              <w:jc w:val="right"/>
              <w:rPr>
                <w:sz w:val="20"/>
                <w:szCs w:val="20"/>
                <w:lang w:val="en-GB" w:eastAsia="en-GB"/>
              </w:rPr>
            </w:pPr>
            <w:r w:rsidRPr="002A091D">
              <w:rPr>
                <w:sz w:val="20"/>
                <w:szCs w:val="20"/>
                <w:lang w:val="en-GB" w:eastAsia="en-GB"/>
              </w:rPr>
              <w:t>-2.4321</w:t>
            </w:r>
            <w:r w:rsidR="003C25CE" w:rsidRPr="002A091D">
              <w:rPr>
                <w:sz w:val="20"/>
                <w:szCs w:val="20"/>
                <w:lang w:val="en-GB" w:eastAsia="en-GB"/>
              </w:rPr>
              <w:t>***</w:t>
            </w:r>
          </w:p>
        </w:tc>
        <w:tc>
          <w:tcPr>
            <w:tcW w:w="1109" w:type="dxa"/>
            <w:tcBorders>
              <w:top w:val="nil"/>
              <w:left w:val="nil"/>
              <w:bottom w:val="nil"/>
              <w:right w:val="nil"/>
            </w:tcBorders>
            <w:shd w:val="clear" w:color="auto" w:fill="auto"/>
            <w:noWrap/>
            <w:vAlign w:val="bottom"/>
            <w:hideMark/>
          </w:tcPr>
          <w:p w14:paraId="7AE433FB" w14:textId="77777777" w:rsidR="003D2E90" w:rsidRPr="002A091D" w:rsidRDefault="003D2E90" w:rsidP="003D2E90">
            <w:pPr>
              <w:jc w:val="right"/>
              <w:rPr>
                <w:sz w:val="20"/>
                <w:szCs w:val="20"/>
                <w:lang w:val="en-GB" w:eastAsia="en-GB"/>
              </w:rPr>
            </w:pPr>
            <w:r w:rsidRPr="002A091D">
              <w:rPr>
                <w:sz w:val="20"/>
                <w:szCs w:val="20"/>
                <w:lang w:val="en-GB" w:eastAsia="en-GB"/>
              </w:rPr>
              <w:t>-2.3790</w:t>
            </w:r>
            <w:r w:rsidR="003C25CE" w:rsidRPr="002A091D">
              <w:rPr>
                <w:sz w:val="20"/>
                <w:szCs w:val="20"/>
                <w:lang w:val="en-GB" w:eastAsia="en-GB"/>
              </w:rPr>
              <w:t>***</w:t>
            </w:r>
          </w:p>
        </w:tc>
        <w:tc>
          <w:tcPr>
            <w:tcW w:w="1173" w:type="dxa"/>
            <w:tcBorders>
              <w:top w:val="nil"/>
              <w:left w:val="nil"/>
              <w:bottom w:val="nil"/>
              <w:right w:val="nil"/>
            </w:tcBorders>
            <w:shd w:val="clear" w:color="auto" w:fill="auto"/>
            <w:noWrap/>
            <w:vAlign w:val="bottom"/>
            <w:hideMark/>
          </w:tcPr>
          <w:p w14:paraId="1FAB11BB" w14:textId="77777777" w:rsidR="003D2E90" w:rsidRPr="002A091D" w:rsidRDefault="003D2E90" w:rsidP="003D2E90">
            <w:pPr>
              <w:jc w:val="right"/>
              <w:rPr>
                <w:sz w:val="20"/>
                <w:szCs w:val="20"/>
                <w:lang w:val="en-GB" w:eastAsia="en-GB"/>
              </w:rPr>
            </w:pPr>
            <w:r w:rsidRPr="002A091D">
              <w:rPr>
                <w:sz w:val="20"/>
                <w:szCs w:val="20"/>
                <w:lang w:val="en-GB" w:eastAsia="en-GB"/>
              </w:rPr>
              <w:t>-1.8309</w:t>
            </w:r>
            <w:r w:rsidR="003C25CE" w:rsidRPr="002A091D">
              <w:rPr>
                <w:sz w:val="20"/>
                <w:szCs w:val="20"/>
                <w:lang w:val="en-GB" w:eastAsia="en-GB"/>
              </w:rPr>
              <w:t>**</w:t>
            </w:r>
          </w:p>
        </w:tc>
        <w:tc>
          <w:tcPr>
            <w:tcW w:w="843" w:type="dxa"/>
            <w:tcBorders>
              <w:top w:val="nil"/>
              <w:left w:val="nil"/>
              <w:bottom w:val="nil"/>
              <w:right w:val="nil"/>
            </w:tcBorders>
            <w:shd w:val="clear" w:color="auto" w:fill="auto"/>
            <w:noWrap/>
            <w:vAlign w:val="bottom"/>
            <w:hideMark/>
          </w:tcPr>
          <w:p w14:paraId="00D3FBFE" w14:textId="77777777" w:rsidR="003D2E90" w:rsidRPr="002A091D" w:rsidRDefault="003D2E90" w:rsidP="003D2E90">
            <w:pPr>
              <w:jc w:val="right"/>
              <w:rPr>
                <w:sz w:val="20"/>
                <w:szCs w:val="20"/>
                <w:lang w:val="en-GB" w:eastAsia="en-GB"/>
              </w:rPr>
            </w:pPr>
            <w:r w:rsidRPr="002A091D">
              <w:rPr>
                <w:sz w:val="20"/>
                <w:szCs w:val="20"/>
                <w:lang w:val="en-GB" w:eastAsia="en-GB"/>
              </w:rPr>
              <w:t>-3.0350</w:t>
            </w:r>
          </w:p>
        </w:tc>
        <w:tc>
          <w:tcPr>
            <w:tcW w:w="1173" w:type="dxa"/>
            <w:tcBorders>
              <w:top w:val="nil"/>
              <w:left w:val="nil"/>
              <w:bottom w:val="nil"/>
              <w:right w:val="nil"/>
            </w:tcBorders>
            <w:shd w:val="clear" w:color="auto" w:fill="auto"/>
            <w:noWrap/>
            <w:vAlign w:val="bottom"/>
            <w:hideMark/>
          </w:tcPr>
          <w:p w14:paraId="5F76F692" w14:textId="77777777" w:rsidR="003D2E90" w:rsidRPr="002A091D" w:rsidRDefault="003D2E90" w:rsidP="003D2E90">
            <w:pPr>
              <w:jc w:val="right"/>
              <w:rPr>
                <w:sz w:val="20"/>
                <w:szCs w:val="20"/>
                <w:lang w:val="en-GB" w:eastAsia="en-GB"/>
              </w:rPr>
            </w:pPr>
            <w:r w:rsidRPr="002A091D">
              <w:rPr>
                <w:sz w:val="20"/>
                <w:szCs w:val="20"/>
                <w:lang w:val="en-GB" w:eastAsia="en-GB"/>
              </w:rPr>
              <w:t>-2.8462</w:t>
            </w:r>
          </w:p>
        </w:tc>
        <w:tc>
          <w:tcPr>
            <w:tcW w:w="843" w:type="dxa"/>
            <w:tcBorders>
              <w:top w:val="nil"/>
              <w:left w:val="nil"/>
              <w:bottom w:val="nil"/>
              <w:right w:val="nil"/>
            </w:tcBorders>
            <w:shd w:val="clear" w:color="auto" w:fill="auto"/>
            <w:noWrap/>
            <w:vAlign w:val="bottom"/>
            <w:hideMark/>
          </w:tcPr>
          <w:p w14:paraId="71DE1AD3" w14:textId="77777777" w:rsidR="003D2E90" w:rsidRPr="002A091D" w:rsidRDefault="003D2E90" w:rsidP="003D2E90">
            <w:pPr>
              <w:jc w:val="right"/>
              <w:rPr>
                <w:sz w:val="20"/>
                <w:szCs w:val="20"/>
                <w:lang w:val="en-GB" w:eastAsia="en-GB"/>
              </w:rPr>
            </w:pPr>
            <w:r w:rsidRPr="002A091D">
              <w:rPr>
                <w:sz w:val="20"/>
                <w:szCs w:val="20"/>
                <w:lang w:val="en-GB" w:eastAsia="en-GB"/>
              </w:rPr>
              <w:t>-3.9608</w:t>
            </w:r>
          </w:p>
        </w:tc>
        <w:tc>
          <w:tcPr>
            <w:tcW w:w="952" w:type="dxa"/>
            <w:tcBorders>
              <w:top w:val="nil"/>
              <w:left w:val="nil"/>
              <w:bottom w:val="nil"/>
              <w:right w:val="nil"/>
            </w:tcBorders>
            <w:shd w:val="clear" w:color="auto" w:fill="auto"/>
            <w:noWrap/>
            <w:vAlign w:val="bottom"/>
            <w:hideMark/>
          </w:tcPr>
          <w:p w14:paraId="70B80982" w14:textId="77777777" w:rsidR="003D2E90" w:rsidRPr="002A091D" w:rsidRDefault="003D2E90" w:rsidP="003D2E90">
            <w:pPr>
              <w:jc w:val="right"/>
              <w:rPr>
                <w:sz w:val="20"/>
                <w:szCs w:val="20"/>
                <w:lang w:val="en-GB" w:eastAsia="en-GB"/>
              </w:rPr>
            </w:pPr>
            <w:r w:rsidRPr="002A091D">
              <w:rPr>
                <w:sz w:val="20"/>
                <w:szCs w:val="20"/>
                <w:lang w:val="en-GB" w:eastAsia="en-GB"/>
              </w:rPr>
              <w:t>0.5050</w:t>
            </w:r>
          </w:p>
        </w:tc>
        <w:tc>
          <w:tcPr>
            <w:tcW w:w="1173" w:type="dxa"/>
            <w:tcBorders>
              <w:top w:val="nil"/>
              <w:left w:val="nil"/>
              <w:bottom w:val="nil"/>
              <w:right w:val="nil"/>
            </w:tcBorders>
            <w:shd w:val="clear" w:color="auto" w:fill="auto"/>
            <w:noWrap/>
            <w:vAlign w:val="bottom"/>
            <w:hideMark/>
          </w:tcPr>
          <w:p w14:paraId="5F51BFFA" w14:textId="77777777" w:rsidR="003D2E90" w:rsidRPr="002A091D" w:rsidRDefault="003D2E90" w:rsidP="003D2E90">
            <w:pPr>
              <w:jc w:val="right"/>
              <w:rPr>
                <w:sz w:val="20"/>
                <w:szCs w:val="20"/>
                <w:lang w:val="en-GB" w:eastAsia="en-GB"/>
              </w:rPr>
            </w:pPr>
            <w:r w:rsidRPr="002A091D">
              <w:rPr>
                <w:sz w:val="20"/>
                <w:szCs w:val="20"/>
                <w:lang w:val="en-GB" w:eastAsia="en-GB"/>
              </w:rPr>
              <w:t>-0.9284</w:t>
            </w:r>
          </w:p>
        </w:tc>
        <w:tc>
          <w:tcPr>
            <w:tcW w:w="1173" w:type="dxa"/>
            <w:tcBorders>
              <w:top w:val="nil"/>
              <w:left w:val="nil"/>
              <w:bottom w:val="nil"/>
              <w:right w:val="nil"/>
            </w:tcBorders>
            <w:shd w:val="clear" w:color="auto" w:fill="auto"/>
            <w:noWrap/>
            <w:vAlign w:val="bottom"/>
            <w:hideMark/>
          </w:tcPr>
          <w:p w14:paraId="5E3ECE7B" w14:textId="77777777" w:rsidR="003D2E90" w:rsidRPr="002A091D" w:rsidRDefault="003D2E90" w:rsidP="003D2E90">
            <w:pPr>
              <w:jc w:val="right"/>
              <w:rPr>
                <w:sz w:val="20"/>
                <w:szCs w:val="20"/>
                <w:lang w:val="en-GB" w:eastAsia="en-GB"/>
              </w:rPr>
            </w:pPr>
            <w:r w:rsidRPr="002A091D">
              <w:rPr>
                <w:sz w:val="20"/>
                <w:szCs w:val="20"/>
                <w:lang w:val="en-GB" w:eastAsia="en-GB"/>
              </w:rPr>
              <w:t>-0.5284</w:t>
            </w:r>
          </w:p>
        </w:tc>
        <w:tc>
          <w:tcPr>
            <w:tcW w:w="843" w:type="dxa"/>
            <w:tcBorders>
              <w:top w:val="nil"/>
              <w:left w:val="nil"/>
              <w:bottom w:val="nil"/>
              <w:right w:val="nil"/>
            </w:tcBorders>
            <w:shd w:val="clear" w:color="auto" w:fill="auto"/>
            <w:noWrap/>
            <w:vAlign w:val="bottom"/>
            <w:hideMark/>
          </w:tcPr>
          <w:p w14:paraId="2A843DC5" w14:textId="77777777" w:rsidR="003D2E90" w:rsidRPr="002A091D" w:rsidRDefault="003D2E90" w:rsidP="003D2E90">
            <w:pPr>
              <w:jc w:val="right"/>
              <w:rPr>
                <w:sz w:val="20"/>
                <w:szCs w:val="20"/>
                <w:lang w:val="en-GB" w:eastAsia="en-GB"/>
              </w:rPr>
            </w:pPr>
            <w:r w:rsidRPr="002A091D">
              <w:rPr>
                <w:sz w:val="20"/>
                <w:szCs w:val="20"/>
                <w:lang w:val="en-GB" w:eastAsia="en-GB"/>
              </w:rPr>
              <w:t>0.0469</w:t>
            </w:r>
          </w:p>
        </w:tc>
      </w:tr>
      <w:tr w:rsidR="003C25CE" w:rsidRPr="002A091D" w14:paraId="5078CE07" w14:textId="77777777" w:rsidTr="003C25CE">
        <w:trPr>
          <w:trHeight w:val="270"/>
        </w:trPr>
        <w:tc>
          <w:tcPr>
            <w:tcW w:w="2044" w:type="dxa"/>
            <w:tcBorders>
              <w:top w:val="nil"/>
              <w:left w:val="nil"/>
              <w:bottom w:val="nil"/>
              <w:right w:val="nil"/>
            </w:tcBorders>
            <w:shd w:val="clear" w:color="auto" w:fill="auto"/>
            <w:noWrap/>
            <w:vAlign w:val="bottom"/>
            <w:hideMark/>
          </w:tcPr>
          <w:p w14:paraId="46C5EE7E" w14:textId="77777777" w:rsidR="003D2E90" w:rsidRPr="002A091D" w:rsidRDefault="003D2E90" w:rsidP="003D2E90">
            <w:pPr>
              <w:rPr>
                <w:sz w:val="20"/>
                <w:szCs w:val="20"/>
                <w:lang w:val="en-GB" w:eastAsia="en-GB"/>
              </w:rPr>
            </w:pPr>
            <w:r w:rsidRPr="002A091D">
              <w:rPr>
                <w:sz w:val="20"/>
                <w:szCs w:val="20"/>
                <w:lang w:val="en-GB" w:eastAsia="en-GB"/>
              </w:rPr>
              <w:t>Carhart_alpha</w:t>
            </w:r>
          </w:p>
        </w:tc>
        <w:tc>
          <w:tcPr>
            <w:tcW w:w="842" w:type="dxa"/>
            <w:tcBorders>
              <w:top w:val="nil"/>
              <w:left w:val="nil"/>
              <w:bottom w:val="nil"/>
              <w:right w:val="nil"/>
            </w:tcBorders>
            <w:shd w:val="clear" w:color="auto" w:fill="auto"/>
            <w:noWrap/>
            <w:vAlign w:val="bottom"/>
            <w:hideMark/>
          </w:tcPr>
          <w:p w14:paraId="325B28C6" w14:textId="77777777" w:rsidR="003D2E90" w:rsidRPr="002A091D" w:rsidRDefault="003D2E90" w:rsidP="003D2E90">
            <w:pPr>
              <w:jc w:val="right"/>
              <w:rPr>
                <w:sz w:val="20"/>
                <w:szCs w:val="20"/>
                <w:lang w:val="en-GB" w:eastAsia="en-GB"/>
              </w:rPr>
            </w:pPr>
            <w:r w:rsidRPr="002A091D">
              <w:rPr>
                <w:sz w:val="20"/>
                <w:szCs w:val="20"/>
                <w:lang w:val="en-GB" w:eastAsia="en-GB"/>
              </w:rPr>
              <w:t>0.0001</w:t>
            </w:r>
          </w:p>
        </w:tc>
        <w:tc>
          <w:tcPr>
            <w:tcW w:w="1080" w:type="dxa"/>
            <w:tcBorders>
              <w:top w:val="nil"/>
              <w:left w:val="nil"/>
              <w:bottom w:val="nil"/>
              <w:right w:val="nil"/>
            </w:tcBorders>
            <w:shd w:val="clear" w:color="auto" w:fill="auto"/>
            <w:noWrap/>
            <w:vAlign w:val="bottom"/>
            <w:hideMark/>
          </w:tcPr>
          <w:p w14:paraId="6E37F4F7" w14:textId="77777777" w:rsidR="003D2E90" w:rsidRPr="002A091D" w:rsidRDefault="003D2E90" w:rsidP="003D2E90">
            <w:pPr>
              <w:jc w:val="right"/>
              <w:rPr>
                <w:sz w:val="20"/>
                <w:szCs w:val="20"/>
                <w:lang w:val="en-GB" w:eastAsia="en-GB"/>
              </w:rPr>
            </w:pPr>
            <w:r w:rsidRPr="002A091D">
              <w:rPr>
                <w:sz w:val="20"/>
                <w:szCs w:val="20"/>
                <w:lang w:val="en-GB" w:eastAsia="en-GB"/>
              </w:rPr>
              <w:t>-0.0140</w:t>
            </w:r>
          </w:p>
        </w:tc>
        <w:tc>
          <w:tcPr>
            <w:tcW w:w="1341" w:type="dxa"/>
            <w:tcBorders>
              <w:top w:val="nil"/>
              <w:left w:val="nil"/>
              <w:bottom w:val="nil"/>
              <w:right w:val="nil"/>
            </w:tcBorders>
            <w:shd w:val="clear" w:color="auto" w:fill="auto"/>
            <w:noWrap/>
            <w:vAlign w:val="bottom"/>
            <w:hideMark/>
          </w:tcPr>
          <w:p w14:paraId="73BD9B0B" w14:textId="77777777" w:rsidR="003D2E90" w:rsidRPr="002A091D" w:rsidRDefault="003D2E90" w:rsidP="003D2E90">
            <w:pPr>
              <w:jc w:val="right"/>
              <w:rPr>
                <w:sz w:val="20"/>
                <w:szCs w:val="20"/>
                <w:lang w:val="en-GB" w:eastAsia="en-GB"/>
              </w:rPr>
            </w:pPr>
            <w:r w:rsidRPr="002A091D">
              <w:rPr>
                <w:sz w:val="20"/>
                <w:szCs w:val="20"/>
                <w:lang w:val="en-GB" w:eastAsia="en-GB"/>
              </w:rPr>
              <w:t>-0.0109</w:t>
            </w:r>
          </w:p>
        </w:tc>
        <w:tc>
          <w:tcPr>
            <w:tcW w:w="1109" w:type="dxa"/>
            <w:tcBorders>
              <w:top w:val="nil"/>
              <w:left w:val="nil"/>
              <w:bottom w:val="nil"/>
              <w:right w:val="nil"/>
            </w:tcBorders>
            <w:shd w:val="clear" w:color="auto" w:fill="auto"/>
            <w:noWrap/>
            <w:vAlign w:val="bottom"/>
            <w:hideMark/>
          </w:tcPr>
          <w:p w14:paraId="4BF1E3D1" w14:textId="77777777" w:rsidR="003D2E90" w:rsidRPr="002A091D" w:rsidRDefault="003D2E90" w:rsidP="003D2E90">
            <w:pPr>
              <w:jc w:val="right"/>
              <w:rPr>
                <w:sz w:val="20"/>
                <w:szCs w:val="20"/>
                <w:lang w:val="en-GB" w:eastAsia="en-GB"/>
              </w:rPr>
            </w:pPr>
            <w:r w:rsidRPr="002A091D">
              <w:rPr>
                <w:sz w:val="20"/>
                <w:szCs w:val="20"/>
                <w:lang w:val="en-GB" w:eastAsia="en-GB"/>
              </w:rPr>
              <w:t>-0.0091</w:t>
            </w:r>
          </w:p>
        </w:tc>
        <w:tc>
          <w:tcPr>
            <w:tcW w:w="1173" w:type="dxa"/>
            <w:tcBorders>
              <w:top w:val="nil"/>
              <w:left w:val="nil"/>
              <w:bottom w:val="nil"/>
              <w:right w:val="nil"/>
            </w:tcBorders>
            <w:shd w:val="clear" w:color="auto" w:fill="auto"/>
            <w:noWrap/>
            <w:vAlign w:val="bottom"/>
            <w:hideMark/>
          </w:tcPr>
          <w:p w14:paraId="19BD9548" w14:textId="77777777" w:rsidR="003D2E90" w:rsidRPr="002A091D" w:rsidRDefault="003D2E90" w:rsidP="003D2E90">
            <w:pPr>
              <w:jc w:val="right"/>
              <w:rPr>
                <w:sz w:val="20"/>
                <w:szCs w:val="20"/>
                <w:lang w:val="en-GB" w:eastAsia="en-GB"/>
              </w:rPr>
            </w:pPr>
            <w:r w:rsidRPr="002A091D">
              <w:rPr>
                <w:sz w:val="20"/>
                <w:szCs w:val="20"/>
                <w:lang w:val="en-GB" w:eastAsia="en-GB"/>
              </w:rPr>
              <w:t>-0.0065</w:t>
            </w:r>
          </w:p>
        </w:tc>
        <w:tc>
          <w:tcPr>
            <w:tcW w:w="843" w:type="dxa"/>
            <w:tcBorders>
              <w:top w:val="nil"/>
              <w:left w:val="nil"/>
              <w:bottom w:val="nil"/>
              <w:right w:val="nil"/>
            </w:tcBorders>
            <w:shd w:val="clear" w:color="auto" w:fill="auto"/>
            <w:noWrap/>
            <w:vAlign w:val="bottom"/>
            <w:hideMark/>
          </w:tcPr>
          <w:p w14:paraId="1914A228" w14:textId="77777777" w:rsidR="003D2E90" w:rsidRPr="002A091D" w:rsidRDefault="003D2E90" w:rsidP="003D2E90">
            <w:pPr>
              <w:jc w:val="right"/>
              <w:rPr>
                <w:sz w:val="20"/>
                <w:szCs w:val="20"/>
                <w:lang w:val="en-GB" w:eastAsia="en-GB"/>
              </w:rPr>
            </w:pPr>
            <w:r w:rsidRPr="002A091D">
              <w:rPr>
                <w:sz w:val="20"/>
                <w:szCs w:val="20"/>
                <w:lang w:val="en-GB" w:eastAsia="en-GB"/>
              </w:rPr>
              <w:t>-0.0101</w:t>
            </w:r>
          </w:p>
        </w:tc>
        <w:tc>
          <w:tcPr>
            <w:tcW w:w="1173" w:type="dxa"/>
            <w:tcBorders>
              <w:top w:val="nil"/>
              <w:left w:val="nil"/>
              <w:bottom w:val="nil"/>
              <w:right w:val="nil"/>
            </w:tcBorders>
            <w:shd w:val="clear" w:color="auto" w:fill="auto"/>
            <w:noWrap/>
            <w:vAlign w:val="bottom"/>
            <w:hideMark/>
          </w:tcPr>
          <w:p w14:paraId="479D9872" w14:textId="77777777" w:rsidR="003D2E90" w:rsidRPr="002A091D" w:rsidRDefault="003D2E90" w:rsidP="003D2E90">
            <w:pPr>
              <w:jc w:val="right"/>
              <w:rPr>
                <w:sz w:val="20"/>
                <w:szCs w:val="20"/>
                <w:lang w:val="en-GB" w:eastAsia="en-GB"/>
              </w:rPr>
            </w:pPr>
            <w:r w:rsidRPr="002A091D">
              <w:rPr>
                <w:sz w:val="20"/>
                <w:szCs w:val="20"/>
                <w:lang w:val="en-GB" w:eastAsia="en-GB"/>
              </w:rPr>
              <w:t>-0.0080</w:t>
            </w:r>
          </w:p>
        </w:tc>
        <w:tc>
          <w:tcPr>
            <w:tcW w:w="843" w:type="dxa"/>
            <w:tcBorders>
              <w:top w:val="nil"/>
              <w:left w:val="nil"/>
              <w:bottom w:val="nil"/>
              <w:right w:val="nil"/>
            </w:tcBorders>
            <w:shd w:val="clear" w:color="auto" w:fill="auto"/>
            <w:noWrap/>
            <w:vAlign w:val="bottom"/>
            <w:hideMark/>
          </w:tcPr>
          <w:p w14:paraId="03EE24EF" w14:textId="77777777" w:rsidR="003D2E90" w:rsidRPr="002A091D" w:rsidRDefault="003D2E90" w:rsidP="003D2E90">
            <w:pPr>
              <w:jc w:val="right"/>
              <w:rPr>
                <w:sz w:val="20"/>
                <w:szCs w:val="20"/>
                <w:lang w:val="en-GB" w:eastAsia="en-GB"/>
              </w:rPr>
            </w:pPr>
            <w:r w:rsidRPr="002A091D">
              <w:rPr>
                <w:sz w:val="20"/>
                <w:szCs w:val="20"/>
                <w:lang w:val="en-GB" w:eastAsia="en-GB"/>
              </w:rPr>
              <w:t>-0.0151</w:t>
            </w:r>
          </w:p>
        </w:tc>
        <w:tc>
          <w:tcPr>
            <w:tcW w:w="952" w:type="dxa"/>
            <w:tcBorders>
              <w:top w:val="nil"/>
              <w:left w:val="nil"/>
              <w:bottom w:val="nil"/>
              <w:right w:val="nil"/>
            </w:tcBorders>
            <w:shd w:val="clear" w:color="auto" w:fill="auto"/>
            <w:noWrap/>
            <w:vAlign w:val="bottom"/>
            <w:hideMark/>
          </w:tcPr>
          <w:p w14:paraId="620B9E4B" w14:textId="77777777" w:rsidR="003D2E90" w:rsidRPr="002A091D" w:rsidRDefault="003D2E90" w:rsidP="003D2E90">
            <w:pPr>
              <w:jc w:val="right"/>
              <w:rPr>
                <w:sz w:val="20"/>
                <w:szCs w:val="20"/>
                <w:lang w:val="en-GB" w:eastAsia="en-GB"/>
              </w:rPr>
            </w:pPr>
            <w:r w:rsidRPr="002A091D">
              <w:rPr>
                <w:sz w:val="20"/>
                <w:szCs w:val="20"/>
                <w:lang w:val="en-GB" w:eastAsia="en-GB"/>
              </w:rPr>
              <w:t>0.0042</w:t>
            </w:r>
          </w:p>
        </w:tc>
        <w:tc>
          <w:tcPr>
            <w:tcW w:w="1173" w:type="dxa"/>
            <w:tcBorders>
              <w:top w:val="nil"/>
              <w:left w:val="nil"/>
              <w:bottom w:val="nil"/>
              <w:right w:val="nil"/>
            </w:tcBorders>
            <w:shd w:val="clear" w:color="auto" w:fill="auto"/>
            <w:noWrap/>
            <w:vAlign w:val="bottom"/>
            <w:hideMark/>
          </w:tcPr>
          <w:p w14:paraId="72C4894C" w14:textId="77777777" w:rsidR="003D2E90" w:rsidRPr="002A091D" w:rsidRDefault="003D2E90" w:rsidP="003D2E90">
            <w:pPr>
              <w:jc w:val="right"/>
              <w:rPr>
                <w:sz w:val="20"/>
                <w:szCs w:val="20"/>
                <w:lang w:val="en-GB" w:eastAsia="en-GB"/>
              </w:rPr>
            </w:pPr>
            <w:r w:rsidRPr="002A091D">
              <w:rPr>
                <w:sz w:val="20"/>
                <w:szCs w:val="20"/>
                <w:lang w:val="en-GB" w:eastAsia="en-GB"/>
              </w:rPr>
              <w:t>-0.0064</w:t>
            </w:r>
          </w:p>
        </w:tc>
        <w:tc>
          <w:tcPr>
            <w:tcW w:w="1173" w:type="dxa"/>
            <w:tcBorders>
              <w:top w:val="nil"/>
              <w:left w:val="nil"/>
              <w:bottom w:val="nil"/>
              <w:right w:val="nil"/>
            </w:tcBorders>
            <w:shd w:val="clear" w:color="auto" w:fill="auto"/>
            <w:noWrap/>
            <w:vAlign w:val="bottom"/>
            <w:hideMark/>
          </w:tcPr>
          <w:p w14:paraId="78D41195" w14:textId="77777777" w:rsidR="003D2E90" w:rsidRPr="002A091D" w:rsidRDefault="003D2E90" w:rsidP="003D2E90">
            <w:pPr>
              <w:jc w:val="right"/>
              <w:rPr>
                <w:sz w:val="20"/>
                <w:szCs w:val="20"/>
                <w:lang w:val="en-GB" w:eastAsia="en-GB"/>
              </w:rPr>
            </w:pPr>
            <w:r w:rsidRPr="002A091D">
              <w:rPr>
                <w:sz w:val="20"/>
                <w:szCs w:val="20"/>
                <w:lang w:val="en-GB" w:eastAsia="en-GB"/>
              </w:rPr>
              <w:t>-0.0029</w:t>
            </w:r>
          </w:p>
        </w:tc>
        <w:tc>
          <w:tcPr>
            <w:tcW w:w="843" w:type="dxa"/>
            <w:tcBorders>
              <w:top w:val="nil"/>
              <w:left w:val="nil"/>
              <w:bottom w:val="nil"/>
              <w:right w:val="nil"/>
            </w:tcBorders>
            <w:shd w:val="clear" w:color="auto" w:fill="auto"/>
            <w:noWrap/>
            <w:vAlign w:val="bottom"/>
            <w:hideMark/>
          </w:tcPr>
          <w:p w14:paraId="7AB36D66" w14:textId="77777777" w:rsidR="003D2E90" w:rsidRPr="002A091D" w:rsidRDefault="003D2E90" w:rsidP="003D2E90">
            <w:pPr>
              <w:jc w:val="right"/>
              <w:rPr>
                <w:sz w:val="20"/>
                <w:szCs w:val="20"/>
                <w:lang w:val="en-GB" w:eastAsia="en-GB"/>
              </w:rPr>
            </w:pPr>
            <w:r w:rsidRPr="002A091D">
              <w:rPr>
                <w:sz w:val="20"/>
                <w:szCs w:val="20"/>
                <w:lang w:val="en-GB" w:eastAsia="en-GB"/>
              </w:rPr>
              <w:t>3.6100</w:t>
            </w:r>
          </w:p>
        </w:tc>
      </w:tr>
      <w:tr w:rsidR="003C25CE" w:rsidRPr="002A091D" w14:paraId="5F4BD28F" w14:textId="77777777" w:rsidTr="003C25CE">
        <w:trPr>
          <w:trHeight w:val="279"/>
        </w:trPr>
        <w:tc>
          <w:tcPr>
            <w:tcW w:w="2044" w:type="dxa"/>
            <w:tcBorders>
              <w:top w:val="nil"/>
              <w:left w:val="nil"/>
              <w:bottom w:val="double" w:sz="6" w:space="0" w:color="auto"/>
              <w:right w:val="nil"/>
            </w:tcBorders>
            <w:shd w:val="clear" w:color="auto" w:fill="auto"/>
            <w:noWrap/>
            <w:vAlign w:val="bottom"/>
            <w:hideMark/>
          </w:tcPr>
          <w:p w14:paraId="4584B2A4" w14:textId="77777777" w:rsidR="003D2E90" w:rsidRPr="002A091D" w:rsidRDefault="003D2E90" w:rsidP="003D2E90">
            <w:pPr>
              <w:rPr>
                <w:sz w:val="20"/>
                <w:szCs w:val="20"/>
                <w:lang w:val="en-GB" w:eastAsia="en-GB"/>
              </w:rPr>
            </w:pPr>
            <w:r w:rsidRPr="002A091D">
              <w:rPr>
                <w:sz w:val="20"/>
                <w:szCs w:val="20"/>
                <w:lang w:val="en-GB" w:eastAsia="en-GB"/>
              </w:rPr>
              <w:t>T_value</w:t>
            </w:r>
          </w:p>
        </w:tc>
        <w:tc>
          <w:tcPr>
            <w:tcW w:w="842" w:type="dxa"/>
            <w:tcBorders>
              <w:top w:val="nil"/>
              <w:left w:val="nil"/>
              <w:bottom w:val="double" w:sz="6" w:space="0" w:color="auto"/>
              <w:right w:val="nil"/>
            </w:tcBorders>
            <w:shd w:val="clear" w:color="auto" w:fill="auto"/>
            <w:noWrap/>
            <w:vAlign w:val="bottom"/>
            <w:hideMark/>
          </w:tcPr>
          <w:p w14:paraId="0EC61E17" w14:textId="77777777" w:rsidR="003D2E90" w:rsidRPr="002A091D" w:rsidRDefault="003D2E90" w:rsidP="003D2E90">
            <w:pPr>
              <w:jc w:val="right"/>
              <w:rPr>
                <w:sz w:val="20"/>
                <w:szCs w:val="20"/>
                <w:lang w:val="en-GB" w:eastAsia="en-GB"/>
              </w:rPr>
            </w:pPr>
            <w:r w:rsidRPr="002A091D">
              <w:rPr>
                <w:sz w:val="20"/>
                <w:szCs w:val="20"/>
                <w:lang w:val="en-GB" w:eastAsia="en-GB"/>
              </w:rPr>
              <w:t>0.0356</w:t>
            </w:r>
          </w:p>
        </w:tc>
        <w:tc>
          <w:tcPr>
            <w:tcW w:w="1080" w:type="dxa"/>
            <w:tcBorders>
              <w:top w:val="nil"/>
              <w:left w:val="nil"/>
              <w:bottom w:val="double" w:sz="6" w:space="0" w:color="auto"/>
              <w:right w:val="nil"/>
            </w:tcBorders>
            <w:shd w:val="clear" w:color="auto" w:fill="auto"/>
            <w:noWrap/>
            <w:vAlign w:val="bottom"/>
            <w:hideMark/>
          </w:tcPr>
          <w:p w14:paraId="617D0A08" w14:textId="77777777" w:rsidR="003D2E90" w:rsidRPr="002A091D" w:rsidRDefault="003D2E90" w:rsidP="003D2E90">
            <w:pPr>
              <w:jc w:val="right"/>
              <w:rPr>
                <w:sz w:val="20"/>
                <w:szCs w:val="20"/>
                <w:lang w:val="en-GB" w:eastAsia="en-GB"/>
              </w:rPr>
            </w:pPr>
            <w:r w:rsidRPr="002A091D">
              <w:rPr>
                <w:sz w:val="20"/>
                <w:szCs w:val="20"/>
                <w:lang w:val="en-GB" w:eastAsia="en-GB"/>
              </w:rPr>
              <w:t>-3.3957</w:t>
            </w:r>
          </w:p>
        </w:tc>
        <w:tc>
          <w:tcPr>
            <w:tcW w:w="1341" w:type="dxa"/>
            <w:tcBorders>
              <w:top w:val="nil"/>
              <w:left w:val="nil"/>
              <w:bottom w:val="double" w:sz="6" w:space="0" w:color="auto"/>
              <w:right w:val="nil"/>
            </w:tcBorders>
            <w:shd w:val="clear" w:color="auto" w:fill="auto"/>
            <w:noWrap/>
            <w:vAlign w:val="bottom"/>
            <w:hideMark/>
          </w:tcPr>
          <w:p w14:paraId="14F6BF28" w14:textId="77777777" w:rsidR="003D2E90" w:rsidRPr="002A091D" w:rsidRDefault="003D2E90" w:rsidP="003D2E90">
            <w:pPr>
              <w:jc w:val="right"/>
              <w:rPr>
                <w:sz w:val="20"/>
                <w:szCs w:val="20"/>
                <w:lang w:val="en-GB" w:eastAsia="en-GB"/>
              </w:rPr>
            </w:pPr>
            <w:r w:rsidRPr="002A091D">
              <w:rPr>
                <w:sz w:val="20"/>
                <w:szCs w:val="20"/>
                <w:lang w:val="en-GB" w:eastAsia="en-GB"/>
              </w:rPr>
              <w:t>-3.1272</w:t>
            </w:r>
          </w:p>
        </w:tc>
        <w:tc>
          <w:tcPr>
            <w:tcW w:w="1109" w:type="dxa"/>
            <w:tcBorders>
              <w:top w:val="nil"/>
              <w:left w:val="nil"/>
              <w:bottom w:val="double" w:sz="6" w:space="0" w:color="auto"/>
              <w:right w:val="nil"/>
            </w:tcBorders>
            <w:shd w:val="clear" w:color="auto" w:fill="auto"/>
            <w:noWrap/>
            <w:vAlign w:val="bottom"/>
            <w:hideMark/>
          </w:tcPr>
          <w:p w14:paraId="59102ABC" w14:textId="77777777" w:rsidR="003D2E90" w:rsidRPr="002A091D" w:rsidRDefault="003D2E90" w:rsidP="003D2E90">
            <w:pPr>
              <w:jc w:val="right"/>
              <w:rPr>
                <w:sz w:val="20"/>
                <w:szCs w:val="20"/>
                <w:lang w:val="en-GB" w:eastAsia="en-GB"/>
              </w:rPr>
            </w:pPr>
            <w:r w:rsidRPr="002A091D">
              <w:rPr>
                <w:sz w:val="20"/>
                <w:szCs w:val="20"/>
                <w:lang w:val="en-GB" w:eastAsia="en-GB"/>
              </w:rPr>
              <w:t>-2.7745</w:t>
            </w:r>
          </w:p>
        </w:tc>
        <w:tc>
          <w:tcPr>
            <w:tcW w:w="1173" w:type="dxa"/>
            <w:tcBorders>
              <w:top w:val="nil"/>
              <w:left w:val="nil"/>
              <w:bottom w:val="double" w:sz="6" w:space="0" w:color="auto"/>
              <w:right w:val="nil"/>
            </w:tcBorders>
            <w:shd w:val="clear" w:color="auto" w:fill="auto"/>
            <w:noWrap/>
            <w:vAlign w:val="bottom"/>
            <w:hideMark/>
          </w:tcPr>
          <w:p w14:paraId="5C4459E4" w14:textId="77777777" w:rsidR="003D2E90" w:rsidRPr="002A091D" w:rsidRDefault="003D2E90" w:rsidP="003D2E90">
            <w:pPr>
              <w:jc w:val="right"/>
              <w:rPr>
                <w:sz w:val="20"/>
                <w:szCs w:val="20"/>
                <w:lang w:val="en-GB" w:eastAsia="en-GB"/>
              </w:rPr>
            </w:pPr>
            <w:r w:rsidRPr="002A091D">
              <w:rPr>
                <w:sz w:val="20"/>
                <w:szCs w:val="20"/>
                <w:lang w:val="en-GB" w:eastAsia="en-GB"/>
              </w:rPr>
              <w:t>-1.9949</w:t>
            </w:r>
            <w:r w:rsidR="003C25CE" w:rsidRPr="002A091D">
              <w:rPr>
                <w:sz w:val="20"/>
                <w:szCs w:val="20"/>
                <w:lang w:val="en-GB" w:eastAsia="en-GB"/>
              </w:rPr>
              <w:t>***</w:t>
            </w:r>
          </w:p>
        </w:tc>
        <w:tc>
          <w:tcPr>
            <w:tcW w:w="843" w:type="dxa"/>
            <w:tcBorders>
              <w:top w:val="nil"/>
              <w:left w:val="nil"/>
              <w:bottom w:val="double" w:sz="6" w:space="0" w:color="auto"/>
              <w:right w:val="nil"/>
            </w:tcBorders>
            <w:shd w:val="clear" w:color="auto" w:fill="auto"/>
            <w:noWrap/>
            <w:vAlign w:val="bottom"/>
            <w:hideMark/>
          </w:tcPr>
          <w:p w14:paraId="453979BD" w14:textId="77777777" w:rsidR="003D2E90" w:rsidRPr="002A091D" w:rsidRDefault="003D2E90" w:rsidP="003D2E90">
            <w:pPr>
              <w:jc w:val="right"/>
              <w:rPr>
                <w:sz w:val="20"/>
                <w:szCs w:val="20"/>
                <w:lang w:val="en-GB" w:eastAsia="en-GB"/>
              </w:rPr>
            </w:pPr>
            <w:r w:rsidRPr="002A091D">
              <w:rPr>
                <w:sz w:val="20"/>
                <w:szCs w:val="20"/>
                <w:lang w:val="en-GB" w:eastAsia="en-GB"/>
              </w:rPr>
              <w:t>-3.0418</w:t>
            </w:r>
          </w:p>
        </w:tc>
        <w:tc>
          <w:tcPr>
            <w:tcW w:w="1173" w:type="dxa"/>
            <w:tcBorders>
              <w:top w:val="nil"/>
              <w:left w:val="nil"/>
              <w:bottom w:val="double" w:sz="6" w:space="0" w:color="auto"/>
              <w:right w:val="nil"/>
            </w:tcBorders>
            <w:shd w:val="clear" w:color="auto" w:fill="auto"/>
            <w:noWrap/>
            <w:vAlign w:val="bottom"/>
            <w:hideMark/>
          </w:tcPr>
          <w:p w14:paraId="49000F71" w14:textId="77777777" w:rsidR="003D2E90" w:rsidRPr="002A091D" w:rsidRDefault="003D2E90" w:rsidP="003D2E90">
            <w:pPr>
              <w:jc w:val="right"/>
              <w:rPr>
                <w:sz w:val="20"/>
                <w:szCs w:val="20"/>
                <w:lang w:val="en-GB" w:eastAsia="en-GB"/>
              </w:rPr>
            </w:pPr>
            <w:r w:rsidRPr="002A091D">
              <w:rPr>
                <w:sz w:val="20"/>
                <w:szCs w:val="20"/>
                <w:lang w:val="en-GB" w:eastAsia="en-GB"/>
              </w:rPr>
              <w:t>-2.3522</w:t>
            </w:r>
            <w:r w:rsidR="003C25CE" w:rsidRPr="002A091D">
              <w:rPr>
                <w:sz w:val="20"/>
                <w:szCs w:val="20"/>
                <w:lang w:val="en-GB" w:eastAsia="en-GB"/>
              </w:rPr>
              <w:t>***</w:t>
            </w:r>
          </w:p>
        </w:tc>
        <w:tc>
          <w:tcPr>
            <w:tcW w:w="843" w:type="dxa"/>
            <w:tcBorders>
              <w:top w:val="nil"/>
              <w:left w:val="nil"/>
              <w:bottom w:val="double" w:sz="6" w:space="0" w:color="auto"/>
              <w:right w:val="nil"/>
            </w:tcBorders>
            <w:shd w:val="clear" w:color="auto" w:fill="auto"/>
            <w:noWrap/>
            <w:vAlign w:val="bottom"/>
            <w:hideMark/>
          </w:tcPr>
          <w:p w14:paraId="225D3C57" w14:textId="77777777" w:rsidR="003D2E90" w:rsidRPr="002A091D" w:rsidRDefault="003D2E90" w:rsidP="003D2E90">
            <w:pPr>
              <w:jc w:val="right"/>
              <w:rPr>
                <w:sz w:val="20"/>
                <w:szCs w:val="20"/>
                <w:lang w:val="en-GB" w:eastAsia="en-GB"/>
              </w:rPr>
            </w:pPr>
            <w:r w:rsidRPr="002A091D">
              <w:rPr>
                <w:sz w:val="20"/>
                <w:szCs w:val="20"/>
                <w:lang w:val="en-GB" w:eastAsia="en-GB"/>
              </w:rPr>
              <w:t>-3.7517</w:t>
            </w:r>
          </w:p>
        </w:tc>
        <w:tc>
          <w:tcPr>
            <w:tcW w:w="952" w:type="dxa"/>
            <w:tcBorders>
              <w:top w:val="nil"/>
              <w:left w:val="nil"/>
              <w:bottom w:val="double" w:sz="6" w:space="0" w:color="auto"/>
              <w:right w:val="nil"/>
            </w:tcBorders>
            <w:shd w:val="clear" w:color="auto" w:fill="auto"/>
            <w:noWrap/>
            <w:vAlign w:val="bottom"/>
            <w:hideMark/>
          </w:tcPr>
          <w:p w14:paraId="6DE0AAB9" w14:textId="77777777" w:rsidR="003D2E90" w:rsidRPr="002A091D" w:rsidRDefault="003D2E90" w:rsidP="003D2E90">
            <w:pPr>
              <w:jc w:val="right"/>
              <w:rPr>
                <w:sz w:val="20"/>
                <w:szCs w:val="20"/>
                <w:lang w:val="en-GB" w:eastAsia="en-GB"/>
              </w:rPr>
            </w:pPr>
            <w:r w:rsidRPr="002A091D">
              <w:rPr>
                <w:sz w:val="20"/>
                <w:szCs w:val="20"/>
                <w:lang w:val="en-GB" w:eastAsia="en-GB"/>
              </w:rPr>
              <w:t>0.5315</w:t>
            </w:r>
          </w:p>
        </w:tc>
        <w:tc>
          <w:tcPr>
            <w:tcW w:w="1173" w:type="dxa"/>
            <w:tcBorders>
              <w:top w:val="nil"/>
              <w:left w:val="nil"/>
              <w:bottom w:val="double" w:sz="6" w:space="0" w:color="auto"/>
              <w:right w:val="nil"/>
            </w:tcBorders>
            <w:shd w:val="clear" w:color="auto" w:fill="auto"/>
            <w:noWrap/>
            <w:vAlign w:val="bottom"/>
            <w:hideMark/>
          </w:tcPr>
          <w:p w14:paraId="5F02623B" w14:textId="77777777" w:rsidR="003D2E90" w:rsidRPr="002A091D" w:rsidRDefault="003D2E90" w:rsidP="003D2E90">
            <w:pPr>
              <w:jc w:val="right"/>
              <w:rPr>
                <w:sz w:val="20"/>
                <w:szCs w:val="20"/>
                <w:lang w:val="en-GB" w:eastAsia="en-GB"/>
              </w:rPr>
            </w:pPr>
            <w:r w:rsidRPr="002A091D">
              <w:rPr>
                <w:sz w:val="20"/>
                <w:szCs w:val="20"/>
                <w:lang w:val="en-GB" w:eastAsia="en-GB"/>
              </w:rPr>
              <w:t>-0.8801</w:t>
            </w:r>
          </w:p>
        </w:tc>
        <w:tc>
          <w:tcPr>
            <w:tcW w:w="1173" w:type="dxa"/>
            <w:tcBorders>
              <w:top w:val="nil"/>
              <w:left w:val="nil"/>
              <w:bottom w:val="double" w:sz="6" w:space="0" w:color="auto"/>
              <w:right w:val="nil"/>
            </w:tcBorders>
            <w:shd w:val="clear" w:color="auto" w:fill="auto"/>
            <w:noWrap/>
            <w:vAlign w:val="bottom"/>
            <w:hideMark/>
          </w:tcPr>
          <w:p w14:paraId="797F6857" w14:textId="77777777" w:rsidR="003D2E90" w:rsidRPr="002A091D" w:rsidRDefault="003D2E90" w:rsidP="003D2E90">
            <w:pPr>
              <w:jc w:val="right"/>
              <w:rPr>
                <w:sz w:val="20"/>
                <w:szCs w:val="20"/>
                <w:lang w:val="en-GB" w:eastAsia="en-GB"/>
              </w:rPr>
            </w:pPr>
            <w:r w:rsidRPr="002A091D">
              <w:rPr>
                <w:sz w:val="20"/>
                <w:szCs w:val="20"/>
                <w:lang w:val="en-GB" w:eastAsia="en-GB"/>
              </w:rPr>
              <w:t>-0.3384</w:t>
            </w:r>
          </w:p>
        </w:tc>
        <w:tc>
          <w:tcPr>
            <w:tcW w:w="843" w:type="dxa"/>
            <w:tcBorders>
              <w:top w:val="nil"/>
              <w:left w:val="nil"/>
              <w:bottom w:val="double" w:sz="6" w:space="0" w:color="auto"/>
              <w:right w:val="nil"/>
            </w:tcBorders>
            <w:shd w:val="clear" w:color="auto" w:fill="auto"/>
            <w:noWrap/>
            <w:vAlign w:val="bottom"/>
            <w:hideMark/>
          </w:tcPr>
          <w:p w14:paraId="27D2DBED" w14:textId="77777777" w:rsidR="003D2E90" w:rsidRPr="002A091D" w:rsidRDefault="003D2E90" w:rsidP="003D2E90">
            <w:pPr>
              <w:jc w:val="right"/>
              <w:rPr>
                <w:sz w:val="20"/>
                <w:szCs w:val="20"/>
                <w:lang w:val="en-GB" w:eastAsia="en-GB"/>
              </w:rPr>
            </w:pPr>
            <w:r w:rsidRPr="002A091D">
              <w:rPr>
                <w:sz w:val="20"/>
                <w:szCs w:val="20"/>
                <w:lang w:val="en-GB" w:eastAsia="en-GB"/>
              </w:rPr>
              <w:t>0.0594</w:t>
            </w:r>
          </w:p>
        </w:tc>
      </w:tr>
    </w:tbl>
    <w:p w14:paraId="7AD9B261" w14:textId="77777777" w:rsidR="00C97C97" w:rsidRPr="002A091D" w:rsidRDefault="00C97C97" w:rsidP="00C97C97">
      <w:pPr>
        <w:rPr>
          <w:sz w:val="20"/>
          <w:szCs w:val="20"/>
        </w:rPr>
      </w:pPr>
    </w:p>
    <w:p w14:paraId="0C9D2BCD" w14:textId="77777777" w:rsidR="00C97C97" w:rsidRPr="002A091D" w:rsidRDefault="00C97C97" w:rsidP="00C97C97">
      <w:pPr>
        <w:ind w:left="-709" w:right="-784"/>
        <w:jc w:val="both"/>
        <w:rPr>
          <w:sz w:val="20"/>
          <w:szCs w:val="20"/>
        </w:rPr>
      </w:pPr>
      <w:r w:rsidRPr="002A091D">
        <w:rPr>
          <w:sz w:val="20"/>
          <w:szCs w:val="20"/>
          <w:lang w:eastAsia="en-GB"/>
        </w:rPr>
        <w:t xml:space="preserve">The alpha of the value-weighted portfolios arranged on the basis of the return-to-volume (RtoV) price impact ratio. The table illustrates the abnormal performance of the 10 value-weighted portfolios. Among the 10 portfolios, P1 comprises the stocks with the lowest RtoV ratio and P10 contains those with the highest RtoV price impact ratio. The spread between the portfolios is represented as (P10 – P1). The CAPM alpha is determined as the annualized alpha estimate resulting from the capital asset-pricing model (CAPM). In addition, the Fama–French alpha is calculated as the annualized alpha estimate resulting from the Fama–French three-factor model. Moreover, the final model is based on the Carhart four-factor model and the Carhart annualized alpha estimate is derived from the Carhart four-factor model. T-values are reported under each model alpha. Finally, the last column of the table represents the chi-square statistics obtained through the Wald test testing to the null hypothesis </w:t>
      </w:r>
      <m:oMath>
        <m:sSub>
          <m:sSubPr>
            <m:ctrlPr>
              <w:rPr>
                <w:rFonts w:ascii="Cambria Math" w:hAnsi="Cambria Math"/>
                <w:i/>
                <w:sz w:val="20"/>
                <w:szCs w:val="20"/>
                <w:lang w:eastAsia="en-GB"/>
              </w:rPr>
            </m:ctrlPr>
          </m:sSubPr>
          <m:e>
            <m:r>
              <w:rPr>
                <w:rFonts w:ascii="Cambria Math" w:hAnsi="Cambria Math"/>
                <w:sz w:val="20"/>
                <w:szCs w:val="20"/>
                <w:lang w:eastAsia="en-GB"/>
              </w:rPr>
              <m:t>H</m:t>
            </m:r>
          </m:e>
          <m:sub>
            <m:r>
              <w:rPr>
                <w:rFonts w:ascii="Cambria Math" w:hAnsi="Cambria Math"/>
                <w:sz w:val="20"/>
                <w:szCs w:val="20"/>
                <w:lang w:eastAsia="en-GB"/>
              </w:rPr>
              <m:t>0</m:t>
            </m:r>
          </m:sub>
        </m:sSub>
        <m:r>
          <w:rPr>
            <w:rFonts w:ascii="Cambria Math" w:hAnsi="Cambria Math"/>
            <w:sz w:val="20"/>
            <w:szCs w:val="20"/>
            <w:lang w:eastAsia="en-GB"/>
          </w:rPr>
          <m:t xml:space="preserve"> </m:t>
        </m:r>
      </m:oMath>
      <w:r w:rsidRPr="002A091D">
        <w:rPr>
          <w:sz w:val="20"/>
          <w:szCs w:val="20"/>
          <w:lang w:eastAsia="en-GB"/>
        </w:rPr>
        <w:t xml:space="preserve">= The alphas of the 10 portfolios are jointly equal to zero. p-values are reported below the statistics. </w:t>
      </w:r>
      <w:r w:rsidRPr="002A091D">
        <w:rPr>
          <w:sz w:val="20"/>
          <w:szCs w:val="20"/>
        </w:rPr>
        <w:t xml:space="preserve">*,**, and *** indicate significance at 10%, 5% and 1% respectively. </w:t>
      </w:r>
    </w:p>
    <w:p w14:paraId="04A614FE" w14:textId="77777777" w:rsidR="00C97C97" w:rsidRPr="002A091D" w:rsidRDefault="00C97C97" w:rsidP="00C97C97">
      <w:pPr>
        <w:spacing w:line="480" w:lineRule="auto"/>
        <w:jc w:val="both"/>
        <w:rPr>
          <w:sz w:val="20"/>
          <w:szCs w:val="20"/>
          <w:lang w:eastAsia="en-GB"/>
        </w:rPr>
      </w:pPr>
    </w:p>
    <w:p w14:paraId="72800C9E" w14:textId="77777777" w:rsidR="00C97C97" w:rsidRPr="002A091D" w:rsidRDefault="00C97C97" w:rsidP="00C97C97">
      <w:pPr>
        <w:rPr>
          <w:sz w:val="20"/>
          <w:szCs w:val="20"/>
        </w:rPr>
      </w:pPr>
    </w:p>
    <w:p w14:paraId="3570FA04" w14:textId="77777777" w:rsidR="00C97C97" w:rsidRPr="002A091D" w:rsidRDefault="00C97C97" w:rsidP="00C97C97">
      <w:pPr>
        <w:rPr>
          <w:sz w:val="20"/>
          <w:szCs w:val="20"/>
        </w:rPr>
      </w:pPr>
    </w:p>
    <w:p w14:paraId="4A344597" w14:textId="77777777" w:rsidR="00C97C97" w:rsidRPr="002A091D" w:rsidRDefault="00C97C97" w:rsidP="00C97C97">
      <w:pPr>
        <w:rPr>
          <w:sz w:val="20"/>
          <w:szCs w:val="20"/>
        </w:rPr>
      </w:pPr>
    </w:p>
    <w:p w14:paraId="525E9F66" w14:textId="77777777" w:rsidR="00C97C97" w:rsidRPr="002A091D" w:rsidRDefault="00C97C97" w:rsidP="00C97C97">
      <w:pPr>
        <w:rPr>
          <w:sz w:val="20"/>
          <w:szCs w:val="20"/>
        </w:rPr>
      </w:pPr>
    </w:p>
    <w:p w14:paraId="1315FB54" w14:textId="77777777" w:rsidR="00C97C97" w:rsidRPr="002A091D" w:rsidRDefault="00C97C97" w:rsidP="00C97C97">
      <w:pPr>
        <w:rPr>
          <w:sz w:val="20"/>
          <w:szCs w:val="20"/>
        </w:rPr>
      </w:pPr>
    </w:p>
    <w:p w14:paraId="4D576EE0" w14:textId="77777777" w:rsidR="00C97C97" w:rsidRPr="002A091D" w:rsidRDefault="00C97C97" w:rsidP="00C97C97">
      <w:pPr>
        <w:rPr>
          <w:sz w:val="20"/>
          <w:szCs w:val="20"/>
        </w:rPr>
      </w:pPr>
    </w:p>
    <w:p w14:paraId="2E456B68" w14:textId="77777777" w:rsidR="009B0551" w:rsidRPr="002A091D" w:rsidRDefault="009B0551" w:rsidP="00C97C97">
      <w:pPr>
        <w:rPr>
          <w:sz w:val="20"/>
          <w:szCs w:val="20"/>
        </w:rPr>
        <w:sectPr w:rsidR="009B0551" w:rsidRPr="002A091D" w:rsidSect="00905E5C">
          <w:pgSz w:w="16838" w:h="11906" w:orient="landscape" w:code="9"/>
          <w:pgMar w:top="1800" w:right="1440" w:bottom="1800" w:left="1440" w:header="720" w:footer="720" w:gutter="0"/>
          <w:cols w:space="720"/>
          <w:docGrid w:linePitch="299"/>
        </w:sectPr>
      </w:pPr>
    </w:p>
    <w:p w14:paraId="38363B11" w14:textId="77777777" w:rsidR="00C3707A" w:rsidRPr="002A091D" w:rsidRDefault="00C3707A" w:rsidP="00C3707A">
      <w:pPr>
        <w:rPr>
          <w:lang w:val="en-GB" w:eastAsia="zh-CN"/>
        </w:rPr>
      </w:pPr>
    </w:p>
    <w:p w14:paraId="1384BD31" w14:textId="77777777" w:rsidR="003741DC" w:rsidRPr="002A091D" w:rsidRDefault="00C3707A" w:rsidP="00740866">
      <w:pPr>
        <w:pStyle w:val="Caption"/>
        <w:ind w:left="-851"/>
        <w:rPr>
          <w:rFonts w:ascii="Times New Roman" w:hAnsi="Times New Roman" w:cs="Times New Roman"/>
          <w:b/>
          <w:i w:val="0"/>
          <w:color w:val="auto"/>
          <w:sz w:val="20"/>
          <w:szCs w:val="20"/>
        </w:rPr>
      </w:pPr>
      <w:bookmarkStart w:id="31" w:name="_Toc489731662"/>
      <w:r w:rsidRPr="002A091D">
        <w:rPr>
          <w:rFonts w:ascii="Times New Roman" w:hAnsi="Times New Roman" w:cs="Times New Roman"/>
          <w:b/>
          <w:i w:val="0"/>
          <w:color w:val="auto"/>
          <w:sz w:val="20"/>
          <w:szCs w:val="20"/>
        </w:rPr>
        <w:t>Table 5: Alphas of the Value-Weighted Portfolios Sorted by the Return-to-Turnover Rate (RtoTR) Price Impact Ratio</w:t>
      </w:r>
      <w:bookmarkEnd w:id="31"/>
    </w:p>
    <w:p w14:paraId="665AB540" w14:textId="77777777" w:rsidR="00C3707A" w:rsidRPr="002A091D" w:rsidRDefault="00C3707A" w:rsidP="00C3707A">
      <w:pPr>
        <w:rPr>
          <w:lang w:val="en-GB" w:eastAsia="zh-CN"/>
        </w:rPr>
      </w:pPr>
    </w:p>
    <w:tbl>
      <w:tblPr>
        <w:tblW w:w="14894" w:type="dxa"/>
        <w:tblLook w:val="04A0" w:firstRow="1" w:lastRow="0" w:firstColumn="1" w:lastColumn="0" w:noHBand="0" w:noVBand="1"/>
      </w:tblPr>
      <w:tblGrid>
        <w:gridCol w:w="2225"/>
        <w:gridCol w:w="1027"/>
        <w:gridCol w:w="1027"/>
        <w:gridCol w:w="1033"/>
        <w:gridCol w:w="1140"/>
        <w:gridCol w:w="1140"/>
        <w:gridCol w:w="1027"/>
        <w:gridCol w:w="1027"/>
        <w:gridCol w:w="1140"/>
        <w:gridCol w:w="1027"/>
        <w:gridCol w:w="1027"/>
        <w:gridCol w:w="1027"/>
        <w:gridCol w:w="1027"/>
      </w:tblGrid>
      <w:tr w:rsidR="003D2E90" w:rsidRPr="002A091D" w14:paraId="25DF183B" w14:textId="77777777" w:rsidTr="003C25CE">
        <w:trPr>
          <w:trHeight w:val="248"/>
        </w:trPr>
        <w:tc>
          <w:tcPr>
            <w:tcW w:w="2225" w:type="dxa"/>
            <w:tcBorders>
              <w:top w:val="nil"/>
              <w:left w:val="nil"/>
              <w:bottom w:val="nil"/>
              <w:right w:val="nil"/>
            </w:tcBorders>
            <w:shd w:val="clear" w:color="auto" w:fill="auto"/>
            <w:noWrap/>
            <w:vAlign w:val="bottom"/>
            <w:hideMark/>
          </w:tcPr>
          <w:p w14:paraId="40E837C9" w14:textId="77777777" w:rsidR="003D2E90" w:rsidRPr="002A091D" w:rsidRDefault="003D2E90" w:rsidP="003D2E90">
            <w:pPr>
              <w:rPr>
                <w:sz w:val="20"/>
                <w:szCs w:val="20"/>
                <w:lang w:val="en-GB" w:eastAsia="en-GB"/>
              </w:rPr>
            </w:pPr>
          </w:p>
        </w:tc>
        <w:tc>
          <w:tcPr>
            <w:tcW w:w="1027" w:type="dxa"/>
            <w:tcBorders>
              <w:top w:val="single" w:sz="4" w:space="0" w:color="auto"/>
              <w:left w:val="nil"/>
              <w:bottom w:val="single" w:sz="8" w:space="0" w:color="auto"/>
              <w:right w:val="nil"/>
            </w:tcBorders>
            <w:shd w:val="clear" w:color="auto" w:fill="auto"/>
            <w:noWrap/>
            <w:vAlign w:val="bottom"/>
            <w:hideMark/>
          </w:tcPr>
          <w:p w14:paraId="27B0E433" w14:textId="77777777" w:rsidR="003D2E90" w:rsidRPr="002A091D" w:rsidRDefault="003D2E90" w:rsidP="003D2E90">
            <w:pPr>
              <w:rPr>
                <w:sz w:val="20"/>
                <w:szCs w:val="20"/>
                <w:lang w:val="en-GB" w:eastAsia="en-GB"/>
              </w:rPr>
            </w:pPr>
            <w:r w:rsidRPr="002A091D">
              <w:rPr>
                <w:sz w:val="20"/>
                <w:szCs w:val="20"/>
                <w:lang w:val="en-GB" w:eastAsia="en-GB"/>
              </w:rPr>
              <w:t>P1</w:t>
            </w:r>
          </w:p>
        </w:tc>
        <w:tc>
          <w:tcPr>
            <w:tcW w:w="1027" w:type="dxa"/>
            <w:tcBorders>
              <w:top w:val="single" w:sz="4" w:space="0" w:color="auto"/>
              <w:left w:val="nil"/>
              <w:bottom w:val="single" w:sz="8" w:space="0" w:color="auto"/>
              <w:right w:val="nil"/>
            </w:tcBorders>
            <w:shd w:val="clear" w:color="auto" w:fill="auto"/>
            <w:noWrap/>
            <w:vAlign w:val="bottom"/>
            <w:hideMark/>
          </w:tcPr>
          <w:p w14:paraId="482F4B9F" w14:textId="77777777" w:rsidR="003D2E90" w:rsidRPr="002A091D" w:rsidRDefault="003D2E90" w:rsidP="003D2E90">
            <w:pPr>
              <w:rPr>
                <w:sz w:val="20"/>
                <w:szCs w:val="20"/>
                <w:lang w:val="en-GB" w:eastAsia="en-GB"/>
              </w:rPr>
            </w:pPr>
            <w:r w:rsidRPr="002A091D">
              <w:rPr>
                <w:sz w:val="20"/>
                <w:szCs w:val="20"/>
                <w:lang w:val="en-GB" w:eastAsia="en-GB"/>
              </w:rPr>
              <w:t>P2</w:t>
            </w:r>
          </w:p>
        </w:tc>
        <w:tc>
          <w:tcPr>
            <w:tcW w:w="1033" w:type="dxa"/>
            <w:tcBorders>
              <w:top w:val="single" w:sz="4" w:space="0" w:color="auto"/>
              <w:left w:val="nil"/>
              <w:bottom w:val="single" w:sz="8" w:space="0" w:color="auto"/>
              <w:right w:val="nil"/>
            </w:tcBorders>
            <w:shd w:val="clear" w:color="auto" w:fill="auto"/>
            <w:noWrap/>
            <w:vAlign w:val="bottom"/>
            <w:hideMark/>
          </w:tcPr>
          <w:p w14:paraId="5974FD75" w14:textId="77777777" w:rsidR="003D2E90" w:rsidRPr="002A091D" w:rsidRDefault="003D2E90" w:rsidP="003D2E90">
            <w:pPr>
              <w:rPr>
                <w:sz w:val="20"/>
                <w:szCs w:val="20"/>
                <w:lang w:val="en-GB" w:eastAsia="en-GB"/>
              </w:rPr>
            </w:pPr>
            <w:r w:rsidRPr="002A091D">
              <w:rPr>
                <w:sz w:val="20"/>
                <w:szCs w:val="20"/>
                <w:lang w:val="en-GB" w:eastAsia="en-GB"/>
              </w:rPr>
              <w:t>P3</w:t>
            </w:r>
          </w:p>
        </w:tc>
        <w:tc>
          <w:tcPr>
            <w:tcW w:w="1140" w:type="dxa"/>
            <w:tcBorders>
              <w:top w:val="single" w:sz="4" w:space="0" w:color="auto"/>
              <w:left w:val="nil"/>
              <w:bottom w:val="single" w:sz="8" w:space="0" w:color="auto"/>
              <w:right w:val="nil"/>
            </w:tcBorders>
            <w:shd w:val="clear" w:color="auto" w:fill="auto"/>
            <w:noWrap/>
            <w:vAlign w:val="bottom"/>
            <w:hideMark/>
          </w:tcPr>
          <w:p w14:paraId="782C6484" w14:textId="77777777" w:rsidR="003D2E90" w:rsidRPr="002A091D" w:rsidRDefault="003D2E90" w:rsidP="003D2E90">
            <w:pPr>
              <w:rPr>
                <w:sz w:val="20"/>
                <w:szCs w:val="20"/>
                <w:lang w:val="en-GB" w:eastAsia="en-GB"/>
              </w:rPr>
            </w:pPr>
            <w:r w:rsidRPr="002A091D">
              <w:rPr>
                <w:sz w:val="20"/>
                <w:szCs w:val="20"/>
                <w:lang w:val="en-GB" w:eastAsia="en-GB"/>
              </w:rPr>
              <w:t>P4</w:t>
            </w:r>
          </w:p>
        </w:tc>
        <w:tc>
          <w:tcPr>
            <w:tcW w:w="1140" w:type="dxa"/>
            <w:tcBorders>
              <w:top w:val="single" w:sz="4" w:space="0" w:color="auto"/>
              <w:left w:val="nil"/>
              <w:bottom w:val="single" w:sz="8" w:space="0" w:color="auto"/>
              <w:right w:val="nil"/>
            </w:tcBorders>
            <w:shd w:val="clear" w:color="auto" w:fill="auto"/>
            <w:noWrap/>
            <w:vAlign w:val="bottom"/>
            <w:hideMark/>
          </w:tcPr>
          <w:p w14:paraId="5A191530" w14:textId="77777777" w:rsidR="003D2E90" w:rsidRPr="002A091D" w:rsidRDefault="003D2E90" w:rsidP="003D2E90">
            <w:pPr>
              <w:rPr>
                <w:sz w:val="20"/>
                <w:szCs w:val="20"/>
                <w:lang w:val="en-GB" w:eastAsia="en-GB"/>
              </w:rPr>
            </w:pPr>
            <w:r w:rsidRPr="002A091D">
              <w:rPr>
                <w:sz w:val="20"/>
                <w:szCs w:val="20"/>
                <w:lang w:val="en-GB" w:eastAsia="en-GB"/>
              </w:rPr>
              <w:t>P5</w:t>
            </w:r>
          </w:p>
        </w:tc>
        <w:tc>
          <w:tcPr>
            <w:tcW w:w="1027" w:type="dxa"/>
            <w:tcBorders>
              <w:top w:val="single" w:sz="4" w:space="0" w:color="auto"/>
              <w:left w:val="nil"/>
              <w:bottom w:val="single" w:sz="8" w:space="0" w:color="auto"/>
              <w:right w:val="nil"/>
            </w:tcBorders>
            <w:shd w:val="clear" w:color="auto" w:fill="auto"/>
            <w:noWrap/>
            <w:vAlign w:val="bottom"/>
            <w:hideMark/>
          </w:tcPr>
          <w:p w14:paraId="0F4EA862" w14:textId="77777777" w:rsidR="003D2E90" w:rsidRPr="002A091D" w:rsidRDefault="003D2E90" w:rsidP="003D2E90">
            <w:pPr>
              <w:rPr>
                <w:sz w:val="20"/>
                <w:szCs w:val="20"/>
                <w:lang w:val="en-GB" w:eastAsia="en-GB"/>
              </w:rPr>
            </w:pPr>
            <w:r w:rsidRPr="002A091D">
              <w:rPr>
                <w:sz w:val="20"/>
                <w:szCs w:val="20"/>
                <w:lang w:val="en-GB" w:eastAsia="en-GB"/>
              </w:rPr>
              <w:t>P6</w:t>
            </w:r>
          </w:p>
        </w:tc>
        <w:tc>
          <w:tcPr>
            <w:tcW w:w="1027" w:type="dxa"/>
            <w:tcBorders>
              <w:top w:val="single" w:sz="4" w:space="0" w:color="auto"/>
              <w:left w:val="nil"/>
              <w:bottom w:val="single" w:sz="8" w:space="0" w:color="auto"/>
              <w:right w:val="nil"/>
            </w:tcBorders>
            <w:shd w:val="clear" w:color="auto" w:fill="auto"/>
            <w:noWrap/>
            <w:vAlign w:val="bottom"/>
            <w:hideMark/>
          </w:tcPr>
          <w:p w14:paraId="579E7830" w14:textId="77777777" w:rsidR="003D2E90" w:rsidRPr="002A091D" w:rsidRDefault="003D2E90" w:rsidP="003D2E90">
            <w:pPr>
              <w:rPr>
                <w:sz w:val="20"/>
                <w:szCs w:val="20"/>
                <w:lang w:val="en-GB" w:eastAsia="en-GB"/>
              </w:rPr>
            </w:pPr>
            <w:r w:rsidRPr="002A091D">
              <w:rPr>
                <w:sz w:val="20"/>
                <w:szCs w:val="20"/>
                <w:lang w:val="en-GB" w:eastAsia="en-GB"/>
              </w:rPr>
              <w:t>P7</w:t>
            </w:r>
          </w:p>
        </w:tc>
        <w:tc>
          <w:tcPr>
            <w:tcW w:w="1140" w:type="dxa"/>
            <w:tcBorders>
              <w:top w:val="single" w:sz="4" w:space="0" w:color="auto"/>
              <w:left w:val="nil"/>
              <w:bottom w:val="single" w:sz="8" w:space="0" w:color="auto"/>
              <w:right w:val="nil"/>
            </w:tcBorders>
            <w:shd w:val="clear" w:color="auto" w:fill="auto"/>
            <w:noWrap/>
            <w:vAlign w:val="bottom"/>
            <w:hideMark/>
          </w:tcPr>
          <w:p w14:paraId="7575B94D" w14:textId="77777777" w:rsidR="003D2E90" w:rsidRPr="002A091D" w:rsidRDefault="003D2E90" w:rsidP="003D2E90">
            <w:pPr>
              <w:rPr>
                <w:sz w:val="20"/>
                <w:szCs w:val="20"/>
                <w:lang w:val="en-GB" w:eastAsia="en-GB"/>
              </w:rPr>
            </w:pPr>
            <w:r w:rsidRPr="002A091D">
              <w:rPr>
                <w:sz w:val="20"/>
                <w:szCs w:val="20"/>
                <w:lang w:val="en-GB" w:eastAsia="en-GB"/>
              </w:rPr>
              <w:t>P8</w:t>
            </w:r>
          </w:p>
        </w:tc>
        <w:tc>
          <w:tcPr>
            <w:tcW w:w="1027" w:type="dxa"/>
            <w:tcBorders>
              <w:top w:val="single" w:sz="4" w:space="0" w:color="auto"/>
              <w:left w:val="nil"/>
              <w:bottom w:val="single" w:sz="8" w:space="0" w:color="auto"/>
              <w:right w:val="nil"/>
            </w:tcBorders>
            <w:shd w:val="clear" w:color="auto" w:fill="auto"/>
            <w:noWrap/>
            <w:vAlign w:val="bottom"/>
            <w:hideMark/>
          </w:tcPr>
          <w:p w14:paraId="4052C671" w14:textId="77777777" w:rsidR="003D2E90" w:rsidRPr="002A091D" w:rsidRDefault="003D2E90" w:rsidP="003D2E90">
            <w:pPr>
              <w:rPr>
                <w:sz w:val="20"/>
                <w:szCs w:val="20"/>
                <w:lang w:val="en-GB" w:eastAsia="en-GB"/>
              </w:rPr>
            </w:pPr>
            <w:r w:rsidRPr="002A091D">
              <w:rPr>
                <w:sz w:val="20"/>
                <w:szCs w:val="20"/>
                <w:lang w:val="en-GB" w:eastAsia="en-GB"/>
              </w:rPr>
              <w:t>P9</w:t>
            </w:r>
          </w:p>
        </w:tc>
        <w:tc>
          <w:tcPr>
            <w:tcW w:w="1027" w:type="dxa"/>
            <w:tcBorders>
              <w:top w:val="single" w:sz="4" w:space="0" w:color="auto"/>
              <w:left w:val="nil"/>
              <w:bottom w:val="single" w:sz="8" w:space="0" w:color="auto"/>
              <w:right w:val="nil"/>
            </w:tcBorders>
            <w:shd w:val="clear" w:color="auto" w:fill="auto"/>
            <w:noWrap/>
            <w:vAlign w:val="bottom"/>
            <w:hideMark/>
          </w:tcPr>
          <w:p w14:paraId="4293C67A" w14:textId="77777777" w:rsidR="003D2E90" w:rsidRPr="002A091D" w:rsidRDefault="003D2E90" w:rsidP="003D2E90">
            <w:pPr>
              <w:rPr>
                <w:sz w:val="20"/>
                <w:szCs w:val="20"/>
                <w:lang w:val="en-GB" w:eastAsia="en-GB"/>
              </w:rPr>
            </w:pPr>
            <w:r w:rsidRPr="002A091D">
              <w:rPr>
                <w:sz w:val="20"/>
                <w:szCs w:val="20"/>
                <w:lang w:val="en-GB" w:eastAsia="en-GB"/>
              </w:rPr>
              <w:t>P10</w:t>
            </w:r>
          </w:p>
        </w:tc>
        <w:tc>
          <w:tcPr>
            <w:tcW w:w="1027" w:type="dxa"/>
            <w:tcBorders>
              <w:top w:val="single" w:sz="4" w:space="0" w:color="auto"/>
              <w:left w:val="nil"/>
              <w:bottom w:val="single" w:sz="8" w:space="0" w:color="auto"/>
              <w:right w:val="nil"/>
            </w:tcBorders>
            <w:shd w:val="clear" w:color="auto" w:fill="auto"/>
            <w:noWrap/>
            <w:vAlign w:val="bottom"/>
            <w:hideMark/>
          </w:tcPr>
          <w:p w14:paraId="3A31FF9A" w14:textId="77777777" w:rsidR="003D2E90" w:rsidRPr="002A091D" w:rsidRDefault="003D2E90" w:rsidP="003D2E90">
            <w:pPr>
              <w:rPr>
                <w:sz w:val="20"/>
                <w:szCs w:val="20"/>
                <w:lang w:val="en-GB" w:eastAsia="en-GB"/>
              </w:rPr>
            </w:pPr>
            <w:r w:rsidRPr="002A091D">
              <w:rPr>
                <w:sz w:val="20"/>
                <w:szCs w:val="20"/>
                <w:lang w:val="en-GB" w:eastAsia="en-GB"/>
              </w:rPr>
              <w:t>P1-P10</w:t>
            </w:r>
          </w:p>
        </w:tc>
        <w:tc>
          <w:tcPr>
            <w:tcW w:w="1027" w:type="dxa"/>
            <w:tcBorders>
              <w:top w:val="single" w:sz="4" w:space="0" w:color="auto"/>
              <w:left w:val="nil"/>
              <w:bottom w:val="single" w:sz="8" w:space="0" w:color="auto"/>
              <w:right w:val="nil"/>
            </w:tcBorders>
            <w:shd w:val="clear" w:color="auto" w:fill="auto"/>
            <w:noWrap/>
            <w:vAlign w:val="bottom"/>
            <w:hideMark/>
          </w:tcPr>
          <w:p w14:paraId="2B278326" w14:textId="77777777" w:rsidR="003D2E90" w:rsidRPr="002A091D" w:rsidRDefault="003D2E90" w:rsidP="003D2E90">
            <w:pPr>
              <w:rPr>
                <w:sz w:val="20"/>
                <w:szCs w:val="20"/>
                <w:lang w:val="en-GB" w:eastAsia="en-GB"/>
              </w:rPr>
            </w:pPr>
            <w:r w:rsidRPr="002A091D">
              <w:rPr>
                <w:sz w:val="20"/>
                <w:szCs w:val="20"/>
                <w:lang w:val="en-GB" w:eastAsia="en-GB"/>
              </w:rPr>
              <w:t>Wald</w:t>
            </w:r>
          </w:p>
        </w:tc>
      </w:tr>
      <w:tr w:rsidR="003D2E90" w:rsidRPr="002A091D" w14:paraId="0ADBC757" w14:textId="77777777" w:rsidTr="003C25CE">
        <w:trPr>
          <w:trHeight w:val="240"/>
        </w:trPr>
        <w:tc>
          <w:tcPr>
            <w:tcW w:w="2225" w:type="dxa"/>
            <w:tcBorders>
              <w:top w:val="nil"/>
              <w:left w:val="nil"/>
              <w:bottom w:val="nil"/>
              <w:right w:val="nil"/>
            </w:tcBorders>
            <w:shd w:val="clear" w:color="auto" w:fill="auto"/>
            <w:noWrap/>
            <w:vAlign w:val="bottom"/>
            <w:hideMark/>
          </w:tcPr>
          <w:p w14:paraId="7AB15796" w14:textId="77777777" w:rsidR="003D2E90" w:rsidRPr="002A091D" w:rsidRDefault="003D2E90" w:rsidP="003D2E90">
            <w:pPr>
              <w:rPr>
                <w:sz w:val="20"/>
                <w:szCs w:val="20"/>
                <w:lang w:val="en-GB" w:eastAsia="en-GB"/>
              </w:rPr>
            </w:pPr>
            <w:r w:rsidRPr="002A091D">
              <w:rPr>
                <w:sz w:val="20"/>
                <w:szCs w:val="20"/>
                <w:lang w:val="en-GB" w:eastAsia="en-GB"/>
              </w:rPr>
              <w:t>CAPM_alpha</w:t>
            </w:r>
          </w:p>
        </w:tc>
        <w:tc>
          <w:tcPr>
            <w:tcW w:w="1027" w:type="dxa"/>
            <w:tcBorders>
              <w:top w:val="nil"/>
              <w:left w:val="nil"/>
              <w:bottom w:val="nil"/>
              <w:right w:val="nil"/>
            </w:tcBorders>
            <w:shd w:val="clear" w:color="auto" w:fill="auto"/>
            <w:noWrap/>
            <w:vAlign w:val="bottom"/>
            <w:hideMark/>
          </w:tcPr>
          <w:p w14:paraId="007A12A0" w14:textId="77777777" w:rsidR="003D2E90" w:rsidRPr="002A091D" w:rsidRDefault="003D2E90" w:rsidP="003D2E90">
            <w:pPr>
              <w:jc w:val="right"/>
              <w:rPr>
                <w:sz w:val="20"/>
                <w:szCs w:val="20"/>
                <w:lang w:val="en-GB" w:eastAsia="en-GB"/>
              </w:rPr>
            </w:pPr>
            <w:r w:rsidRPr="002A091D">
              <w:rPr>
                <w:sz w:val="20"/>
                <w:szCs w:val="20"/>
                <w:lang w:val="en-GB" w:eastAsia="en-GB"/>
              </w:rPr>
              <w:t>-0.0013</w:t>
            </w:r>
          </w:p>
        </w:tc>
        <w:tc>
          <w:tcPr>
            <w:tcW w:w="1027" w:type="dxa"/>
            <w:tcBorders>
              <w:top w:val="nil"/>
              <w:left w:val="nil"/>
              <w:bottom w:val="nil"/>
              <w:right w:val="nil"/>
            </w:tcBorders>
            <w:shd w:val="clear" w:color="auto" w:fill="auto"/>
            <w:noWrap/>
            <w:vAlign w:val="bottom"/>
            <w:hideMark/>
          </w:tcPr>
          <w:p w14:paraId="662944C9" w14:textId="77777777" w:rsidR="003D2E90" w:rsidRPr="002A091D" w:rsidRDefault="003D2E90" w:rsidP="003D2E90">
            <w:pPr>
              <w:jc w:val="right"/>
              <w:rPr>
                <w:sz w:val="20"/>
                <w:szCs w:val="20"/>
                <w:lang w:val="en-GB" w:eastAsia="en-GB"/>
              </w:rPr>
            </w:pPr>
            <w:r w:rsidRPr="002A091D">
              <w:rPr>
                <w:sz w:val="20"/>
                <w:szCs w:val="20"/>
                <w:lang w:val="en-GB" w:eastAsia="en-GB"/>
              </w:rPr>
              <w:t>-0.0113</w:t>
            </w:r>
          </w:p>
        </w:tc>
        <w:tc>
          <w:tcPr>
            <w:tcW w:w="1033" w:type="dxa"/>
            <w:tcBorders>
              <w:top w:val="nil"/>
              <w:left w:val="nil"/>
              <w:bottom w:val="nil"/>
              <w:right w:val="nil"/>
            </w:tcBorders>
            <w:shd w:val="clear" w:color="auto" w:fill="auto"/>
            <w:noWrap/>
            <w:vAlign w:val="bottom"/>
            <w:hideMark/>
          </w:tcPr>
          <w:p w14:paraId="5840C9DB" w14:textId="77777777" w:rsidR="003D2E90" w:rsidRPr="002A091D" w:rsidRDefault="003D2E90" w:rsidP="003D2E90">
            <w:pPr>
              <w:jc w:val="right"/>
              <w:rPr>
                <w:sz w:val="20"/>
                <w:szCs w:val="20"/>
                <w:lang w:val="en-GB" w:eastAsia="en-GB"/>
              </w:rPr>
            </w:pPr>
            <w:r w:rsidRPr="002A091D">
              <w:rPr>
                <w:sz w:val="20"/>
                <w:szCs w:val="20"/>
                <w:lang w:val="en-GB" w:eastAsia="en-GB"/>
              </w:rPr>
              <w:t>-0.0023</w:t>
            </w:r>
          </w:p>
        </w:tc>
        <w:tc>
          <w:tcPr>
            <w:tcW w:w="1140" w:type="dxa"/>
            <w:tcBorders>
              <w:top w:val="nil"/>
              <w:left w:val="nil"/>
              <w:bottom w:val="nil"/>
              <w:right w:val="nil"/>
            </w:tcBorders>
            <w:shd w:val="clear" w:color="auto" w:fill="auto"/>
            <w:noWrap/>
            <w:vAlign w:val="bottom"/>
            <w:hideMark/>
          </w:tcPr>
          <w:p w14:paraId="488CBF02" w14:textId="77777777" w:rsidR="003D2E90" w:rsidRPr="002A091D" w:rsidRDefault="003D2E90" w:rsidP="003D2E90">
            <w:pPr>
              <w:jc w:val="right"/>
              <w:rPr>
                <w:sz w:val="20"/>
                <w:szCs w:val="20"/>
                <w:lang w:val="en-GB" w:eastAsia="en-GB"/>
              </w:rPr>
            </w:pPr>
            <w:r w:rsidRPr="002A091D">
              <w:rPr>
                <w:sz w:val="20"/>
                <w:szCs w:val="20"/>
                <w:lang w:val="en-GB" w:eastAsia="en-GB"/>
              </w:rPr>
              <w:t>-0.0051</w:t>
            </w:r>
          </w:p>
        </w:tc>
        <w:tc>
          <w:tcPr>
            <w:tcW w:w="1140" w:type="dxa"/>
            <w:tcBorders>
              <w:top w:val="nil"/>
              <w:left w:val="nil"/>
              <w:bottom w:val="nil"/>
              <w:right w:val="nil"/>
            </w:tcBorders>
            <w:shd w:val="clear" w:color="auto" w:fill="auto"/>
            <w:noWrap/>
            <w:vAlign w:val="bottom"/>
            <w:hideMark/>
          </w:tcPr>
          <w:p w14:paraId="5A889182" w14:textId="77777777" w:rsidR="003D2E90" w:rsidRPr="002A091D" w:rsidRDefault="003D2E90" w:rsidP="003D2E90">
            <w:pPr>
              <w:jc w:val="right"/>
              <w:rPr>
                <w:sz w:val="20"/>
                <w:szCs w:val="20"/>
                <w:lang w:val="en-GB" w:eastAsia="en-GB"/>
              </w:rPr>
            </w:pPr>
            <w:r w:rsidRPr="002A091D">
              <w:rPr>
                <w:sz w:val="20"/>
                <w:szCs w:val="20"/>
                <w:lang w:val="en-GB" w:eastAsia="en-GB"/>
              </w:rPr>
              <w:t>0.0019</w:t>
            </w:r>
          </w:p>
        </w:tc>
        <w:tc>
          <w:tcPr>
            <w:tcW w:w="1027" w:type="dxa"/>
            <w:tcBorders>
              <w:top w:val="nil"/>
              <w:left w:val="nil"/>
              <w:bottom w:val="nil"/>
              <w:right w:val="nil"/>
            </w:tcBorders>
            <w:shd w:val="clear" w:color="auto" w:fill="auto"/>
            <w:noWrap/>
            <w:vAlign w:val="bottom"/>
            <w:hideMark/>
          </w:tcPr>
          <w:p w14:paraId="444303A4" w14:textId="77777777" w:rsidR="003D2E90" w:rsidRPr="002A091D" w:rsidRDefault="003D2E90" w:rsidP="003D2E90">
            <w:pPr>
              <w:jc w:val="right"/>
              <w:rPr>
                <w:sz w:val="20"/>
                <w:szCs w:val="20"/>
                <w:lang w:val="en-GB" w:eastAsia="en-GB"/>
              </w:rPr>
            </w:pPr>
            <w:r w:rsidRPr="002A091D">
              <w:rPr>
                <w:sz w:val="20"/>
                <w:szCs w:val="20"/>
                <w:lang w:val="en-GB" w:eastAsia="en-GB"/>
              </w:rPr>
              <w:t>-0.0047</w:t>
            </w:r>
          </w:p>
        </w:tc>
        <w:tc>
          <w:tcPr>
            <w:tcW w:w="1027" w:type="dxa"/>
            <w:tcBorders>
              <w:top w:val="nil"/>
              <w:left w:val="nil"/>
              <w:bottom w:val="nil"/>
              <w:right w:val="nil"/>
            </w:tcBorders>
            <w:shd w:val="clear" w:color="auto" w:fill="auto"/>
            <w:noWrap/>
            <w:vAlign w:val="bottom"/>
            <w:hideMark/>
          </w:tcPr>
          <w:p w14:paraId="59EF7521" w14:textId="77777777" w:rsidR="003D2E90" w:rsidRPr="002A091D" w:rsidRDefault="003D2E90" w:rsidP="003D2E90">
            <w:pPr>
              <w:jc w:val="right"/>
              <w:rPr>
                <w:sz w:val="20"/>
                <w:szCs w:val="20"/>
                <w:lang w:val="en-GB" w:eastAsia="en-GB"/>
              </w:rPr>
            </w:pPr>
            <w:r w:rsidRPr="002A091D">
              <w:rPr>
                <w:sz w:val="20"/>
                <w:szCs w:val="20"/>
                <w:lang w:val="en-GB" w:eastAsia="en-GB"/>
              </w:rPr>
              <w:t>-0.0015</w:t>
            </w:r>
          </w:p>
        </w:tc>
        <w:tc>
          <w:tcPr>
            <w:tcW w:w="1140" w:type="dxa"/>
            <w:tcBorders>
              <w:top w:val="nil"/>
              <w:left w:val="nil"/>
              <w:bottom w:val="nil"/>
              <w:right w:val="nil"/>
            </w:tcBorders>
            <w:shd w:val="clear" w:color="auto" w:fill="auto"/>
            <w:noWrap/>
            <w:vAlign w:val="bottom"/>
            <w:hideMark/>
          </w:tcPr>
          <w:p w14:paraId="526D68ED" w14:textId="77777777" w:rsidR="003D2E90" w:rsidRPr="002A091D" w:rsidRDefault="003D2E90" w:rsidP="003D2E90">
            <w:pPr>
              <w:jc w:val="right"/>
              <w:rPr>
                <w:sz w:val="20"/>
                <w:szCs w:val="20"/>
                <w:lang w:val="en-GB" w:eastAsia="en-GB"/>
              </w:rPr>
            </w:pPr>
            <w:r w:rsidRPr="002A091D">
              <w:rPr>
                <w:sz w:val="20"/>
                <w:szCs w:val="20"/>
                <w:lang w:val="en-GB" w:eastAsia="en-GB"/>
              </w:rPr>
              <w:t>-0.0046</w:t>
            </w:r>
          </w:p>
        </w:tc>
        <w:tc>
          <w:tcPr>
            <w:tcW w:w="1027" w:type="dxa"/>
            <w:tcBorders>
              <w:top w:val="nil"/>
              <w:left w:val="nil"/>
              <w:bottom w:val="nil"/>
              <w:right w:val="nil"/>
            </w:tcBorders>
            <w:shd w:val="clear" w:color="auto" w:fill="auto"/>
            <w:noWrap/>
            <w:vAlign w:val="bottom"/>
            <w:hideMark/>
          </w:tcPr>
          <w:p w14:paraId="4A5F2231" w14:textId="77777777" w:rsidR="003D2E90" w:rsidRPr="002A091D" w:rsidRDefault="003D2E90" w:rsidP="003D2E90">
            <w:pPr>
              <w:jc w:val="right"/>
              <w:rPr>
                <w:sz w:val="20"/>
                <w:szCs w:val="20"/>
                <w:lang w:val="en-GB" w:eastAsia="en-GB"/>
              </w:rPr>
            </w:pPr>
            <w:r w:rsidRPr="002A091D">
              <w:rPr>
                <w:sz w:val="20"/>
                <w:szCs w:val="20"/>
                <w:lang w:val="en-GB" w:eastAsia="en-GB"/>
              </w:rPr>
              <w:t>0.0094</w:t>
            </w:r>
          </w:p>
        </w:tc>
        <w:tc>
          <w:tcPr>
            <w:tcW w:w="1027" w:type="dxa"/>
            <w:tcBorders>
              <w:top w:val="nil"/>
              <w:left w:val="nil"/>
              <w:bottom w:val="nil"/>
              <w:right w:val="nil"/>
            </w:tcBorders>
            <w:shd w:val="clear" w:color="auto" w:fill="auto"/>
            <w:noWrap/>
            <w:vAlign w:val="bottom"/>
            <w:hideMark/>
          </w:tcPr>
          <w:p w14:paraId="3EAF8053" w14:textId="77777777" w:rsidR="003D2E90" w:rsidRPr="002A091D" w:rsidRDefault="003D2E90" w:rsidP="003D2E90">
            <w:pPr>
              <w:jc w:val="right"/>
              <w:rPr>
                <w:sz w:val="20"/>
                <w:szCs w:val="20"/>
                <w:lang w:val="en-GB" w:eastAsia="en-GB"/>
              </w:rPr>
            </w:pPr>
            <w:r w:rsidRPr="002A091D">
              <w:rPr>
                <w:sz w:val="20"/>
                <w:szCs w:val="20"/>
                <w:lang w:val="en-GB" w:eastAsia="en-GB"/>
              </w:rPr>
              <w:t>0.0059</w:t>
            </w:r>
          </w:p>
        </w:tc>
        <w:tc>
          <w:tcPr>
            <w:tcW w:w="1027" w:type="dxa"/>
            <w:tcBorders>
              <w:top w:val="nil"/>
              <w:left w:val="nil"/>
              <w:bottom w:val="nil"/>
              <w:right w:val="nil"/>
            </w:tcBorders>
            <w:shd w:val="clear" w:color="auto" w:fill="auto"/>
            <w:noWrap/>
            <w:vAlign w:val="bottom"/>
            <w:hideMark/>
          </w:tcPr>
          <w:p w14:paraId="6DDAD7C7" w14:textId="77777777" w:rsidR="003D2E90" w:rsidRPr="002A091D" w:rsidRDefault="003D2E90" w:rsidP="003D2E90">
            <w:pPr>
              <w:jc w:val="right"/>
              <w:rPr>
                <w:sz w:val="20"/>
                <w:szCs w:val="20"/>
                <w:lang w:val="en-GB" w:eastAsia="en-GB"/>
              </w:rPr>
            </w:pPr>
            <w:r w:rsidRPr="002A091D">
              <w:rPr>
                <w:sz w:val="20"/>
                <w:szCs w:val="20"/>
                <w:lang w:val="en-GB" w:eastAsia="en-GB"/>
              </w:rPr>
              <w:t>-0.0018</w:t>
            </w:r>
          </w:p>
        </w:tc>
        <w:tc>
          <w:tcPr>
            <w:tcW w:w="1027" w:type="dxa"/>
            <w:tcBorders>
              <w:top w:val="nil"/>
              <w:left w:val="nil"/>
              <w:bottom w:val="nil"/>
              <w:right w:val="nil"/>
            </w:tcBorders>
            <w:shd w:val="clear" w:color="auto" w:fill="auto"/>
            <w:noWrap/>
            <w:vAlign w:val="bottom"/>
            <w:hideMark/>
          </w:tcPr>
          <w:p w14:paraId="7F94CF25" w14:textId="77777777" w:rsidR="003D2E90" w:rsidRPr="002A091D" w:rsidRDefault="003D2E90" w:rsidP="003D2E90">
            <w:pPr>
              <w:jc w:val="right"/>
              <w:rPr>
                <w:sz w:val="20"/>
                <w:szCs w:val="20"/>
                <w:lang w:val="en-GB" w:eastAsia="en-GB"/>
              </w:rPr>
            </w:pPr>
            <w:r w:rsidRPr="002A091D">
              <w:rPr>
                <w:sz w:val="20"/>
                <w:szCs w:val="20"/>
                <w:lang w:val="en-GB" w:eastAsia="en-GB"/>
              </w:rPr>
              <w:t>-0.0014</w:t>
            </w:r>
          </w:p>
        </w:tc>
      </w:tr>
      <w:tr w:rsidR="003D2E90" w:rsidRPr="002A091D" w14:paraId="7C37AA90" w14:textId="77777777" w:rsidTr="003C25CE">
        <w:trPr>
          <w:trHeight w:val="240"/>
        </w:trPr>
        <w:tc>
          <w:tcPr>
            <w:tcW w:w="2225" w:type="dxa"/>
            <w:tcBorders>
              <w:top w:val="nil"/>
              <w:left w:val="nil"/>
              <w:bottom w:val="nil"/>
              <w:right w:val="nil"/>
            </w:tcBorders>
            <w:shd w:val="clear" w:color="auto" w:fill="auto"/>
            <w:noWrap/>
            <w:vAlign w:val="bottom"/>
            <w:hideMark/>
          </w:tcPr>
          <w:p w14:paraId="2C7B02B0" w14:textId="77777777" w:rsidR="003D2E90" w:rsidRPr="002A091D" w:rsidRDefault="003D2E90" w:rsidP="003D2E90">
            <w:pPr>
              <w:rPr>
                <w:sz w:val="20"/>
                <w:szCs w:val="20"/>
                <w:lang w:val="en-GB" w:eastAsia="en-GB"/>
              </w:rPr>
            </w:pPr>
            <w:r w:rsidRPr="002A091D">
              <w:rPr>
                <w:sz w:val="20"/>
                <w:szCs w:val="20"/>
                <w:lang w:val="en-GB" w:eastAsia="en-GB"/>
              </w:rPr>
              <w:t>T-value</w:t>
            </w:r>
          </w:p>
        </w:tc>
        <w:tc>
          <w:tcPr>
            <w:tcW w:w="1027" w:type="dxa"/>
            <w:tcBorders>
              <w:top w:val="nil"/>
              <w:left w:val="nil"/>
              <w:bottom w:val="nil"/>
              <w:right w:val="nil"/>
            </w:tcBorders>
            <w:shd w:val="clear" w:color="auto" w:fill="auto"/>
            <w:noWrap/>
            <w:vAlign w:val="bottom"/>
            <w:hideMark/>
          </w:tcPr>
          <w:p w14:paraId="0622E89E" w14:textId="77777777" w:rsidR="003D2E90" w:rsidRPr="002A091D" w:rsidRDefault="003D2E90" w:rsidP="003D2E90">
            <w:pPr>
              <w:jc w:val="right"/>
              <w:rPr>
                <w:sz w:val="20"/>
                <w:szCs w:val="20"/>
                <w:lang w:val="en-GB" w:eastAsia="en-GB"/>
              </w:rPr>
            </w:pPr>
            <w:r w:rsidRPr="002A091D">
              <w:rPr>
                <w:sz w:val="20"/>
                <w:szCs w:val="20"/>
                <w:lang w:val="en-GB" w:eastAsia="en-GB"/>
              </w:rPr>
              <w:t>-0.3554</w:t>
            </w:r>
          </w:p>
        </w:tc>
        <w:tc>
          <w:tcPr>
            <w:tcW w:w="1027" w:type="dxa"/>
            <w:tcBorders>
              <w:top w:val="nil"/>
              <w:left w:val="nil"/>
              <w:bottom w:val="nil"/>
              <w:right w:val="nil"/>
            </w:tcBorders>
            <w:shd w:val="clear" w:color="auto" w:fill="auto"/>
            <w:noWrap/>
            <w:vAlign w:val="bottom"/>
            <w:hideMark/>
          </w:tcPr>
          <w:p w14:paraId="04429E3D" w14:textId="77777777" w:rsidR="003D2E90" w:rsidRPr="002A091D" w:rsidRDefault="003D2E90" w:rsidP="003D2E90">
            <w:pPr>
              <w:jc w:val="right"/>
              <w:rPr>
                <w:sz w:val="20"/>
                <w:szCs w:val="20"/>
                <w:lang w:val="en-GB" w:eastAsia="en-GB"/>
              </w:rPr>
            </w:pPr>
            <w:r w:rsidRPr="002A091D">
              <w:rPr>
                <w:sz w:val="20"/>
                <w:szCs w:val="20"/>
                <w:lang w:val="en-GB" w:eastAsia="en-GB"/>
              </w:rPr>
              <w:t>-3.0925</w:t>
            </w:r>
          </w:p>
        </w:tc>
        <w:tc>
          <w:tcPr>
            <w:tcW w:w="1033" w:type="dxa"/>
            <w:tcBorders>
              <w:top w:val="nil"/>
              <w:left w:val="nil"/>
              <w:bottom w:val="nil"/>
              <w:right w:val="nil"/>
            </w:tcBorders>
            <w:shd w:val="clear" w:color="auto" w:fill="auto"/>
            <w:noWrap/>
            <w:vAlign w:val="bottom"/>
            <w:hideMark/>
          </w:tcPr>
          <w:p w14:paraId="0ABD3D6A" w14:textId="77777777" w:rsidR="003D2E90" w:rsidRPr="002A091D" w:rsidRDefault="003D2E90" w:rsidP="003D2E90">
            <w:pPr>
              <w:jc w:val="right"/>
              <w:rPr>
                <w:sz w:val="20"/>
                <w:szCs w:val="20"/>
                <w:lang w:val="en-GB" w:eastAsia="en-GB"/>
              </w:rPr>
            </w:pPr>
            <w:r w:rsidRPr="002A091D">
              <w:rPr>
                <w:sz w:val="20"/>
                <w:szCs w:val="20"/>
                <w:lang w:val="en-GB" w:eastAsia="en-GB"/>
              </w:rPr>
              <w:t>-0.6217</w:t>
            </w:r>
          </w:p>
        </w:tc>
        <w:tc>
          <w:tcPr>
            <w:tcW w:w="1140" w:type="dxa"/>
            <w:tcBorders>
              <w:top w:val="nil"/>
              <w:left w:val="nil"/>
              <w:bottom w:val="nil"/>
              <w:right w:val="nil"/>
            </w:tcBorders>
            <w:shd w:val="clear" w:color="auto" w:fill="auto"/>
            <w:noWrap/>
            <w:vAlign w:val="bottom"/>
            <w:hideMark/>
          </w:tcPr>
          <w:p w14:paraId="18E9C847" w14:textId="77777777" w:rsidR="003D2E90" w:rsidRPr="002A091D" w:rsidRDefault="003D2E90" w:rsidP="003D2E90">
            <w:pPr>
              <w:jc w:val="right"/>
              <w:rPr>
                <w:sz w:val="20"/>
                <w:szCs w:val="20"/>
                <w:lang w:val="en-GB" w:eastAsia="en-GB"/>
              </w:rPr>
            </w:pPr>
            <w:r w:rsidRPr="002A091D">
              <w:rPr>
                <w:sz w:val="20"/>
                <w:szCs w:val="20"/>
                <w:lang w:val="en-GB" w:eastAsia="en-GB"/>
              </w:rPr>
              <w:t>-1.3488</w:t>
            </w:r>
          </w:p>
        </w:tc>
        <w:tc>
          <w:tcPr>
            <w:tcW w:w="1140" w:type="dxa"/>
            <w:tcBorders>
              <w:top w:val="nil"/>
              <w:left w:val="nil"/>
              <w:bottom w:val="nil"/>
              <w:right w:val="nil"/>
            </w:tcBorders>
            <w:shd w:val="clear" w:color="auto" w:fill="auto"/>
            <w:noWrap/>
            <w:vAlign w:val="bottom"/>
            <w:hideMark/>
          </w:tcPr>
          <w:p w14:paraId="5BB50B2E" w14:textId="77777777" w:rsidR="003D2E90" w:rsidRPr="002A091D" w:rsidRDefault="003D2E90" w:rsidP="003D2E90">
            <w:pPr>
              <w:jc w:val="right"/>
              <w:rPr>
                <w:sz w:val="20"/>
                <w:szCs w:val="20"/>
                <w:lang w:val="en-GB" w:eastAsia="en-GB"/>
              </w:rPr>
            </w:pPr>
            <w:r w:rsidRPr="002A091D">
              <w:rPr>
                <w:sz w:val="20"/>
                <w:szCs w:val="20"/>
                <w:lang w:val="en-GB" w:eastAsia="en-GB"/>
              </w:rPr>
              <w:t>0.4476</w:t>
            </w:r>
          </w:p>
        </w:tc>
        <w:tc>
          <w:tcPr>
            <w:tcW w:w="1027" w:type="dxa"/>
            <w:tcBorders>
              <w:top w:val="nil"/>
              <w:left w:val="nil"/>
              <w:bottom w:val="nil"/>
              <w:right w:val="nil"/>
            </w:tcBorders>
            <w:shd w:val="clear" w:color="auto" w:fill="auto"/>
            <w:noWrap/>
            <w:vAlign w:val="bottom"/>
            <w:hideMark/>
          </w:tcPr>
          <w:p w14:paraId="4B7AD72D" w14:textId="77777777" w:rsidR="003D2E90" w:rsidRPr="002A091D" w:rsidRDefault="003D2E90" w:rsidP="003D2E90">
            <w:pPr>
              <w:jc w:val="right"/>
              <w:rPr>
                <w:sz w:val="20"/>
                <w:szCs w:val="20"/>
                <w:lang w:val="en-GB" w:eastAsia="en-GB"/>
              </w:rPr>
            </w:pPr>
            <w:r w:rsidRPr="002A091D">
              <w:rPr>
                <w:sz w:val="20"/>
                <w:szCs w:val="20"/>
                <w:lang w:val="en-GB" w:eastAsia="en-GB"/>
              </w:rPr>
              <w:t>-1.2272</w:t>
            </w:r>
          </w:p>
        </w:tc>
        <w:tc>
          <w:tcPr>
            <w:tcW w:w="1027" w:type="dxa"/>
            <w:tcBorders>
              <w:top w:val="nil"/>
              <w:left w:val="nil"/>
              <w:bottom w:val="nil"/>
              <w:right w:val="nil"/>
            </w:tcBorders>
            <w:shd w:val="clear" w:color="auto" w:fill="auto"/>
            <w:noWrap/>
            <w:vAlign w:val="bottom"/>
            <w:hideMark/>
          </w:tcPr>
          <w:p w14:paraId="429DAFAA" w14:textId="77777777" w:rsidR="003D2E90" w:rsidRPr="002A091D" w:rsidRDefault="003D2E90" w:rsidP="003D2E90">
            <w:pPr>
              <w:jc w:val="right"/>
              <w:rPr>
                <w:sz w:val="20"/>
                <w:szCs w:val="20"/>
                <w:lang w:val="en-GB" w:eastAsia="en-GB"/>
              </w:rPr>
            </w:pPr>
            <w:r w:rsidRPr="002A091D">
              <w:rPr>
                <w:sz w:val="20"/>
                <w:szCs w:val="20"/>
                <w:lang w:val="en-GB" w:eastAsia="en-GB"/>
              </w:rPr>
              <w:t>-0.3738</w:t>
            </w:r>
          </w:p>
        </w:tc>
        <w:tc>
          <w:tcPr>
            <w:tcW w:w="1140" w:type="dxa"/>
            <w:tcBorders>
              <w:top w:val="nil"/>
              <w:left w:val="nil"/>
              <w:bottom w:val="nil"/>
              <w:right w:val="nil"/>
            </w:tcBorders>
            <w:shd w:val="clear" w:color="auto" w:fill="auto"/>
            <w:noWrap/>
            <w:vAlign w:val="bottom"/>
            <w:hideMark/>
          </w:tcPr>
          <w:p w14:paraId="3668F030" w14:textId="77777777" w:rsidR="003D2E90" w:rsidRPr="002A091D" w:rsidRDefault="003D2E90" w:rsidP="003D2E90">
            <w:pPr>
              <w:jc w:val="right"/>
              <w:rPr>
                <w:sz w:val="20"/>
                <w:szCs w:val="20"/>
                <w:lang w:val="en-GB" w:eastAsia="en-GB"/>
              </w:rPr>
            </w:pPr>
            <w:r w:rsidRPr="002A091D">
              <w:rPr>
                <w:sz w:val="20"/>
                <w:szCs w:val="20"/>
                <w:lang w:val="en-GB" w:eastAsia="en-GB"/>
              </w:rPr>
              <w:t>-0.8498</w:t>
            </w:r>
          </w:p>
        </w:tc>
        <w:tc>
          <w:tcPr>
            <w:tcW w:w="1027" w:type="dxa"/>
            <w:tcBorders>
              <w:top w:val="nil"/>
              <w:left w:val="nil"/>
              <w:bottom w:val="nil"/>
              <w:right w:val="nil"/>
            </w:tcBorders>
            <w:shd w:val="clear" w:color="auto" w:fill="auto"/>
            <w:noWrap/>
            <w:vAlign w:val="bottom"/>
            <w:hideMark/>
          </w:tcPr>
          <w:p w14:paraId="72D33CB3" w14:textId="77777777" w:rsidR="003D2E90" w:rsidRPr="002A091D" w:rsidRDefault="003D2E90" w:rsidP="003D2E90">
            <w:pPr>
              <w:jc w:val="right"/>
              <w:rPr>
                <w:sz w:val="20"/>
                <w:szCs w:val="20"/>
                <w:lang w:val="en-GB" w:eastAsia="en-GB"/>
              </w:rPr>
            </w:pPr>
            <w:r w:rsidRPr="002A091D">
              <w:rPr>
                <w:sz w:val="20"/>
                <w:szCs w:val="20"/>
                <w:lang w:val="en-GB" w:eastAsia="en-GB"/>
              </w:rPr>
              <w:t>1.4839</w:t>
            </w:r>
          </w:p>
        </w:tc>
        <w:tc>
          <w:tcPr>
            <w:tcW w:w="1027" w:type="dxa"/>
            <w:tcBorders>
              <w:top w:val="nil"/>
              <w:left w:val="nil"/>
              <w:bottom w:val="nil"/>
              <w:right w:val="nil"/>
            </w:tcBorders>
            <w:shd w:val="clear" w:color="auto" w:fill="auto"/>
            <w:noWrap/>
            <w:vAlign w:val="bottom"/>
            <w:hideMark/>
          </w:tcPr>
          <w:p w14:paraId="2CCC8202" w14:textId="77777777" w:rsidR="003D2E90" w:rsidRPr="002A091D" w:rsidRDefault="003D2E90" w:rsidP="003D2E90">
            <w:pPr>
              <w:jc w:val="right"/>
              <w:rPr>
                <w:sz w:val="20"/>
                <w:szCs w:val="20"/>
                <w:lang w:val="en-GB" w:eastAsia="en-GB"/>
              </w:rPr>
            </w:pPr>
            <w:r w:rsidRPr="002A091D">
              <w:rPr>
                <w:sz w:val="20"/>
                <w:szCs w:val="20"/>
                <w:lang w:val="en-GB" w:eastAsia="en-GB"/>
              </w:rPr>
              <w:t>1.2800</w:t>
            </w:r>
          </w:p>
        </w:tc>
        <w:tc>
          <w:tcPr>
            <w:tcW w:w="1027" w:type="dxa"/>
            <w:tcBorders>
              <w:top w:val="nil"/>
              <w:left w:val="nil"/>
              <w:bottom w:val="nil"/>
              <w:right w:val="nil"/>
            </w:tcBorders>
            <w:shd w:val="clear" w:color="auto" w:fill="auto"/>
            <w:noWrap/>
            <w:vAlign w:val="bottom"/>
            <w:hideMark/>
          </w:tcPr>
          <w:p w14:paraId="3CA45E9E" w14:textId="77777777" w:rsidR="003D2E90" w:rsidRPr="002A091D" w:rsidRDefault="003D2E90" w:rsidP="003D2E90">
            <w:pPr>
              <w:jc w:val="right"/>
              <w:rPr>
                <w:sz w:val="20"/>
                <w:szCs w:val="20"/>
                <w:lang w:val="en-GB" w:eastAsia="en-GB"/>
              </w:rPr>
            </w:pPr>
            <w:r w:rsidRPr="002A091D">
              <w:rPr>
                <w:sz w:val="20"/>
                <w:szCs w:val="20"/>
                <w:lang w:val="en-GB" w:eastAsia="en-GB"/>
              </w:rPr>
              <w:t>-0.2579</w:t>
            </w:r>
          </w:p>
        </w:tc>
        <w:tc>
          <w:tcPr>
            <w:tcW w:w="1027" w:type="dxa"/>
            <w:tcBorders>
              <w:top w:val="nil"/>
              <w:left w:val="nil"/>
              <w:bottom w:val="nil"/>
              <w:right w:val="nil"/>
            </w:tcBorders>
            <w:shd w:val="clear" w:color="auto" w:fill="auto"/>
            <w:noWrap/>
            <w:vAlign w:val="bottom"/>
            <w:hideMark/>
          </w:tcPr>
          <w:p w14:paraId="08CEAFB7" w14:textId="77777777" w:rsidR="003D2E90" w:rsidRPr="002A091D" w:rsidRDefault="003D2E90" w:rsidP="003D2E90">
            <w:pPr>
              <w:jc w:val="right"/>
              <w:rPr>
                <w:sz w:val="20"/>
                <w:szCs w:val="20"/>
                <w:lang w:val="en-GB" w:eastAsia="en-GB"/>
              </w:rPr>
            </w:pPr>
            <w:r w:rsidRPr="002A091D">
              <w:rPr>
                <w:sz w:val="20"/>
                <w:szCs w:val="20"/>
                <w:lang w:val="en-GB" w:eastAsia="en-GB"/>
              </w:rPr>
              <w:t>-0.7234</w:t>
            </w:r>
          </w:p>
        </w:tc>
      </w:tr>
      <w:tr w:rsidR="003D2E90" w:rsidRPr="002A091D" w14:paraId="41002703" w14:textId="77777777" w:rsidTr="003C25CE">
        <w:trPr>
          <w:trHeight w:val="240"/>
        </w:trPr>
        <w:tc>
          <w:tcPr>
            <w:tcW w:w="2225" w:type="dxa"/>
            <w:tcBorders>
              <w:top w:val="nil"/>
              <w:left w:val="nil"/>
              <w:bottom w:val="nil"/>
              <w:right w:val="nil"/>
            </w:tcBorders>
            <w:shd w:val="clear" w:color="auto" w:fill="auto"/>
            <w:noWrap/>
            <w:vAlign w:val="bottom"/>
            <w:hideMark/>
          </w:tcPr>
          <w:p w14:paraId="7E974128" w14:textId="77777777" w:rsidR="003D2E90" w:rsidRPr="002A091D" w:rsidRDefault="003D2E90" w:rsidP="003D2E90">
            <w:pPr>
              <w:rPr>
                <w:sz w:val="20"/>
                <w:szCs w:val="20"/>
                <w:lang w:val="en-GB" w:eastAsia="en-GB"/>
              </w:rPr>
            </w:pPr>
            <w:r w:rsidRPr="002A091D">
              <w:rPr>
                <w:sz w:val="20"/>
                <w:szCs w:val="20"/>
                <w:lang w:val="en-GB" w:eastAsia="en-GB"/>
              </w:rPr>
              <w:t>Fama_French_alpha</w:t>
            </w:r>
          </w:p>
        </w:tc>
        <w:tc>
          <w:tcPr>
            <w:tcW w:w="1027" w:type="dxa"/>
            <w:tcBorders>
              <w:top w:val="nil"/>
              <w:left w:val="nil"/>
              <w:bottom w:val="nil"/>
              <w:right w:val="nil"/>
            </w:tcBorders>
            <w:shd w:val="clear" w:color="auto" w:fill="auto"/>
            <w:noWrap/>
            <w:vAlign w:val="bottom"/>
            <w:hideMark/>
          </w:tcPr>
          <w:p w14:paraId="0BAB9CA3" w14:textId="77777777" w:rsidR="003D2E90" w:rsidRPr="002A091D" w:rsidRDefault="003D2E90" w:rsidP="003D2E90">
            <w:pPr>
              <w:jc w:val="right"/>
              <w:rPr>
                <w:sz w:val="20"/>
                <w:szCs w:val="20"/>
                <w:lang w:val="en-GB" w:eastAsia="en-GB"/>
              </w:rPr>
            </w:pPr>
            <w:r w:rsidRPr="002A091D">
              <w:rPr>
                <w:sz w:val="20"/>
                <w:szCs w:val="20"/>
                <w:lang w:val="en-GB" w:eastAsia="en-GB"/>
              </w:rPr>
              <w:t>0.0007</w:t>
            </w:r>
          </w:p>
        </w:tc>
        <w:tc>
          <w:tcPr>
            <w:tcW w:w="1027" w:type="dxa"/>
            <w:tcBorders>
              <w:top w:val="nil"/>
              <w:left w:val="nil"/>
              <w:bottom w:val="nil"/>
              <w:right w:val="nil"/>
            </w:tcBorders>
            <w:shd w:val="clear" w:color="auto" w:fill="auto"/>
            <w:noWrap/>
            <w:vAlign w:val="bottom"/>
            <w:hideMark/>
          </w:tcPr>
          <w:p w14:paraId="51A4CB7E" w14:textId="77777777" w:rsidR="003D2E90" w:rsidRPr="002A091D" w:rsidRDefault="003D2E90" w:rsidP="003D2E90">
            <w:pPr>
              <w:jc w:val="right"/>
              <w:rPr>
                <w:sz w:val="20"/>
                <w:szCs w:val="20"/>
                <w:lang w:val="en-GB" w:eastAsia="en-GB"/>
              </w:rPr>
            </w:pPr>
            <w:r w:rsidRPr="002A091D">
              <w:rPr>
                <w:sz w:val="20"/>
                <w:szCs w:val="20"/>
                <w:lang w:val="en-GB" w:eastAsia="en-GB"/>
              </w:rPr>
              <w:t>-0.0036</w:t>
            </w:r>
          </w:p>
        </w:tc>
        <w:tc>
          <w:tcPr>
            <w:tcW w:w="1033" w:type="dxa"/>
            <w:tcBorders>
              <w:top w:val="nil"/>
              <w:left w:val="nil"/>
              <w:bottom w:val="nil"/>
              <w:right w:val="nil"/>
            </w:tcBorders>
            <w:shd w:val="clear" w:color="auto" w:fill="auto"/>
            <w:noWrap/>
            <w:vAlign w:val="bottom"/>
            <w:hideMark/>
          </w:tcPr>
          <w:p w14:paraId="3A1F760B" w14:textId="77777777" w:rsidR="003D2E90" w:rsidRPr="002A091D" w:rsidRDefault="003D2E90" w:rsidP="003D2E90">
            <w:pPr>
              <w:jc w:val="right"/>
              <w:rPr>
                <w:sz w:val="20"/>
                <w:szCs w:val="20"/>
                <w:lang w:val="en-GB" w:eastAsia="en-GB"/>
              </w:rPr>
            </w:pPr>
            <w:r w:rsidRPr="002A091D">
              <w:rPr>
                <w:sz w:val="20"/>
                <w:szCs w:val="20"/>
                <w:lang w:val="en-GB" w:eastAsia="en-GB"/>
              </w:rPr>
              <w:t>-0.0017</w:t>
            </w:r>
          </w:p>
        </w:tc>
        <w:tc>
          <w:tcPr>
            <w:tcW w:w="1140" w:type="dxa"/>
            <w:tcBorders>
              <w:top w:val="nil"/>
              <w:left w:val="nil"/>
              <w:bottom w:val="nil"/>
              <w:right w:val="nil"/>
            </w:tcBorders>
            <w:shd w:val="clear" w:color="auto" w:fill="auto"/>
            <w:noWrap/>
            <w:vAlign w:val="bottom"/>
            <w:hideMark/>
          </w:tcPr>
          <w:p w14:paraId="64005298" w14:textId="77777777" w:rsidR="003D2E90" w:rsidRPr="002A091D" w:rsidRDefault="003D2E90" w:rsidP="003D2E90">
            <w:pPr>
              <w:jc w:val="right"/>
              <w:rPr>
                <w:sz w:val="20"/>
                <w:szCs w:val="20"/>
                <w:lang w:val="en-GB" w:eastAsia="en-GB"/>
              </w:rPr>
            </w:pPr>
            <w:r w:rsidRPr="002A091D">
              <w:rPr>
                <w:sz w:val="20"/>
                <w:szCs w:val="20"/>
                <w:lang w:val="en-GB" w:eastAsia="en-GB"/>
              </w:rPr>
              <w:t>-0.0091</w:t>
            </w:r>
          </w:p>
        </w:tc>
        <w:tc>
          <w:tcPr>
            <w:tcW w:w="1140" w:type="dxa"/>
            <w:tcBorders>
              <w:top w:val="nil"/>
              <w:left w:val="nil"/>
              <w:bottom w:val="nil"/>
              <w:right w:val="nil"/>
            </w:tcBorders>
            <w:shd w:val="clear" w:color="auto" w:fill="auto"/>
            <w:noWrap/>
            <w:vAlign w:val="bottom"/>
            <w:hideMark/>
          </w:tcPr>
          <w:p w14:paraId="7B6D7FCF" w14:textId="77777777" w:rsidR="003D2E90" w:rsidRPr="002A091D" w:rsidRDefault="003D2E90" w:rsidP="003D2E90">
            <w:pPr>
              <w:jc w:val="right"/>
              <w:rPr>
                <w:sz w:val="20"/>
                <w:szCs w:val="20"/>
                <w:lang w:val="en-GB" w:eastAsia="en-GB"/>
              </w:rPr>
            </w:pPr>
            <w:r w:rsidRPr="002A091D">
              <w:rPr>
                <w:sz w:val="20"/>
                <w:szCs w:val="20"/>
                <w:lang w:val="en-GB" w:eastAsia="en-GB"/>
              </w:rPr>
              <w:t>-0.0085</w:t>
            </w:r>
          </w:p>
        </w:tc>
        <w:tc>
          <w:tcPr>
            <w:tcW w:w="1027" w:type="dxa"/>
            <w:tcBorders>
              <w:top w:val="nil"/>
              <w:left w:val="nil"/>
              <w:bottom w:val="nil"/>
              <w:right w:val="nil"/>
            </w:tcBorders>
            <w:shd w:val="clear" w:color="auto" w:fill="auto"/>
            <w:noWrap/>
            <w:vAlign w:val="bottom"/>
            <w:hideMark/>
          </w:tcPr>
          <w:p w14:paraId="32CD2C4D" w14:textId="77777777" w:rsidR="003D2E90" w:rsidRPr="002A091D" w:rsidRDefault="003D2E90" w:rsidP="003D2E90">
            <w:pPr>
              <w:jc w:val="right"/>
              <w:rPr>
                <w:sz w:val="20"/>
                <w:szCs w:val="20"/>
                <w:lang w:val="en-GB" w:eastAsia="en-GB"/>
              </w:rPr>
            </w:pPr>
            <w:r w:rsidRPr="002A091D">
              <w:rPr>
                <w:sz w:val="20"/>
                <w:szCs w:val="20"/>
                <w:lang w:val="en-GB" w:eastAsia="en-GB"/>
              </w:rPr>
              <w:t>-0.0114</w:t>
            </w:r>
          </w:p>
        </w:tc>
        <w:tc>
          <w:tcPr>
            <w:tcW w:w="1027" w:type="dxa"/>
            <w:tcBorders>
              <w:top w:val="nil"/>
              <w:left w:val="nil"/>
              <w:bottom w:val="nil"/>
              <w:right w:val="nil"/>
            </w:tcBorders>
            <w:shd w:val="clear" w:color="auto" w:fill="auto"/>
            <w:noWrap/>
            <w:vAlign w:val="bottom"/>
            <w:hideMark/>
          </w:tcPr>
          <w:p w14:paraId="04294272" w14:textId="77777777" w:rsidR="003D2E90" w:rsidRPr="002A091D" w:rsidRDefault="003D2E90" w:rsidP="003D2E90">
            <w:pPr>
              <w:jc w:val="right"/>
              <w:rPr>
                <w:sz w:val="20"/>
                <w:szCs w:val="20"/>
                <w:lang w:val="en-GB" w:eastAsia="en-GB"/>
              </w:rPr>
            </w:pPr>
            <w:r w:rsidRPr="002A091D">
              <w:rPr>
                <w:sz w:val="20"/>
                <w:szCs w:val="20"/>
                <w:lang w:val="en-GB" w:eastAsia="en-GB"/>
              </w:rPr>
              <w:t>-0.0097</w:t>
            </w:r>
          </w:p>
        </w:tc>
        <w:tc>
          <w:tcPr>
            <w:tcW w:w="1140" w:type="dxa"/>
            <w:tcBorders>
              <w:top w:val="nil"/>
              <w:left w:val="nil"/>
              <w:bottom w:val="nil"/>
              <w:right w:val="nil"/>
            </w:tcBorders>
            <w:shd w:val="clear" w:color="auto" w:fill="auto"/>
            <w:noWrap/>
            <w:vAlign w:val="bottom"/>
            <w:hideMark/>
          </w:tcPr>
          <w:p w14:paraId="3DE6B2EE" w14:textId="77777777" w:rsidR="003D2E90" w:rsidRPr="002A091D" w:rsidRDefault="003D2E90" w:rsidP="003D2E90">
            <w:pPr>
              <w:jc w:val="right"/>
              <w:rPr>
                <w:sz w:val="20"/>
                <w:szCs w:val="20"/>
                <w:lang w:val="en-GB" w:eastAsia="en-GB"/>
              </w:rPr>
            </w:pPr>
            <w:r w:rsidRPr="002A091D">
              <w:rPr>
                <w:sz w:val="20"/>
                <w:szCs w:val="20"/>
                <w:lang w:val="en-GB" w:eastAsia="en-GB"/>
              </w:rPr>
              <w:t>-0.0136</w:t>
            </w:r>
          </w:p>
        </w:tc>
        <w:tc>
          <w:tcPr>
            <w:tcW w:w="1027" w:type="dxa"/>
            <w:tcBorders>
              <w:top w:val="nil"/>
              <w:left w:val="nil"/>
              <w:bottom w:val="nil"/>
              <w:right w:val="nil"/>
            </w:tcBorders>
            <w:shd w:val="clear" w:color="auto" w:fill="auto"/>
            <w:noWrap/>
            <w:vAlign w:val="bottom"/>
            <w:hideMark/>
          </w:tcPr>
          <w:p w14:paraId="566B320C" w14:textId="77777777" w:rsidR="003D2E90" w:rsidRPr="002A091D" w:rsidRDefault="003D2E90" w:rsidP="003D2E90">
            <w:pPr>
              <w:jc w:val="right"/>
              <w:rPr>
                <w:sz w:val="20"/>
                <w:szCs w:val="20"/>
                <w:lang w:val="en-GB" w:eastAsia="en-GB"/>
              </w:rPr>
            </w:pPr>
            <w:r w:rsidRPr="002A091D">
              <w:rPr>
                <w:sz w:val="20"/>
                <w:szCs w:val="20"/>
                <w:lang w:val="en-GB" w:eastAsia="en-GB"/>
              </w:rPr>
              <w:t>-0.0054</w:t>
            </w:r>
          </w:p>
        </w:tc>
        <w:tc>
          <w:tcPr>
            <w:tcW w:w="1027" w:type="dxa"/>
            <w:tcBorders>
              <w:top w:val="nil"/>
              <w:left w:val="nil"/>
              <w:bottom w:val="nil"/>
              <w:right w:val="nil"/>
            </w:tcBorders>
            <w:shd w:val="clear" w:color="auto" w:fill="auto"/>
            <w:noWrap/>
            <w:vAlign w:val="bottom"/>
            <w:hideMark/>
          </w:tcPr>
          <w:p w14:paraId="696BCB2D" w14:textId="77777777" w:rsidR="003D2E90" w:rsidRPr="002A091D" w:rsidRDefault="003D2E90" w:rsidP="003D2E90">
            <w:pPr>
              <w:jc w:val="right"/>
              <w:rPr>
                <w:sz w:val="20"/>
                <w:szCs w:val="20"/>
                <w:lang w:val="en-GB" w:eastAsia="en-GB"/>
              </w:rPr>
            </w:pPr>
            <w:r w:rsidRPr="002A091D">
              <w:rPr>
                <w:sz w:val="20"/>
                <w:szCs w:val="20"/>
                <w:lang w:val="en-GB" w:eastAsia="en-GB"/>
              </w:rPr>
              <w:t>-0.0015</w:t>
            </w:r>
          </w:p>
        </w:tc>
        <w:tc>
          <w:tcPr>
            <w:tcW w:w="1027" w:type="dxa"/>
            <w:tcBorders>
              <w:top w:val="nil"/>
              <w:left w:val="nil"/>
              <w:bottom w:val="nil"/>
              <w:right w:val="nil"/>
            </w:tcBorders>
            <w:shd w:val="clear" w:color="auto" w:fill="auto"/>
            <w:noWrap/>
            <w:vAlign w:val="bottom"/>
            <w:hideMark/>
          </w:tcPr>
          <w:p w14:paraId="675E6EDD" w14:textId="77777777" w:rsidR="003D2E90" w:rsidRPr="002A091D" w:rsidRDefault="003D2E90" w:rsidP="003D2E90">
            <w:pPr>
              <w:jc w:val="right"/>
              <w:rPr>
                <w:sz w:val="20"/>
                <w:szCs w:val="20"/>
                <w:lang w:val="en-GB" w:eastAsia="en-GB"/>
              </w:rPr>
            </w:pPr>
            <w:r w:rsidRPr="002A091D">
              <w:rPr>
                <w:sz w:val="20"/>
                <w:szCs w:val="20"/>
                <w:lang w:val="en-GB" w:eastAsia="en-GB"/>
              </w:rPr>
              <w:t>-0.0160</w:t>
            </w:r>
          </w:p>
        </w:tc>
        <w:tc>
          <w:tcPr>
            <w:tcW w:w="1027" w:type="dxa"/>
            <w:tcBorders>
              <w:top w:val="nil"/>
              <w:left w:val="nil"/>
              <w:bottom w:val="nil"/>
              <w:right w:val="nil"/>
            </w:tcBorders>
            <w:shd w:val="clear" w:color="auto" w:fill="auto"/>
            <w:noWrap/>
            <w:vAlign w:val="bottom"/>
            <w:hideMark/>
          </w:tcPr>
          <w:p w14:paraId="2CCFF53E" w14:textId="77777777" w:rsidR="003D2E90" w:rsidRPr="002A091D" w:rsidRDefault="003D2E90" w:rsidP="003D2E90">
            <w:pPr>
              <w:jc w:val="right"/>
              <w:rPr>
                <w:sz w:val="20"/>
                <w:szCs w:val="20"/>
                <w:lang w:val="en-GB" w:eastAsia="en-GB"/>
              </w:rPr>
            </w:pPr>
            <w:r w:rsidRPr="002A091D">
              <w:rPr>
                <w:sz w:val="20"/>
                <w:szCs w:val="20"/>
                <w:lang w:val="en-GB" w:eastAsia="en-GB"/>
              </w:rPr>
              <w:t>-0.0064</w:t>
            </w:r>
          </w:p>
        </w:tc>
      </w:tr>
      <w:tr w:rsidR="003D2E90" w:rsidRPr="002A091D" w14:paraId="235EBF87" w14:textId="77777777" w:rsidTr="003C25CE">
        <w:trPr>
          <w:trHeight w:val="240"/>
        </w:trPr>
        <w:tc>
          <w:tcPr>
            <w:tcW w:w="2225" w:type="dxa"/>
            <w:tcBorders>
              <w:top w:val="nil"/>
              <w:left w:val="nil"/>
              <w:bottom w:val="nil"/>
              <w:right w:val="nil"/>
            </w:tcBorders>
            <w:shd w:val="clear" w:color="auto" w:fill="auto"/>
            <w:noWrap/>
            <w:vAlign w:val="bottom"/>
            <w:hideMark/>
          </w:tcPr>
          <w:p w14:paraId="3DE56F9D" w14:textId="77777777" w:rsidR="003D2E90" w:rsidRPr="002A091D" w:rsidRDefault="003D2E90" w:rsidP="003D2E90">
            <w:pPr>
              <w:rPr>
                <w:sz w:val="20"/>
                <w:szCs w:val="20"/>
                <w:lang w:val="en-GB" w:eastAsia="en-GB"/>
              </w:rPr>
            </w:pPr>
            <w:r w:rsidRPr="002A091D">
              <w:rPr>
                <w:sz w:val="20"/>
                <w:szCs w:val="20"/>
                <w:lang w:val="en-GB" w:eastAsia="en-GB"/>
              </w:rPr>
              <w:t>T_value</w:t>
            </w:r>
          </w:p>
        </w:tc>
        <w:tc>
          <w:tcPr>
            <w:tcW w:w="1027" w:type="dxa"/>
            <w:tcBorders>
              <w:top w:val="nil"/>
              <w:left w:val="nil"/>
              <w:bottom w:val="nil"/>
              <w:right w:val="nil"/>
            </w:tcBorders>
            <w:shd w:val="clear" w:color="auto" w:fill="auto"/>
            <w:noWrap/>
            <w:vAlign w:val="bottom"/>
            <w:hideMark/>
          </w:tcPr>
          <w:p w14:paraId="25F7A57D" w14:textId="77777777" w:rsidR="003D2E90" w:rsidRPr="002A091D" w:rsidRDefault="003D2E90" w:rsidP="003D2E90">
            <w:pPr>
              <w:jc w:val="right"/>
              <w:rPr>
                <w:sz w:val="20"/>
                <w:szCs w:val="20"/>
                <w:lang w:val="en-GB" w:eastAsia="en-GB"/>
              </w:rPr>
            </w:pPr>
            <w:r w:rsidRPr="002A091D">
              <w:rPr>
                <w:sz w:val="20"/>
                <w:szCs w:val="20"/>
                <w:lang w:val="en-GB" w:eastAsia="en-GB"/>
              </w:rPr>
              <w:t>0.1544</w:t>
            </w:r>
          </w:p>
        </w:tc>
        <w:tc>
          <w:tcPr>
            <w:tcW w:w="1027" w:type="dxa"/>
            <w:tcBorders>
              <w:top w:val="nil"/>
              <w:left w:val="nil"/>
              <w:bottom w:val="nil"/>
              <w:right w:val="nil"/>
            </w:tcBorders>
            <w:shd w:val="clear" w:color="auto" w:fill="auto"/>
            <w:noWrap/>
            <w:vAlign w:val="bottom"/>
            <w:hideMark/>
          </w:tcPr>
          <w:p w14:paraId="289482E1" w14:textId="77777777" w:rsidR="003D2E90" w:rsidRPr="002A091D" w:rsidRDefault="003D2E90" w:rsidP="003D2E90">
            <w:pPr>
              <w:jc w:val="right"/>
              <w:rPr>
                <w:sz w:val="20"/>
                <w:szCs w:val="20"/>
                <w:lang w:val="en-GB" w:eastAsia="en-GB"/>
              </w:rPr>
            </w:pPr>
            <w:r w:rsidRPr="002A091D">
              <w:rPr>
                <w:sz w:val="20"/>
                <w:szCs w:val="20"/>
                <w:lang w:val="en-GB" w:eastAsia="en-GB"/>
              </w:rPr>
              <w:t>-1.0413</w:t>
            </w:r>
          </w:p>
        </w:tc>
        <w:tc>
          <w:tcPr>
            <w:tcW w:w="1033" w:type="dxa"/>
            <w:tcBorders>
              <w:top w:val="nil"/>
              <w:left w:val="nil"/>
              <w:bottom w:val="nil"/>
              <w:right w:val="nil"/>
            </w:tcBorders>
            <w:shd w:val="clear" w:color="auto" w:fill="auto"/>
            <w:noWrap/>
            <w:vAlign w:val="bottom"/>
            <w:hideMark/>
          </w:tcPr>
          <w:p w14:paraId="646DBCBD" w14:textId="77777777" w:rsidR="003D2E90" w:rsidRPr="002A091D" w:rsidRDefault="003D2E90" w:rsidP="003D2E90">
            <w:pPr>
              <w:jc w:val="right"/>
              <w:rPr>
                <w:sz w:val="20"/>
                <w:szCs w:val="20"/>
                <w:lang w:val="en-GB" w:eastAsia="en-GB"/>
              </w:rPr>
            </w:pPr>
            <w:r w:rsidRPr="002A091D">
              <w:rPr>
                <w:sz w:val="20"/>
                <w:szCs w:val="20"/>
                <w:lang w:val="en-GB" w:eastAsia="en-GB"/>
              </w:rPr>
              <w:t>-0.4883</w:t>
            </w:r>
          </w:p>
        </w:tc>
        <w:tc>
          <w:tcPr>
            <w:tcW w:w="1140" w:type="dxa"/>
            <w:tcBorders>
              <w:top w:val="nil"/>
              <w:left w:val="nil"/>
              <w:bottom w:val="nil"/>
              <w:right w:val="nil"/>
            </w:tcBorders>
            <w:shd w:val="clear" w:color="auto" w:fill="auto"/>
            <w:noWrap/>
            <w:vAlign w:val="bottom"/>
            <w:hideMark/>
          </w:tcPr>
          <w:p w14:paraId="60EE980B" w14:textId="77777777" w:rsidR="003D2E90" w:rsidRPr="002A091D" w:rsidRDefault="003D2E90" w:rsidP="003D2E90">
            <w:pPr>
              <w:jc w:val="right"/>
              <w:rPr>
                <w:sz w:val="20"/>
                <w:szCs w:val="20"/>
                <w:lang w:val="en-GB" w:eastAsia="en-GB"/>
              </w:rPr>
            </w:pPr>
            <w:r w:rsidRPr="002A091D">
              <w:rPr>
                <w:sz w:val="20"/>
                <w:szCs w:val="20"/>
                <w:lang w:val="en-GB" w:eastAsia="en-GB"/>
              </w:rPr>
              <w:t>-2.5995</w:t>
            </w:r>
          </w:p>
        </w:tc>
        <w:tc>
          <w:tcPr>
            <w:tcW w:w="1140" w:type="dxa"/>
            <w:tcBorders>
              <w:top w:val="nil"/>
              <w:left w:val="nil"/>
              <w:bottom w:val="nil"/>
              <w:right w:val="nil"/>
            </w:tcBorders>
            <w:shd w:val="clear" w:color="auto" w:fill="auto"/>
            <w:noWrap/>
            <w:vAlign w:val="bottom"/>
            <w:hideMark/>
          </w:tcPr>
          <w:p w14:paraId="3C4BC1BA" w14:textId="77777777" w:rsidR="003D2E90" w:rsidRPr="002A091D" w:rsidRDefault="003D2E90" w:rsidP="003D2E90">
            <w:pPr>
              <w:jc w:val="right"/>
              <w:rPr>
                <w:sz w:val="20"/>
                <w:szCs w:val="20"/>
                <w:lang w:val="en-GB" w:eastAsia="en-GB"/>
              </w:rPr>
            </w:pPr>
            <w:r w:rsidRPr="002A091D">
              <w:rPr>
                <w:sz w:val="20"/>
                <w:szCs w:val="20"/>
                <w:lang w:val="en-GB" w:eastAsia="en-GB"/>
              </w:rPr>
              <w:t>-2.0369</w:t>
            </w:r>
            <w:r w:rsidR="003C25CE" w:rsidRPr="002A091D">
              <w:rPr>
                <w:sz w:val="20"/>
                <w:szCs w:val="20"/>
                <w:lang w:val="en-GB" w:eastAsia="en-GB"/>
              </w:rPr>
              <w:t>***</w:t>
            </w:r>
          </w:p>
        </w:tc>
        <w:tc>
          <w:tcPr>
            <w:tcW w:w="1027" w:type="dxa"/>
            <w:tcBorders>
              <w:top w:val="nil"/>
              <w:left w:val="nil"/>
              <w:bottom w:val="nil"/>
              <w:right w:val="nil"/>
            </w:tcBorders>
            <w:shd w:val="clear" w:color="auto" w:fill="auto"/>
            <w:noWrap/>
            <w:vAlign w:val="bottom"/>
            <w:hideMark/>
          </w:tcPr>
          <w:p w14:paraId="4153CD58" w14:textId="77777777" w:rsidR="003D2E90" w:rsidRPr="002A091D" w:rsidRDefault="003D2E90" w:rsidP="003D2E90">
            <w:pPr>
              <w:jc w:val="right"/>
              <w:rPr>
                <w:sz w:val="20"/>
                <w:szCs w:val="20"/>
                <w:lang w:val="en-GB" w:eastAsia="en-GB"/>
              </w:rPr>
            </w:pPr>
            <w:r w:rsidRPr="002A091D">
              <w:rPr>
                <w:sz w:val="20"/>
                <w:szCs w:val="20"/>
                <w:lang w:val="en-GB" w:eastAsia="en-GB"/>
              </w:rPr>
              <w:t>-3.4386</w:t>
            </w:r>
          </w:p>
        </w:tc>
        <w:tc>
          <w:tcPr>
            <w:tcW w:w="1027" w:type="dxa"/>
            <w:tcBorders>
              <w:top w:val="nil"/>
              <w:left w:val="nil"/>
              <w:bottom w:val="nil"/>
              <w:right w:val="nil"/>
            </w:tcBorders>
            <w:shd w:val="clear" w:color="auto" w:fill="auto"/>
            <w:noWrap/>
            <w:vAlign w:val="bottom"/>
            <w:hideMark/>
          </w:tcPr>
          <w:p w14:paraId="46F97B77" w14:textId="77777777" w:rsidR="003D2E90" w:rsidRPr="002A091D" w:rsidRDefault="003D2E90" w:rsidP="003D2E90">
            <w:pPr>
              <w:jc w:val="right"/>
              <w:rPr>
                <w:sz w:val="20"/>
                <w:szCs w:val="20"/>
                <w:lang w:val="en-GB" w:eastAsia="en-GB"/>
              </w:rPr>
            </w:pPr>
            <w:r w:rsidRPr="002A091D">
              <w:rPr>
                <w:sz w:val="20"/>
                <w:szCs w:val="20"/>
                <w:lang w:val="en-GB" w:eastAsia="en-GB"/>
              </w:rPr>
              <w:t>-2.7615</w:t>
            </w:r>
          </w:p>
        </w:tc>
        <w:tc>
          <w:tcPr>
            <w:tcW w:w="1140" w:type="dxa"/>
            <w:tcBorders>
              <w:top w:val="nil"/>
              <w:left w:val="nil"/>
              <w:bottom w:val="nil"/>
              <w:right w:val="nil"/>
            </w:tcBorders>
            <w:shd w:val="clear" w:color="auto" w:fill="auto"/>
            <w:noWrap/>
            <w:vAlign w:val="bottom"/>
            <w:hideMark/>
          </w:tcPr>
          <w:p w14:paraId="6C025D8B" w14:textId="77777777" w:rsidR="003D2E90" w:rsidRPr="002A091D" w:rsidRDefault="003D2E90" w:rsidP="003D2E90">
            <w:pPr>
              <w:jc w:val="right"/>
              <w:rPr>
                <w:sz w:val="20"/>
                <w:szCs w:val="20"/>
                <w:lang w:val="en-GB" w:eastAsia="en-GB"/>
              </w:rPr>
            </w:pPr>
            <w:r w:rsidRPr="002A091D">
              <w:rPr>
                <w:sz w:val="20"/>
                <w:szCs w:val="20"/>
                <w:lang w:val="en-GB" w:eastAsia="en-GB"/>
              </w:rPr>
              <w:t>-3.2627</w:t>
            </w:r>
          </w:p>
        </w:tc>
        <w:tc>
          <w:tcPr>
            <w:tcW w:w="1027" w:type="dxa"/>
            <w:tcBorders>
              <w:top w:val="nil"/>
              <w:left w:val="nil"/>
              <w:bottom w:val="nil"/>
              <w:right w:val="nil"/>
            </w:tcBorders>
            <w:shd w:val="clear" w:color="auto" w:fill="auto"/>
            <w:noWrap/>
            <w:vAlign w:val="bottom"/>
            <w:hideMark/>
          </w:tcPr>
          <w:p w14:paraId="31CB8B1E" w14:textId="77777777" w:rsidR="003D2E90" w:rsidRPr="002A091D" w:rsidRDefault="003D2E90" w:rsidP="003D2E90">
            <w:pPr>
              <w:jc w:val="right"/>
              <w:rPr>
                <w:sz w:val="20"/>
                <w:szCs w:val="20"/>
                <w:lang w:val="en-GB" w:eastAsia="en-GB"/>
              </w:rPr>
            </w:pPr>
            <w:r w:rsidRPr="002A091D">
              <w:rPr>
                <w:sz w:val="20"/>
                <w:szCs w:val="20"/>
                <w:lang w:val="en-GB" w:eastAsia="en-GB"/>
              </w:rPr>
              <w:t>-0.7210</w:t>
            </w:r>
          </w:p>
        </w:tc>
        <w:tc>
          <w:tcPr>
            <w:tcW w:w="1027" w:type="dxa"/>
            <w:tcBorders>
              <w:top w:val="nil"/>
              <w:left w:val="nil"/>
              <w:bottom w:val="nil"/>
              <w:right w:val="nil"/>
            </w:tcBorders>
            <w:shd w:val="clear" w:color="auto" w:fill="auto"/>
            <w:noWrap/>
            <w:vAlign w:val="bottom"/>
            <w:hideMark/>
          </w:tcPr>
          <w:p w14:paraId="68A4CDD8" w14:textId="77777777" w:rsidR="003D2E90" w:rsidRPr="002A091D" w:rsidRDefault="003D2E90" w:rsidP="003D2E90">
            <w:pPr>
              <w:jc w:val="right"/>
              <w:rPr>
                <w:sz w:val="20"/>
                <w:szCs w:val="20"/>
                <w:lang w:val="en-GB" w:eastAsia="en-GB"/>
              </w:rPr>
            </w:pPr>
            <w:r w:rsidRPr="002A091D">
              <w:rPr>
                <w:sz w:val="20"/>
                <w:szCs w:val="20"/>
                <w:lang w:val="en-GB" w:eastAsia="en-GB"/>
              </w:rPr>
              <w:t>-0.2739</w:t>
            </w:r>
          </w:p>
        </w:tc>
        <w:tc>
          <w:tcPr>
            <w:tcW w:w="1027" w:type="dxa"/>
            <w:tcBorders>
              <w:top w:val="nil"/>
              <w:left w:val="nil"/>
              <w:bottom w:val="nil"/>
              <w:right w:val="nil"/>
            </w:tcBorders>
            <w:shd w:val="clear" w:color="auto" w:fill="auto"/>
            <w:noWrap/>
            <w:vAlign w:val="bottom"/>
            <w:hideMark/>
          </w:tcPr>
          <w:p w14:paraId="1579D068" w14:textId="77777777" w:rsidR="003D2E90" w:rsidRPr="002A091D" w:rsidRDefault="003D2E90" w:rsidP="003D2E90">
            <w:pPr>
              <w:jc w:val="right"/>
              <w:rPr>
                <w:sz w:val="20"/>
                <w:szCs w:val="20"/>
                <w:lang w:val="en-GB" w:eastAsia="en-GB"/>
              </w:rPr>
            </w:pPr>
            <w:r w:rsidRPr="002A091D">
              <w:rPr>
                <w:sz w:val="20"/>
                <w:szCs w:val="20"/>
                <w:lang w:val="en-GB" w:eastAsia="en-GB"/>
              </w:rPr>
              <w:t>-1.8336</w:t>
            </w:r>
            <w:r w:rsidR="00D03526" w:rsidRPr="002A091D">
              <w:rPr>
                <w:sz w:val="20"/>
                <w:szCs w:val="20"/>
                <w:lang w:val="en-GB" w:eastAsia="en-GB"/>
              </w:rPr>
              <w:t>*</w:t>
            </w:r>
          </w:p>
        </w:tc>
        <w:tc>
          <w:tcPr>
            <w:tcW w:w="1027" w:type="dxa"/>
            <w:tcBorders>
              <w:top w:val="nil"/>
              <w:left w:val="nil"/>
              <w:bottom w:val="nil"/>
              <w:right w:val="nil"/>
            </w:tcBorders>
            <w:shd w:val="clear" w:color="auto" w:fill="auto"/>
            <w:noWrap/>
            <w:vAlign w:val="bottom"/>
            <w:hideMark/>
          </w:tcPr>
          <w:p w14:paraId="7D3CDFB3" w14:textId="77777777" w:rsidR="003D2E90" w:rsidRPr="002A091D" w:rsidRDefault="003D2E90" w:rsidP="003D2E90">
            <w:pPr>
              <w:jc w:val="right"/>
              <w:rPr>
                <w:sz w:val="20"/>
                <w:szCs w:val="20"/>
                <w:lang w:val="en-GB" w:eastAsia="en-GB"/>
              </w:rPr>
            </w:pPr>
            <w:r w:rsidRPr="002A091D">
              <w:rPr>
                <w:sz w:val="20"/>
                <w:szCs w:val="20"/>
                <w:lang w:val="en-GB" w:eastAsia="en-GB"/>
              </w:rPr>
              <w:t>-4.2273</w:t>
            </w:r>
          </w:p>
        </w:tc>
      </w:tr>
      <w:tr w:rsidR="003D2E90" w:rsidRPr="002A091D" w14:paraId="0F3BB35D" w14:textId="77777777" w:rsidTr="003C25CE">
        <w:trPr>
          <w:trHeight w:val="240"/>
        </w:trPr>
        <w:tc>
          <w:tcPr>
            <w:tcW w:w="2225" w:type="dxa"/>
            <w:tcBorders>
              <w:top w:val="nil"/>
              <w:left w:val="nil"/>
              <w:bottom w:val="nil"/>
              <w:right w:val="nil"/>
            </w:tcBorders>
            <w:shd w:val="clear" w:color="auto" w:fill="auto"/>
            <w:noWrap/>
            <w:vAlign w:val="bottom"/>
            <w:hideMark/>
          </w:tcPr>
          <w:p w14:paraId="04E66E4C" w14:textId="77777777" w:rsidR="003D2E90" w:rsidRPr="002A091D" w:rsidRDefault="003D2E90" w:rsidP="003D2E90">
            <w:pPr>
              <w:rPr>
                <w:sz w:val="20"/>
                <w:szCs w:val="20"/>
                <w:lang w:val="en-GB" w:eastAsia="en-GB"/>
              </w:rPr>
            </w:pPr>
            <w:r w:rsidRPr="002A091D">
              <w:rPr>
                <w:sz w:val="20"/>
                <w:szCs w:val="20"/>
                <w:lang w:val="en-GB" w:eastAsia="en-GB"/>
              </w:rPr>
              <w:t>Carhart_alpha</w:t>
            </w:r>
          </w:p>
        </w:tc>
        <w:tc>
          <w:tcPr>
            <w:tcW w:w="1027" w:type="dxa"/>
            <w:tcBorders>
              <w:top w:val="nil"/>
              <w:left w:val="nil"/>
              <w:bottom w:val="nil"/>
              <w:right w:val="nil"/>
            </w:tcBorders>
            <w:shd w:val="clear" w:color="auto" w:fill="auto"/>
            <w:noWrap/>
            <w:vAlign w:val="bottom"/>
            <w:hideMark/>
          </w:tcPr>
          <w:p w14:paraId="1721FB54" w14:textId="77777777" w:rsidR="003D2E90" w:rsidRPr="002A091D" w:rsidRDefault="003D2E90" w:rsidP="003D2E90">
            <w:pPr>
              <w:jc w:val="right"/>
              <w:rPr>
                <w:sz w:val="20"/>
                <w:szCs w:val="20"/>
                <w:lang w:val="en-GB" w:eastAsia="en-GB"/>
              </w:rPr>
            </w:pPr>
            <w:r w:rsidRPr="002A091D">
              <w:rPr>
                <w:sz w:val="20"/>
                <w:szCs w:val="20"/>
                <w:lang w:val="en-GB" w:eastAsia="en-GB"/>
              </w:rPr>
              <w:t>-0.0014</w:t>
            </w:r>
          </w:p>
        </w:tc>
        <w:tc>
          <w:tcPr>
            <w:tcW w:w="1027" w:type="dxa"/>
            <w:tcBorders>
              <w:top w:val="nil"/>
              <w:left w:val="nil"/>
              <w:bottom w:val="nil"/>
              <w:right w:val="nil"/>
            </w:tcBorders>
            <w:shd w:val="clear" w:color="auto" w:fill="auto"/>
            <w:noWrap/>
            <w:vAlign w:val="bottom"/>
            <w:hideMark/>
          </w:tcPr>
          <w:p w14:paraId="0DB39551" w14:textId="77777777" w:rsidR="003D2E90" w:rsidRPr="002A091D" w:rsidRDefault="003D2E90" w:rsidP="003D2E90">
            <w:pPr>
              <w:jc w:val="right"/>
              <w:rPr>
                <w:sz w:val="20"/>
                <w:szCs w:val="20"/>
                <w:lang w:val="en-GB" w:eastAsia="en-GB"/>
              </w:rPr>
            </w:pPr>
            <w:r w:rsidRPr="002A091D">
              <w:rPr>
                <w:sz w:val="20"/>
                <w:szCs w:val="20"/>
                <w:lang w:val="en-GB" w:eastAsia="en-GB"/>
              </w:rPr>
              <w:t>-0.0050</w:t>
            </w:r>
          </w:p>
        </w:tc>
        <w:tc>
          <w:tcPr>
            <w:tcW w:w="1033" w:type="dxa"/>
            <w:tcBorders>
              <w:top w:val="nil"/>
              <w:left w:val="nil"/>
              <w:bottom w:val="nil"/>
              <w:right w:val="nil"/>
            </w:tcBorders>
            <w:shd w:val="clear" w:color="auto" w:fill="auto"/>
            <w:noWrap/>
            <w:vAlign w:val="bottom"/>
            <w:hideMark/>
          </w:tcPr>
          <w:p w14:paraId="3D740910" w14:textId="77777777" w:rsidR="003D2E90" w:rsidRPr="002A091D" w:rsidRDefault="003D2E90" w:rsidP="003D2E90">
            <w:pPr>
              <w:jc w:val="right"/>
              <w:rPr>
                <w:sz w:val="20"/>
                <w:szCs w:val="20"/>
                <w:lang w:val="en-GB" w:eastAsia="en-GB"/>
              </w:rPr>
            </w:pPr>
            <w:r w:rsidRPr="002A091D">
              <w:rPr>
                <w:sz w:val="20"/>
                <w:szCs w:val="20"/>
                <w:lang w:val="en-GB" w:eastAsia="en-GB"/>
              </w:rPr>
              <w:t>-0.0058</w:t>
            </w:r>
          </w:p>
        </w:tc>
        <w:tc>
          <w:tcPr>
            <w:tcW w:w="1140" w:type="dxa"/>
            <w:tcBorders>
              <w:top w:val="nil"/>
              <w:left w:val="nil"/>
              <w:bottom w:val="nil"/>
              <w:right w:val="nil"/>
            </w:tcBorders>
            <w:shd w:val="clear" w:color="auto" w:fill="auto"/>
            <w:noWrap/>
            <w:vAlign w:val="bottom"/>
            <w:hideMark/>
          </w:tcPr>
          <w:p w14:paraId="278C6CFA" w14:textId="77777777" w:rsidR="003D2E90" w:rsidRPr="002A091D" w:rsidRDefault="003D2E90" w:rsidP="003D2E90">
            <w:pPr>
              <w:jc w:val="right"/>
              <w:rPr>
                <w:sz w:val="20"/>
                <w:szCs w:val="20"/>
                <w:lang w:val="en-GB" w:eastAsia="en-GB"/>
              </w:rPr>
            </w:pPr>
            <w:r w:rsidRPr="002A091D">
              <w:rPr>
                <w:sz w:val="20"/>
                <w:szCs w:val="20"/>
                <w:lang w:val="en-GB" w:eastAsia="en-GB"/>
              </w:rPr>
              <w:t>-0.0091</w:t>
            </w:r>
          </w:p>
        </w:tc>
        <w:tc>
          <w:tcPr>
            <w:tcW w:w="1140" w:type="dxa"/>
            <w:tcBorders>
              <w:top w:val="nil"/>
              <w:left w:val="nil"/>
              <w:bottom w:val="nil"/>
              <w:right w:val="nil"/>
            </w:tcBorders>
            <w:shd w:val="clear" w:color="auto" w:fill="auto"/>
            <w:noWrap/>
            <w:vAlign w:val="bottom"/>
            <w:hideMark/>
          </w:tcPr>
          <w:p w14:paraId="513D7535" w14:textId="77777777" w:rsidR="003D2E90" w:rsidRPr="002A091D" w:rsidRDefault="003D2E90" w:rsidP="003D2E90">
            <w:pPr>
              <w:jc w:val="right"/>
              <w:rPr>
                <w:sz w:val="20"/>
                <w:szCs w:val="20"/>
                <w:lang w:val="en-GB" w:eastAsia="en-GB"/>
              </w:rPr>
            </w:pPr>
            <w:r w:rsidRPr="002A091D">
              <w:rPr>
                <w:sz w:val="20"/>
                <w:szCs w:val="20"/>
                <w:lang w:val="en-GB" w:eastAsia="en-GB"/>
              </w:rPr>
              <w:t>-0.0077</w:t>
            </w:r>
          </w:p>
        </w:tc>
        <w:tc>
          <w:tcPr>
            <w:tcW w:w="1027" w:type="dxa"/>
            <w:tcBorders>
              <w:top w:val="nil"/>
              <w:left w:val="nil"/>
              <w:bottom w:val="nil"/>
              <w:right w:val="nil"/>
            </w:tcBorders>
            <w:shd w:val="clear" w:color="auto" w:fill="auto"/>
            <w:noWrap/>
            <w:vAlign w:val="bottom"/>
            <w:hideMark/>
          </w:tcPr>
          <w:p w14:paraId="3DC6498C" w14:textId="77777777" w:rsidR="003D2E90" w:rsidRPr="002A091D" w:rsidRDefault="003D2E90" w:rsidP="003D2E90">
            <w:pPr>
              <w:jc w:val="right"/>
              <w:rPr>
                <w:sz w:val="20"/>
                <w:szCs w:val="20"/>
                <w:lang w:val="en-GB" w:eastAsia="en-GB"/>
              </w:rPr>
            </w:pPr>
            <w:r w:rsidRPr="002A091D">
              <w:rPr>
                <w:sz w:val="20"/>
                <w:szCs w:val="20"/>
                <w:lang w:val="en-GB" w:eastAsia="en-GB"/>
              </w:rPr>
              <w:t>-0.0108</w:t>
            </w:r>
          </w:p>
        </w:tc>
        <w:tc>
          <w:tcPr>
            <w:tcW w:w="1027" w:type="dxa"/>
            <w:tcBorders>
              <w:top w:val="nil"/>
              <w:left w:val="nil"/>
              <w:bottom w:val="nil"/>
              <w:right w:val="nil"/>
            </w:tcBorders>
            <w:shd w:val="clear" w:color="auto" w:fill="auto"/>
            <w:noWrap/>
            <w:vAlign w:val="bottom"/>
            <w:hideMark/>
          </w:tcPr>
          <w:p w14:paraId="7B004AC9" w14:textId="77777777" w:rsidR="003D2E90" w:rsidRPr="002A091D" w:rsidRDefault="003D2E90" w:rsidP="003D2E90">
            <w:pPr>
              <w:jc w:val="right"/>
              <w:rPr>
                <w:sz w:val="20"/>
                <w:szCs w:val="20"/>
                <w:lang w:val="en-GB" w:eastAsia="en-GB"/>
              </w:rPr>
            </w:pPr>
            <w:r w:rsidRPr="002A091D">
              <w:rPr>
                <w:sz w:val="20"/>
                <w:szCs w:val="20"/>
                <w:lang w:val="en-GB" w:eastAsia="en-GB"/>
              </w:rPr>
              <w:t>-0.0097</w:t>
            </w:r>
          </w:p>
        </w:tc>
        <w:tc>
          <w:tcPr>
            <w:tcW w:w="1140" w:type="dxa"/>
            <w:tcBorders>
              <w:top w:val="nil"/>
              <w:left w:val="nil"/>
              <w:bottom w:val="nil"/>
              <w:right w:val="nil"/>
            </w:tcBorders>
            <w:shd w:val="clear" w:color="auto" w:fill="auto"/>
            <w:noWrap/>
            <w:vAlign w:val="bottom"/>
            <w:hideMark/>
          </w:tcPr>
          <w:p w14:paraId="5541F36F" w14:textId="77777777" w:rsidR="003D2E90" w:rsidRPr="002A091D" w:rsidRDefault="003D2E90" w:rsidP="003D2E90">
            <w:pPr>
              <w:jc w:val="right"/>
              <w:rPr>
                <w:sz w:val="20"/>
                <w:szCs w:val="20"/>
                <w:lang w:val="en-GB" w:eastAsia="en-GB"/>
              </w:rPr>
            </w:pPr>
            <w:r w:rsidRPr="002A091D">
              <w:rPr>
                <w:sz w:val="20"/>
                <w:szCs w:val="20"/>
                <w:lang w:val="en-GB" w:eastAsia="en-GB"/>
              </w:rPr>
              <w:t>-0.0105</w:t>
            </w:r>
          </w:p>
        </w:tc>
        <w:tc>
          <w:tcPr>
            <w:tcW w:w="1027" w:type="dxa"/>
            <w:tcBorders>
              <w:top w:val="nil"/>
              <w:left w:val="nil"/>
              <w:bottom w:val="nil"/>
              <w:right w:val="nil"/>
            </w:tcBorders>
            <w:shd w:val="clear" w:color="auto" w:fill="auto"/>
            <w:noWrap/>
            <w:vAlign w:val="bottom"/>
            <w:hideMark/>
          </w:tcPr>
          <w:p w14:paraId="5E24D140" w14:textId="77777777" w:rsidR="003D2E90" w:rsidRPr="002A091D" w:rsidRDefault="003D2E90" w:rsidP="003D2E90">
            <w:pPr>
              <w:jc w:val="right"/>
              <w:rPr>
                <w:sz w:val="20"/>
                <w:szCs w:val="20"/>
                <w:lang w:val="en-GB" w:eastAsia="en-GB"/>
              </w:rPr>
            </w:pPr>
            <w:r w:rsidRPr="002A091D">
              <w:rPr>
                <w:sz w:val="20"/>
                <w:szCs w:val="20"/>
                <w:lang w:val="en-GB" w:eastAsia="en-GB"/>
              </w:rPr>
              <w:t>-0.0027</w:t>
            </w:r>
          </w:p>
        </w:tc>
        <w:tc>
          <w:tcPr>
            <w:tcW w:w="1027" w:type="dxa"/>
            <w:tcBorders>
              <w:top w:val="nil"/>
              <w:left w:val="nil"/>
              <w:bottom w:val="nil"/>
              <w:right w:val="nil"/>
            </w:tcBorders>
            <w:shd w:val="clear" w:color="auto" w:fill="auto"/>
            <w:noWrap/>
            <w:vAlign w:val="bottom"/>
            <w:hideMark/>
          </w:tcPr>
          <w:p w14:paraId="457C5B9E" w14:textId="77777777" w:rsidR="003D2E90" w:rsidRPr="002A091D" w:rsidRDefault="003D2E90" w:rsidP="003D2E90">
            <w:pPr>
              <w:jc w:val="right"/>
              <w:rPr>
                <w:sz w:val="20"/>
                <w:szCs w:val="20"/>
                <w:lang w:val="en-GB" w:eastAsia="en-GB"/>
              </w:rPr>
            </w:pPr>
            <w:r w:rsidRPr="002A091D">
              <w:rPr>
                <w:sz w:val="20"/>
                <w:szCs w:val="20"/>
                <w:lang w:val="en-GB" w:eastAsia="en-GB"/>
              </w:rPr>
              <w:t>-0.0021</w:t>
            </w:r>
          </w:p>
        </w:tc>
        <w:tc>
          <w:tcPr>
            <w:tcW w:w="1027" w:type="dxa"/>
            <w:tcBorders>
              <w:top w:val="nil"/>
              <w:left w:val="nil"/>
              <w:bottom w:val="nil"/>
              <w:right w:val="nil"/>
            </w:tcBorders>
            <w:shd w:val="clear" w:color="auto" w:fill="auto"/>
            <w:noWrap/>
            <w:vAlign w:val="bottom"/>
            <w:hideMark/>
          </w:tcPr>
          <w:p w14:paraId="4ED38E4B" w14:textId="77777777" w:rsidR="003D2E90" w:rsidRPr="002A091D" w:rsidRDefault="003D2E90" w:rsidP="003D2E90">
            <w:pPr>
              <w:jc w:val="right"/>
              <w:rPr>
                <w:sz w:val="20"/>
                <w:szCs w:val="20"/>
                <w:lang w:val="en-GB" w:eastAsia="en-GB"/>
              </w:rPr>
            </w:pPr>
            <w:r w:rsidRPr="002A091D">
              <w:rPr>
                <w:sz w:val="20"/>
                <w:szCs w:val="20"/>
                <w:lang w:val="en-GB" w:eastAsia="en-GB"/>
              </w:rPr>
              <w:t>-0.0173</w:t>
            </w:r>
          </w:p>
        </w:tc>
        <w:tc>
          <w:tcPr>
            <w:tcW w:w="1027" w:type="dxa"/>
            <w:tcBorders>
              <w:top w:val="nil"/>
              <w:left w:val="nil"/>
              <w:bottom w:val="nil"/>
              <w:right w:val="nil"/>
            </w:tcBorders>
            <w:shd w:val="clear" w:color="auto" w:fill="auto"/>
            <w:noWrap/>
            <w:vAlign w:val="bottom"/>
            <w:hideMark/>
          </w:tcPr>
          <w:p w14:paraId="2506C18B" w14:textId="77777777" w:rsidR="003D2E90" w:rsidRPr="002A091D" w:rsidRDefault="003D2E90" w:rsidP="003D2E90">
            <w:pPr>
              <w:jc w:val="right"/>
              <w:rPr>
                <w:sz w:val="20"/>
                <w:szCs w:val="20"/>
                <w:lang w:val="en-GB" w:eastAsia="en-GB"/>
              </w:rPr>
            </w:pPr>
            <w:r w:rsidRPr="002A091D">
              <w:rPr>
                <w:sz w:val="20"/>
                <w:szCs w:val="20"/>
                <w:lang w:val="en-GB" w:eastAsia="en-GB"/>
              </w:rPr>
              <w:t>-0.0065</w:t>
            </w:r>
          </w:p>
        </w:tc>
      </w:tr>
      <w:tr w:rsidR="003D2E90" w:rsidRPr="002A091D" w14:paraId="0BE334CE" w14:textId="77777777" w:rsidTr="003C25CE">
        <w:trPr>
          <w:trHeight w:val="248"/>
        </w:trPr>
        <w:tc>
          <w:tcPr>
            <w:tcW w:w="2225" w:type="dxa"/>
            <w:tcBorders>
              <w:top w:val="nil"/>
              <w:left w:val="nil"/>
              <w:bottom w:val="double" w:sz="6" w:space="0" w:color="auto"/>
              <w:right w:val="nil"/>
            </w:tcBorders>
            <w:shd w:val="clear" w:color="auto" w:fill="auto"/>
            <w:noWrap/>
            <w:vAlign w:val="bottom"/>
            <w:hideMark/>
          </w:tcPr>
          <w:p w14:paraId="005C9D4D" w14:textId="77777777" w:rsidR="003D2E90" w:rsidRPr="002A091D" w:rsidRDefault="003D2E90" w:rsidP="003D2E90">
            <w:pPr>
              <w:rPr>
                <w:sz w:val="20"/>
                <w:szCs w:val="20"/>
                <w:lang w:val="en-GB" w:eastAsia="en-GB"/>
              </w:rPr>
            </w:pPr>
            <w:r w:rsidRPr="002A091D">
              <w:rPr>
                <w:sz w:val="20"/>
                <w:szCs w:val="20"/>
                <w:lang w:val="en-GB" w:eastAsia="en-GB"/>
              </w:rPr>
              <w:t>T_value</w:t>
            </w:r>
          </w:p>
        </w:tc>
        <w:tc>
          <w:tcPr>
            <w:tcW w:w="1027" w:type="dxa"/>
            <w:tcBorders>
              <w:top w:val="nil"/>
              <w:left w:val="nil"/>
              <w:bottom w:val="double" w:sz="6" w:space="0" w:color="auto"/>
              <w:right w:val="nil"/>
            </w:tcBorders>
            <w:shd w:val="clear" w:color="auto" w:fill="auto"/>
            <w:noWrap/>
            <w:vAlign w:val="bottom"/>
            <w:hideMark/>
          </w:tcPr>
          <w:p w14:paraId="7C0B5462" w14:textId="77777777" w:rsidR="003D2E90" w:rsidRPr="002A091D" w:rsidRDefault="003D2E90" w:rsidP="003D2E90">
            <w:pPr>
              <w:jc w:val="right"/>
              <w:rPr>
                <w:sz w:val="20"/>
                <w:szCs w:val="20"/>
                <w:lang w:val="en-GB" w:eastAsia="en-GB"/>
              </w:rPr>
            </w:pPr>
            <w:r w:rsidRPr="002A091D">
              <w:rPr>
                <w:sz w:val="20"/>
                <w:szCs w:val="20"/>
                <w:lang w:val="en-GB" w:eastAsia="en-GB"/>
              </w:rPr>
              <w:t>-0.3400</w:t>
            </w:r>
          </w:p>
        </w:tc>
        <w:tc>
          <w:tcPr>
            <w:tcW w:w="1027" w:type="dxa"/>
            <w:tcBorders>
              <w:top w:val="nil"/>
              <w:left w:val="nil"/>
              <w:bottom w:val="double" w:sz="6" w:space="0" w:color="auto"/>
              <w:right w:val="nil"/>
            </w:tcBorders>
            <w:shd w:val="clear" w:color="auto" w:fill="auto"/>
            <w:noWrap/>
            <w:vAlign w:val="bottom"/>
            <w:hideMark/>
          </w:tcPr>
          <w:p w14:paraId="59B12365" w14:textId="77777777" w:rsidR="003D2E90" w:rsidRPr="002A091D" w:rsidRDefault="003D2E90" w:rsidP="003D2E90">
            <w:pPr>
              <w:jc w:val="right"/>
              <w:rPr>
                <w:sz w:val="20"/>
                <w:szCs w:val="20"/>
                <w:lang w:val="en-GB" w:eastAsia="en-GB"/>
              </w:rPr>
            </w:pPr>
            <w:r w:rsidRPr="002A091D">
              <w:rPr>
                <w:sz w:val="20"/>
                <w:szCs w:val="20"/>
                <w:lang w:val="en-GB" w:eastAsia="en-GB"/>
              </w:rPr>
              <w:t>-1.5644</w:t>
            </w:r>
          </w:p>
        </w:tc>
        <w:tc>
          <w:tcPr>
            <w:tcW w:w="1033" w:type="dxa"/>
            <w:tcBorders>
              <w:top w:val="nil"/>
              <w:left w:val="nil"/>
              <w:bottom w:val="double" w:sz="6" w:space="0" w:color="auto"/>
              <w:right w:val="nil"/>
            </w:tcBorders>
            <w:shd w:val="clear" w:color="auto" w:fill="auto"/>
            <w:noWrap/>
            <w:vAlign w:val="bottom"/>
            <w:hideMark/>
          </w:tcPr>
          <w:p w14:paraId="7BA7C237" w14:textId="77777777" w:rsidR="003D2E90" w:rsidRPr="002A091D" w:rsidRDefault="003D2E90" w:rsidP="003D2E90">
            <w:pPr>
              <w:jc w:val="right"/>
              <w:rPr>
                <w:sz w:val="20"/>
                <w:szCs w:val="20"/>
                <w:lang w:val="en-GB" w:eastAsia="en-GB"/>
              </w:rPr>
            </w:pPr>
            <w:r w:rsidRPr="002A091D">
              <w:rPr>
                <w:sz w:val="20"/>
                <w:szCs w:val="20"/>
                <w:lang w:val="en-GB" w:eastAsia="en-GB"/>
              </w:rPr>
              <w:t>-1.8174</w:t>
            </w:r>
            <w:r w:rsidR="003C25CE" w:rsidRPr="002A091D">
              <w:rPr>
                <w:sz w:val="20"/>
                <w:szCs w:val="20"/>
                <w:lang w:val="en-GB" w:eastAsia="en-GB"/>
              </w:rPr>
              <w:t>**</w:t>
            </w:r>
          </w:p>
        </w:tc>
        <w:tc>
          <w:tcPr>
            <w:tcW w:w="1140" w:type="dxa"/>
            <w:tcBorders>
              <w:top w:val="nil"/>
              <w:left w:val="nil"/>
              <w:bottom w:val="double" w:sz="6" w:space="0" w:color="auto"/>
              <w:right w:val="nil"/>
            </w:tcBorders>
            <w:shd w:val="clear" w:color="auto" w:fill="auto"/>
            <w:noWrap/>
            <w:vAlign w:val="bottom"/>
            <w:hideMark/>
          </w:tcPr>
          <w:p w14:paraId="6DD2A0BA" w14:textId="77777777" w:rsidR="003D2E90" w:rsidRPr="002A091D" w:rsidRDefault="003D2E90" w:rsidP="003D2E90">
            <w:pPr>
              <w:jc w:val="right"/>
              <w:rPr>
                <w:sz w:val="20"/>
                <w:szCs w:val="20"/>
                <w:lang w:val="en-GB" w:eastAsia="en-GB"/>
              </w:rPr>
            </w:pPr>
            <w:r w:rsidRPr="002A091D">
              <w:rPr>
                <w:sz w:val="20"/>
                <w:szCs w:val="20"/>
                <w:lang w:val="en-GB" w:eastAsia="en-GB"/>
              </w:rPr>
              <w:t>-2.5668</w:t>
            </w:r>
            <w:r w:rsidR="003C25CE" w:rsidRPr="002A091D">
              <w:rPr>
                <w:sz w:val="20"/>
                <w:szCs w:val="20"/>
                <w:lang w:val="en-GB" w:eastAsia="en-GB"/>
              </w:rPr>
              <w:t>***</w:t>
            </w:r>
          </w:p>
        </w:tc>
        <w:tc>
          <w:tcPr>
            <w:tcW w:w="1140" w:type="dxa"/>
            <w:tcBorders>
              <w:top w:val="nil"/>
              <w:left w:val="nil"/>
              <w:bottom w:val="double" w:sz="6" w:space="0" w:color="auto"/>
              <w:right w:val="nil"/>
            </w:tcBorders>
            <w:shd w:val="clear" w:color="auto" w:fill="auto"/>
            <w:noWrap/>
            <w:vAlign w:val="bottom"/>
            <w:hideMark/>
          </w:tcPr>
          <w:p w14:paraId="446CFD60" w14:textId="77777777" w:rsidR="003D2E90" w:rsidRPr="002A091D" w:rsidRDefault="003D2E90" w:rsidP="003D2E90">
            <w:pPr>
              <w:jc w:val="right"/>
              <w:rPr>
                <w:sz w:val="20"/>
                <w:szCs w:val="20"/>
                <w:lang w:val="en-GB" w:eastAsia="en-GB"/>
              </w:rPr>
            </w:pPr>
            <w:r w:rsidRPr="002A091D">
              <w:rPr>
                <w:sz w:val="20"/>
                <w:szCs w:val="20"/>
                <w:lang w:val="en-GB" w:eastAsia="en-GB"/>
              </w:rPr>
              <w:t>-1.7931</w:t>
            </w:r>
            <w:r w:rsidR="003C25CE" w:rsidRPr="002A091D">
              <w:rPr>
                <w:sz w:val="20"/>
                <w:szCs w:val="20"/>
                <w:lang w:val="en-GB" w:eastAsia="en-GB"/>
              </w:rPr>
              <w:t>*</w:t>
            </w:r>
          </w:p>
        </w:tc>
        <w:tc>
          <w:tcPr>
            <w:tcW w:w="1027" w:type="dxa"/>
            <w:tcBorders>
              <w:top w:val="nil"/>
              <w:left w:val="nil"/>
              <w:bottom w:val="double" w:sz="6" w:space="0" w:color="auto"/>
              <w:right w:val="nil"/>
            </w:tcBorders>
            <w:shd w:val="clear" w:color="auto" w:fill="auto"/>
            <w:noWrap/>
            <w:vAlign w:val="bottom"/>
            <w:hideMark/>
          </w:tcPr>
          <w:p w14:paraId="244124D1" w14:textId="77777777" w:rsidR="003D2E90" w:rsidRPr="002A091D" w:rsidRDefault="003D2E90" w:rsidP="003D2E90">
            <w:pPr>
              <w:jc w:val="right"/>
              <w:rPr>
                <w:sz w:val="20"/>
                <w:szCs w:val="20"/>
                <w:lang w:val="en-GB" w:eastAsia="en-GB"/>
              </w:rPr>
            </w:pPr>
            <w:r w:rsidRPr="002A091D">
              <w:rPr>
                <w:sz w:val="20"/>
                <w:szCs w:val="20"/>
                <w:lang w:val="en-GB" w:eastAsia="en-GB"/>
              </w:rPr>
              <w:t>-3.0056</w:t>
            </w:r>
          </w:p>
        </w:tc>
        <w:tc>
          <w:tcPr>
            <w:tcW w:w="1027" w:type="dxa"/>
            <w:tcBorders>
              <w:top w:val="nil"/>
              <w:left w:val="nil"/>
              <w:bottom w:val="double" w:sz="6" w:space="0" w:color="auto"/>
              <w:right w:val="nil"/>
            </w:tcBorders>
            <w:shd w:val="clear" w:color="auto" w:fill="auto"/>
            <w:noWrap/>
            <w:vAlign w:val="bottom"/>
            <w:hideMark/>
          </w:tcPr>
          <w:p w14:paraId="722E30B4" w14:textId="77777777" w:rsidR="003D2E90" w:rsidRPr="002A091D" w:rsidRDefault="003D2E90" w:rsidP="003D2E90">
            <w:pPr>
              <w:jc w:val="right"/>
              <w:rPr>
                <w:sz w:val="20"/>
                <w:szCs w:val="20"/>
                <w:lang w:val="en-GB" w:eastAsia="en-GB"/>
              </w:rPr>
            </w:pPr>
            <w:r w:rsidRPr="002A091D">
              <w:rPr>
                <w:sz w:val="20"/>
                <w:szCs w:val="20"/>
                <w:lang w:val="en-GB" w:eastAsia="en-GB"/>
              </w:rPr>
              <w:t>-2.6614</w:t>
            </w:r>
          </w:p>
        </w:tc>
        <w:tc>
          <w:tcPr>
            <w:tcW w:w="1140" w:type="dxa"/>
            <w:tcBorders>
              <w:top w:val="nil"/>
              <w:left w:val="nil"/>
              <w:bottom w:val="double" w:sz="6" w:space="0" w:color="auto"/>
              <w:right w:val="nil"/>
            </w:tcBorders>
            <w:shd w:val="clear" w:color="auto" w:fill="auto"/>
            <w:noWrap/>
            <w:vAlign w:val="bottom"/>
            <w:hideMark/>
          </w:tcPr>
          <w:p w14:paraId="710F4DDE" w14:textId="77777777" w:rsidR="003D2E90" w:rsidRPr="002A091D" w:rsidRDefault="003D2E90" w:rsidP="003D2E90">
            <w:pPr>
              <w:jc w:val="right"/>
              <w:rPr>
                <w:sz w:val="20"/>
                <w:szCs w:val="20"/>
                <w:lang w:val="en-GB" w:eastAsia="en-GB"/>
              </w:rPr>
            </w:pPr>
            <w:r w:rsidRPr="002A091D">
              <w:rPr>
                <w:sz w:val="20"/>
                <w:szCs w:val="20"/>
                <w:lang w:val="en-GB" w:eastAsia="en-GB"/>
              </w:rPr>
              <w:t>-2.3406</w:t>
            </w:r>
            <w:r w:rsidR="003C25CE" w:rsidRPr="002A091D">
              <w:rPr>
                <w:sz w:val="20"/>
                <w:szCs w:val="20"/>
                <w:lang w:val="en-GB" w:eastAsia="en-GB"/>
              </w:rPr>
              <w:t>***</w:t>
            </w:r>
          </w:p>
        </w:tc>
        <w:tc>
          <w:tcPr>
            <w:tcW w:w="1027" w:type="dxa"/>
            <w:tcBorders>
              <w:top w:val="nil"/>
              <w:left w:val="nil"/>
              <w:bottom w:val="double" w:sz="6" w:space="0" w:color="auto"/>
              <w:right w:val="nil"/>
            </w:tcBorders>
            <w:shd w:val="clear" w:color="auto" w:fill="auto"/>
            <w:noWrap/>
            <w:vAlign w:val="bottom"/>
            <w:hideMark/>
          </w:tcPr>
          <w:p w14:paraId="732B2DD0" w14:textId="77777777" w:rsidR="003D2E90" w:rsidRPr="002A091D" w:rsidRDefault="003D2E90" w:rsidP="003D2E90">
            <w:pPr>
              <w:jc w:val="right"/>
              <w:rPr>
                <w:sz w:val="20"/>
                <w:szCs w:val="20"/>
                <w:lang w:val="en-GB" w:eastAsia="en-GB"/>
              </w:rPr>
            </w:pPr>
            <w:r w:rsidRPr="002A091D">
              <w:rPr>
                <w:sz w:val="20"/>
                <w:szCs w:val="20"/>
                <w:lang w:val="en-GB" w:eastAsia="en-GB"/>
              </w:rPr>
              <w:t>-0.3341</w:t>
            </w:r>
          </w:p>
        </w:tc>
        <w:tc>
          <w:tcPr>
            <w:tcW w:w="1027" w:type="dxa"/>
            <w:tcBorders>
              <w:top w:val="nil"/>
              <w:left w:val="nil"/>
              <w:bottom w:val="double" w:sz="6" w:space="0" w:color="auto"/>
              <w:right w:val="nil"/>
            </w:tcBorders>
            <w:shd w:val="clear" w:color="auto" w:fill="auto"/>
            <w:noWrap/>
            <w:vAlign w:val="bottom"/>
            <w:hideMark/>
          </w:tcPr>
          <w:p w14:paraId="5A89819E" w14:textId="77777777" w:rsidR="003D2E90" w:rsidRPr="002A091D" w:rsidRDefault="003D2E90" w:rsidP="003D2E90">
            <w:pPr>
              <w:jc w:val="right"/>
              <w:rPr>
                <w:sz w:val="20"/>
                <w:szCs w:val="20"/>
                <w:lang w:val="en-GB" w:eastAsia="en-GB"/>
              </w:rPr>
            </w:pPr>
            <w:r w:rsidRPr="002A091D">
              <w:rPr>
                <w:sz w:val="20"/>
                <w:szCs w:val="20"/>
                <w:lang w:val="en-GB" w:eastAsia="en-GB"/>
              </w:rPr>
              <w:t>-0.3484</w:t>
            </w:r>
          </w:p>
        </w:tc>
        <w:tc>
          <w:tcPr>
            <w:tcW w:w="1027" w:type="dxa"/>
            <w:tcBorders>
              <w:top w:val="nil"/>
              <w:left w:val="nil"/>
              <w:bottom w:val="double" w:sz="6" w:space="0" w:color="auto"/>
              <w:right w:val="nil"/>
            </w:tcBorders>
            <w:shd w:val="clear" w:color="auto" w:fill="auto"/>
            <w:noWrap/>
            <w:vAlign w:val="bottom"/>
            <w:hideMark/>
          </w:tcPr>
          <w:p w14:paraId="683E6A61" w14:textId="77777777" w:rsidR="003D2E90" w:rsidRPr="002A091D" w:rsidRDefault="003D2E90" w:rsidP="003D2E90">
            <w:pPr>
              <w:jc w:val="right"/>
              <w:rPr>
                <w:sz w:val="20"/>
                <w:szCs w:val="20"/>
                <w:lang w:val="en-GB" w:eastAsia="en-GB"/>
              </w:rPr>
            </w:pPr>
            <w:r w:rsidRPr="002A091D">
              <w:rPr>
                <w:sz w:val="20"/>
                <w:szCs w:val="20"/>
                <w:lang w:val="en-GB" w:eastAsia="en-GB"/>
              </w:rPr>
              <w:t>-1.8671</w:t>
            </w:r>
            <w:r w:rsidR="003C25CE" w:rsidRPr="002A091D">
              <w:rPr>
                <w:sz w:val="20"/>
                <w:szCs w:val="20"/>
                <w:lang w:val="en-GB" w:eastAsia="en-GB"/>
              </w:rPr>
              <w:t>*</w:t>
            </w:r>
          </w:p>
        </w:tc>
        <w:tc>
          <w:tcPr>
            <w:tcW w:w="1027" w:type="dxa"/>
            <w:tcBorders>
              <w:top w:val="nil"/>
              <w:left w:val="nil"/>
              <w:bottom w:val="double" w:sz="6" w:space="0" w:color="auto"/>
              <w:right w:val="nil"/>
            </w:tcBorders>
            <w:shd w:val="clear" w:color="auto" w:fill="auto"/>
            <w:noWrap/>
            <w:vAlign w:val="bottom"/>
            <w:hideMark/>
          </w:tcPr>
          <w:p w14:paraId="3D83FF3A" w14:textId="77777777" w:rsidR="003D2E90" w:rsidRPr="002A091D" w:rsidRDefault="003D2E90" w:rsidP="003D2E90">
            <w:pPr>
              <w:jc w:val="right"/>
              <w:rPr>
                <w:sz w:val="20"/>
                <w:szCs w:val="20"/>
                <w:lang w:val="en-GB" w:eastAsia="en-GB"/>
              </w:rPr>
            </w:pPr>
            <w:r w:rsidRPr="002A091D">
              <w:rPr>
                <w:sz w:val="20"/>
                <w:szCs w:val="20"/>
                <w:lang w:val="en-GB" w:eastAsia="en-GB"/>
              </w:rPr>
              <w:t>-5.7101</w:t>
            </w:r>
          </w:p>
        </w:tc>
      </w:tr>
    </w:tbl>
    <w:p w14:paraId="266D896C" w14:textId="77777777" w:rsidR="003D2E90" w:rsidRPr="002A091D" w:rsidRDefault="003D2E90" w:rsidP="00C97C97">
      <w:pPr>
        <w:ind w:left="-993" w:right="-643"/>
        <w:jc w:val="both"/>
        <w:rPr>
          <w:sz w:val="20"/>
          <w:szCs w:val="20"/>
          <w:lang w:eastAsia="en-GB"/>
        </w:rPr>
      </w:pPr>
    </w:p>
    <w:p w14:paraId="533DABC1" w14:textId="77777777" w:rsidR="003741DC" w:rsidRPr="002A091D" w:rsidRDefault="007B3240" w:rsidP="00C97C97">
      <w:pPr>
        <w:ind w:left="-993" w:right="-643"/>
        <w:jc w:val="both"/>
        <w:rPr>
          <w:sz w:val="20"/>
          <w:szCs w:val="20"/>
        </w:rPr>
      </w:pPr>
      <w:r w:rsidRPr="002A091D">
        <w:rPr>
          <w:sz w:val="20"/>
          <w:szCs w:val="20"/>
          <w:lang w:eastAsia="en-GB"/>
        </w:rPr>
        <w:t>T</w:t>
      </w:r>
      <w:r w:rsidR="003741DC" w:rsidRPr="002A091D">
        <w:rPr>
          <w:sz w:val="20"/>
          <w:szCs w:val="20"/>
          <w:lang w:eastAsia="en-GB"/>
        </w:rPr>
        <w:t xml:space="preserve">he alpha of the value-weighted portfolios arranged on the basis of the return-to-turnover (RtoTR) price impact ratio. </w:t>
      </w:r>
      <w:r w:rsidRPr="002A091D">
        <w:rPr>
          <w:sz w:val="20"/>
          <w:szCs w:val="20"/>
          <w:lang w:eastAsia="en-GB"/>
        </w:rPr>
        <w:t xml:space="preserve">The table illustrates the abnormal performance of the 10 value-weighted portfolios. Among the 10 portfolios, P1 comprises the stocks with the lowest RtoTR ratio and P10 contains those with the highest RtoTR price impact ratio. The spread between the portfolios is represented as (P1 – P10). The CAPM alpha is determined as the annualized alpha estimate resulting from the capital asset-pricing model (CAPM). In addition, the Fama–French alpha is calculated as the annualized alpha estimate resulting from the Fama–French three-factor model. Moreover, the final model is based on the Carhart four-factor model and the Carhart annualized alpha estimate is derived from the Carhart four-factor model. T-values are reported under each model alpha. Finally, the last column of the table represents the chi-square statistics obtained through the Wald test testing to the null hypothesis </w:t>
      </w:r>
      <m:oMath>
        <m:sSub>
          <m:sSubPr>
            <m:ctrlPr>
              <w:rPr>
                <w:rFonts w:ascii="Cambria Math" w:hAnsi="Cambria Math"/>
                <w:i/>
                <w:sz w:val="20"/>
                <w:szCs w:val="20"/>
                <w:lang w:eastAsia="en-GB"/>
              </w:rPr>
            </m:ctrlPr>
          </m:sSubPr>
          <m:e>
            <m:r>
              <w:rPr>
                <w:rFonts w:ascii="Cambria Math" w:hAnsi="Cambria Math"/>
                <w:sz w:val="20"/>
                <w:szCs w:val="20"/>
                <w:lang w:eastAsia="en-GB"/>
              </w:rPr>
              <m:t>H</m:t>
            </m:r>
          </m:e>
          <m:sub>
            <m:r>
              <w:rPr>
                <w:rFonts w:ascii="Cambria Math" w:hAnsi="Cambria Math"/>
                <w:sz w:val="20"/>
                <w:szCs w:val="20"/>
                <w:lang w:eastAsia="en-GB"/>
              </w:rPr>
              <m:t>0</m:t>
            </m:r>
          </m:sub>
        </m:sSub>
        <m:r>
          <w:rPr>
            <w:rFonts w:ascii="Cambria Math" w:hAnsi="Cambria Math"/>
            <w:sz w:val="20"/>
            <w:szCs w:val="20"/>
            <w:lang w:eastAsia="en-GB"/>
          </w:rPr>
          <m:t xml:space="preserve"> </m:t>
        </m:r>
      </m:oMath>
      <w:r w:rsidRPr="002A091D">
        <w:rPr>
          <w:sz w:val="20"/>
          <w:szCs w:val="20"/>
          <w:lang w:eastAsia="en-GB"/>
        </w:rPr>
        <w:t>= The alphas of the 10 portfolios are jointly equal to zero. p-values are reported below the statistic</w:t>
      </w:r>
      <w:r w:rsidR="00C97C97" w:rsidRPr="002A091D">
        <w:rPr>
          <w:sz w:val="20"/>
          <w:szCs w:val="20"/>
          <w:lang w:eastAsia="en-GB"/>
        </w:rPr>
        <w:t xml:space="preserve">. </w:t>
      </w:r>
      <w:r w:rsidR="003741DC" w:rsidRPr="002A091D">
        <w:rPr>
          <w:sz w:val="20"/>
          <w:szCs w:val="20"/>
        </w:rPr>
        <w:t>*,**, and *** indicate significance at 10%, 5% and 1% respectively.</w:t>
      </w:r>
    </w:p>
    <w:p w14:paraId="7FF2FBCD" w14:textId="77777777" w:rsidR="00C97C97" w:rsidRPr="002A091D" w:rsidRDefault="00C97C97">
      <w:pPr>
        <w:spacing w:after="160" w:line="259" w:lineRule="auto"/>
        <w:rPr>
          <w:sz w:val="20"/>
          <w:szCs w:val="20"/>
        </w:rPr>
      </w:pPr>
      <w:r w:rsidRPr="002A091D">
        <w:rPr>
          <w:sz w:val="20"/>
          <w:szCs w:val="20"/>
        </w:rPr>
        <w:br w:type="page"/>
      </w:r>
    </w:p>
    <w:p w14:paraId="27B2EEDF" w14:textId="77777777" w:rsidR="007B3240" w:rsidRPr="002A091D" w:rsidRDefault="007B3240" w:rsidP="00740866">
      <w:pPr>
        <w:pStyle w:val="Caption"/>
        <w:ind w:left="-709" w:hanging="142"/>
        <w:rPr>
          <w:rFonts w:ascii="Times New Roman" w:hAnsi="Times New Roman" w:cs="Times New Roman"/>
          <w:b/>
          <w:sz w:val="24"/>
          <w:szCs w:val="24"/>
          <w:lang w:eastAsia="en-GB"/>
        </w:rPr>
      </w:pPr>
      <w:r w:rsidRPr="002A091D">
        <w:rPr>
          <w:rFonts w:ascii="Times New Roman" w:hAnsi="Times New Roman" w:cs="Times New Roman"/>
          <w:b/>
          <w:i w:val="0"/>
          <w:color w:val="auto"/>
          <w:sz w:val="20"/>
          <w:szCs w:val="20"/>
        </w:rPr>
        <w:lastRenderedPageBreak/>
        <w:t>Table 6: Alphas of the Equally Weighted Portfolios Sorted by the Return-to-Turnover (RtoTR) Price Impact Ratio</w:t>
      </w:r>
    </w:p>
    <w:tbl>
      <w:tblPr>
        <w:tblpPr w:leftFromText="180" w:rightFromText="180" w:vertAnchor="page" w:horzAnchor="margin" w:tblpXSpec="center" w:tblpY="1831"/>
        <w:tblW w:w="15926" w:type="dxa"/>
        <w:tblLook w:val="04A0" w:firstRow="1" w:lastRow="0" w:firstColumn="1" w:lastColumn="0" w:noHBand="0" w:noVBand="1"/>
      </w:tblPr>
      <w:tblGrid>
        <w:gridCol w:w="2262"/>
        <w:gridCol w:w="1158"/>
        <w:gridCol w:w="1158"/>
        <w:gridCol w:w="1158"/>
        <w:gridCol w:w="1158"/>
        <w:gridCol w:w="1158"/>
        <w:gridCol w:w="1035"/>
        <w:gridCol w:w="1035"/>
        <w:gridCol w:w="1158"/>
        <w:gridCol w:w="1158"/>
        <w:gridCol w:w="1158"/>
        <w:gridCol w:w="1158"/>
        <w:gridCol w:w="1172"/>
      </w:tblGrid>
      <w:tr w:rsidR="00C97C97" w:rsidRPr="002A091D" w14:paraId="00736AEB" w14:textId="77777777" w:rsidTr="00C97C97">
        <w:trPr>
          <w:trHeight w:val="522"/>
        </w:trPr>
        <w:tc>
          <w:tcPr>
            <w:tcW w:w="2262" w:type="dxa"/>
            <w:tcBorders>
              <w:top w:val="single" w:sz="4" w:space="0" w:color="auto"/>
              <w:bottom w:val="single" w:sz="4" w:space="0" w:color="auto"/>
            </w:tcBorders>
            <w:shd w:val="clear" w:color="auto" w:fill="auto"/>
            <w:noWrap/>
            <w:vAlign w:val="bottom"/>
            <w:hideMark/>
          </w:tcPr>
          <w:p w14:paraId="16829D2F" w14:textId="77777777" w:rsidR="00C97C97" w:rsidRPr="002A091D" w:rsidRDefault="00C97C97" w:rsidP="00C97C97">
            <w:pPr>
              <w:jc w:val="both"/>
              <w:rPr>
                <w:sz w:val="20"/>
                <w:szCs w:val="20"/>
                <w:lang w:eastAsia="en-GB"/>
              </w:rPr>
            </w:pPr>
            <w:r w:rsidRPr="002A091D">
              <w:rPr>
                <w:sz w:val="20"/>
                <w:szCs w:val="20"/>
                <w:lang w:eastAsia="en-GB"/>
              </w:rPr>
              <w:t> Results</w:t>
            </w:r>
          </w:p>
        </w:tc>
        <w:tc>
          <w:tcPr>
            <w:tcW w:w="1158" w:type="dxa"/>
            <w:tcBorders>
              <w:top w:val="single" w:sz="4" w:space="0" w:color="auto"/>
              <w:bottom w:val="single" w:sz="4" w:space="0" w:color="auto"/>
            </w:tcBorders>
            <w:shd w:val="clear" w:color="auto" w:fill="auto"/>
            <w:noWrap/>
            <w:vAlign w:val="bottom"/>
            <w:hideMark/>
          </w:tcPr>
          <w:p w14:paraId="2BD4C215" w14:textId="77777777" w:rsidR="00C97C97" w:rsidRPr="002A091D" w:rsidRDefault="00C97C97" w:rsidP="00C97C97">
            <w:pPr>
              <w:jc w:val="both"/>
              <w:rPr>
                <w:sz w:val="20"/>
                <w:szCs w:val="20"/>
                <w:lang w:eastAsia="en-GB"/>
              </w:rPr>
            </w:pPr>
            <w:r w:rsidRPr="002A091D">
              <w:rPr>
                <w:sz w:val="20"/>
                <w:szCs w:val="20"/>
                <w:lang w:eastAsia="en-GB"/>
              </w:rPr>
              <w:t>P1</w:t>
            </w:r>
          </w:p>
        </w:tc>
        <w:tc>
          <w:tcPr>
            <w:tcW w:w="1158" w:type="dxa"/>
            <w:tcBorders>
              <w:top w:val="single" w:sz="4" w:space="0" w:color="auto"/>
              <w:bottom w:val="single" w:sz="4" w:space="0" w:color="auto"/>
            </w:tcBorders>
            <w:shd w:val="clear" w:color="auto" w:fill="auto"/>
            <w:noWrap/>
            <w:vAlign w:val="bottom"/>
            <w:hideMark/>
          </w:tcPr>
          <w:p w14:paraId="1C266756" w14:textId="77777777" w:rsidR="00C97C97" w:rsidRPr="002A091D" w:rsidRDefault="00C97C97" w:rsidP="00C97C97">
            <w:pPr>
              <w:jc w:val="both"/>
              <w:rPr>
                <w:sz w:val="20"/>
                <w:szCs w:val="20"/>
                <w:lang w:eastAsia="en-GB"/>
              </w:rPr>
            </w:pPr>
            <w:r w:rsidRPr="002A091D">
              <w:rPr>
                <w:sz w:val="20"/>
                <w:szCs w:val="20"/>
                <w:lang w:eastAsia="en-GB"/>
              </w:rPr>
              <w:t>P2</w:t>
            </w:r>
          </w:p>
        </w:tc>
        <w:tc>
          <w:tcPr>
            <w:tcW w:w="1158" w:type="dxa"/>
            <w:tcBorders>
              <w:top w:val="single" w:sz="4" w:space="0" w:color="auto"/>
              <w:bottom w:val="single" w:sz="4" w:space="0" w:color="auto"/>
            </w:tcBorders>
            <w:shd w:val="clear" w:color="auto" w:fill="auto"/>
            <w:noWrap/>
            <w:vAlign w:val="bottom"/>
            <w:hideMark/>
          </w:tcPr>
          <w:p w14:paraId="08572191" w14:textId="77777777" w:rsidR="00C97C97" w:rsidRPr="002A091D" w:rsidRDefault="00C97C97" w:rsidP="00C97C97">
            <w:pPr>
              <w:jc w:val="both"/>
              <w:rPr>
                <w:sz w:val="20"/>
                <w:szCs w:val="20"/>
                <w:lang w:eastAsia="en-GB"/>
              </w:rPr>
            </w:pPr>
            <w:r w:rsidRPr="002A091D">
              <w:rPr>
                <w:sz w:val="20"/>
                <w:szCs w:val="20"/>
                <w:lang w:eastAsia="en-GB"/>
              </w:rPr>
              <w:t>P3</w:t>
            </w:r>
          </w:p>
        </w:tc>
        <w:tc>
          <w:tcPr>
            <w:tcW w:w="1158" w:type="dxa"/>
            <w:tcBorders>
              <w:top w:val="single" w:sz="4" w:space="0" w:color="auto"/>
              <w:bottom w:val="single" w:sz="4" w:space="0" w:color="auto"/>
            </w:tcBorders>
            <w:shd w:val="clear" w:color="auto" w:fill="auto"/>
            <w:noWrap/>
            <w:vAlign w:val="bottom"/>
            <w:hideMark/>
          </w:tcPr>
          <w:p w14:paraId="11AF6A8E" w14:textId="77777777" w:rsidR="00C97C97" w:rsidRPr="002A091D" w:rsidRDefault="00C97C97" w:rsidP="00C97C97">
            <w:pPr>
              <w:jc w:val="both"/>
              <w:rPr>
                <w:sz w:val="20"/>
                <w:szCs w:val="20"/>
                <w:lang w:eastAsia="en-GB"/>
              </w:rPr>
            </w:pPr>
            <w:r w:rsidRPr="002A091D">
              <w:rPr>
                <w:sz w:val="20"/>
                <w:szCs w:val="20"/>
                <w:lang w:eastAsia="en-GB"/>
              </w:rPr>
              <w:t>P4</w:t>
            </w:r>
          </w:p>
        </w:tc>
        <w:tc>
          <w:tcPr>
            <w:tcW w:w="1158" w:type="dxa"/>
            <w:tcBorders>
              <w:top w:val="single" w:sz="4" w:space="0" w:color="auto"/>
              <w:bottom w:val="single" w:sz="4" w:space="0" w:color="auto"/>
            </w:tcBorders>
            <w:shd w:val="clear" w:color="auto" w:fill="auto"/>
            <w:noWrap/>
            <w:vAlign w:val="bottom"/>
            <w:hideMark/>
          </w:tcPr>
          <w:p w14:paraId="119789E1" w14:textId="77777777" w:rsidR="00C97C97" w:rsidRPr="002A091D" w:rsidRDefault="00C97C97" w:rsidP="00C97C97">
            <w:pPr>
              <w:jc w:val="both"/>
              <w:rPr>
                <w:sz w:val="20"/>
                <w:szCs w:val="20"/>
                <w:lang w:eastAsia="en-GB"/>
              </w:rPr>
            </w:pPr>
            <w:r w:rsidRPr="002A091D">
              <w:rPr>
                <w:sz w:val="20"/>
                <w:szCs w:val="20"/>
                <w:lang w:eastAsia="en-GB"/>
              </w:rPr>
              <w:t>P5</w:t>
            </w:r>
          </w:p>
        </w:tc>
        <w:tc>
          <w:tcPr>
            <w:tcW w:w="1035" w:type="dxa"/>
            <w:tcBorders>
              <w:top w:val="single" w:sz="4" w:space="0" w:color="auto"/>
              <w:bottom w:val="single" w:sz="4" w:space="0" w:color="auto"/>
            </w:tcBorders>
            <w:shd w:val="clear" w:color="auto" w:fill="auto"/>
            <w:noWrap/>
            <w:vAlign w:val="bottom"/>
            <w:hideMark/>
          </w:tcPr>
          <w:p w14:paraId="7D912A5E" w14:textId="77777777" w:rsidR="00C97C97" w:rsidRPr="002A091D" w:rsidRDefault="00C97C97" w:rsidP="00C97C97">
            <w:pPr>
              <w:jc w:val="both"/>
              <w:rPr>
                <w:sz w:val="20"/>
                <w:szCs w:val="20"/>
                <w:lang w:eastAsia="en-GB"/>
              </w:rPr>
            </w:pPr>
            <w:r w:rsidRPr="002A091D">
              <w:rPr>
                <w:sz w:val="20"/>
                <w:szCs w:val="20"/>
                <w:lang w:eastAsia="en-GB"/>
              </w:rPr>
              <w:t>P6</w:t>
            </w:r>
          </w:p>
        </w:tc>
        <w:tc>
          <w:tcPr>
            <w:tcW w:w="1035" w:type="dxa"/>
            <w:tcBorders>
              <w:top w:val="single" w:sz="4" w:space="0" w:color="auto"/>
              <w:bottom w:val="single" w:sz="4" w:space="0" w:color="auto"/>
            </w:tcBorders>
            <w:shd w:val="clear" w:color="auto" w:fill="auto"/>
            <w:noWrap/>
            <w:vAlign w:val="bottom"/>
            <w:hideMark/>
          </w:tcPr>
          <w:p w14:paraId="451349BD" w14:textId="77777777" w:rsidR="00C97C97" w:rsidRPr="002A091D" w:rsidRDefault="00C97C97" w:rsidP="00C97C97">
            <w:pPr>
              <w:jc w:val="both"/>
              <w:rPr>
                <w:sz w:val="20"/>
                <w:szCs w:val="20"/>
                <w:lang w:eastAsia="en-GB"/>
              </w:rPr>
            </w:pPr>
            <w:r w:rsidRPr="002A091D">
              <w:rPr>
                <w:sz w:val="20"/>
                <w:szCs w:val="20"/>
                <w:lang w:eastAsia="en-GB"/>
              </w:rPr>
              <w:t>P7</w:t>
            </w:r>
          </w:p>
        </w:tc>
        <w:tc>
          <w:tcPr>
            <w:tcW w:w="1158" w:type="dxa"/>
            <w:tcBorders>
              <w:top w:val="single" w:sz="4" w:space="0" w:color="auto"/>
              <w:bottom w:val="single" w:sz="4" w:space="0" w:color="auto"/>
            </w:tcBorders>
            <w:shd w:val="clear" w:color="auto" w:fill="auto"/>
            <w:noWrap/>
            <w:vAlign w:val="bottom"/>
            <w:hideMark/>
          </w:tcPr>
          <w:p w14:paraId="1000BF97" w14:textId="77777777" w:rsidR="00C97C97" w:rsidRPr="002A091D" w:rsidRDefault="00C97C97" w:rsidP="00C97C97">
            <w:pPr>
              <w:jc w:val="both"/>
              <w:rPr>
                <w:sz w:val="20"/>
                <w:szCs w:val="20"/>
                <w:lang w:eastAsia="en-GB"/>
              </w:rPr>
            </w:pPr>
            <w:r w:rsidRPr="002A091D">
              <w:rPr>
                <w:sz w:val="20"/>
                <w:szCs w:val="20"/>
                <w:lang w:eastAsia="en-GB"/>
              </w:rPr>
              <w:t>P8</w:t>
            </w:r>
          </w:p>
        </w:tc>
        <w:tc>
          <w:tcPr>
            <w:tcW w:w="1158" w:type="dxa"/>
            <w:tcBorders>
              <w:top w:val="single" w:sz="4" w:space="0" w:color="auto"/>
              <w:bottom w:val="single" w:sz="4" w:space="0" w:color="auto"/>
            </w:tcBorders>
            <w:shd w:val="clear" w:color="auto" w:fill="auto"/>
            <w:noWrap/>
            <w:vAlign w:val="bottom"/>
            <w:hideMark/>
          </w:tcPr>
          <w:p w14:paraId="07C2B4DD" w14:textId="77777777" w:rsidR="00C97C97" w:rsidRPr="002A091D" w:rsidRDefault="00C97C97" w:rsidP="00C97C97">
            <w:pPr>
              <w:jc w:val="both"/>
              <w:rPr>
                <w:sz w:val="20"/>
                <w:szCs w:val="20"/>
                <w:lang w:eastAsia="en-GB"/>
              </w:rPr>
            </w:pPr>
            <w:r w:rsidRPr="002A091D">
              <w:rPr>
                <w:sz w:val="20"/>
                <w:szCs w:val="20"/>
                <w:lang w:eastAsia="en-GB"/>
              </w:rPr>
              <w:t>P9</w:t>
            </w:r>
          </w:p>
        </w:tc>
        <w:tc>
          <w:tcPr>
            <w:tcW w:w="1158" w:type="dxa"/>
            <w:tcBorders>
              <w:top w:val="single" w:sz="4" w:space="0" w:color="auto"/>
              <w:bottom w:val="single" w:sz="4" w:space="0" w:color="auto"/>
            </w:tcBorders>
            <w:shd w:val="clear" w:color="auto" w:fill="auto"/>
            <w:noWrap/>
            <w:vAlign w:val="bottom"/>
            <w:hideMark/>
          </w:tcPr>
          <w:p w14:paraId="53A12DD1" w14:textId="77777777" w:rsidR="00C97C97" w:rsidRPr="002A091D" w:rsidRDefault="00C97C97" w:rsidP="00C97C97">
            <w:pPr>
              <w:jc w:val="both"/>
              <w:rPr>
                <w:sz w:val="20"/>
                <w:szCs w:val="20"/>
                <w:lang w:eastAsia="en-GB"/>
              </w:rPr>
            </w:pPr>
            <w:r w:rsidRPr="002A091D">
              <w:rPr>
                <w:sz w:val="20"/>
                <w:szCs w:val="20"/>
                <w:lang w:eastAsia="en-GB"/>
              </w:rPr>
              <w:t>P10</w:t>
            </w:r>
          </w:p>
        </w:tc>
        <w:tc>
          <w:tcPr>
            <w:tcW w:w="1158" w:type="dxa"/>
            <w:tcBorders>
              <w:top w:val="single" w:sz="4" w:space="0" w:color="auto"/>
              <w:bottom w:val="single" w:sz="4" w:space="0" w:color="auto"/>
            </w:tcBorders>
            <w:shd w:val="clear" w:color="auto" w:fill="auto"/>
            <w:noWrap/>
            <w:vAlign w:val="bottom"/>
            <w:hideMark/>
          </w:tcPr>
          <w:p w14:paraId="69679938" w14:textId="77777777" w:rsidR="00C97C97" w:rsidRPr="002A091D" w:rsidRDefault="00C97C97" w:rsidP="00C97C97">
            <w:pPr>
              <w:jc w:val="both"/>
              <w:rPr>
                <w:sz w:val="20"/>
                <w:szCs w:val="20"/>
                <w:lang w:eastAsia="en-GB"/>
              </w:rPr>
            </w:pPr>
            <w:r w:rsidRPr="002A091D">
              <w:rPr>
                <w:sz w:val="20"/>
                <w:szCs w:val="20"/>
                <w:lang w:eastAsia="en-GB"/>
              </w:rPr>
              <w:t>P1-P10</w:t>
            </w:r>
          </w:p>
        </w:tc>
        <w:tc>
          <w:tcPr>
            <w:tcW w:w="1172" w:type="dxa"/>
            <w:tcBorders>
              <w:top w:val="single" w:sz="4" w:space="0" w:color="auto"/>
              <w:bottom w:val="single" w:sz="4" w:space="0" w:color="auto"/>
            </w:tcBorders>
            <w:shd w:val="clear" w:color="auto" w:fill="auto"/>
            <w:noWrap/>
            <w:vAlign w:val="bottom"/>
            <w:hideMark/>
          </w:tcPr>
          <w:p w14:paraId="466DE192" w14:textId="77777777" w:rsidR="00C97C97" w:rsidRPr="002A091D" w:rsidRDefault="00C97C97" w:rsidP="00C97C97">
            <w:pPr>
              <w:jc w:val="both"/>
              <w:rPr>
                <w:sz w:val="20"/>
                <w:szCs w:val="20"/>
                <w:lang w:eastAsia="en-GB"/>
              </w:rPr>
            </w:pPr>
            <w:r w:rsidRPr="002A091D">
              <w:rPr>
                <w:sz w:val="20"/>
                <w:szCs w:val="20"/>
                <w:lang w:eastAsia="en-GB"/>
              </w:rPr>
              <w:t>Wald</w:t>
            </w:r>
          </w:p>
        </w:tc>
      </w:tr>
      <w:tr w:rsidR="00C97C97" w:rsidRPr="002A091D" w14:paraId="316EA1DF" w14:textId="77777777" w:rsidTr="00C97C97">
        <w:trPr>
          <w:trHeight w:val="522"/>
        </w:trPr>
        <w:tc>
          <w:tcPr>
            <w:tcW w:w="2262" w:type="dxa"/>
            <w:tcBorders>
              <w:top w:val="single" w:sz="4" w:space="0" w:color="auto"/>
            </w:tcBorders>
            <w:shd w:val="clear" w:color="auto" w:fill="auto"/>
            <w:noWrap/>
            <w:vAlign w:val="bottom"/>
            <w:hideMark/>
          </w:tcPr>
          <w:p w14:paraId="66D97AC8" w14:textId="77777777" w:rsidR="00C97C97" w:rsidRPr="002A091D" w:rsidRDefault="00C97C97" w:rsidP="00C97C97">
            <w:pPr>
              <w:jc w:val="both"/>
              <w:rPr>
                <w:sz w:val="20"/>
                <w:szCs w:val="20"/>
                <w:lang w:eastAsia="en-GB"/>
              </w:rPr>
            </w:pPr>
            <w:r w:rsidRPr="002A091D">
              <w:rPr>
                <w:sz w:val="20"/>
                <w:szCs w:val="20"/>
                <w:lang w:eastAsia="en-GB"/>
              </w:rPr>
              <w:t>CAPM_alpha (%)</w:t>
            </w:r>
          </w:p>
        </w:tc>
        <w:tc>
          <w:tcPr>
            <w:tcW w:w="1158" w:type="dxa"/>
            <w:tcBorders>
              <w:top w:val="single" w:sz="4" w:space="0" w:color="auto"/>
            </w:tcBorders>
            <w:shd w:val="clear" w:color="auto" w:fill="auto"/>
            <w:noWrap/>
            <w:vAlign w:val="bottom"/>
            <w:hideMark/>
          </w:tcPr>
          <w:p w14:paraId="40483A73" w14:textId="77777777" w:rsidR="00C97C97" w:rsidRPr="002A091D" w:rsidRDefault="00C97C97" w:rsidP="00C97C97">
            <w:pPr>
              <w:jc w:val="both"/>
              <w:rPr>
                <w:sz w:val="20"/>
                <w:szCs w:val="20"/>
                <w:lang w:eastAsia="en-GB"/>
              </w:rPr>
            </w:pPr>
            <w:r w:rsidRPr="002A091D">
              <w:rPr>
                <w:sz w:val="20"/>
                <w:szCs w:val="20"/>
                <w:lang w:eastAsia="en-GB"/>
              </w:rPr>
              <w:t>0.095</w:t>
            </w:r>
          </w:p>
        </w:tc>
        <w:tc>
          <w:tcPr>
            <w:tcW w:w="1158" w:type="dxa"/>
            <w:tcBorders>
              <w:top w:val="single" w:sz="4" w:space="0" w:color="auto"/>
            </w:tcBorders>
            <w:shd w:val="clear" w:color="auto" w:fill="auto"/>
            <w:noWrap/>
            <w:vAlign w:val="bottom"/>
            <w:hideMark/>
          </w:tcPr>
          <w:p w14:paraId="2DF73362" w14:textId="77777777" w:rsidR="00C97C97" w:rsidRPr="002A091D" w:rsidRDefault="00C97C97" w:rsidP="00C97C97">
            <w:pPr>
              <w:jc w:val="both"/>
              <w:rPr>
                <w:sz w:val="20"/>
                <w:szCs w:val="20"/>
                <w:lang w:eastAsia="en-GB"/>
              </w:rPr>
            </w:pPr>
            <w:r w:rsidRPr="002A091D">
              <w:rPr>
                <w:sz w:val="20"/>
                <w:szCs w:val="20"/>
                <w:lang w:eastAsia="en-GB"/>
              </w:rPr>
              <w:t>-0.916</w:t>
            </w:r>
          </w:p>
        </w:tc>
        <w:tc>
          <w:tcPr>
            <w:tcW w:w="1158" w:type="dxa"/>
            <w:tcBorders>
              <w:top w:val="single" w:sz="4" w:space="0" w:color="auto"/>
            </w:tcBorders>
            <w:shd w:val="clear" w:color="auto" w:fill="auto"/>
            <w:noWrap/>
            <w:vAlign w:val="bottom"/>
            <w:hideMark/>
          </w:tcPr>
          <w:p w14:paraId="7F7AF5C3" w14:textId="77777777" w:rsidR="00C97C97" w:rsidRPr="002A091D" w:rsidRDefault="00C97C97" w:rsidP="00C97C97">
            <w:pPr>
              <w:jc w:val="both"/>
              <w:rPr>
                <w:sz w:val="20"/>
                <w:szCs w:val="20"/>
                <w:lang w:eastAsia="en-GB"/>
              </w:rPr>
            </w:pPr>
            <w:r w:rsidRPr="002A091D">
              <w:rPr>
                <w:sz w:val="20"/>
                <w:szCs w:val="20"/>
                <w:lang w:eastAsia="en-GB"/>
              </w:rPr>
              <w:t>-0.436</w:t>
            </w:r>
          </w:p>
        </w:tc>
        <w:tc>
          <w:tcPr>
            <w:tcW w:w="1158" w:type="dxa"/>
            <w:tcBorders>
              <w:top w:val="single" w:sz="4" w:space="0" w:color="auto"/>
            </w:tcBorders>
            <w:shd w:val="clear" w:color="auto" w:fill="auto"/>
            <w:noWrap/>
            <w:vAlign w:val="bottom"/>
            <w:hideMark/>
          </w:tcPr>
          <w:p w14:paraId="2B333EC4" w14:textId="77777777" w:rsidR="00C97C97" w:rsidRPr="002A091D" w:rsidRDefault="00C97C97" w:rsidP="00C97C97">
            <w:pPr>
              <w:jc w:val="both"/>
              <w:rPr>
                <w:sz w:val="20"/>
                <w:szCs w:val="20"/>
                <w:lang w:eastAsia="en-GB"/>
              </w:rPr>
            </w:pPr>
            <w:r w:rsidRPr="002A091D">
              <w:rPr>
                <w:sz w:val="20"/>
                <w:szCs w:val="20"/>
                <w:lang w:eastAsia="en-GB"/>
              </w:rPr>
              <w:t>-0.192</w:t>
            </w:r>
          </w:p>
        </w:tc>
        <w:tc>
          <w:tcPr>
            <w:tcW w:w="1158" w:type="dxa"/>
            <w:tcBorders>
              <w:top w:val="single" w:sz="4" w:space="0" w:color="auto"/>
            </w:tcBorders>
            <w:shd w:val="clear" w:color="auto" w:fill="auto"/>
            <w:noWrap/>
            <w:vAlign w:val="bottom"/>
            <w:hideMark/>
          </w:tcPr>
          <w:p w14:paraId="67FBA1AB" w14:textId="77777777" w:rsidR="00C97C97" w:rsidRPr="002A091D" w:rsidRDefault="00C97C97" w:rsidP="00C97C97">
            <w:pPr>
              <w:jc w:val="both"/>
              <w:rPr>
                <w:sz w:val="20"/>
                <w:szCs w:val="20"/>
                <w:lang w:eastAsia="en-GB"/>
              </w:rPr>
            </w:pPr>
            <w:r w:rsidRPr="002A091D">
              <w:rPr>
                <w:sz w:val="20"/>
                <w:szCs w:val="20"/>
                <w:lang w:eastAsia="en-GB"/>
              </w:rPr>
              <w:t>0.103</w:t>
            </w:r>
          </w:p>
        </w:tc>
        <w:tc>
          <w:tcPr>
            <w:tcW w:w="1035" w:type="dxa"/>
            <w:tcBorders>
              <w:top w:val="single" w:sz="4" w:space="0" w:color="auto"/>
            </w:tcBorders>
            <w:shd w:val="clear" w:color="auto" w:fill="auto"/>
            <w:noWrap/>
            <w:vAlign w:val="bottom"/>
            <w:hideMark/>
          </w:tcPr>
          <w:p w14:paraId="3B760D5D" w14:textId="77777777" w:rsidR="00C97C97" w:rsidRPr="002A091D" w:rsidRDefault="00C97C97" w:rsidP="00C97C97">
            <w:pPr>
              <w:jc w:val="both"/>
              <w:rPr>
                <w:sz w:val="20"/>
                <w:szCs w:val="20"/>
                <w:lang w:eastAsia="en-GB"/>
              </w:rPr>
            </w:pPr>
            <w:r w:rsidRPr="002A091D">
              <w:rPr>
                <w:sz w:val="20"/>
                <w:szCs w:val="20"/>
                <w:lang w:eastAsia="en-GB"/>
              </w:rPr>
              <w:t>-0.042</w:t>
            </w:r>
          </w:p>
        </w:tc>
        <w:tc>
          <w:tcPr>
            <w:tcW w:w="1035" w:type="dxa"/>
            <w:tcBorders>
              <w:top w:val="single" w:sz="4" w:space="0" w:color="auto"/>
            </w:tcBorders>
            <w:shd w:val="clear" w:color="auto" w:fill="auto"/>
            <w:noWrap/>
            <w:vAlign w:val="bottom"/>
            <w:hideMark/>
          </w:tcPr>
          <w:p w14:paraId="3AEB865F" w14:textId="77777777" w:rsidR="00C97C97" w:rsidRPr="002A091D" w:rsidRDefault="00C97C97" w:rsidP="00C97C97">
            <w:pPr>
              <w:jc w:val="both"/>
              <w:rPr>
                <w:sz w:val="20"/>
                <w:szCs w:val="20"/>
                <w:lang w:eastAsia="en-GB"/>
              </w:rPr>
            </w:pPr>
            <w:r w:rsidRPr="002A091D">
              <w:rPr>
                <w:sz w:val="20"/>
                <w:szCs w:val="20"/>
                <w:lang w:eastAsia="en-GB"/>
              </w:rPr>
              <w:t>-0.101</w:t>
            </w:r>
          </w:p>
        </w:tc>
        <w:tc>
          <w:tcPr>
            <w:tcW w:w="1158" w:type="dxa"/>
            <w:tcBorders>
              <w:top w:val="single" w:sz="4" w:space="0" w:color="auto"/>
            </w:tcBorders>
            <w:shd w:val="clear" w:color="auto" w:fill="auto"/>
            <w:noWrap/>
            <w:vAlign w:val="bottom"/>
            <w:hideMark/>
          </w:tcPr>
          <w:p w14:paraId="788EBF54" w14:textId="77777777" w:rsidR="00C97C97" w:rsidRPr="002A091D" w:rsidRDefault="00C97C97" w:rsidP="00C97C97">
            <w:pPr>
              <w:jc w:val="both"/>
              <w:rPr>
                <w:sz w:val="20"/>
                <w:szCs w:val="20"/>
                <w:lang w:eastAsia="en-GB"/>
              </w:rPr>
            </w:pPr>
            <w:r w:rsidRPr="002A091D">
              <w:rPr>
                <w:sz w:val="20"/>
                <w:szCs w:val="20"/>
                <w:lang w:eastAsia="en-GB"/>
              </w:rPr>
              <w:t>0.026</w:t>
            </w:r>
          </w:p>
        </w:tc>
        <w:tc>
          <w:tcPr>
            <w:tcW w:w="1158" w:type="dxa"/>
            <w:tcBorders>
              <w:top w:val="single" w:sz="4" w:space="0" w:color="auto"/>
            </w:tcBorders>
            <w:shd w:val="clear" w:color="auto" w:fill="auto"/>
            <w:noWrap/>
            <w:vAlign w:val="bottom"/>
            <w:hideMark/>
          </w:tcPr>
          <w:p w14:paraId="174EEB09" w14:textId="77777777" w:rsidR="00C97C97" w:rsidRPr="002A091D" w:rsidRDefault="00C97C97" w:rsidP="00C97C97">
            <w:pPr>
              <w:jc w:val="both"/>
              <w:rPr>
                <w:sz w:val="20"/>
                <w:szCs w:val="20"/>
                <w:lang w:eastAsia="en-GB"/>
              </w:rPr>
            </w:pPr>
            <w:r w:rsidRPr="002A091D">
              <w:rPr>
                <w:sz w:val="20"/>
                <w:szCs w:val="20"/>
                <w:lang w:eastAsia="en-GB"/>
              </w:rPr>
              <w:t>0.691</w:t>
            </w:r>
          </w:p>
        </w:tc>
        <w:tc>
          <w:tcPr>
            <w:tcW w:w="1158" w:type="dxa"/>
            <w:tcBorders>
              <w:top w:val="single" w:sz="4" w:space="0" w:color="auto"/>
            </w:tcBorders>
            <w:shd w:val="clear" w:color="auto" w:fill="auto"/>
            <w:noWrap/>
            <w:vAlign w:val="bottom"/>
            <w:hideMark/>
          </w:tcPr>
          <w:p w14:paraId="499B72F0" w14:textId="77777777" w:rsidR="00C97C97" w:rsidRPr="002A091D" w:rsidRDefault="00C97C97" w:rsidP="00C97C97">
            <w:pPr>
              <w:jc w:val="both"/>
              <w:rPr>
                <w:sz w:val="20"/>
                <w:szCs w:val="20"/>
                <w:lang w:eastAsia="en-GB"/>
              </w:rPr>
            </w:pPr>
            <w:r w:rsidRPr="002A091D">
              <w:rPr>
                <w:sz w:val="20"/>
                <w:szCs w:val="20"/>
                <w:lang w:eastAsia="en-GB"/>
              </w:rPr>
              <w:t>1.226</w:t>
            </w:r>
          </w:p>
        </w:tc>
        <w:tc>
          <w:tcPr>
            <w:tcW w:w="1158" w:type="dxa"/>
            <w:tcBorders>
              <w:top w:val="single" w:sz="4" w:space="0" w:color="auto"/>
            </w:tcBorders>
            <w:shd w:val="clear" w:color="auto" w:fill="auto"/>
            <w:noWrap/>
            <w:vAlign w:val="bottom"/>
            <w:hideMark/>
          </w:tcPr>
          <w:p w14:paraId="6B9543A4" w14:textId="77777777" w:rsidR="00C97C97" w:rsidRPr="002A091D" w:rsidRDefault="00C97C97" w:rsidP="00C97C97">
            <w:pPr>
              <w:jc w:val="both"/>
              <w:rPr>
                <w:sz w:val="20"/>
                <w:szCs w:val="20"/>
                <w:lang w:eastAsia="en-GB"/>
              </w:rPr>
            </w:pPr>
            <w:r w:rsidRPr="002A091D">
              <w:rPr>
                <w:sz w:val="20"/>
                <w:szCs w:val="20"/>
                <w:lang w:eastAsia="en-GB"/>
              </w:rPr>
              <w:t>-1.131</w:t>
            </w:r>
          </w:p>
        </w:tc>
        <w:tc>
          <w:tcPr>
            <w:tcW w:w="1172" w:type="dxa"/>
            <w:tcBorders>
              <w:top w:val="single" w:sz="4" w:space="0" w:color="auto"/>
            </w:tcBorders>
            <w:shd w:val="clear" w:color="auto" w:fill="auto"/>
            <w:noWrap/>
            <w:vAlign w:val="bottom"/>
            <w:hideMark/>
          </w:tcPr>
          <w:p w14:paraId="5850DE57" w14:textId="77777777" w:rsidR="00C97C97" w:rsidRPr="002A091D" w:rsidRDefault="00C97C97" w:rsidP="00C97C97">
            <w:pPr>
              <w:jc w:val="both"/>
              <w:rPr>
                <w:sz w:val="20"/>
                <w:szCs w:val="20"/>
                <w:lang w:eastAsia="en-GB"/>
              </w:rPr>
            </w:pPr>
            <w:r w:rsidRPr="002A091D">
              <w:rPr>
                <w:sz w:val="20"/>
                <w:szCs w:val="20"/>
                <w:lang w:eastAsia="en-GB"/>
              </w:rPr>
              <w:t>26.457</w:t>
            </w:r>
          </w:p>
        </w:tc>
      </w:tr>
      <w:tr w:rsidR="00C97C97" w:rsidRPr="002A091D" w14:paraId="07092719" w14:textId="77777777" w:rsidTr="00C97C97">
        <w:trPr>
          <w:trHeight w:val="522"/>
        </w:trPr>
        <w:tc>
          <w:tcPr>
            <w:tcW w:w="2262" w:type="dxa"/>
            <w:shd w:val="clear" w:color="auto" w:fill="auto"/>
            <w:noWrap/>
            <w:vAlign w:val="bottom"/>
            <w:hideMark/>
          </w:tcPr>
          <w:p w14:paraId="7C44C1EC" w14:textId="77777777" w:rsidR="00C97C97" w:rsidRPr="002A091D" w:rsidRDefault="00C97C97" w:rsidP="00C97C97">
            <w:pPr>
              <w:jc w:val="both"/>
              <w:rPr>
                <w:sz w:val="20"/>
                <w:szCs w:val="20"/>
                <w:lang w:eastAsia="en-GB"/>
              </w:rPr>
            </w:pPr>
            <w:r w:rsidRPr="002A091D">
              <w:rPr>
                <w:sz w:val="20"/>
                <w:szCs w:val="20"/>
                <w:lang w:eastAsia="en-GB"/>
              </w:rPr>
              <w:t>T-value</w:t>
            </w:r>
          </w:p>
        </w:tc>
        <w:tc>
          <w:tcPr>
            <w:tcW w:w="1158" w:type="dxa"/>
            <w:shd w:val="clear" w:color="auto" w:fill="auto"/>
            <w:noWrap/>
            <w:vAlign w:val="bottom"/>
            <w:hideMark/>
          </w:tcPr>
          <w:p w14:paraId="74D079BC" w14:textId="77777777" w:rsidR="00C97C97" w:rsidRPr="002A091D" w:rsidRDefault="00C97C97" w:rsidP="00C97C97">
            <w:pPr>
              <w:jc w:val="both"/>
              <w:rPr>
                <w:sz w:val="20"/>
                <w:szCs w:val="20"/>
                <w:lang w:eastAsia="en-GB"/>
              </w:rPr>
            </w:pPr>
            <w:r w:rsidRPr="002A091D">
              <w:rPr>
                <w:sz w:val="20"/>
                <w:szCs w:val="20"/>
                <w:lang w:eastAsia="en-GB"/>
              </w:rPr>
              <w:t>0.244</w:t>
            </w:r>
          </w:p>
        </w:tc>
        <w:tc>
          <w:tcPr>
            <w:tcW w:w="1158" w:type="dxa"/>
            <w:shd w:val="clear" w:color="auto" w:fill="auto"/>
            <w:noWrap/>
            <w:vAlign w:val="bottom"/>
            <w:hideMark/>
          </w:tcPr>
          <w:p w14:paraId="7CDB1D00" w14:textId="77777777" w:rsidR="00C97C97" w:rsidRPr="002A091D" w:rsidRDefault="00C97C97" w:rsidP="00C97C97">
            <w:pPr>
              <w:jc w:val="both"/>
              <w:rPr>
                <w:sz w:val="20"/>
                <w:szCs w:val="20"/>
                <w:lang w:eastAsia="en-GB"/>
              </w:rPr>
            </w:pPr>
            <w:r w:rsidRPr="002A091D">
              <w:rPr>
                <w:sz w:val="20"/>
                <w:szCs w:val="20"/>
                <w:lang w:eastAsia="en-GB"/>
              </w:rPr>
              <w:t>-1.477</w:t>
            </w:r>
          </w:p>
        </w:tc>
        <w:tc>
          <w:tcPr>
            <w:tcW w:w="1158" w:type="dxa"/>
            <w:shd w:val="clear" w:color="auto" w:fill="auto"/>
            <w:noWrap/>
            <w:vAlign w:val="bottom"/>
            <w:hideMark/>
          </w:tcPr>
          <w:p w14:paraId="7CF48501" w14:textId="77777777" w:rsidR="00C97C97" w:rsidRPr="002A091D" w:rsidRDefault="00C97C97" w:rsidP="00C97C97">
            <w:pPr>
              <w:jc w:val="both"/>
              <w:rPr>
                <w:sz w:val="20"/>
                <w:szCs w:val="20"/>
                <w:lang w:eastAsia="en-GB"/>
              </w:rPr>
            </w:pPr>
            <w:r w:rsidRPr="002A091D">
              <w:rPr>
                <w:sz w:val="20"/>
                <w:szCs w:val="20"/>
                <w:lang w:eastAsia="en-GB"/>
              </w:rPr>
              <w:t>-0.918</w:t>
            </w:r>
          </w:p>
        </w:tc>
        <w:tc>
          <w:tcPr>
            <w:tcW w:w="1158" w:type="dxa"/>
            <w:shd w:val="clear" w:color="auto" w:fill="auto"/>
            <w:noWrap/>
            <w:vAlign w:val="bottom"/>
            <w:hideMark/>
          </w:tcPr>
          <w:p w14:paraId="4B9F68E1" w14:textId="77777777" w:rsidR="00C97C97" w:rsidRPr="002A091D" w:rsidRDefault="00C97C97" w:rsidP="00C97C97">
            <w:pPr>
              <w:jc w:val="both"/>
              <w:rPr>
                <w:sz w:val="20"/>
                <w:szCs w:val="20"/>
                <w:lang w:eastAsia="en-GB"/>
              </w:rPr>
            </w:pPr>
            <w:r w:rsidRPr="002A091D">
              <w:rPr>
                <w:sz w:val="20"/>
                <w:szCs w:val="20"/>
                <w:lang w:eastAsia="en-GB"/>
              </w:rPr>
              <w:t>-0.401</w:t>
            </w:r>
          </w:p>
        </w:tc>
        <w:tc>
          <w:tcPr>
            <w:tcW w:w="1158" w:type="dxa"/>
            <w:shd w:val="clear" w:color="auto" w:fill="auto"/>
            <w:noWrap/>
            <w:vAlign w:val="bottom"/>
            <w:hideMark/>
          </w:tcPr>
          <w:p w14:paraId="3D8760C5" w14:textId="77777777" w:rsidR="00C97C97" w:rsidRPr="002A091D" w:rsidRDefault="00C97C97" w:rsidP="00C97C97">
            <w:pPr>
              <w:jc w:val="both"/>
              <w:rPr>
                <w:sz w:val="20"/>
                <w:szCs w:val="20"/>
                <w:lang w:eastAsia="en-GB"/>
              </w:rPr>
            </w:pPr>
            <w:r w:rsidRPr="002A091D">
              <w:rPr>
                <w:sz w:val="20"/>
                <w:szCs w:val="20"/>
                <w:lang w:eastAsia="en-GB"/>
              </w:rPr>
              <w:t>0.213</w:t>
            </w:r>
          </w:p>
        </w:tc>
        <w:tc>
          <w:tcPr>
            <w:tcW w:w="1035" w:type="dxa"/>
            <w:shd w:val="clear" w:color="auto" w:fill="auto"/>
            <w:noWrap/>
            <w:vAlign w:val="bottom"/>
            <w:hideMark/>
          </w:tcPr>
          <w:p w14:paraId="0D984807" w14:textId="77777777" w:rsidR="00C97C97" w:rsidRPr="002A091D" w:rsidRDefault="00C97C97" w:rsidP="00C97C97">
            <w:pPr>
              <w:jc w:val="both"/>
              <w:rPr>
                <w:sz w:val="20"/>
                <w:szCs w:val="20"/>
                <w:lang w:eastAsia="en-GB"/>
              </w:rPr>
            </w:pPr>
            <w:r w:rsidRPr="002A091D">
              <w:rPr>
                <w:sz w:val="20"/>
                <w:szCs w:val="20"/>
                <w:lang w:eastAsia="en-GB"/>
              </w:rPr>
              <w:t>-0.081</w:t>
            </w:r>
          </w:p>
        </w:tc>
        <w:tc>
          <w:tcPr>
            <w:tcW w:w="1035" w:type="dxa"/>
            <w:shd w:val="clear" w:color="auto" w:fill="auto"/>
            <w:noWrap/>
            <w:vAlign w:val="bottom"/>
            <w:hideMark/>
          </w:tcPr>
          <w:p w14:paraId="260FDB95" w14:textId="77777777" w:rsidR="00C97C97" w:rsidRPr="002A091D" w:rsidRDefault="00C97C97" w:rsidP="00C97C97">
            <w:pPr>
              <w:jc w:val="both"/>
              <w:rPr>
                <w:sz w:val="20"/>
                <w:szCs w:val="20"/>
                <w:lang w:eastAsia="en-GB"/>
              </w:rPr>
            </w:pPr>
            <w:r w:rsidRPr="002A091D">
              <w:rPr>
                <w:sz w:val="20"/>
                <w:szCs w:val="20"/>
                <w:lang w:eastAsia="en-GB"/>
              </w:rPr>
              <w:t>-0.162</w:t>
            </w:r>
          </w:p>
        </w:tc>
        <w:tc>
          <w:tcPr>
            <w:tcW w:w="1158" w:type="dxa"/>
            <w:shd w:val="clear" w:color="auto" w:fill="auto"/>
            <w:noWrap/>
            <w:vAlign w:val="bottom"/>
            <w:hideMark/>
          </w:tcPr>
          <w:p w14:paraId="4967AEF5" w14:textId="77777777" w:rsidR="00C97C97" w:rsidRPr="002A091D" w:rsidRDefault="00C97C97" w:rsidP="00C97C97">
            <w:pPr>
              <w:jc w:val="both"/>
              <w:rPr>
                <w:sz w:val="20"/>
                <w:szCs w:val="20"/>
                <w:lang w:eastAsia="en-GB"/>
              </w:rPr>
            </w:pPr>
            <w:r w:rsidRPr="002A091D">
              <w:rPr>
                <w:sz w:val="20"/>
                <w:szCs w:val="20"/>
                <w:lang w:eastAsia="en-GB"/>
              </w:rPr>
              <w:t>0.045</w:t>
            </w:r>
          </w:p>
        </w:tc>
        <w:tc>
          <w:tcPr>
            <w:tcW w:w="1158" w:type="dxa"/>
            <w:shd w:val="clear" w:color="auto" w:fill="auto"/>
            <w:noWrap/>
            <w:vAlign w:val="bottom"/>
            <w:hideMark/>
          </w:tcPr>
          <w:p w14:paraId="29AFBFF4" w14:textId="77777777" w:rsidR="00C97C97" w:rsidRPr="002A091D" w:rsidRDefault="00C97C97" w:rsidP="00C97C97">
            <w:pPr>
              <w:jc w:val="both"/>
              <w:rPr>
                <w:sz w:val="20"/>
                <w:szCs w:val="20"/>
                <w:lang w:eastAsia="en-GB"/>
              </w:rPr>
            </w:pPr>
            <w:r w:rsidRPr="002A091D">
              <w:rPr>
                <w:sz w:val="20"/>
                <w:szCs w:val="20"/>
                <w:lang w:eastAsia="en-GB"/>
              </w:rPr>
              <w:t>0.850</w:t>
            </w:r>
          </w:p>
        </w:tc>
        <w:tc>
          <w:tcPr>
            <w:tcW w:w="1158" w:type="dxa"/>
            <w:shd w:val="clear" w:color="auto" w:fill="auto"/>
            <w:noWrap/>
            <w:vAlign w:val="bottom"/>
            <w:hideMark/>
          </w:tcPr>
          <w:p w14:paraId="5663AA0A" w14:textId="77777777" w:rsidR="00C97C97" w:rsidRPr="002A091D" w:rsidRDefault="00C97C97" w:rsidP="00C97C97">
            <w:pPr>
              <w:jc w:val="both"/>
              <w:rPr>
                <w:sz w:val="20"/>
                <w:szCs w:val="20"/>
                <w:lang w:eastAsia="en-GB"/>
              </w:rPr>
            </w:pPr>
            <w:r w:rsidRPr="002A091D">
              <w:rPr>
                <w:sz w:val="20"/>
                <w:szCs w:val="20"/>
                <w:lang w:eastAsia="en-GB"/>
              </w:rPr>
              <w:t>1.531</w:t>
            </w:r>
          </w:p>
        </w:tc>
        <w:tc>
          <w:tcPr>
            <w:tcW w:w="1158" w:type="dxa"/>
            <w:shd w:val="clear" w:color="auto" w:fill="auto"/>
            <w:noWrap/>
            <w:vAlign w:val="bottom"/>
            <w:hideMark/>
          </w:tcPr>
          <w:p w14:paraId="487F1687" w14:textId="77777777" w:rsidR="00C97C97" w:rsidRPr="002A091D" w:rsidRDefault="00C97C97" w:rsidP="00C97C97">
            <w:pPr>
              <w:jc w:val="both"/>
              <w:rPr>
                <w:sz w:val="20"/>
                <w:szCs w:val="20"/>
                <w:lang w:eastAsia="en-GB"/>
              </w:rPr>
            </w:pPr>
            <w:r w:rsidRPr="002A091D">
              <w:rPr>
                <w:sz w:val="20"/>
                <w:szCs w:val="20"/>
                <w:lang w:eastAsia="en-GB"/>
              </w:rPr>
              <w:t>-1.287</w:t>
            </w:r>
          </w:p>
        </w:tc>
        <w:tc>
          <w:tcPr>
            <w:tcW w:w="1172" w:type="dxa"/>
            <w:shd w:val="clear" w:color="auto" w:fill="auto"/>
            <w:noWrap/>
            <w:vAlign w:val="bottom"/>
            <w:hideMark/>
          </w:tcPr>
          <w:p w14:paraId="4E900B2A" w14:textId="77777777" w:rsidR="00C97C97" w:rsidRPr="002A091D" w:rsidRDefault="00C97C97" w:rsidP="00C97C97">
            <w:pPr>
              <w:jc w:val="both"/>
              <w:rPr>
                <w:sz w:val="20"/>
                <w:szCs w:val="20"/>
                <w:lang w:eastAsia="en-GB"/>
              </w:rPr>
            </w:pPr>
            <w:r w:rsidRPr="002A091D">
              <w:rPr>
                <w:sz w:val="20"/>
                <w:szCs w:val="20"/>
                <w:lang w:eastAsia="en-GB"/>
              </w:rPr>
              <w:t>0.003</w:t>
            </w:r>
          </w:p>
        </w:tc>
      </w:tr>
      <w:tr w:rsidR="00C97C97" w:rsidRPr="002A091D" w14:paraId="11B330DE" w14:textId="77777777" w:rsidTr="00C97C97">
        <w:trPr>
          <w:trHeight w:val="522"/>
        </w:trPr>
        <w:tc>
          <w:tcPr>
            <w:tcW w:w="2262" w:type="dxa"/>
            <w:shd w:val="clear" w:color="auto" w:fill="auto"/>
            <w:noWrap/>
            <w:vAlign w:val="bottom"/>
            <w:hideMark/>
          </w:tcPr>
          <w:p w14:paraId="052D9F96" w14:textId="77777777" w:rsidR="00C97C97" w:rsidRPr="002A091D" w:rsidRDefault="00C97C97" w:rsidP="00C97C97">
            <w:pPr>
              <w:jc w:val="both"/>
              <w:rPr>
                <w:sz w:val="20"/>
                <w:szCs w:val="20"/>
                <w:lang w:eastAsia="en-GB"/>
              </w:rPr>
            </w:pPr>
            <w:r w:rsidRPr="002A091D">
              <w:rPr>
                <w:sz w:val="20"/>
                <w:szCs w:val="20"/>
                <w:lang w:eastAsia="en-GB"/>
              </w:rPr>
              <w:t>Fama_French_alpha (%)</w:t>
            </w:r>
          </w:p>
        </w:tc>
        <w:tc>
          <w:tcPr>
            <w:tcW w:w="1158" w:type="dxa"/>
            <w:shd w:val="clear" w:color="auto" w:fill="auto"/>
            <w:noWrap/>
            <w:vAlign w:val="bottom"/>
            <w:hideMark/>
          </w:tcPr>
          <w:p w14:paraId="424FE521" w14:textId="77777777" w:rsidR="00C97C97" w:rsidRPr="002A091D" w:rsidRDefault="00C97C97" w:rsidP="00C97C97">
            <w:pPr>
              <w:jc w:val="both"/>
              <w:rPr>
                <w:sz w:val="20"/>
                <w:szCs w:val="20"/>
                <w:lang w:eastAsia="en-GB"/>
              </w:rPr>
            </w:pPr>
            <w:r w:rsidRPr="002A091D">
              <w:rPr>
                <w:sz w:val="20"/>
                <w:szCs w:val="20"/>
                <w:lang w:eastAsia="en-GB"/>
              </w:rPr>
              <w:t>0.587</w:t>
            </w:r>
          </w:p>
        </w:tc>
        <w:tc>
          <w:tcPr>
            <w:tcW w:w="1158" w:type="dxa"/>
            <w:shd w:val="clear" w:color="auto" w:fill="auto"/>
            <w:noWrap/>
            <w:vAlign w:val="bottom"/>
            <w:hideMark/>
          </w:tcPr>
          <w:p w14:paraId="0E160034" w14:textId="77777777" w:rsidR="00C97C97" w:rsidRPr="002A091D" w:rsidRDefault="00C97C97" w:rsidP="00C97C97">
            <w:pPr>
              <w:jc w:val="both"/>
              <w:rPr>
                <w:sz w:val="20"/>
                <w:szCs w:val="20"/>
                <w:lang w:eastAsia="en-GB"/>
              </w:rPr>
            </w:pPr>
            <w:r w:rsidRPr="002A091D">
              <w:rPr>
                <w:sz w:val="20"/>
                <w:szCs w:val="20"/>
                <w:lang w:eastAsia="en-GB"/>
              </w:rPr>
              <w:t>0.058</w:t>
            </w:r>
          </w:p>
        </w:tc>
        <w:tc>
          <w:tcPr>
            <w:tcW w:w="1158" w:type="dxa"/>
            <w:shd w:val="clear" w:color="auto" w:fill="auto"/>
            <w:noWrap/>
            <w:vAlign w:val="bottom"/>
            <w:hideMark/>
          </w:tcPr>
          <w:p w14:paraId="7D127CDD" w14:textId="77777777" w:rsidR="00C97C97" w:rsidRPr="002A091D" w:rsidRDefault="00C97C97" w:rsidP="00C97C97">
            <w:pPr>
              <w:jc w:val="both"/>
              <w:rPr>
                <w:sz w:val="20"/>
                <w:szCs w:val="20"/>
                <w:lang w:eastAsia="en-GB"/>
              </w:rPr>
            </w:pPr>
            <w:r w:rsidRPr="002A091D">
              <w:rPr>
                <w:sz w:val="20"/>
                <w:szCs w:val="20"/>
                <w:lang w:eastAsia="en-GB"/>
              </w:rPr>
              <w:t>-0.396</w:t>
            </w:r>
          </w:p>
        </w:tc>
        <w:tc>
          <w:tcPr>
            <w:tcW w:w="1158" w:type="dxa"/>
            <w:shd w:val="clear" w:color="auto" w:fill="auto"/>
            <w:noWrap/>
            <w:vAlign w:val="bottom"/>
            <w:hideMark/>
          </w:tcPr>
          <w:p w14:paraId="494D3068" w14:textId="77777777" w:rsidR="00C97C97" w:rsidRPr="002A091D" w:rsidRDefault="00C97C97" w:rsidP="00C97C97">
            <w:pPr>
              <w:jc w:val="both"/>
              <w:rPr>
                <w:sz w:val="20"/>
                <w:szCs w:val="20"/>
                <w:lang w:eastAsia="en-GB"/>
              </w:rPr>
            </w:pPr>
            <w:r w:rsidRPr="002A091D">
              <w:rPr>
                <w:sz w:val="20"/>
                <w:szCs w:val="20"/>
                <w:lang w:eastAsia="en-GB"/>
              </w:rPr>
              <w:t>-0.418</w:t>
            </w:r>
          </w:p>
        </w:tc>
        <w:tc>
          <w:tcPr>
            <w:tcW w:w="1158" w:type="dxa"/>
            <w:shd w:val="clear" w:color="auto" w:fill="auto"/>
            <w:noWrap/>
            <w:vAlign w:val="bottom"/>
            <w:hideMark/>
          </w:tcPr>
          <w:p w14:paraId="3146E504" w14:textId="77777777" w:rsidR="00C97C97" w:rsidRPr="002A091D" w:rsidRDefault="00C97C97" w:rsidP="00C97C97">
            <w:pPr>
              <w:jc w:val="both"/>
              <w:rPr>
                <w:sz w:val="20"/>
                <w:szCs w:val="20"/>
                <w:lang w:eastAsia="en-GB"/>
              </w:rPr>
            </w:pPr>
            <w:r w:rsidRPr="002A091D">
              <w:rPr>
                <w:sz w:val="20"/>
                <w:szCs w:val="20"/>
                <w:lang w:eastAsia="en-GB"/>
              </w:rPr>
              <w:t>-0.455</w:t>
            </w:r>
          </w:p>
        </w:tc>
        <w:tc>
          <w:tcPr>
            <w:tcW w:w="1035" w:type="dxa"/>
            <w:shd w:val="clear" w:color="auto" w:fill="auto"/>
            <w:noWrap/>
            <w:vAlign w:val="bottom"/>
            <w:hideMark/>
          </w:tcPr>
          <w:p w14:paraId="07CC9F20" w14:textId="77777777" w:rsidR="00C97C97" w:rsidRPr="002A091D" w:rsidRDefault="00C97C97" w:rsidP="00C97C97">
            <w:pPr>
              <w:jc w:val="both"/>
              <w:rPr>
                <w:sz w:val="20"/>
                <w:szCs w:val="20"/>
                <w:lang w:eastAsia="en-GB"/>
              </w:rPr>
            </w:pPr>
            <w:r w:rsidRPr="002A091D">
              <w:rPr>
                <w:sz w:val="20"/>
                <w:szCs w:val="20"/>
                <w:lang w:eastAsia="en-GB"/>
              </w:rPr>
              <w:t>-0.856</w:t>
            </w:r>
          </w:p>
        </w:tc>
        <w:tc>
          <w:tcPr>
            <w:tcW w:w="1035" w:type="dxa"/>
            <w:shd w:val="clear" w:color="auto" w:fill="auto"/>
            <w:noWrap/>
            <w:vAlign w:val="bottom"/>
            <w:hideMark/>
          </w:tcPr>
          <w:p w14:paraId="50014BD7" w14:textId="77777777" w:rsidR="00C97C97" w:rsidRPr="002A091D" w:rsidRDefault="00C97C97" w:rsidP="00C97C97">
            <w:pPr>
              <w:jc w:val="both"/>
              <w:rPr>
                <w:sz w:val="20"/>
                <w:szCs w:val="20"/>
                <w:lang w:eastAsia="en-GB"/>
              </w:rPr>
            </w:pPr>
            <w:r w:rsidRPr="002A091D">
              <w:rPr>
                <w:sz w:val="20"/>
                <w:szCs w:val="20"/>
                <w:lang w:eastAsia="en-GB"/>
              </w:rPr>
              <w:t>-1.673</w:t>
            </w:r>
          </w:p>
        </w:tc>
        <w:tc>
          <w:tcPr>
            <w:tcW w:w="1158" w:type="dxa"/>
            <w:shd w:val="clear" w:color="auto" w:fill="auto"/>
            <w:noWrap/>
            <w:vAlign w:val="bottom"/>
            <w:hideMark/>
          </w:tcPr>
          <w:p w14:paraId="5CC7604E" w14:textId="77777777" w:rsidR="00C97C97" w:rsidRPr="002A091D" w:rsidRDefault="00C97C97" w:rsidP="00C97C97">
            <w:pPr>
              <w:jc w:val="both"/>
              <w:rPr>
                <w:sz w:val="20"/>
                <w:szCs w:val="20"/>
                <w:lang w:eastAsia="en-GB"/>
              </w:rPr>
            </w:pPr>
            <w:r w:rsidRPr="002A091D">
              <w:rPr>
                <w:sz w:val="20"/>
                <w:szCs w:val="20"/>
                <w:lang w:eastAsia="en-GB"/>
              </w:rPr>
              <w:t>-1.167</w:t>
            </w:r>
          </w:p>
        </w:tc>
        <w:tc>
          <w:tcPr>
            <w:tcW w:w="1158" w:type="dxa"/>
            <w:shd w:val="clear" w:color="auto" w:fill="auto"/>
            <w:noWrap/>
            <w:vAlign w:val="bottom"/>
            <w:hideMark/>
          </w:tcPr>
          <w:p w14:paraId="67C66B12" w14:textId="77777777" w:rsidR="00C97C97" w:rsidRPr="002A091D" w:rsidRDefault="00C97C97" w:rsidP="00C97C97">
            <w:pPr>
              <w:jc w:val="both"/>
              <w:rPr>
                <w:sz w:val="20"/>
                <w:szCs w:val="20"/>
                <w:lang w:eastAsia="en-GB"/>
              </w:rPr>
            </w:pPr>
            <w:r w:rsidRPr="002A091D">
              <w:rPr>
                <w:sz w:val="20"/>
                <w:szCs w:val="20"/>
                <w:lang w:eastAsia="en-GB"/>
              </w:rPr>
              <w:t>-0.962</w:t>
            </w:r>
          </w:p>
        </w:tc>
        <w:tc>
          <w:tcPr>
            <w:tcW w:w="1158" w:type="dxa"/>
            <w:shd w:val="clear" w:color="auto" w:fill="auto"/>
            <w:noWrap/>
            <w:vAlign w:val="bottom"/>
            <w:hideMark/>
          </w:tcPr>
          <w:p w14:paraId="42069078" w14:textId="77777777" w:rsidR="00C97C97" w:rsidRPr="002A091D" w:rsidRDefault="00C97C97" w:rsidP="00C97C97">
            <w:pPr>
              <w:jc w:val="both"/>
              <w:rPr>
                <w:sz w:val="20"/>
                <w:szCs w:val="20"/>
                <w:lang w:eastAsia="en-GB"/>
              </w:rPr>
            </w:pPr>
            <w:r w:rsidRPr="002A091D">
              <w:rPr>
                <w:sz w:val="20"/>
                <w:szCs w:val="20"/>
                <w:lang w:eastAsia="en-GB"/>
              </w:rPr>
              <w:t>-0.0007</w:t>
            </w:r>
          </w:p>
        </w:tc>
        <w:tc>
          <w:tcPr>
            <w:tcW w:w="1158" w:type="dxa"/>
            <w:shd w:val="clear" w:color="auto" w:fill="auto"/>
            <w:noWrap/>
            <w:vAlign w:val="bottom"/>
            <w:hideMark/>
          </w:tcPr>
          <w:p w14:paraId="10E119E6" w14:textId="77777777" w:rsidR="00C97C97" w:rsidRPr="002A091D" w:rsidRDefault="00C97C97" w:rsidP="00C97C97">
            <w:pPr>
              <w:jc w:val="both"/>
              <w:rPr>
                <w:sz w:val="20"/>
                <w:szCs w:val="20"/>
                <w:lang w:eastAsia="en-GB"/>
              </w:rPr>
            </w:pPr>
            <w:r w:rsidRPr="002A091D">
              <w:rPr>
                <w:sz w:val="20"/>
                <w:szCs w:val="20"/>
                <w:lang w:eastAsia="en-GB"/>
              </w:rPr>
              <w:t>0.658</w:t>
            </w:r>
          </w:p>
        </w:tc>
        <w:tc>
          <w:tcPr>
            <w:tcW w:w="1172" w:type="dxa"/>
            <w:shd w:val="clear" w:color="auto" w:fill="auto"/>
            <w:noWrap/>
            <w:vAlign w:val="bottom"/>
            <w:hideMark/>
          </w:tcPr>
          <w:p w14:paraId="26AB38EA" w14:textId="77777777" w:rsidR="00C97C97" w:rsidRPr="002A091D" w:rsidRDefault="00C97C97" w:rsidP="00C97C97">
            <w:pPr>
              <w:jc w:val="both"/>
              <w:rPr>
                <w:sz w:val="20"/>
                <w:szCs w:val="20"/>
                <w:lang w:eastAsia="en-GB"/>
              </w:rPr>
            </w:pPr>
            <w:r w:rsidRPr="002A091D">
              <w:rPr>
                <w:sz w:val="20"/>
                <w:szCs w:val="20"/>
                <w:lang w:eastAsia="en-GB"/>
              </w:rPr>
              <w:t>15.407</w:t>
            </w:r>
          </w:p>
        </w:tc>
      </w:tr>
      <w:tr w:rsidR="00C97C97" w:rsidRPr="002A091D" w14:paraId="600D28B0" w14:textId="77777777" w:rsidTr="00C97C97">
        <w:trPr>
          <w:trHeight w:val="522"/>
        </w:trPr>
        <w:tc>
          <w:tcPr>
            <w:tcW w:w="2262" w:type="dxa"/>
            <w:shd w:val="clear" w:color="auto" w:fill="auto"/>
            <w:noWrap/>
            <w:vAlign w:val="bottom"/>
            <w:hideMark/>
          </w:tcPr>
          <w:p w14:paraId="22666F8B" w14:textId="77777777" w:rsidR="00C97C97" w:rsidRPr="002A091D" w:rsidRDefault="00C97C97" w:rsidP="00C97C97">
            <w:pPr>
              <w:jc w:val="both"/>
              <w:rPr>
                <w:sz w:val="20"/>
                <w:szCs w:val="20"/>
                <w:lang w:eastAsia="en-GB"/>
              </w:rPr>
            </w:pPr>
            <w:r w:rsidRPr="002A091D">
              <w:rPr>
                <w:sz w:val="20"/>
                <w:szCs w:val="20"/>
                <w:lang w:eastAsia="en-GB"/>
              </w:rPr>
              <w:t>T_value</w:t>
            </w:r>
          </w:p>
        </w:tc>
        <w:tc>
          <w:tcPr>
            <w:tcW w:w="1158" w:type="dxa"/>
            <w:shd w:val="clear" w:color="auto" w:fill="auto"/>
            <w:noWrap/>
            <w:vAlign w:val="bottom"/>
            <w:hideMark/>
          </w:tcPr>
          <w:p w14:paraId="4ED1F87E" w14:textId="77777777" w:rsidR="00C97C97" w:rsidRPr="002A091D" w:rsidRDefault="00C97C97" w:rsidP="00C97C97">
            <w:pPr>
              <w:jc w:val="both"/>
              <w:rPr>
                <w:sz w:val="20"/>
                <w:szCs w:val="20"/>
                <w:lang w:eastAsia="en-GB"/>
              </w:rPr>
            </w:pPr>
            <w:r w:rsidRPr="002A091D">
              <w:rPr>
                <w:sz w:val="20"/>
                <w:szCs w:val="20"/>
                <w:lang w:eastAsia="en-GB"/>
              </w:rPr>
              <w:t>1.217</w:t>
            </w:r>
          </w:p>
        </w:tc>
        <w:tc>
          <w:tcPr>
            <w:tcW w:w="1158" w:type="dxa"/>
            <w:shd w:val="clear" w:color="auto" w:fill="auto"/>
            <w:noWrap/>
            <w:vAlign w:val="bottom"/>
            <w:hideMark/>
          </w:tcPr>
          <w:p w14:paraId="6836E12C" w14:textId="77777777" w:rsidR="00C97C97" w:rsidRPr="002A091D" w:rsidRDefault="00C97C97" w:rsidP="00C97C97">
            <w:pPr>
              <w:jc w:val="both"/>
              <w:rPr>
                <w:sz w:val="20"/>
                <w:szCs w:val="20"/>
                <w:lang w:eastAsia="en-GB"/>
              </w:rPr>
            </w:pPr>
            <w:r w:rsidRPr="002A091D">
              <w:rPr>
                <w:sz w:val="20"/>
                <w:szCs w:val="20"/>
                <w:lang w:eastAsia="en-GB"/>
              </w:rPr>
              <w:t>0.077</w:t>
            </w:r>
          </w:p>
        </w:tc>
        <w:tc>
          <w:tcPr>
            <w:tcW w:w="1158" w:type="dxa"/>
            <w:shd w:val="clear" w:color="auto" w:fill="auto"/>
            <w:noWrap/>
            <w:vAlign w:val="bottom"/>
            <w:hideMark/>
          </w:tcPr>
          <w:p w14:paraId="1C69484D" w14:textId="77777777" w:rsidR="00C97C97" w:rsidRPr="002A091D" w:rsidRDefault="00C97C97" w:rsidP="00C97C97">
            <w:pPr>
              <w:jc w:val="both"/>
              <w:rPr>
                <w:sz w:val="20"/>
                <w:szCs w:val="20"/>
                <w:lang w:eastAsia="en-GB"/>
              </w:rPr>
            </w:pPr>
            <w:r w:rsidRPr="002A091D">
              <w:rPr>
                <w:sz w:val="20"/>
                <w:szCs w:val="20"/>
                <w:lang w:eastAsia="en-GB"/>
              </w:rPr>
              <w:t>-0.663</w:t>
            </w:r>
          </w:p>
        </w:tc>
        <w:tc>
          <w:tcPr>
            <w:tcW w:w="1158" w:type="dxa"/>
            <w:shd w:val="clear" w:color="auto" w:fill="auto"/>
            <w:noWrap/>
            <w:vAlign w:val="bottom"/>
            <w:hideMark/>
          </w:tcPr>
          <w:p w14:paraId="0E077A5B" w14:textId="77777777" w:rsidR="00C97C97" w:rsidRPr="002A091D" w:rsidRDefault="00C97C97" w:rsidP="00C97C97">
            <w:pPr>
              <w:jc w:val="both"/>
              <w:rPr>
                <w:sz w:val="20"/>
                <w:szCs w:val="20"/>
                <w:lang w:eastAsia="en-GB"/>
              </w:rPr>
            </w:pPr>
            <w:r w:rsidRPr="002A091D">
              <w:rPr>
                <w:sz w:val="20"/>
                <w:szCs w:val="20"/>
                <w:lang w:eastAsia="en-GB"/>
              </w:rPr>
              <w:t>-0.702</w:t>
            </w:r>
          </w:p>
        </w:tc>
        <w:tc>
          <w:tcPr>
            <w:tcW w:w="1158" w:type="dxa"/>
            <w:shd w:val="clear" w:color="auto" w:fill="auto"/>
            <w:noWrap/>
            <w:vAlign w:val="bottom"/>
            <w:hideMark/>
          </w:tcPr>
          <w:p w14:paraId="4FEDBA5E" w14:textId="77777777" w:rsidR="00C97C97" w:rsidRPr="002A091D" w:rsidRDefault="00C97C97" w:rsidP="00C97C97">
            <w:pPr>
              <w:jc w:val="both"/>
              <w:rPr>
                <w:sz w:val="20"/>
                <w:szCs w:val="20"/>
                <w:lang w:eastAsia="en-GB"/>
              </w:rPr>
            </w:pPr>
            <w:r w:rsidRPr="002A091D">
              <w:rPr>
                <w:sz w:val="20"/>
                <w:szCs w:val="20"/>
                <w:lang w:eastAsia="en-GB"/>
              </w:rPr>
              <w:t>-0.802</w:t>
            </w:r>
          </w:p>
        </w:tc>
        <w:tc>
          <w:tcPr>
            <w:tcW w:w="1035" w:type="dxa"/>
            <w:shd w:val="clear" w:color="auto" w:fill="auto"/>
            <w:noWrap/>
            <w:vAlign w:val="bottom"/>
            <w:hideMark/>
          </w:tcPr>
          <w:p w14:paraId="6E1382A9" w14:textId="77777777" w:rsidR="00C97C97" w:rsidRPr="002A091D" w:rsidRDefault="00C97C97" w:rsidP="00C97C97">
            <w:pPr>
              <w:jc w:val="both"/>
              <w:rPr>
                <w:sz w:val="20"/>
                <w:szCs w:val="20"/>
                <w:lang w:eastAsia="en-GB"/>
              </w:rPr>
            </w:pPr>
            <w:r w:rsidRPr="002A091D">
              <w:rPr>
                <w:sz w:val="20"/>
                <w:szCs w:val="20"/>
                <w:lang w:eastAsia="en-GB"/>
              </w:rPr>
              <w:t>-1.482</w:t>
            </w:r>
          </w:p>
        </w:tc>
        <w:tc>
          <w:tcPr>
            <w:tcW w:w="1035" w:type="dxa"/>
            <w:shd w:val="clear" w:color="auto" w:fill="auto"/>
            <w:noWrap/>
            <w:vAlign w:val="bottom"/>
            <w:hideMark/>
          </w:tcPr>
          <w:p w14:paraId="7D88776A" w14:textId="77777777" w:rsidR="00C97C97" w:rsidRPr="002A091D" w:rsidRDefault="00C97C97" w:rsidP="00C97C97">
            <w:pPr>
              <w:jc w:val="both"/>
              <w:rPr>
                <w:sz w:val="20"/>
                <w:szCs w:val="20"/>
                <w:lang w:eastAsia="en-GB"/>
              </w:rPr>
            </w:pPr>
            <w:r w:rsidRPr="002A091D">
              <w:rPr>
                <w:sz w:val="20"/>
                <w:szCs w:val="20"/>
                <w:lang w:eastAsia="en-GB"/>
              </w:rPr>
              <w:t>-2.570***</w:t>
            </w:r>
          </w:p>
        </w:tc>
        <w:tc>
          <w:tcPr>
            <w:tcW w:w="1158" w:type="dxa"/>
            <w:shd w:val="clear" w:color="auto" w:fill="auto"/>
            <w:noWrap/>
            <w:vAlign w:val="bottom"/>
            <w:hideMark/>
          </w:tcPr>
          <w:p w14:paraId="775A1E9B" w14:textId="77777777" w:rsidR="00C97C97" w:rsidRPr="002A091D" w:rsidRDefault="00C97C97" w:rsidP="00C97C97">
            <w:pPr>
              <w:jc w:val="both"/>
              <w:rPr>
                <w:sz w:val="20"/>
                <w:szCs w:val="20"/>
                <w:lang w:eastAsia="en-GB"/>
              </w:rPr>
            </w:pPr>
            <w:r w:rsidRPr="002A091D">
              <w:rPr>
                <w:sz w:val="20"/>
                <w:szCs w:val="20"/>
                <w:lang w:eastAsia="en-GB"/>
              </w:rPr>
              <w:t>-1.800*</w:t>
            </w:r>
          </w:p>
        </w:tc>
        <w:tc>
          <w:tcPr>
            <w:tcW w:w="1158" w:type="dxa"/>
            <w:shd w:val="clear" w:color="auto" w:fill="auto"/>
            <w:noWrap/>
            <w:vAlign w:val="bottom"/>
            <w:hideMark/>
          </w:tcPr>
          <w:p w14:paraId="57551F50" w14:textId="77777777" w:rsidR="00C97C97" w:rsidRPr="002A091D" w:rsidRDefault="00C97C97" w:rsidP="00C97C97">
            <w:pPr>
              <w:jc w:val="both"/>
              <w:rPr>
                <w:sz w:val="20"/>
                <w:szCs w:val="20"/>
                <w:lang w:eastAsia="en-GB"/>
              </w:rPr>
            </w:pPr>
            <w:r w:rsidRPr="002A091D">
              <w:rPr>
                <w:sz w:val="20"/>
                <w:szCs w:val="20"/>
                <w:lang w:eastAsia="en-GB"/>
              </w:rPr>
              <w:t>-1.057</w:t>
            </w:r>
          </w:p>
        </w:tc>
        <w:tc>
          <w:tcPr>
            <w:tcW w:w="1158" w:type="dxa"/>
            <w:shd w:val="clear" w:color="auto" w:fill="auto"/>
            <w:noWrap/>
            <w:vAlign w:val="bottom"/>
            <w:hideMark/>
          </w:tcPr>
          <w:p w14:paraId="779F1567" w14:textId="77777777" w:rsidR="00C97C97" w:rsidRPr="002A091D" w:rsidRDefault="00C97C97" w:rsidP="00C97C97">
            <w:pPr>
              <w:jc w:val="both"/>
              <w:rPr>
                <w:sz w:val="20"/>
                <w:szCs w:val="20"/>
                <w:lang w:eastAsia="en-GB"/>
              </w:rPr>
            </w:pPr>
            <w:r w:rsidRPr="002A091D">
              <w:rPr>
                <w:sz w:val="20"/>
                <w:szCs w:val="20"/>
                <w:lang w:eastAsia="en-GB"/>
              </w:rPr>
              <w:t>-0.452</w:t>
            </w:r>
          </w:p>
        </w:tc>
        <w:tc>
          <w:tcPr>
            <w:tcW w:w="1158" w:type="dxa"/>
            <w:shd w:val="clear" w:color="auto" w:fill="auto"/>
            <w:noWrap/>
            <w:vAlign w:val="bottom"/>
            <w:hideMark/>
          </w:tcPr>
          <w:p w14:paraId="2D050C5A" w14:textId="77777777" w:rsidR="00C97C97" w:rsidRPr="002A091D" w:rsidRDefault="00C97C97" w:rsidP="00C97C97">
            <w:pPr>
              <w:jc w:val="both"/>
              <w:rPr>
                <w:sz w:val="20"/>
                <w:szCs w:val="20"/>
                <w:lang w:eastAsia="en-GB"/>
              </w:rPr>
            </w:pPr>
            <w:r w:rsidRPr="002A091D">
              <w:rPr>
                <w:sz w:val="20"/>
                <w:szCs w:val="20"/>
                <w:lang w:eastAsia="en-GB"/>
              </w:rPr>
              <w:t>1.670*</w:t>
            </w:r>
          </w:p>
        </w:tc>
        <w:tc>
          <w:tcPr>
            <w:tcW w:w="1172" w:type="dxa"/>
            <w:shd w:val="clear" w:color="auto" w:fill="auto"/>
            <w:noWrap/>
            <w:vAlign w:val="bottom"/>
            <w:hideMark/>
          </w:tcPr>
          <w:p w14:paraId="35B79CF5" w14:textId="77777777" w:rsidR="00C97C97" w:rsidRPr="002A091D" w:rsidRDefault="00C97C97" w:rsidP="00C97C97">
            <w:pPr>
              <w:jc w:val="both"/>
              <w:rPr>
                <w:sz w:val="20"/>
                <w:szCs w:val="20"/>
                <w:lang w:eastAsia="en-GB"/>
              </w:rPr>
            </w:pPr>
            <w:r w:rsidRPr="002A091D">
              <w:rPr>
                <w:sz w:val="20"/>
                <w:szCs w:val="20"/>
                <w:lang w:eastAsia="en-GB"/>
              </w:rPr>
              <w:t>0.117</w:t>
            </w:r>
          </w:p>
        </w:tc>
      </w:tr>
      <w:tr w:rsidR="00C97C97" w:rsidRPr="002A091D" w14:paraId="7C0B43F9" w14:textId="77777777" w:rsidTr="00C97C97">
        <w:trPr>
          <w:trHeight w:val="522"/>
        </w:trPr>
        <w:tc>
          <w:tcPr>
            <w:tcW w:w="2262" w:type="dxa"/>
            <w:shd w:val="clear" w:color="auto" w:fill="auto"/>
            <w:noWrap/>
            <w:vAlign w:val="bottom"/>
            <w:hideMark/>
          </w:tcPr>
          <w:p w14:paraId="73DEBEED" w14:textId="77777777" w:rsidR="00C97C97" w:rsidRPr="002A091D" w:rsidRDefault="00C97C97" w:rsidP="00C97C97">
            <w:pPr>
              <w:jc w:val="both"/>
              <w:rPr>
                <w:sz w:val="20"/>
                <w:szCs w:val="20"/>
                <w:lang w:eastAsia="en-GB"/>
              </w:rPr>
            </w:pPr>
            <w:r w:rsidRPr="002A091D">
              <w:rPr>
                <w:sz w:val="20"/>
                <w:szCs w:val="20"/>
                <w:lang w:eastAsia="en-GB"/>
              </w:rPr>
              <w:t>Carhart_alpha (%)</w:t>
            </w:r>
          </w:p>
        </w:tc>
        <w:tc>
          <w:tcPr>
            <w:tcW w:w="1158" w:type="dxa"/>
            <w:shd w:val="clear" w:color="auto" w:fill="auto"/>
            <w:noWrap/>
            <w:vAlign w:val="bottom"/>
            <w:hideMark/>
          </w:tcPr>
          <w:p w14:paraId="434F85E1" w14:textId="77777777" w:rsidR="00C97C97" w:rsidRPr="002A091D" w:rsidRDefault="00C97C97" w:rsidP="00C97C97">
            <w:pPr>
              <w:jc w:val="both"/>
              <w:rPr>
                <w:sz w:val="20"/>
                <w:szCs w:val="20"/>
                <w:lang w:eastAsia="en-GB"/>
              </w:rPr>
            </w:pPr>
            <w:r w:rsidRPr="002A091D">
              <w:rPr>
                <w:sz w:val="20"/>
                <w:szCs w:val="20"/>
                <w:lang w:eastAsia="en-GB"/>
              </w:rPr>
              <w:t>0.659</w:t>
            </w:r>
          </w:p>
        </w:tc>
        <w:tc>
          <w:tcPr>
            <w:tcW w:w="1158" w:type="dxa"/>
            <w:shd w:val="clear" w:color="auto" w:fill="auto"/>
            <w:noWrap/>
            <w:vAlign w:val="bottom"/>
            <w:hideMark/>
          </w:tcPr>
          <w:p w14:paraId="5CCFE546" w14:textId="77777777" w:rsidR="00C97C97" w:rsidRPr="002A091D" w:rsidRDefault="00C97C97" w:rsidP="00C97C97">
            <w:pPr>
              <w:jc w:val="both"/>
              <w:rPr>
                <w:sz w:val="20"/>
                <w:szCs w:val="20"/>
                <w:lang w:eastAsia="en-GB"/>
              </w:rPr>
            </w:pPr>
            <w:r w:rsidRPr="002A091D">
              <w:rPr>
                <w:sz w:val="20"/>
                <w:szCs w:val="20"/>
                <w:lang w:eastAsia="en-GB"/>
              </w:rPr>
              <w:t>0.173</w:t>
            </w:r>
          </w:p>
        </w:tc>
        <w:tc>
          <w:tcPr>
            <w:tcW w:w="1158" w:type="dxa"/>
            <w:shd w:val="clear" w:color="auto" w:fill="auto"/>
            <w:noWrap/>
            <w:vAlign w:val="bottom"/>
            <w:hideMark/>
          </w:tcPr>
          <w:p w14:paraId="2E9B94C8" w14:textId="77777777" w:rsidR="00C97C97" w:rsidRPr="002A091D" w:rsidRDefault="00C97C97" w:rsidP="00C97C97">
            <w:pPr>
              <w:jc w:val="both"/>
              <w:rPr>
                <w:sz w:val="20"/>
                <w:szCs w:val="20"/>
                <w:lang w:eastAsia="en-GB"/>
              </w:rPr>
            </w:pPr>
            <w:r w:rsidRPr="002A091D">
              <w:rPr>
                <w:sz w:val="20"/>
                <w:szCs w:val="20"/>
                <w:lang w:eastAsia="en-GB"/>
              </w:rPr>
              <w:t>0.067</w:t>
            </w:r>
          </w:p>
        </w:tc>
        <w:tc>
          <w:tcPr>
            <w:tcW w:w="1158" w:type="dxa"/>
            <w:shd w:val="clear" w:color="auto" w:fill="auto"/>
            <w:noWrap/>
            <w:vAlign w:val="bottom"/>
            <w:hideMark/>
          </w:tcPr>
          <w:p w14:paraId="21A79B25" w14:textId="77777777" w:rsidR="00C97C97" w:rsidRPr="002A091D" w:rsidRDefault="00C97C97" w:rsidP="00C97C97">
            <w:pPr>
              <w:jc w:val="both"/>
              <w:rPr>
                <w:sz w:val="20"/>
                <w:szCs w:val="20"/>
                <w:lang w:eastAsia="en-GB"/>
              </w:rPr>
            </w:pPr>
            <w:r w:rsidRPr="002A091D">
              <w:rPr>
                <w:sz w:val="20"/>
                <w:szCs w:val="20"/>
                <w:lang w:eastAsia="en-GB"/>
              </w:rPr>
              <w:t>0.157</w:t>
            </w:r>
          </w:p>
        </w:tc>
        <w:tc>
          <w:tcPr>
            <w:tcW w:w="1158" w:type="dxa"/>
            <w:shd w:val="clear" w:color="auto" w:fill="auto"/>
            <w:noWrap/>
            <w:vAlign w:val="bottom"/>
            <w:hideMark/>
          </w:tcPr>
          <w:p w14:paraId="35F78FCB" w14:textId="77777777" w:rsidR="00C97C97" w:rsidRPr="002A091D" w:rsidRDefault="00C97C97" w:rsidP="00C97C97">
            <w:pPr>
              <w:jc w:val="both"/>
              <w:rPr>
                <w:sz w:val="20"/>
                <w:szCs w:val="20"/>
                <w:lang w:eastAsia="en-GB"/>
              </w:rPr>
            </w:pPr>
            <w:r w:rsidRPr="002A091D">
              <w:rPr>
                <w:sz w:val="20"/>
                <w:szCs w:val="20"/>
                <w:lang w:eastAsia="en-GB"/>
              </w:rPr>
              <w:t>0.049</w:t>
            </w:r>
          </w:p>
        </w:tc>
        <w:tc>
          <w:tcPr>
            <w:tcW w:w="1035" w:type="dxa"/>
            <w:shd w:val="clear" w:color="auto" w:fill="auto"/>
            <w:noWrap/>
            <w:vAlign w:val="bottom"/>
            <w:hideMark/>
          </w:tcPr>
          <w:p w14:paraId="75541ECF" w14:textId="77777777" w:rsidR="00C97C97" w:rsidRPr="002A091D" w:rsidRDefault="00C97C97" w:rsidP="00C97C97">
            <w:pPr>
              <w:jc w:val="both"/>
              <w:rPr>
                <w:sz w:val="20"/>
                <w:szCs w:val="20"/>
                <w:lang w:eastAsia="en-GB"/>
              </w:rPr>
            </w:pPr>
            <w:r w:rsidRPr="002A091D">
              <w:rPr>
                <w:sz w:val="20"/>
                <w:szCs w:val="20"/>
                <w:lang w:eastAsia="en-GB"/>
              </w:rPr>
              <w:t>-0.806</w:t>
            </w:r>
          </w:p>
        </w:tc>
        <w:tc>
          <w:tcPr>
            <w:tcW w:w="1035" w:type="dxa"/>
            <w:shd w:val="clear" w:color="auto" w:fill="auto"/>
            <w:noWrap/>
            <w:vAlign w:val="bottom"/>
            <w:hideMark/>
          </w:tcPr>
          <w:p w14:paraId="372ED0A7" w14:textId="77777777" w:rsidR="00C97C97" w:rsidRPr="002A091D" w:rsidRDefault="00C97C97" w:rsidP="00C97C97">
            <w:pPr>
              <w:jc w:val="both"/>
              <w:rPr>
                <w:sz w:val="20"/>
                <w:szCs w:val="20"/>
                <w:lang w:eastAsia="en-GB"/>
              </w:rPr>
            </w:pPr>
            <w:r w:rsidRPr="002A091D">
              <w:rPr>
                <w:sz w:val="20"/>
                <w:szCs w:val="20"/>
                <w:lang w:eastAsia="en-GB"/>
              </w:rPr>
              <w:t>-1.215</w:t>
            </w:r>
          </w:p>
        </w:tc>
        <w:tc>
          <w:tcPr>
            <w:tcW w:w="1158" w:type="dxa"/>
            <w:shd w:val="clear" w:color="auto" w:fill="auto"/>
            <w:noWrap/>
            <w:vAlign w:val="bottom"/>
            <w:hideMark/>
          </w:tcPr>
          <w:p w14:paraId="1A076E69" w14:textId="77777777" w:rsidR="00C97C97" w:rsidRPr="002A091D" w:rsidRDefault="00C97C97" w:rsidP="00C97C97">
            <w:pPr>
              <w:jc w:val="both"/>
              <w:rPr>
                <w:sz w:val="20"/>
                <w:szCs w:val="20"/>
                <w:lang w:eastAsia="en-GB"/>
              </w:rPr>
            </w:pPr>
            <w:r w:rsidRPr="002A091D">
              <w:rPr>
                <w:sz w:val="20"/>
                <w:szCs w:val="20"/>
                <w:lang w:eastAsia="en-GB"/>
              </w:rPr>
              <w:t>-0.691</w:t>
            </w:r>
          </w:p>
        </w:tc>
        <w:tc>
          <w:tcPr>
            <w:tcW w:w="1158" w:type="dxa"/>
            <w:shd w:val="clear" w:color="auto" w:fill="auto"/>
            <w:noWrap/>
            <w:vAlign w:val="bottom"/>
            <w:hideMark/>
          </w:tcPr>
          <w:p w14:paraId="2A238085" w14:textId="77777777" w:rsidR="00C97C97" w:rsidRPr="002A091D" w:rsidRDefault="00C97C97" w:rsidP="00C97C97">
            <w:pPr>
              <w:jc w:val="both"/>
              <w:rPr>
                <w:sz w:val="20"/>
                <w:szCs w:val="20"/>
                <w:lang w:eastAsia="en-GB"/>
              </w:rPr>
            </w:pPr>
            <w:r w:rsidRPr="002A091D">
              <w:rPr>
                <w:sz w:val="20"/>
                <w:szCs w:val="20"/>
                <w:lang w:eastAsia="en-GB"/>
              </w:rPr>
              <w:t>-0.908</w:t>
            </w:r>
          </w:p>
        </w:tc>
        <w:tc>
          <w:tcPr>
            <w:tcW w:w="1158" w:type="dxa"/>
            <w:shd w:val="clear" w:color="auto" w:fill="auto"/>
            <w:noWrap/>
            <w:vAlign w:val="bottom"/>
            <w:hideMark/>
          </w:tcPr>
          <w:p w14:paraId="2F064802" w14:textId="77777777" w:rsidR="00C97C97" w:rsidRPr="002A091D" w:rsidRDefault="00C97C97" w:rsidP="00C97C97">
            <w:pPr>
              <w:jc w:val="both"/>
              <w:rPr>
                <w:sz w:val="20"/>
                <w:szCs w:val="20"/>
                <w:lang w:eastAsia="en-GB"/>
              </w:rPr>
            </w:pPr>
            <w:r w:rsidRPr="002A091D">
              <w:rPr>
                <w:sz w:val="20"/>
                <w:szCs w:val="20"/>
                <w:lang w:eastAsia="en-GB"/>
              </w:rPr>
              <w:t>0.069</w:t>
            </w:r>
          </w:p>
        </w:tc>
        <w:tc>
          <w:tcPr>
            <w:tcW w:w="1158" w:type="dxa"/>
            <w:shd w:val="clear" w:color="auto" w:fill="auto"/>
            <w:noWrap/>
            <w:vAlign w:val="bottom"/>
            <w:hideMark/>
          </w:tcPr>
          <w:p w14:paraId="1F053877" w14:textId="77777777" w:rsidR="00C97C97" w:rsidRPr="002A091D" w:rsidRDefault="00C97C97" w:rsidP="00C97C97">
            <w:pPr>
              <w:jc w:val="both"/>
              <w:rPr>
                <w:sz w:val="20"/>
                <w:szCs w:val="20"/>
                <w:lang w:eastAsia="en-GB"/>
              </w:rPr>
            </w:pPr>
            <w:r w:rsidRPr="002A091D">
              <w:rPr>
                <w:sz w:val="20"/>
                <w:szCs w:val="20"/>
                <w:lang w:eastAsia="en-GB"/>
              </w:rPr>
              <w:t>0.590</w:t>
            </w:r>
          </w:p>
        </w:tc>
        <w:tc>
          <w:tcPr>
            <w:tcW w:w="1172" w:type="dxa"/>
            <w:shd w:val="clear" w:color="auto" w:fill="auto"/>
            <w:noWrap/>
            <w:vAlign w:val="bottom"/>
            <w:hideMark/>
          </w:tcPr>
          <w:p w14:paraId="2653E880" w14:textId="77777777" w:rsidR="00C97C97" w:rsidRPr="002A091D" w:rsidRDefault="00C97C97" w:rsidP="00C97C97">
            <w:pPr>
              <w:jc w:val="both"/>
              <w:rPr>
                <w:sz w:val="20"/>
                <w:szCs w:val="20"/>
                <w:lang w:eastAsia="en-GB"/>
              </w:rPr>
            </w:pPr>
            <w:r w:rsidRPr="002A091D">
              <w:rPr>
                <w:sz w:val="20"/>
                <w:szCs w:val="20"/>
                <w:lang w:eastAsia="en-GB"/>
              </w:rPr>
              <w:t>10.192</w:t>
            </w:r>
          </w:p>
        </w:tc>
      </w:tr>
      <w:tr w:rsidR="00C97C97" w:rsidRPr="002A091D" w14:paraId="0A3359E8" w14:textId="77777777" w:rsidTr="00C97C97">
        <w:trPr>
          <w:trHeight w:val="522"/>
        </w:trPr>
        <w:tc>
          <w:tcPr>
            <w:tcW w:w="2262" w:type="dxa"/>
            <w:tcBorders>
              <w:bottom w:val="single" w:sz="4" w:space="0" w:color="auto"/>
            </w:tcBorders>
            <w:shd w:val="clear" w:color="auto" w:fill="auto"/>
            <w:noWrap/>
            <w:vAlign w:val="bottom"/>
            <w:hideMark/>
          </w:tcPr>
          <w:p w14:paraId="573BA09D" w14:textId="77777777" w:rsidR="00C97C97" w:rsidRPr="002A091D" w:rsidRDefault="00C97C97" w:rsidP="00C97C97">
            <w:pPr>
              <w:jc w:val="both"/>
              <w:rPr>
                <w:sz w:val="20"/>
                <w:szCs w:val="20"/>
                <w:lang w:eastAsia="en-GB"/>
              </w:rPr>
            </w:pPr>
            <w:r w:rsidRPr="002A091D">
              <w:rPr>
                <w:sz w:val="20"/>
                <w:szCs w:val="20"/>
                <w:lang w:eastAsia="en-GB"/>
              </w:rPr>
              <w:t>T_value</w:t>
            </w:r>
          </w:p>
        </w:tc>
        <w:tc>
          <w:tcPr>
            <w:tcW w:w="1158" w:type="dxa"/>
            <w:tcBorders>
              <w:bottom w:val="single" w:sz="4" w:space="0" w:color="auto"/>
            </w:tcBorders>
            <w:shd w:val="clear" w:color="auto" w:fill="auto"/>
            <w:noWrap/>
            <w:vAlign w:val="bottom"/>
            <w:hideMark/>
          </w:tcPr>
          <w:p w14:paraId="258D9C4D" w14:textId="77777777" w:rsidR="00C97C97" w:rsidRPr="002A091D" w:rsidRDefault="00C97C97" w:rsidP="00C97C97">
            <w:pPr>
              <w:jc w:val="both"/>
              <w:rPr>
                <w:sz w:val="20"/>
                <w:szCs w:val="20"/>
                <w:lang w:eastAsia="en-GB"/>
              </w:rPr>
            </w:pPr>
            <w:r w:rsidRPr="002A091D">
              <w:rPr>
                <w:sz w:val="20"/>
                <w:szCs w:val="20"/>
                <w:lang w:eastAsia="en-GB"/>
              </w:rPr>
              <w:t>1.172</w:t>
            </w:r>
          </w:p>
        </w:tc>
        <w:tc>
          <w:tcPr>
            <w:tcW w:w="1158" w:type="dxa"/>
            <w:tcBorders>
              <w:bottom w:val="single" w:sz="4" w:space="0" w:color="auto"/>
            </w:tcBorders>
            <w:shd w:val="clear" w:color="auto" w:fill="auto"/>
            <w:noWrap/>
            <w:vAlign w:val="bottom"/>
            <w:hideMark/>
          </w:tcPr>
          <w:p w14:paraId="44B1F3B7" w14:textId="77777777" w:rsidR="00C97C97" w:rsidRPr="002A091D" w:rsidRDefault="00C97C97" w:rsidP="00C97C97">
            <w:pPr>
              <w:jc w:val="both"/>
              <w:rPr>
                <w:sz w:val="20"/>
                <w:szCs w:val="20"/>
                <w:lang w:eastAsia="en-GB"/>
              </w:rPr>
            </w:pPr>
            <w:r w:rsidRPr="002A091D">
              <w:rPr>
                <w:sz w:val="20"/>
                <w:szCs w:val="20"/>
                <w:lang w:eastAsia="en-GB"/>
              </w:rPr>
              <w:t>0.198</w:t>
            </w:r>
          </w:p>
        </w:tc>
        <w:tc>
          <w:tcPr>
            <w:tcW w:w="1158" w:type="dxa"/>
            <w:tcBorders>
              <w:bottom w:val="single" w:sz="4" w:space="0" w:color="auto"/>
            </w:tcBorders>
            <w:shd w:val="clear" w:color="auto" w:fill="auto"/>
            <w:noWrap/>
            <w:vAlign w:val="bottom"/>
            <w:hideMark/>
          </w:tcPr>
          <w:p w14:paraId="79DF80BA" w14:textId="77777777" w:rsidR="00C97C97" w:rsidRPr="002A091D" w:rsidRDefault="00C97C97" w:rsidP="00C97C97">
            <w:pPr>
              <w:jc w:val="both"/>
              <w:rPr>
                <w:sz w:val="20"/>
                <w:szCs w:val="20"/>
                <w:lang w:eastAsia="en-GB"/>
              </w:rPr>
            </w:pPr>
            <w:r w:rsidRPr="002A091D">
              <w:rPr>
                <w:sz w:val="20"/>
                <w:szCs w:val="20"/>
                <w:lang w:eastAsia="en-GB"/>
              </w:rPr>
              <w:t>0.102</w:t>
            </w:r>
          </w:p>
        </w:tc>
        <w:tc>
          <w:tcPr>
            <w:tcW w:w="1158" w:type="dxa"/>
            <w:tcBorders>
              <w:bottom w:val="single" w:sz="4" w:space="0" w:color="auto"/>
            </w:tcBorders>
            <w:shd w:val="clear" w:color="auto" w:fill="auto"/>
            <w:noWrap/>
            <w:vAlign w:val="bottom"/>
            <w:hideMark/>
          </w:tcPr>
          <w:p w14:paraId="0E5A6A31" w14:textId="77777777" w:rsidR="00C97C97" w:rsidRPr="002A091D" w:rsidRDefault="00C97C97" w:rsidP="00C97C97">
            <w:pPr>
              <w:jc w:val="both"/>
              <w:rPr>
                <w:sz w:val="20"/>
                <w:szCs w:val="20"/>
                <w:lang w:eastAsia="en-GB"/>
              </w:rPr>
            </w:pPr>
            <w:r w:rsidRPr="002A091D">
              <w:rPr>
                <w:sz w:val="20"/>
                <w:szCs w:val="20"/>
                <w:lang w:eastAsia="en-GB"/>
              </w:rPr>
              <w:t>0.243</w:t>
            </w:r>
          </w:p>
        </w:tc>
        <w:tc>
          <w:tcPr>
            <w:tcW w:w="1158" w:type="dxa"/>
            <w:tcBorders>
              <w:bottom w:val="single" w:sz="4" w:space="0" w:color="auto"/>
            </w:tcBorders>
            <w:shd w:val="clear" w:color="auto" w:fill="auto"/>
            <w:noWrap/>
            <w:vAlign w:val="bottom"/>
            <w:hideMark/>
          </w:tcPr>
          <w:p w14:paraId="3DA88EC7" w14:textId="77777777" w:rsidR="00C97C97" w:rsidRPr="002A091D" w:rsidRDefault="00C97C97" w:rsidP="00C97C97">
            <w:pPr>
              <w:jc w:val="both"/>
              <w:rPr>
                <w:sz w:val="20"/>
                <w:szCs w:val="20"/>
                <w:lang w:eastAsia="en-GB"/>
              </w:rPr>
            </w:pPr>
            <w:r w:rsidRPr="002A091D">
              <w:rPr>
                <w:sz w:val="20"/>
                <w:szCs w:val="20"/>
                <w:lang w:eastAsia="en-GB"/>
              </w:rPr>
              <w:t>0.081</w:t>
            </w:r>
          </w:p>
        </w:tc>
        <w:tc>
          <w:tcPr>
            <w:tcW w:w="1035" w:type="dxa"/>
            <w:tcBorders>
              <w:bottom w:val="single" w:sz="4" w:space="0" w:color="auto"/>
            </w:tcBorders>
            <w:shd w:val="clear" w:color="auto" w:fill="auto"/>
            <w:noWrap/>
            <w:vAlign w:val="bottom"/>
            <w:hideMark/>
          </w:tcPr>
          <w:p w14:paraId="067A2BE2" w14:textId="77777777" w:rsidR="00C97C97" w:rsidRPr="002A091D" w:rsidRDefault="00C97C97" w:rsidP="00C97C97">
            <w:pPr>
              <w:jc w:val="both"/>
              <w:rPr>
                <w:sz w:val="20"/>
                <w:szCs w:val="20"/>
                <w:lang w:eastAsia="en-GB"/>
              </w:rPr>
            </w:pPr>
            <w:r w:rsidRPr="002A091D">
              <w:rPr>
                <w:sz w:val="20"/>
                <w:szCs w:val="20"/>
                <w:lang w:eastAsia="en-GB"/>
              </w:rPr>
              <w:t>-1.280</w:t>
            </w:r>
          </w:p>
        </w:tc>
        <w:tc>
          <w:tcPr>
            <w:tcW w:w="1035" w:type="dxa"/>
            <w:tcBorders>
              <w:bottom w:val="single" w:sz="4" w:space="0" w:color="auto"/>
            </w:tcBorders>
            <w:shd w:val="clear" w:color="auto" w:fill="auto"/>
            <w:noWrap/>
            <w:vAlign w:val="bottom"/>
            <w:hideMark/>
          </w:tcPr>
          <w:p w14:paraId="17F22A70" w14:textId="77777777" w:rsidR="00C97C97" w:rsidRPr="002A091D" w:rsidRDefault="00C97C97" w:rsidP="00C97C97">
            <w:pPr>
              <w:jc w:val="both"/>
              <w:rPr>
                <w:sz w:val="20"/>
                <w:szCs w:val="20"/>
                <w:lang w:eastAsia="en-GB"/>
              </w:rPr>
            </w:pPr>
            <w:r w:rsidRPr="002A091D">
              <w:rPr>
                <w:sz w:val="20"/>
                <w:szCs w:val="20"/>
                <w:lang w:eastAsia="en-GB"/>
              </w:rPr>
              <w:t>-1.688*</w:t>
            </w:r>
          </w:p>
        </w:tc>
        <w:tc>
          <w:tcPr>
            <w:tcW w:w="1158" w:type="dxa"/>
            <w:tcBorders>
              <w:bottom w:val="single" w:sz="4" w:space="0" w:color="auto"/>
            </w:tcBorders>
            <w:shd w:val="clear" w:color="auto" w:fill="auto"/>
            <w:noWrap/>
            <w:vAlign w:val="bottom"/>
            <w:hideMark/>
          </w:tcPr>
          <w:p w14:paraId="4052BA0B" w14:textId="77777777" w:rsidR="00C97C97" w:rsidRPr="002A091D" w:rsidRDefault="00C97C97" w:rsidP="00C97C97">
            <w:pPr>
              <w:jc w:val="both"/>
              <w:rPr>
                <w:sz w:val="20"/>
                <w:szCs w:val="20"/>
                <w:lang w:eastAsia="en-GB"/>
              </w:rPr>
            </w:pPr>
            <w:r w:rsidRPr="002A091D">
              <w:rPr>
                <w:sz w:val="20"/>
                <w:szCs w:val="20"/>
                <w:lang w:eastAsia="en-GB"/>
              </w:rPr>
              <w:t>-0.955</w:t>
            </w:r>
          </w:p>
        </w:tc>
        <w:tc>
          <w:tcPr>
            <w:tcW w:w="1158" w:type="dxa"/>
            <w:tcBorders>
              <w:bottom w:val="single" w:sz="4" w:space="0" w:color="auto"/>
            </w:tcBorders>
            <w:shd w:val="clear" w:color="auto" w:fill="auto"/>
            <w:noWrap/>
            <w:vAlign w:val="bottom"/>
            <w:hideMark/>
          </w:tcPr>
          <w:p w14:paraId="40B80A0B" w14:textId="77777777" w:rsidR="00C97C97" w:rsidRPr="002A091D" w:rsidRDefault="00C97C97" w:rsidP="00C97C97">
            <w:pPr>
              <w:jc w:val="both"/>
              <w:rPr>
                <w:sz w:val="20"/>
                <w:szCs w:val="20"/>
                <w:lang w:eastAsia="en-GB"/>
              </w:rPr>
            </w:pPr>
            <w:r w:rsidRPr="002A091D">
              <w:rPr>
                <w:sz w:val="20"/>
                <w:szCs w:val="20"/>
                <w:lang w:eastAsia="en-GB"/>
              </w:rPr>
              <w:t>-0.836</w:t>
            </w:r>
          </w:p>
        </w:tc>
        <w:tc>
          <w:tcPr>
            <w:tcW w:w="1158" w:type="dxa"/>
            <w:tcBorders>
              <w:bottom w:val="single" w:sz="4" w:space="0" w:color="auto"/>
            </w:tcBorders>
            <w:shd w:val="clear" w:color="auto" w:fill="auto"/>
            <w:noWrap/>
            <w:vAlign w:val="bottom"/>
            <w:hideMark/>
          </w:tcPr>
          <w:p w14:paraId="6F661DDD" w14:textId="77777777" w:rsidR="00C97C97" w:rsidRPr="002A091D" w:rsidRDefault="00C97C97" w:rsidP="00C97C97">
            <w:pPr>
              <w:jc w:val="both"/>
              <w:rPr>
                <w:sz w:val="20"/>
                <w:szCs w:val="20"/>
                <w:lang w:eastAsia="en-GB"/>
              </w:rPr>
            </w:pPr>
            <w:r w:rsidRPr="002A091D">
              <w:rPr>
                <w:sz w:val="20"/>
                <w:szCs w:val="20"/>
                <w:lang w:eastAsia="en-GB"/>
              </w:rPr>
              <w:t>-0.807</w:t>
            </w:r>
          </w:p>
        </w:tc>
        <w:tc>
          <w:tcPr>
            <w:tcW w:w="1158" w:type="dxa"/>
            <w:tcBorders>
              <w:bottom w:val="single" w:sz="4" w:space="0" w:color="auto"/>
            </w:tcBorders>
            <w:shd w:val="clear" w:color="auto" w:fill="auto"/>
            <w:noWrap/>
            <w:vAlign w:val="bottom"/>
            <w:hideMark/>
          </w:tcPr>
          <w:p w14:paraId="3B948745" w14:textId="77777777" w:rsidR="00C97C97" w:rsidRPr="002A091D" w:rsidRDefault="00C97C97" w:rsidP="00C97C97">
            <w:pPr>
              <w:jc w:val="both"/>
              <w:rPr>
                <w:sz w:val="20"/>
                <w:szCs w:val="20"/>
                <w:lang w:eastAsia="en-GB"/>
              </w:rPr>
            </w:pPr>
            <w:r w:rsidRPr="002A091D">
              <w:rPr>
                <w:sz w:val="20"/>
                <w:szCs w:val="20"/>
                <w:lang w:eastAsia="en-GB"/>
              </w:rPr>
              <w:t>1.980**</w:t>
            </w:r>
          </w:p>
        </w:tc>
        <w:tc>
          <w:tcPr>
            <w:tcW w:w="1172" w:type="dxa"/>
            <w:tcBorders>
              <w:bottom w:val="single" w:sz="4" w:space="0" w:color="auto"/>
            </w:tcBorders>
            <w:shd w:val="clear" w:color="auto" w:fill="auto"/>
            <w:noWrap/>
            <w:vAlign w:val="bottom"/>
            <w:hideMark/>
          </w:tcPr>
          <w:p w14:paraId="4C162FC4" w14:textId="77777777" w:rsidR="00C97C97" w:rsidRPr="002A091D" w:rsidRDefault="00C97C97" w:rsidP="00C97C97">
            <w:pPr>
              <w:jc w:val="both"/>
              <w:rPr>
                <w:sz w:val="20"/>
                <w:szCs w:val="20"/>
                <w:lang w:eastAsia="en-GB"/>
              </w:rPr>
            </w:pPr>
            <w:r w:rsidRPr="002A091D">
              <w:rPr>
                <w:sz w:val="20"/>
                <w:szCs w:val="20"/>
                <w:lang w:eastAsia="en-GB"/>
              </w:rPr>
              <w:t>0.423</w:t>
            </w:r>
          </w:p>
        </w:tc>
      </w:tr>
    </w:tbl>
    <w:p w14:paraId="6F0CDBBD" w14:textId="77777777" w:rsidR="00E41468" w:rsidRDefault="007B3240" w:rsidP="00740866">
      <w:pPr>
        <w:ind w:left="-993" w:right="-784"/>
        <w:jc w:val="both"/>
        <w:rPr>
          <w:sz w:val="20"/>
          <w:szCs w:val="20"/>
        </w:rPr>
        <w:sectPr w:rsidR="00E41468" w:rsidSect="009B0551">
          <w:pgSz w:w="16838" w:h="11906" w:orient="landscape"/>
          <w:pgMar w:top="1440" w:right="1440" w:bottom="1440" w:left="1440" w:header="708" w:footer="708" w:gutter="0"/>
          <w:cols w:space="708"/>
          <w:docGrid w:linePitch="360"/>
        </w:sectPr>
      </w:pPr>
      <w:r w:rsidRPr="002A091D">
        <w:rPr>
          <w:sz w:val="20"/>
          <w:szCs w:val="20"/>
          <w:lang w:eastAsia="en-GB"/>
        </w:rPr>
        <w:t xml:space="preserve">The alpha of the </w:t>
      </w:r>
      <w:r w:rsidR="00B27994" w:rsidRPr="002A091D">
        <w:rPr>
          <w:sz w:val="20"/>
          <w:szCs w:val="20"/>
          <w:lang w:eastAsia="en-GB"/>
        </w:rPr>
        <w:t>equal</w:t>
      </w:r>
      <w:r w:rsidRPr="002A091D">
        <w:rPr>
          <w:sz w:val="20"/>
          <w:szCs w:val="20"/>
          <w:lang w:eastAsia="en-GB"/>
        </w:rPr>
        <w:t xml:space="preserve">-weighted portfolios arranged on the basis of the return-to-turnover (RtoTR) price impact ratio. The table illustrates the abnormal performance of the 10 </w:t>
      </w:r>
      <w:r w:rsidR="00B27994" w:rsidRPr="002A091D">
        <w:rPr>
          <w:sz w:val="20"/>
          <w:szCs w:val="20"/>
          <w:lang w:eastAsia="en-GB"/>
        </w:rPr>
        <w:t>equal</w:t>
      </w:r>
      <w:r w:rsidRPr="002A091D">
        <w:rPr>
          <w:sz w:val="20"/>
          <w:szCs w:val="20"/>
          <w:lang w:eastAsia="en-GB"/>
        </w:rPr>
        <w:t xml:space="preserve">-weighted portfolios. Among the 10 portfolios, P1 comprises the stocks with the lowest RtoTR ratio and P10 contains those with the highest RtoTR price impact ratio. The spread between the portfolios is represented as (P1 – P10). The CAPM alpha is determined as the annualized alpha estimate resulting from the capital asset-pricing model (CAPM). In addition, the Fama–French alpha is calculated as the annualized alpha estimate resulting from the Fama–French three-factor model. Moreover, the final model is based on the Carhart four-factor model and the Carhart annualized alpha estimate is derived from the Carhart four-factor model. T-values are reported under each model alpha. Finally, the last column of the table represents the chi-square statistics obtained through the Wald test testing to the null hypothesis </w:t>
      </w:r>
      <m:oMath>
        <m:sSub>
          <m:sSubPr>
            <m:ctrlPr>
              <w:rPr>
                <w:rFonts w:ascii="Cambria Math" w:hAnsi="Cambria Math"/>
                <w:i/>
                <w:sz w:val="20"/>
                <w:szCs w:val="20"/>
                <w:lang w:eastAsia="en-GB"/>
              </w:rPr>
            </m:ctrlPr>
          </m:sSubPr>
          <m:e>
            <m:r>
              <w:rPr>
                <w:rFonts w:ascii="Cambria Math" w:hAnsi="Cambria Math"/>
                <w:sz w:val="20"/>
                <w:szCs w:val="20"/>
                <w:lang w:eastAsia="en-GB"/>
              </w:rPr>
              <m:t>H</m:t>
            </m:r>
          </m:e>
          <m:sub>
            <m:r>
              <w:rPr>
                <w:rFonts w:ascii="Cambria Math" w:hAnsi="Cambria Math"/>
                <w:sz w:val="20"/>
                <w:szCs w:val="20"/>
                <w:lang w:eastAsia="en-GB"/>
              </w:rPr>
              <m:t>0</m:t>
            </m:r>
          </m:sub>
        </m:sSub>
        <m:r>
          <w:rPr>
            <w:rFonts w:ascii="Cambria Math" w:hAnsi="Cambria Math"/>
            <w:sz w:val="20"/>
            <w:szCs w:val="20"/>
            <w:lang w:eastAsia="en-GB"/>
          </w:rPr>
          <m:t xml:space="preserve"> </m:t>
        </m:r>
      </m:oMath>
      <w:r w:rsidRPr="002A091D">
        <w:rPr>
          <w:sz w:val="20"/>
          <w:szCs w:val="20"/>
          <w:lang w:eastAsia="en-GB"/>
        </w:rPr>
        <w:t>= The alphas of the 10 portfolios are jointly equal to zero. p-values are reported below the statistic</w:t>
      </w:r>
      <w:r w:rsidR="00740866" w:rsidRPr="002A091D">
        <w:rPr>
          <w:sz w:val="20"/>
          <w:szCs w:val="20"/>
          <w:lang w:eastAsia="en-GB"/>
        </w:rPr>
        <w:t>s</w:t>
      </w:r>
      <w:r w:rsidRPr="002A091D">
        <w:rPr>
          <w:sz w:val="20"/>
          <w:szCs w:val="20"/>
          <w:lang w:eastAsia="en-GB"/>
        </w:rPr>
        <w:t>.</w:t>
      </w:r>
      <w:r w:rsidR="00740866" w:rsidRPr="002A091D">
        <w:rPr>
          <w:sz w:val="20"/>
          <w:szCs w:val="20"/>
          <w:lang w:eastAsia="en-GB"/>
        </w:rPr>
        <w:t xml:space="preserve"> </w:t>
      </w:r>
      <w:r w:rsidRPr="002A091D">
        <w:rPr>
          <w:sz w:val="20"/>
          <w:szCs w:val="20"/>
        </w:rPr>
        <w:t>*,**, and *** indicate significance</w:t>
      </w:r>
      <w:r w:rsidR="006D3CA6" w:rsidRPr="002A091D">
        <w:rPr>
          <w:sz w:val="20"/>
          <w:szCs w:val="20"/>
        </w:rPr>
        <w:t xml:space="preserve"> at 10%, 5% and 1% respectively</w:t>
      </w:r>
      <w:r w:rsidR="00C97C97" w:rsidRPr="002A091D">
        <w:rPr>
          <w:sz w:val="20"/>
          <w:szCs w:val="20"/>
        </w:rPr>
        <w:t>.</w:t>
      </w:r>
    </w:p>
    <w:p w14:paraId="5B56E648" w14:textId="77777777" w:rsidR="00C3707A" w:rsidRPr="00C3707A" w:rsidRDefault="00C3707A" w:rsidP="00C3707A">
      <w:pPr>
        <w:rPr>
          <w:lang w:val="en-GB" w:eastAsia="zh-CN"/>
        </w:rPr>
      </w:pPr>
    </w:p>
    <w:sectPr w:rsidR="00C3707A" w:rsidRPr="00C3707A" w:rsidSect="00C370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BD45" w14:textId="77777777" w:rsidR="00841E55" w:rsidRDefault="00841E55" w:rsidP="00EA002E">
      <w:r>
        <w:separator/>
      </w:r>
    </w:p>
  </w:endnote>
  <w:endnote w:type="continuationSeparator" w:id="0">
    <w:p w14:paraId="44F89C8F" w14:textId="77777777" w:rsidR="00841E55" w:rsidRDefault="00841E55" w:rsidP="00EA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0924423"/>
      <w:docPartObj>
        <w:docPartGallery w:val="Page Numbers (Bottom of Page)"/>
        <w:docPartUnique/>
      </w:docPartObj>
    </w:sdtPr>
    <w:sdtEndPr>
      <w:rPr>
        <w:noProof/>
      </w:rPr>
    </w:sdtEndPr>
    <w:sdtContent>
      <w:p w14:paraId="22370D30" w14:textId="2BF2F970" w:rsidR="00C96ACC" w:rsidRDefault="00252AE6">
        <w:pPr>
          <w:pStyle w:val="Footer"/>
          <w:jc w:val="right"/>
        </w:pPr>
        <w:r>
          <w:fldChar w:fldCharType="begin"/>
        </w:r>
        <w:r w:rsidR="00C96ACC">
          <w:instrText xml:space="preserve"> PAGE   \* MERGEFORMAT </w:instrText>
        </w:r>
        <w:r>
          <w:fldChar w:fldCharType="separate"/>
        </w:r>
        <w:r w:rsidR="002A091D">
          <w:rPr>
            <w:noProof/>
          </w:rPr>
          <w:t>35</w:t>
        </w:r>
        <w:r>
          <w:rPr>
            <w:noProof/>
          </w:rPr>
          <w:fldChar w:fldCharType="end"/>
        </w:r>
      </w:p>
    </w:sdtContent>
  </w:sdt>
  <w:p w14:paraId="3501B345" w14:textId="77777777" w:rsidR="00C96ACC" w:rsidRDefault="00C96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CC9DF" w14:textId="77777777" w:rsidR="00841E55" w:rsidRDefault="00841E55" w:rsidP="00EA002E">
      <w:r>
        <w:separator/>
      </w:r>
    </w:p>
  </w:footnote>
  <w:footnote w:type="continuationSeparator" w:id="0">
    <w:p w14:paraId="74A202F5" w14:textId="77777777" w:rsidR="00841E55" w:rsidRDefault="00841E55" w:rsidP="00EA002E">
      <w:r>
        <w:continuationSeparator/>
      </w:r>
    </w:p>
  </w:footnote>
  <w:footnote w:id="1">
    <w:p w14:paraId="6E676AF5" w14:textId="77777777" w:rsidR="00282F4A" w:rsidRPr="00282F4A" w:rsidRDefault="00282F4A">
      <w:pPr>
        <w:pStyle w:val="FootnoteText"/>
        <w:rPr>
          <w:lang w:val="en-GB"/>
        </w:rPr>
      </w:pPr>
      <w:r>
        <w:rPr>
          <w:rStyle w:val="FootnoteReference"/>
        </w:rPr>
        <w:footnoteRef/>
      </w:r>
      <w:r>
        <w:t xml:space="preserve"> Comprehensive review of the liquidity measures literature, see Le and Gregoriou (2020).</w:t>
      </w:r>
    </w:p>
  </w:footnote>
  <w:footnote w:id="2">
    <w:p w14:paraId="107F24E7" w14:textId="77777777" w:rsidR="00C96ACC" w:rsidRPr="002926A0" w:rsidRDefault="00C96ACC" w:rsidP="002926A0">
      <w:pPr>
        <w:pStyle w:val="FootnoteText"/>
        <w:jc w:val="both"/>
      </w:pPr>
      <w:r>
        <w:rPr>
          <w:rStyle w:val="FootnoteReference"/>
        </w:rPr>
        <w:footnoteRef/>
      </w:r>
      <w:r>
        <w:t xml:space="preserve"> In early 2000</w:t>
      </w:r>
      <w:r w:rsidRPr="00254943">
        <w:t xml:space="preserve">, the PSX </w:t>
      </w:r>
      <w:r>
        <w:t>was</w:t>
      </w:r>
      <w:r w:rsidRPr="00254943">
        <w:t xml:space="preserve"> </w:t>
      </w:r>
      <w:r>
        <w:t xml:space="preserve">announced to be </w:t>
      </w:r>
      <w:r w:rsidRPr="00254943">
        <w:t>one of the best-performing markets in the world,</w:t>
      </w:r>
      <w:r>
        <w:t xml:space="preserve"> as declared by the I</w:t>
      </w:r>
      <w:r w:rsidRPr="00254943">
        <w:t xml:space="preserve">nternational magazine </w:t>
      </w:r>
      <w:r>
        <w:t xml:space="preserve">called </w:t>
      </w:r>
      <w:r w:rsidRPr="002926A0">
        <w:t>Business Week, April 10, 2003.</w:t>
      </w:r>
      <w:r>
        <w:t xml:space="preserve"> Similarly, </w:t>
      </w:r>
      <w:r w:rsidRPr="002926A0">
        <w:t xml:space="preserve">USA Today </w:t>
      </w:r>
      <w:r>
        <w:t xml:space="preserve">newspaper </w:t>
      </w:r>
      <w:r w:rsidRPr="002926A0">
        <w:t>on Septem</w:t>
      </w:r>
      <w:r>
        <w:t>ber 19, 2002, declared PSX</w:t>
      </w:r>
      <w:r w:rsidRPr="002926A0">
        <w:t xml:space="preserve"> (formerly called Karachi stock exchange)</w:t>
      </w:r>
      <w:r>
        <w:t xml:space="preserve"> as</w:t>
      </w:r>
      <w:r w:rsidRPr="002926A0">
        <w:t xml:space="preserve"> </w:t>
      </w:r>
      <w:r w:rsidRPr="00254943">
        <w:t xml:space="preserve">one of the best performing </w:t>
      </w:r>
      <w:r>
        <w:t xml:space="preserve">stock markets </w:t>
      </w:r>
      <w:r w:rsidRPr="00254943">
        <w:t>in the world</w:t>
      </w:r>
      <w:r>
        <w:t>.</w:t>
      </w:r>
    </w:p>
  </w:footnote>
  <w:footnote w:id="3">
    <w:p w14:paraId="78B77AF8" w14:textId="77777777" w:rsidR="00C96ACC" w:rsidRPr="005607F2" w:rsidRDefault="00C96ACC" w:rsidP="005607F2">
      <w:pPr>
        <w:pStyle w:val="FootnoteText"/>
        <w:jc w:val="both"/>
        <w:rPr>
          <w:lang w:val="en-GB"/>
        </w:rPr>
      </w:pPr>
      <w:r>
        <w:rPr>
          <w:rStyle w:val="FootnoteReference"/>
        </w:rPr>
        <w:footnoteRef/>
      </w:r>
      <w:r>
        <w:t xml:space="preserve"> The r</w:t>
      </w:r>
      <w:r w:rsidRPr="00B05A39">
        <w:t>elationship between risk an</w:t>
      </w:r>
      <w:r>
        <w:t>d return calculated using loga</w:t>
      </w:r>
      <w:r w:rsidRPr="00B05A39">
        <w:t>rithmic returns will systematically differ from those calculated using simple returns. Indeed, when logarithmic returns are used, ceteris paribus, higher variance will automatically reduce expected returns as a matter of basic algebra (Hudson and Gregoriou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618B"/>
    <w:multiLevelType w:val="hybridMultilevel"/>
    <w:tmpl w:val="DDA826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5B377F"/>
    <w:multiLevelType w:val="multilevel"/>
    <w:tmpl w:val="45289F38"/>
    <w:lvl w:ilvl="0">
      <w:start w:val="1"/>
      <w:numFmt w:val="decimal"/>
      <w:pStyle w:val="Heading1"/>
      <w:lvlText w:val="%1"/>
      <w:lvlJc w:val="left"/>
      <w:pPr>
        <w:ind w:left="432" w:hanging="432"/>
      </w:pPr>
      <w:rPr>
        <w:rFonts w:asciiTheme="majorBidi" w:hAnsiTheme="majorBidi" w:cstheme="majorBidi"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US" w:vendorID="64" w:dllVersion="131078" w:nlCheck="1" w:checkStyle="0"/>
  <w:activeWritingStyle w:appName="MSWord" w:lang="en-GB" w:vendorID="64" w:dllVersion="131078" w:nlCheck="1" w:checkStyle="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3MLMwNDA0NzM2NLFQ0lEKTi0uzszPAykwqgUAXbtRVywAAAA="/>
  </w:docVars>
  <w:rsids>
    <w:rsidRoot w:val="006F27A2"/>
    <w:rsid w:val="00001E5E"/>
    <w:rsid w:val="000024FE"/>
    <w:rsid w:val="000036F0"/>
    <w:rsid w:val="00023FE5"/>
    <w:rsid w:val="0002455C"/>
    <w:rsid w:val="0003106B"/>
    <w:rsid w:val="00032F29"/>
    <w:rsid w:val="00035C81"/>
    <w:rsid w:val="00041263"/>
    <w:rsid w:val="00047D99"/>
    <w:rsid w:val="000531AE"/>
    <w:rsid w:val="0005706E"/>
    <w:rsid w:val="000639B2"/>
    <w:rsid w:val="00063BD7"/>
    <w:rsid w:val="000709E5"/>
    <w:rsid w:val="00073D81"/>
    <w:rsid w:val="000779C2"/>
    <w:rsid w:val="0008555E"/>
    <w:rsid w:val="00092FBC"/>
    <w:rsid w:val="00094AB1"/>
    <w:rsid w:val="000A4BFE"/>
    <w:rsid w:val="000A7AAC"/>
    <w:rsid w:val="000B73CE"/>
    <w:rsid w:val="000C00B0"/>
    <w:rsid w:val="000C26E5"/>
    <w:rsid w:val="000C5B6B"/>
    <w:rsid w:val="000C6692"/>
    <w:rsid w:val="000D561C"/>
    <w:rsid w:val="000D5F5B"/>
    <w:rsid w:val="000E3FC7"/>
    <w:rsid w:val="000E4129"/>
    <w:rsid w:val="000E56F4"/>
    <w:rsid w:val="000E5D3B"/>
    <w:rsid w:val="000F64DD"/>
    <w:rsid w:val="00102F9D"/>
    <w:rsid w:val="00106A92"/>
    <w:rsid w:val="00106F65"/>
    <w:rsid w:val="00113E58"/>
    <w:rsid w:val="001164DD"/>
    <w:rsid w:val="00117D75"/>
    <w:rsid w:val="001274D5"/>
    <w:rsid w:val="00133163"/>
    <w:rsid w:val="001408BE"/>
    <w:rsid w:val="0014172B"/>
    <w:rsid w:val="00145A3F"/>
    <w:rsid w:val="00155F17"/>
    <w:rsid w:val="001650E1"/>
    <w:rsid w:val="001667FE"/>
    <w:rsid w:val="00167DEF"/>
    <w:rsid w:val="001764C8"/>
    <w:rsid w:val="00181990"/>
    <w:rsid w:val="0018258D"/>
    <w:rsid w:val="00182C23"/>
    <w:rsid w:val="0018301B"/>
    <w:rsid w:val="001848A1"/>
    <w:rsid w:val="00191773"/>
    <w:rsid w:val="001B056E"/>
    <w:rsid w:val="001B5BE0"/>
    <w:rsid w:val="001B6954"/>
    <w:rsid w:val="001C00D8"/>
    <w:rsid w:val="001D3F5E"/>
    <w:rsid w:val="001D70A7"/>
    <w:rsid w:val="001E1F45"/>
    <w:rsid w:val="001E23AC"/>
    <w:rsid w:val="001E5973"/>
    <w:rsid w:val="001F1773"/>
    <w:rsid w:val="00200D9C"/>
    <w:rsid w:val="002075BE"/>
    <w:rsid w:val="002150AB"/>
    <w:rsid w:val="002222DE"/>
    <w:rsid w:val="002255A1"/>
    <w:rsid w:val="00227ADE"/>
    <w:rsid w:val="00231D40"/>
    <w:rsid w:val="0023423D"/>
    <w:rsid w:val="002363D5"/>
    <w:rsid w:val="002441E7"/>
    <w:rsid w:val="002471BA"/>
    <w:rsid w:val="00252AE6"/>
    <w:rsid w:val="0026684F"/>
    <w:rsid w:val="00267530"/>
    <w:rsid w:val="002767EC"/>
    <w:rsid w:val="00282F4A"/>
    <w:rsid w:val="002926A0"/>
    <w:rsid w:val="002961A1"/>
    <w:rsid w:val="002A091D"/>
    <w:rsid w:val="002A1FD1"/>
    <w:rsid w:val="002A31B3"/>
    <w:rsid w:val="002A35EC"/>
    <w:rsid w:val="002B27DC"/>
    <w:rsid w:val="002B3CAF"/>
    <w:rsid w:val="002B74D9"/>
    <w:rsid w:val="002C0A3B"/>
    <w:rsid w:val="002C2A26"/>
    <w:rsid w:val="002C3C2E"/>
    <w:rsid w:val="002D014F"/>
    <w:rsid w:val="002D3CED"/>
    <w:rsid w:val="002E3D69"/>
    <w:rsid w:val="002E5755"/>
    <w:rsid w:val="002E73E1"/>
    <w:rsid w:val="002F1BC7"/>
    <w:rsid w:val="002F53B4"/>
    <w:rsid w:val="002F63F8"/>
    <w:rsid w:val="00303D22"/>
    <w:rsid w:val="00303F7E"/>
    <w:rsid w:val="00307A49"/>
    <w:rsid w:val="00314DE8"/>
    <w:rsid w:val="00314EC9"/>
    <w:rsid w:val="0032020C"/>
    <w:rsid w:val="00324325"/>
    <w:rsid w:val="00327ED0"/>
    <w:rsid w:val="00332FE6"/>
    <w:rsid w:val="00335BA0"/>
    <w:rsid w:val="00345FBA"/>
    <w:rsid w:val="003510BF"/>
    <w:rsid w:val="00351499"/>
    <w:rsid w:val="00354217"/>
    <w:rsid w:val="00357E41"/>
    <w:rsid w:val="003666DA"/>
    <w:rsid w:val="003741DC"/>
    <w:rsid w:val="00380269"/>
    <w:rsid w:val="00386593"/>
    <w:rsid w:val="0039414D"/>
    <w:rsid w:val="003952F6"/>
    <w:rsid w:val="003A28A5"/>
    <w:rsid w:val="003A2B87"/>
    <w:rsid w:val="003A3F51"/>
    <w:rsid w:val="003A62B6"/>
    <w:rsid w:val="003A7A5D"/>
    <w:rsid w:val="003B0904"/>
    <w:rsid w:val="003B1364"/>
    <w:rsid w:val="003B3BCB"/>
    <w:rsid w:val="003B6B49"/>
    <w:rsid w:val="003C25CE"/>
    <w:rsid w:val="003C5DCC"/>
    <w:rsid w:val="003C7C2C"/>
    <w:rsid w:val="003D2E90"/>
    <w:rsid w:val="003E0B3A"/>
    <w:rsid w:val="003F26A7"/>
    <w:rsid w:val="003F2C04"/>
    <w:rsid w:val="003F45CC"/>
    <w:rsid w:val="003F4DEA"/>
    <w:rsid w:val="003F6664"/>
    <w:rsid w:val="003F754B"/>
    <w:rsid w:val="004013F8"/>
    <w:rsid w:val="00405C37"/>
    <w:rsid w:val="0040649C"/>
    <w:rsid w:val="00410C65"/>
    <w:rsid w:val="00412FCD"/>
    <w:rsid w:val="00417F7C"/>
    <w:rsid w:val="004222E7"/>
    <w:rsid w:val="0042500C"/>
    <w:rsid w:val="00435907"/>
    <w:rsid w:val="00440AAB"/>
    <w:rsid w:val="0044391A"/>
    <w:rsid w:val="00443B42"/>
    <w:rsid w:val="0044666C"/>
    <w:rsid w:val="00466618"/>
    <w:rsid w:val="00472056"/>
    <w:rsid w:val="00474F5C"/>
    <w:rsid w:val="00476047"/>
    <w:rsid w:val="00476214"/>
    <w:rsid w:val="00476298"/>
    <w:rsid w:val="00480220"/>
    <w:rsid w:val="00486FEE"/>
    <w:rsid w:val="004912A7"/>
    <w:rsid w:val="004A7B23"/>
    <w:rsid w:val="004A7B63"/>
    <w:rsid w:val="004B22C6"/>
    <w:rsid w:val="004B510C"/>
    <w:rsid w:val="004B7633"/>
    <w:rsid w:val="004C1F01"/>
    <w:rsid w:val="004C26CC"/>
    <w:rsid w:val="004C6BFD"/>
    <w:rsid w:val="004D3A74"/>
    <w:rsid w:val="004E134B"/>
    <w:rsid w:val="004E14BD"/>
    <w:rsid w:val="004E5F5F"/>
    <w:rsid w:val="004F226D"/>
    <w:rsid w:val="00506F49"/>
    <w:rsid w:val="00507968"/>
    <w:rsid w:val="00510D46"/>
    <w:rsid w:val="0051302F"/>
    <w:rsid w:val="00514BC4"/>
    <w:rsid w:val="00530EE1"/>
    <w:rsid w:val="005335FA"/>
    <w:rsid w:val="00540694"/>
    <w:rsid w:val="005421DD"/>
    <w:rsid w:val="00546ADC"/>
    <w:rsid w:val="00556E7B"/>
    <w:rsid w:val="005607F2"/>
    <w:rsid w:val="00560930"/>
    <w:rsid w:val="005622F2"/>
    <w:rsid w:val="00566D47"/>
    <w:rsid w:val="005811EC"/>
    <w:rsid w:val="005865DA"/>
    <w:rsid w:val="00586CCE"/>
    <w:rsid w:val="00595DF7"/>
    <w:rsid w:val="0059692C"/>
    <w:rsid w:val="00596D4C"/>
    <w:rsid w:val="00597120"/>
    <w:rsid w:val="005A3D2D"/>
    <w:rsid w:val="005A6FCD"/>
    <w:rsid w:val="005B1D5E"/>
    <w:rsid w:val="005D4A35"/>
    <w:rsid w:val="005F0A71"/>
    <w:rsid w:val="005F11AA"/>
    <w:rsid w:val="005F2514"/>
    <w:rsid w:val="005F6EC8"/>
    <w:rsid w:val="006031B7"/>
    <w:rsid w:val="006112EA"/>
    <w:rsid w:val="006165FF"/>
    <w:rsid w:val="0061D80C"/>
    <w:rsid w:val="0062310A"/>
    <w:rsid w:val="006240C2"/>
    <w:rsid w:val="00630554"/>
    <w:rsid w:val="00632FC8"/>
    <w:rsid w:val="00644341"/>
    <w:rsid w:val="0064529B"/>
    <w:rsid w:val="006458DB"/>
    <w:rsid w:val="0065625F"/>
    <w:rsid w:val="00660396"/>
    <w:rsid w:val="00662A85"/>
    <w:rsid w:val="00662D2E"/>
    <w:rsid w:val="00675094"/>
    <w:rsid w:val="00686781"/>
    <w:rsid w:val="00687DF5"/>
    <w:rsid w:val="0069635D"/>
    <w:rsid w:val="006B3F8A"/>
    <w:rsid w:val="006B6A76"/>
    <w:rsid w:val="006C38A0"/>
    <w:rsid w:val="006C549D"/>
    <w:rsid w:val="006D0003"/>
    <w:rsid w:val="006D3CA6"/>
    <w:rsid w:val="006D4871"/>
    <w:rsid w:val="006D606A"/>
    <w:rsid w:val="006D62EE"/>
    <w:rsid w:val="006D6FE3"/>
    <w:rsid w:val="006D7069"/>
    <w:rsid w:val="006E0F1A"/>
    <w:rsid w:val="006F1C78"/>
    <w:rsid w:val="006F27A2"/>
    <w:rsid w:val="006F3913"/>
    <w:rsid w:val="006F562E"/>
    <w:rsid w:val="006F6534"/>
    <w:rsid w:val="006F7A7C"/>
    <w:rsid w:val="0070210D"/>
    <w:rsid w:val="00704A55"/>
    <w:rsid w:val="00713C99"/>
    <w:rsid w:val="007152EB"/>
    <w:rsid w:val="00716C0A"/>
    <w:rsid w:val="00721BBE"/>
    <w:rsid w:val="007301E6"/>
    <w:rsid w:val="007306B6"/>
    <w:rsid w:val="00735AE7"/>
    <w:rsid w:val="00740866"/>
    <w:rsid w:val="0074346D"/>
    <w:rsid w:val="00743E59"/>
    <w:rsid w:val="00745344"/>
    <w:rsid w:val="00747F65"/>
    <w:rsid w:val="00750363"/>
    <w:rsid w:val="0075400B"/>
    <w:rsid w:val="007556BD"/>
    <w:rsid w:val="00761DE8"/>
    <w:rsid w:val="00761DFF"/>
    <w:rsid w:val="007643F3"/>
    <w:rsid w:val="00767DFE"/>
    <w:rsid w:val="00772EA7"/>
    <w:rsid w:val="00776D9C"/>
    <w:rsid w:val="00782746"/>
    <w:rsid w:val="00793046"/>
    <w:rsid w:val="007A1337"/>
    <w:rsid w:val="007A58E3"/>
    <w:rsid w:val="007A7FAC"/>
    <w:rsid w:val="007B234C"/>
    <w:rsid w:val="007B3240"/>
    <w:rsid w:val="007C00DD"/>
    <w:rsid w:val="007C5339"/>
    <w:rsid w:val="007D67FF"/>
    <w:rsid w:val="007E26BA"/>
    <w:rsid w:val="007E2AFD"/>
    <w:rsid w:val="007E463F"/>
    <w:rsid w:val="007E57EB"/>
    <w:rsid w:val="007F7ED6"/>
    <w:rsid w:val="0080345B"/>
    <w:rsid w:val="00804E1A"/>
    <w:rsid w:val="00805AF2"/>
    <w:rsid w:val="008079BD"/>
    <w:rsid w:val="00814114"/>
    <w:rsid w:val="00814353"/>
    <w:rsid w:val="00814ABB"/>
    <w:rsid w:val="008202AF"/>
    <w:rsid w:val="00830AFC"/>
    <w:rsid w:val="008329F6"/>
    <w:rsid w:val="00834F6A"/>
    <w:rsid w:val="0084131F"/>
    <w:rsid w:val="00841556"/>
    <w:rsid w:val="00841E55"/>
    <w:rsid w:val="008436EC"/>
    <w:rsid w:val="008525B5"/>
    <w:rsid w:val="00853B49"/>
    <w:rsid w:val="00861863"/>
    <w:rsid w:val="00873189"/>
    <w:rsid w:val="0087501A"/>
    <w:rsid w:val="00875606"/>
    <w:rsid w:val="00876778"/>
    <w:rsid w:val="008A151C"/>
    <w:rsid w:val="008A1D1F"/>
    <w:rsid w:val="008A356D"/>
    <w:rsid w:val="008A45AF"/>
    <w:rsid w:val="008B1A71"/>
    <w:rsid w:val="008B3A1B"/>
    <w:rsid w:val="008C2583"/>
    <w:rsid w:val="008D4B4B"/>
    <w:rsid w:val="008D5828"/>
    <w:rsid w:val="008D6843"/>
    <w:rsid w:val="008D68F7"/>
    <w:rsid w:val="008E0CFC"/>
    <w:rsid w:val="008E2FDE"/>
    <w:rsid w:val="008F01C6"/>
    <w:rsid w:val="008F6FA7"/>
    <w:rsid w:val="008F796C"/>
    <w:rsid w:val="008F7A67"/>
    <w:rsid w:val="009008D8"/>
    <w:rsid w:val="00900A9F"/>
    <w:rsid w:val="00901097"/>
    <w:rsid w:val="00903470"/>
    <w:rsid w:val="00905E5C"/>
    <w:rsid w:val="00912849"/>
    <w:rsid w:val="00912A14"/>
    <w:rsid w:val="009259B1"/>
    <w:rsid w:val="0092654F"/>
    <w:rsid w:val="0093118B"/>
    <w:rsid w:val="0093141B"/>
    <w:rsid w:val="00931A82"/>
    <w:rsid w:val="0093608E"/>
    <w:rsid w:val="0094284C"/>
    <w:rsid w:val="00942F34"/>
    <w:rsid w:val="00946C62"/>
    <w:rsid w:val="009472E5"/>
    <w:rsid w:val="009510B2"/>
    <w:rsid w:val="00955962"/>
    <w:rsid w:val="009618B3"/>
    <w:rsid w:val="00963FD2"/>
    <w:rsid w:val="009679A1"/>
    <w:rsid w:val="00973653"/>
    <w:rsid w:val="00974747"/>
    <w:rsid w:val="0099408D"/>
    <w:rsid w:val="009A1BF6"/>
    <w:rsid w:val="009A26C8"/>
    <w:rsid w:val="009A2788"/>
    <w:rsid w:val="009A7320"/>
    <w:rsid w:val="009B0551"/>
    <w:rsid w:val="009B2A9E"/>
    <w:rsid w:val="009B63F8"/>
    <w:rsid w:val="009C1342"/>
    <w:rsid w:val="009C3640"/>
    <w:rsid w:val="009C3ECB"/>
    <w:rsid w:val="009C644B"/>
    <w:rsid w:val="009C68C9"/>
    <w:rsid w:val="009E09CC"/>
    <w:rsid w:val="009E11E3"/>
    <w:rsid w:val="009E2A8C"/>
    <w:rsid w:val="009E467F"/>
    <w:rsid w:val="009E6597"/>
    <w:rsid w:val="009E79CC"/>
    <w:rsid w:val="009F2065"/>
    <w:rsid w:val="009F4D0B"/>
    <w:rsid w:val="009F6B80"/>
    <w:rsid w:val="009F6DE8"/>
    <w:rsid w:val="00A01681"/>
    <w:rsid w:val="00A069F8"/>
    <w:rsid w:val="00A074B1"/>
    <w:rsid w:val="00A07749"/>
    <w:rsid w:val="00A16CC7"/>
    <w:rsid w:val="00A25EAC"/>
    <w:rsid w:val="00A27B21"/>
    <w:rsid w:val="00A27CA4"/>
    <w:rsid w:val="00A30B67"/>
    <w:rsid w:val="00A348EC"/>
    <w:rsid w:val="00A34C7F"/>
    <w:rsid w:val="00A46304"/>
    <w:rsid w:val="00A50966"/>
    <w:rsid w:val="00A60B9D"/>
    <w:rsid w:val="00A67B96"/>
    <w:rsid w:val="00A7211A"/>
    <w:rsid w:val="00A73370"/>
    <w:rsid w:val="00A75B98"/>
    <w:rsid w:val="00A777B3"/>
    <w:rsid w:val="00A80F10"/>
    <w:rsid w:val="00A87747"/>
    <w:rsid w:val="00A9064D"/>
    <w:rsid w:val="00A930B2"/>
    <w:rsid w:val="00A93A11"/>
    <w:rsid w:val="00AA04A5"/>
    <w:rsid w:val="00AA4162"/>
    <w:rsid w:val="00AC48C0"/>
    <w:rsid w:val="00AD13BD"/>
    <w:rsid w:val="00AE09A3"/>
    <w:rsid w:val="00AE1380"/>
    <w:rsid w:val="00AE1BEC"/>
    <w:rsid w:val="00AE27C1"/>
    <w:rsid w:val="00AE5983"/>
    <w:rsid w:val="00AF05A7"/>
    <w:rsid w:val="00AF143D"/>
    <w:rsid w:val="00AF4B39"/>
    <w:rsid w:val="00AF6115"/>
    <w:rsid w:val="00AF61B0"/>
    <w:rsid w:val="00AF70EA"/>
    <w:rsid w:val="00B04525"/>
    <w:rsid w:val="00B04BF5"/>
    <w:rsid w:val="00B115E2"/>
    <w:rsid w:val="00B12A96"/>
    <w:rsid w:val="00B14BC6"/>
    <w:rsid w:val="00B14CB4"/>
    <w:rsid w:val="00B2370C"/>
    <w:rsid w:val="00B27994"/>
    <w:rsid w:val="00B41688"/>
    <w:rsid w:val="00B42AD0"/>
    <w:rsid w:val="00B445B9"/>
    <w:rsid w:val="00B45BE0"/>
    <w:rsid w:val="00B46864"/>
    <w:rsid w:val="00B475AB"/>
    <w:rsid w:val="00B51C1D"/>
    <w:rsid w:val="00B62BFB"/>
    <w:rsid w:val="00B63797"/>
    <w:rsid w:val="00B71D67"/>
    <w:rsid w:val="00B7541D"/>
    <w:rsid w:val="00B80E2E"/>
    <w:rsid w:val="00B82613"/>
    <w:rsid w:val="00B82B20"/>
    <w:rsid w:val="00B9424C"/>
    <w:rsid w:val="00B947C6"/>
    <w:rsid w:val="00B96834"/>
    <w:rsid w:val="00BA1B66"/>
    <w:rsid w:val="00BA3591"/>
    <w:rsid w:val="00BA5BBB"/>
    <w:rsid w:val="00BA6285"/>
    <w:rsid w:val="00BB1612"/>
    <w:rsid w:val="00BB29D2"/>
    <w:rsid w:val="00BC53E8"/>
    <w:rsid w:val="00BC5DA5"/>
    <w:rsid w:val="00BC74C9"/>
    <w:rsid w:val="00BD233B"/>
    <w:rsid w:val="00BD3A86"/>
    <w:rsid w:val="00BD4536"/>
    <w:rsid w:val="00BD7399"/>
    <w:rsid w:val="00BE175E"/>
    <w:rsid w:val="00BE638B"/>
    <w:rsid w:val="00BF42CB"/>
    <w:rsid w:val="00BF4557"/>
    <w:rsid w:val="00BF6D4D"/>
    <w:rsid w:val="00C045BD"/>
    <w:rsid w:val="00C1051D"/>
    <w:rsid w:val="00C167F8"/>
    <w:rsid w:val="00C17148"/>
    <w:rsid w:val="00C17E95"/>
    <w:rsid w:val="00C33E32"/>
    <w:rsid w:val="00C3707A"/>
    <w:rsid w:val="00C425F7"/>
    <w:rsid w:val="00C44A1E"/>
    <w:rsid w:val="00C45C9D"/>
    <w:rsid w:val="00C52C57"/>
    <w:rsid w:val="00C54B79"/>
    <w:rsid w:val="00C55A11"/>
    <w:rsid w:val="00C55B3B"/>
    <w:rsid w:val="00C57194"/>
    <w:rsid w:val="00C640E5"/>
    <w:rsid w:val="00C6752E"/>
    <w:rsid w:val="00C72B87"/>
    <w:rsid w:val="00C77D44"/>
    <w:rsid w:val="00C82EE5"/>
    <w:rsid w:val="00C875A2"/>
    <w:rsid w:val="00C93AF8"/>
    <w:rsid w:val="00C945F6"/>
    <w:rsid w:val="00C94F9E"/>
    <w:rsid w:val="00C96ACC"/>
    <w:rsid w:val="00C96DCE"/>
    <w:rsid w:val="00C97C97"/>
    <w:rsid w:val="00CA2BCB"/>
    <w:rsid w:val="00CA3B92"/>
    <w:rsid w:val="00CB0690"/>
    <w:rsid w:val="00CB3C40"/>
    <w:rsid w:val="00CB440A"/>
    <w:rsid w:val="00CB46B7"/>
    <w:rsid w:val="00CB521B"/>
    <w:rsid w:val="00CB5A0F"/>
    <w:rsid w:val="00CC03E6"/>
    <w:rsid w:val="00CC3AEA"/>
    <w:rsid w:val="00CC3E85"/>
    <w:rsid w:val="00CC5BA5"/>
    <w:rsid w:val="00CD349D"/>
    <w:rsid w:val="00CD3EB3"/>
    <w:rsid w:val="00CD4E06"/>
    <w:rsid w:val="00CD5C1F"/>
    <w:rsid w:val="00CD62B1"/>
    <w:rsid w:val="00CE01BC"/>
    <w:rsid w:val="00CE7094"/>
    <w:rsid w:val="00CF59EF"/>
    <w:rsid w:val="00CF6D3C"/>
    <w:rsid w:val="00D01F15"/>
    <w:rsid w:val="00D03526"/>
    <w:rsid w:val="00D07524"/>
    <w:rsid w:val="00D10B26"/>
    <w:rsid w:val="00D10D24"/>
    <w:rsid w:val="00D10F17"/>
    <w:rsid w:val="00D13D7C"/>
    <w:rsid w:val="00D16D0D"/>
    <w:rsid w:val="00D31254"/>
    <w:rsid w:val="00D31A1F"/>
    <w:rsid w:val="00D35C1A"/>
    <w:rsid w:val="00D4033F"/>
    <w:rsid w:val="00D403DA"/>
    <w:rsid w:val="00D40A88"/>
    <w:rsid w:val="00D43E2A"/>
    <w:rsid w:val="00D53240"/>
    <w:rsid w:val="00D55D81"/>
    <w:rsid w:val="00D60532"/>
    <w:rsid w:val="00D64BE4"/>
    <w:rsid w:val="00D6532B"/>
    <w:rsid w:val="00D65CC7"/>
    <w:rsid w:val="00D66D05"/>
    <w:rsid w:val="00D70D84"/>
    <w:rsid w:val="00D718AD"/>
    <w:rsid w:val="00D87EDD"/>
    <w:rsid w:val="00D93064"/>
    <w:rsid w:val="00D93C80"/>
    <w:rsid w:val="00DA04AB"/>
    <w:rsid w:val="00DA2424"/>
    <w:rsid w:val="00DB3326"/>
    <w:rsid w:val="00DB78E3"/>
    <w:rsid w:val="00DC2608"/>
    <w:rsid w:val="00DC31AB"/>
    <w:rsid w:val="00DC5E89"/>
    <w:rsid w:val="00DD1260"/>
    <w:rsid w:val="00DD4033"/>
    <w:rsid w:val="00DD7149"/>
    <w:rsid w:val="00DE55F3"/>
    <w:rsid w:val="00DE5848"/>
    <w:rsid w:val="00DE6260"/>
    <w:rsid w:val="00DF2D74"/>
    <w:rsid w:val="00DF42C2"/>
    <w:rsid w:val="00DF48D2"/>
    <w:rsid w:val="00DF6E89"/>
    <w:rsid w:val="00DF7A6B"/>
    <w:rsid w:val="00DF7B46"/>
    <w:rsid w:val="00E00329"/>
    <w:rsid w:val="00E03D7C"/>
    <w:rsid w:val="00E0640A"/>
    <w:rsid w:val="00E0710B"/>
    <w:rsid w:val="00E13303"/>
    <w:rsid w:val="00E1401D"/>
    <w:rsid w:val="00E16670"/>
    <w:rsid w:val="00E1752E"/>
    <w:rsid w:val="00E25DDD"/>
    <w:rsid w:val="00E31066"/>
    <w:rsid w:val="00E32303"/>
    <w:rsid w:val="00E339E3"/>
    <w:rsid w:val="00E34867"/>
    <w:rsid w:val="00E41468"/>
    <w:rsid w:val="00E43D21"/>
    <w:rsid w:val="00E52440"/>
    <w:rsid w:val="00E544DB"/>
    <w:rsid w:val="00E578EC"/>
    <w:rsid w:val="00E60FAC"/>
    <w:rsid w:val="00E638F3"/>
    <w:rsid w:val="00E754E4"/>
    <w:rsid w:val="00E81FF9"/>
    <w:rsid w:val="00E8204F"/>
    <w:rsid w:val="00E83DA5"/>
    <w:rsid w:val="00E92E55"/>
    <w:rsid w:val="00EA002E"/>
    <w:rsid w:val="00EA1B52"/>
    <w:rsid w:val="00EB29F2"/>
    <w:rsid w:val="00EC1915"/>
    <w:rsid w:val="00EC1C7F"/>
    <w:rsid w:val="00ED0A33"/>
    <w:rsid w:val="00ED5884"/>
    <w:rsid w:val="00EF2359"/>
    <w:rsid w:val="00EF48BB"/>
    <w:rsid w:val="00EF646F"/>
    <w:rsid w:val="00EF6B1D"/>
    <w:rsid w:val="00EF76DD"/>
    <w:rsid w:val="00F05DB0"/>
    <w:rsid w:val="00F110E7"/>
    <w:rsid w:val="00F16121"/>
    <w:rsid w:val="00F167C5"/>
    <w:rsid w:val="00F20F4D"/>
    <w:rsid w:val="00F21580"/>
    <w:rsid w:val="00F22DA6"/>
    <w:rsid w:val="00F439F8"/>
    <w:rsid w:val="00F5165D"/>
    <w:rsid w:val="00F5342C"/>
    <w:rsid w:val="00F6150E"/>
    <w:rsid w:val="00F66A00"/>
    <w:rsid w:val="00F674DB"/>
    <w:rsid w:val="00F7110C"/>
    <w:rsid w:val="00F77BE4"/>
    <w:rsid w:val="00F82474"/>
    <w:rsid w:val="00F832F9"/>
    <w:rsid w:val="00F84421"/>
    <w:rsid w:val="00F85EBD"/>
    <w:rsid w:val="00FA113C"/>
    <w:rsid w:val="00FA6867"/>
    <w:rsid w:val="00FB25C3"/>
    <w:rsid w:val="00FB3784"/>
    <w:rsid w:val="00FC3102"/>
    <w:rsid w:val="00FD6C26"/>
    <w:rsid w:val="00FE2087"/>
    <w:rsid w:val="00FF0141"/>
    <w:rsid w:val="00FF273C"/>
    <w:rsid w:val="00FF2D99"/>
    <w:rsid w:val="00FF5373"/>
    <w:rsid w:val="00FF6E77"/>
    <w:rsid w:val="016673C5"/>
    <w:rsid w:val="01BAB3CE"/>
    <w:rsid w:val="03954CDF"/>
    <w:rsid w:val="04356A08"/>
    <w:rsid w:val="08EDA547"/>
    <w:rsid w:val="0C82A83E"/>
    <w:rsid w:val="0FFDF32A"/>
    <w:rsid w:val="10864D4E"/>
    <w:rsid w:val="11D2222B"/>
    <w:rsid w:val="1A6352C3"/>
    <w:rsid w:val="1C2BDA45"/>
    <w:rsid w:val="1F349D0D"/>
    <w:rsid w:val="21C8C564"/>
    <w:rsid w:val="23C04C32"/>
    <w:rsid w:val="24BA5191"/>
    <w:rsid w:val="28E13F69"/>
    <w:rsid w:val="297B30A3"/>
    <w:rsid w:val="2A4F4D01"/>
    <w:rsid w:val="2B627284"/>
    <w:rsid w:val="2BC06DB4"/>
    <w:rsid w:val="2C469779"/>
    <w:rsid w:val="30143414"/>
    <w:rsid w:val="31FEF66C"/>
    <w:rsid w:val="328FEF68"/>
    <w:rsid w:val="35789122"/>
    <w:rsid w:val="358A12DA"/>
    <w:rsid w:val="37D72DC9"/>
    <w:rsid w:val="38AC33BA"/>
    <w:rsid w:val="39B5B5A6"/>
    <w:rsid w:val="3AF00F5E"/>
    <w:rsid w:val="3CF6C819"/>
    <w:rsid w:val="3D00591B"/>
    <w:rsid w:val="3DA60122"/>
    <w:rsid w:val="3E5E89B8"/>
    <w:rsid w:val="3F0FC7AF"/>
    <w:rsid w:val="40FF2F6F"/>
    <w:rsid w:val="41BA2986"/>
    <w:rsid w:val="43FA7DDC"/>
    <w:rsid w:val="457B0617"/>
    <w:rsid w:val="45FF24D7"/>
    <w:rsid w:val="45FFC786"/>
    <w:rsid w:val="4743435C"/>
    <w:rsid w:val="4B61893F"/>
    <w:rsid w:val="4DB11E2A"/>
    <w:rsid w:val="4E339B16"/>
    <w:rsid w:val="4F2CC4A4"/>
    <w:rsid w:val="4F740116"/>
    <w:rsid w:val="5103B750"/>
    <w:rsid w:val="5130492A"/>
    <w:rsid w:val="51781AF9"/>
    <w:rsid w:val="52D4585A"/>
    <w:rsid w:val="53AA01ED"/>
    <w:rsid w:val="53EA3E06"/>
    <w:rsid w:val="54C7561A"/>
    <w:rsid w:val="556DBC7D"/>
    <w:rsid w:val="55E2781B"/>
    <w:rsid w:val="58A6A489"/>
    <w:rsid w:val="5B132B93"/>
    <w:rsid w:val="5B6DD581"/>
    <w:rsid w:val="5C6F7CDB"/>
    <w:rsid w:val="5D60C96E"/>
    <w:rsid w:val="5DC6765F"/>
    <w:rsid w:val="5EF1BC56"/>
    <w:rsid w:val="5F12A6B2"/>
    <w:rsid w:val="624F7FF0"/>
    <w:rsid w:val="63D093AC"/>
    <w:rsid w:val="66AC91AF"/>
    <w:rsid w:val="6827D1C9"/>
    <w:rsid w:val="69461C5B"/>
    <w:rsid w:val="6B4890C4"/>
    <w:rsid w:val="6B7CEB74"/>
    <w:rsid w:val="6EE3B351"/>
    <w:rsid w:val="6F239EB8"/>
    <w:rsid w:val="718DDCC9"/>
    <w:rsid w:val="72225498"/>
    <w:rsid w:val="7553E9FE"/>
    <w:rsid w:val="76EE2AF2"/>
    <w:rsid w:val="770F39E5"/>
    <w:rsid w:val="7725D622"/>
    <w:rsid w:val="7A39F6CB"/>
    <w:rsid w:val="7B05151D"/>
    <w:rsid w:val="7C886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99C88"/>
  <w15:docId w15:val="{89B3B5CF-9046-4C03-AE50-F7EB36A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1DD"/>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C640E5"/>
    <w:pPr>
      <w:keepNext/>
      <w:keepLines/>
      <w:numPr>
        <w:numId w:val="1"/>
      </w:numPr>
      <w:spacing w:before="240" w:after="120" w:line="259" w:lineRule="auto"/>
      <w:outlineLvl w:val="0"/>
    </w:pPr>
    <w:rPr>
      <w:rFonts w:asciiTheme="majorBidi" w:eastAsiaTheme="majorEastAsia" w:hAnsiTheme="majorBidi" w:cstheme="majorBidi"/>
      <w:b/>
      <w:bCs/>
      <w:color w:val="000000" w:themeColor="text1"/>
      <w:sz w:val="28"/>
      <w:szCs w:val="28"/>
      <w:lang w:val="en-GB" w:eastAsia="zh-CN"/>
    </w:rPr>
  </w:style>
  <w:style w:type="paragraph" w:styleId="Heading2">
    <w:name w:val="heading 2"/>
    <w:basedOn w:val="Normal"/>
    <w:next w:val="Normal"/>
    <w:link w:val="Heading2Char"/>
    <w:uiPriority w:val="9"/>
    <w:unhideWhenUsed/>
    <w:qFormat/>
    <w:rsid w:val="00C640E5"/>
    <w:pPr>
      <w:keepNext/>
      <w:keepLines/>
      <w:numPr>
        <w:ilvl w:val="1"/>
        <w:numId w:val="1"/>
      </w:numPr>
      <w:spacing w:before="40" w:after="120" w:line="259" w:lineRule="auto"/>
      <w:outlineLvl w:val="1"/>
    </w:pPr>
    <w:rPr>
      <w:rFonts w:asciiTheme="majorBidi" w:eastAsiaTheme="majorEastAsia" w:hAnsiTheme="majorBidi" w:cstheme="majorBidi"/>
      <w:b/>
      <w:bCs/>
      <w:color w:val="000000" w:themeColor="text1"/>
      <w:lang w:val="en-GB" w:eastAsia="zh-CN"/>
    </w:rPr>
  </w:style>
  <w:style w:type="paragraph" w:styleId="Heading3">
    <w:name w:val="heading 3"/>
    <w:basedOn w:val="Normal"/>
    <w:link w:val="Heading3Char"/>
    <w:uiPriority w:val="9"/>
    <w:qFormat/>
    <w:rsid w:val="00C640E5"/>
    <w:pPr>
      <w:numPr>
        <w:ilvl w:val="2"/>
        <w:numId w:val="1"/>
      </w:numPr>
      <w:spacing w:before="100" w:beforeAutospacing="1" w:after="100" w:afterAutospacing="1"/>
      <w:outlineLvl w:val="2"/>
    </w:pPr>
    <w:rPr>
      <w:b/>
      <w:bCs/>
      <w:sz w:val="27"/>
      <w:szCs w:val="27"/>
      <w:lang w:val="en-GB" w:eastAsia="zh-CN"/>
    </w:rPr>
  </w:style>
  <w:style w:type="paragraph" w:styleId="Heading4">
    <w:name w:val="heading 4"/>
    <w:basedOn w:val="Normal"/>
    <w:next w:val="Normal"/>
    <w:link w:val="Heading4Char"/>
    <w:uiPriority w:val="9"/>
    <w:unhideWhenUsed/>
    <w:qFormat/>
    <w:rsid w:val="00C640E5"/>
    <w:pPr>
      <w:keepNext/>
      <w:keepLines/>
      <w:numPr>
        <w:ilvl w:val="3"/>
        <w:numId w:val="1"/>
      </w:numPr>
      <w:spacing w:before="40" w:line="259" w:lineRule="auto"/>
      <w:outlineLvl w:val="3"/>
    </w:pPr>
    <w:rPr>
      <w:rFonts w:eastAsiaTheme="majorEastAsia"/>
      <w:b/>
      <w:iCs/>
      <w:lang w:val="en-GB" w:eastAsia="zh-CN"/>
    </w:rPr>
  </w:style>
  <w:style w:type="paragraph" w:styleId="Heading5">
    <w:name w:val="heading 5"/>
    <w:basedOn w:val="Normal"/>
    <w:next w:val="Normal"/>
    <w:link w:val="Heading5Char"/>
    <w:uiPriority w:val="9"/>
    <w:unhideWhenUsed/>
    <w:qFormat/>
    <w:rsid w:val="00C640E5"/>
    <w:pPr>
      <w:keepNext/>
      <w:keepLines/>
      <w:numPr>
        <w:ilvl w:val="4"/>
        <w:numId w:val="1"/>
      </w:numPr>
      <w:spacing w:before="40" w:line="259" w:lineRule="auto"/>
      <w:outlineLvl w:val="4"/>
    </w:pPr>
    <w:rPr>
      <w:rFonts w:eastAsiaTheme="majorEastAsia"/>
      <w:b/>
      <w:sz w:val="22"/>
      <w:szCs w:val="22"/>
      <w:lang w:val="en-GB" w:eastAsia="zh-CN"/>
    </w:rPr>
  </w:style>
  <w:style w:type="paragraph" w:styleId="Heading6">
    <w:name w:val="heading 6"/>
    <w:basedOn w:val="Normal"/>
    <w:next w:val="Normal"/>
    <w:link w:val="Heading6Char"/>
    <w:uiPriority w:val="9"/>
    <w:unhideWhenUsed/>
    <w:qFormat/>
    <w:rsid w:val="00C640E5"/>
    <w:pPr>
      <w:keepNext/>
      <w:keepLines/>
      <w:numPr>
        <w:ilvl w:val="5"/>
        <w:numId w:val="1"/>
      </w:numPr>
      <w:spacing w:before="40" w:line="259" w:lineRule="auto"/>
      <w:outlineLvl w:val="5"/>
    </w:pPr>
    <w:rPr>
      <w:rFonts w:asciiTheme="majorHAnsi" w:eastAsiaTheme="majorEastAsia" w:hAnsiTheme="majorHAnsi" w:cstheme="majorBidi"/>
      <w:color w:val="1F4D78" w:themeColor="accent1" w:themeShade="7F"/>
      <w:sz w:val="22"/>
      <w:szCs w:val="22"/>
      <w:lang w:val="en-GB" w:eastAsia="zh-CN"/>
    </w:rPr>
  </w:style>
  <w:style w:type="paragraph" w:styleId="Heading7">
    <w:name w:val="heading 7"/>
    <w:basedOn w:val="Normal"/>
    <w:next w:val="Normal"/>
    <w:link w:val="Heading7Char"/>
    <w:uiPriority w:val="9"/>
    <w:semiHidden/>
    <w:unhideWhenUsed/>
    <w:qFormat/>
    <w:rsid w:val="00C640E5"/>
    <w:pPr>
      <w:keepNext/>
      <w:keepLines/>
      <w:numPr>
        <w:ilvl w:val="6"/>
        <w:numId w:val="1"/>
      </w:numPr>
      <w:spacing w:before="40" w:line="259" w:lineRule="auto"/>
      <w:outlineLvl w:val="6"/>
    </w:pPr>
    <w:rPr>
      <w:rFonts w:asciiTheme="majorHAnsi" w:eastAsiaTheme="majorEastAsia" w:hAnsiTheme="majorHAnsi" w:cstheme="majorBidi"/>
      <w:i/>
      <w:iCs/>
      <w:color w:val="1F4D78" w:themeColor="accent1" w:themeShade="7F"/>
      <w:sz w:val="22"/>
      <w:szCs w:val="22"/>
      <w:lang w:val="en-GB" w:eastAsia="zh-CN"/>
    </w:rPr>
  </w:style>
  <w:style w:type="paragraph" w:styleId="Heading8">
    <w:name w:val="heading 8"/>
    <w:basedOn w:val="Normal"/>
    <w:next w:val="Normal"/>
    <w:link w:val="Heading8Char"/>
    <w:uiPriority w:val="9"/>
    <w:semiHidden/>
    <w:unhideWhenUsed/>
    <w:qFormat/>
    <w:rsid w:val="00C640E5"/>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val="en-GB" w:eastAsia="zh-CN"/>
    </w:rPr>
  </w:style>
  <w:style w:type="paragraph" w:styleId="Heading9">
    <w:name w:val="heading 9"/>
    <w:basedOn w:val="Normal"/>
    <w:next w:val="Normal"/>
    <w:link w:val="Heading9Char"/>
    <w:uiPriority w:val="9"/>
    <w:semiHidden/>
    <w:unhideWhenUsed/>
    <w:qFormat/>
    <w:rsid w:val="00C640E5"/>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40E5"/>
    <w:rPr>
      <w:rFonts w:asciiTheme="majorBidi" w:eastAsiaTheme="majorEastAsia" w:hAnsiTheme="majorBidi" w:cstheme="majorBidi"/>
      <w:b/>
      <w:bCs/>
      <w:color w:val="000000" w:themeColor="text1"/>
      <w:sz w:val="28"/>
      <w:szCs w:val="28"/>
    </w:rPr>
  </w:style>
  <w:style w:type="character" w:customStyle="1" w:styleId="Heading2Char">
    <w:name w:val="Heading 2 Char"/>
    <w:basedOn w:val="DefaultParagraphFont"/>
    <w:link w:val="Heading2"/>
    <w:uiPriority w:val="9"/>
    <w:rsid w:val="00C640E5"/>
    <w:rPr>
      <w:rFonts w:asciiTheme="majorBidi" w:eastAsiaTheme="majorEastAsia" w:hAnsiTheme="majorBidi" w:cstheme="majorBidi"/>
      <w:b/>
      <w:bCs/>
      <w:color w:val="000000" w:themeColor="text1"/>
      <w:sz w:val="24"/>
      <w:szCs w:val="24"/>
    </w:rPr>
  </w:style>
  <w:style w:type="character" w:customStyle="1" w:styleId="Heading3Char">
    <w:name w:val="Heading 3 Char"/>
    <w:basedOn w:val="DefaultParagraphFont"/>
    <w:link w:val="Heading3"/>
    <w:uiPriority w:val="9"/>
    <w:rsid w:val="00C640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40E5"/>
    <w:rPr>
      <w:rFonts w:ascii="Times New Roman" w:eastAsiaTheme="majorEastAsia" w:hAnsi="Times New Roman" w:cs="Times New Roman"/>
      <w:b/>
      <w:iCs/>
      <w:sz w:val="24"/>
      <w:szCs w:val="24"/>
    </w:rPr>
  </w:style>
  <w:style w:type="character" w:customStyle="1" w:styleId="Heading5Char">
    <w:name w:val="Heading 5 Char"/>
    <w:basedOn w:val="DefaultParagraphFont"/>
    <w:link w:val="Heading5"/>
    <w:uiPriority w:val="9"/>
    <w:rsid w:val="00C640E5"/>
    <w:rPr>
      <w:rFonts w:ascii="Times New Roman" w:eastAsiaTheme="majorEastAsia" w:hAnsi="Times New Roman" w:cs="Times New Roman"/>
      <w:b/>
    </w:rPr>
  </w:style>
  <w:style w:type="character" w:customStyle="1" w:styleId="Heading6Char">
    <w:name w:val="Heading 6 Char"/>
    <w:basedOn w:val="DefaultParagraphFont"/>
    <w:link w:val="Heading6"/>
    <w:uiPriority w:val="9"/>
    <w:rsid w:val="00C640E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C640E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C640E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40E5"/>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C640E5"/>
    <w:pPr>
      <w:spacing w:after="200"/>
    </w:pPr>
    <w:rPr>
      <w:rFonts w:asciiTheme="minorHAnsi" w:eastAsiaTheme="minorEastAsia" w:hAnsiTheme="minorHAnsi" w:cstheme="minorBidi"/>
      <w:i/>
      <w:iCs/>
      <w:color w:val="44546A" w:themeColor="text2"/>
      <w:sz w:val="18"/>
      <w:szCs w:val="18"/>
      <w:lang w:val="en-GB" w:eastAsia="zh-CN"/>
    </w:rPr>
  </w:style>
  <w:style w:type="paragraph" w:styleId="Header">
    <w:name w:val="header"/>
    <w:basedOn w:val="Normal"/>
    <w:link w:val="HeaderChar"/>
    <w:uiPriority w:val="99"/>
    <w:unhideWhenUsed/>
    <w:rsid w:val="00EA002E"/>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uiPriority w:val="99"/>
    <w:rsid w:val="00EA002E"/>
  </w:style>
  <w:style w:type="paragraph" w:styleId="Footer">
    <w:name w:val="footer"/>
    <w:basedOn w:val="Normal"/>
    <w:link w:val="FooterChar"/>
    <w:uiPriority w:val="99"/>
    <w:unhideWhenUsed/>
    <w:rsid w:val="00EA002E"/>
    <w:pPr>
      <w:tabs>
        <w:tab w:val="center" w:pos="4513"/>
        <w:tab w:val="right" w:pos="9026"/>
      </w:tabs>
    </w:pPr>
    <w:rPr>
      <w:rFonts w:asciiTheme="minorHAnsi" w:eastAsiaTheme="minorEastAsia" w:hAnsiTheme="minorHAnsi" w:cstheme="minorBidi"/>
      <w:sz w:val="22"/>
      <w:szCs w:val="22"/>
      <w:lang w:val="en-GB" w:eastAsia="zh-CN"/>
    </w:rPr>
  </w:style>
  <w:style w:type="character" w:customStyle="1" w:styleId="FooterChar">
    <w:name w:val="Footer Char"/>
    <w:basedOn w:val="DefaultParagraphFont"/>
    <w:link w:val="Footer"/>
    <w:uiPriority w:val="99"/>
    <w:rsid w:val="00EA002E"/>
  </w:style>
  <w:style w:type="character" w:styleId="Emphasis">
    <w:name w:val="Emphasis"/>
    <w:basedOn w:val="DefaultParagraphFont"/>
    <w:uiPriority w:val="20"/>
    <w:qFormat/>
    <w:rsid w:val="00F20F4D"/>
    <w:rPr>
      <w:i/>
      <w:iCs/>
    </w:rPr>
  </w:style>
  <w:style w:type="character" w:styleId="Hyperlink">
    <w:name w:val="Hyperlink"/>
    <w:basedOn w:val="DefaultParagraphFont"/>
    <w:uiPriority w:val="99"/>
    <w:semiHidden/>
    <w:unhideWhenUsed/>
    <w:rsid w:val="00F20F4D"/>
    <w:rPr>
      <w:color w:val="0000FF"/>
      <w:u w:val="single"/>
    </w:rPr>
  </w:style>
  <w:style w:type="paragraph" w:styleId="BalloonText">
    <w:name w:val="Balloon Text"/>
    <w:basedOn w:val="Normal"/>
    <w:link w:val="BalloonTextChar"/>
    <w:uiPriority w:val="99"/>
    <w:semiHidden/>
    <w:unhideWhenUsed/>
    <w:rsid w:val="00094AB1"/>
    <w:rPr>
      <w:rFonts w:ascii="Tahoma" w:eastAsiaTheme="minorEastAsia" w:hAnsi="Tahoma" w:cs="Tahoma"/>
      <w:sz w:val="16"/>
      <w:szCs w:val="16"/>
      <w:lang w:val="en-GB" w:eastAsia="zh-CN"/>
    </w:rPr>
  </w:style>
  <w:style w:type="character" w:customStyle="1" w:styleId="BalloonTextChar">
    <w:name w:val="Balloon Text Char"/>
    <w:basedOn w:val="DefaultParagraphFont"/>
    <w:link w:val="BalloonText"/>
    <w:uiPriority w:val="99"/>
    <w:semiHidden/>
    <w:rsid w:val="00094AB1"/>
    <w:rPr>
      <w:rFonts w:ascii="Tahoma" w:hAnsi="Tahoma" w:cs="Tahoma"/>
      <w:sz w:val="16"/>
      <w:szCs w:val="16"/>
    </w:rPr>
  </w:style>
  <w:style w:type="character" w:styleId="CommentReference">
    <w:name w:val="annotation reference"/>
    <w:basedOn w:val="DefaultParagraphFont"/>
    <w:uiPriority w:val="99"/>
    <w:semiHidden/>
    <w:unhideWhenUsed/>
    <w:rsid w:val="00873189"/>
    <w:rPr>
      <w:sz w:val="16"/>
      <w:szCs w:val="16"/>
    </w:rPr>
  </w:style>
  <w:style w:type="paragraph" w:styleId="CommentText">
    <w:name w:val="annotation text"/>
    <w:basedOn w:val="Normal"/>
    <w:link w:val="CommentTextChar"/>
    <w:uiPriority w:val="99"/>
    <w:unhideWhenUsed/>
    <w:rsid w:val="00873189"/>
    <w:pPr>
      <w:spacing w:after="160"/>
    </w:pPr>
    <w:rPr>
      <w:rFonts w:asciiTheme="minorHAnsi" w:eastAsiaTheme="minorEastAsia" w:hAnsiTheme="minorHAnsi" w:cstheme="minorBidi"/>
      <w:sz w:val="20"/>
      <w:szCs w:val="20"/>
      <w:lang w:val="en-GB" w:eastAsia="zh-CN"/>
    </w:rPr>
  </w:style>
  <w:style w:type="character" w:customStyle="1" w:styleId="CommentTextChar">
    <w:name w:val="Comment Text Char"/>
    <w:basedOn w:val="DefaultParagraphFont"/>
    <w:link w:val="CommentText"/>
    <w:uiPriority w:val="99"/>
    <w:rsid w:val="00873189"/>
    <w:rPr>
      <w:sz w:val="20"/>
      <w:szCs w:val="20"/>
    </w:rPr>
  </w:style>
  <w:style w:type="paragraph" w:styleId="CommentSubject">
    <w:name w:val="annotation subject"/>
    <w:basedOn w:val="CommentText"/>
    <w:next w:val="CommentText"/>
    <w:link w:val="CommentSubjectChar"/>
    <w:uiPriority w:val="99"/>
    <w:semiHidden/>
    <w:unhideWhenUsed/>
    <w:rsid w:val="00873189"/>
    <w:rPr>
      <w:b/>
      <w:bCs/>
    </w:rPr>
  </w:style>
  <w:style w:type="character" w:customStyle="1" w:styleId="CommentSubjectChar">
    <w:name w:val="Comment Subject Char"/>
    <w:basedOn w:val="CommentTextChar"/>
    <w:link w:val="CommentSubject"/>
    <w:uiPriority w:val="99"/>
    <w:semiHidden/>
    <w:rsid w:val="00873189"/>
    <w:rPr>
      <w:b/>
      <w:bCs/>
      <w:sz w:val="20"/>
      <w:szCs w:val="20"/>
    </w:rPr>
  </w:style>
  <w:style w:type="paragraph" w:styleId="NormalWeb">
    <w:name w:val="Normal (Web)"/>
    <w:basedOn w:val="Normal"/>
    <w:uiPriority w:val="99"/>
    <w:unhideWhenUsed/>
    <w:rsid w:val="00C17E95"/>
    <w:pPr>
      <w:spacing w:before="100" w:beforeAutospacing="1" w:after="100" w:afterAutospacing="1"/>
    </w:pPr>
    <w:rPr>
      <w:lang w:val="en-GB" w:eastAsia="zh-CN"/>
    </w:rPr>
  </w:style>
  <w:style w:type="paragraph" w:styleId="ListParagraph">
    <w:name w:val="List Paragraph"/>
    <w:basedOn w:val="Normal"/>
    <w:uiPriority w:val="34"/>
    <w:qFormat/>
    <w:rsid w:val="006F1C78"/>
    <w:pPr>
      <w:ind w:left="720"/>
      <w:contextualSpacing/>
    </w:pPr>
  </w:style>
  <w:style w:type="paragraph" w:styleId="FootnoteText">
    <w:name w:val="footnote text"/>
    <w:basedOn w:val="Normal"/>
    <w:link w:val="FootnoteTextChar"/>
    <w:uiPriority w:val="99"/>
    <w:unhideWhenUsed/>
    <w:rsid w:val="005607F2"/>
    <w:rPr>
      <w:sz w:val="20"/>
      <w:szCs w:val="20"/>
    </w:rPr>
  </w:style>
  <w:style w:type="character" w:customStyle="1" w:styleId="FootnoteTextChar">
    <w:name w:val="Footnote Text Char"/>
    <w:basedOn w:val="DefaultParagraphFont"/>
    <w:link w:val="FootnoteText"/>
    <w:uiPriority w:val="99"/>
    <w:rsid w:val="005607F2"/>
    <w:rPr>
      <w:rFonts w:ascii="Times New Roman" w:eastAsia="Times New Roman" w:hAnsi="Times New Roman" w:cs="Times New Roman"/>
      <w:sz w:val="20"/>
      <w:szCs w:val="20"/>
      <w:lang w:val="en-US" w:eastAsia="en-US"/>
    </w:rPr>
  </w:style>
  <w:style w:type="character" w:styleId="FootnoteReference">
    <w:name w:val="footnote reference"/>
    <w:basedOn w:val="DefaultParagraphFont"/>
    <w:uiPriority w:val="99"/>
    <w:semiHidden/>
    <w:unhideWhenUsed/>
    <w:rsid w:val="005607F2"/>
    <w:rPr>
      <w:vertAlign w:val="superscript"/>
    </w:rPr>
  </w:style>
  <w:style w:type="character" w:customStyle="1" w:styleId="font251">
    <w:name w:val="font251"/>
    <w:basedOn w:val="DefaultParagraphFont"/>
    <w:rsid w:val="005607F2"/>
    <w:rPr>
      <w:rFonts w:ascii="Calibri" w:hAnsi="Calibri" w:cs="Calibri" w:hint="default"/>
      <w:b w:val="0"/>
      <w:bCs w:val="0"/>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048">
      <w:bodyDiv w:val="1"/>
      <w:marLeft w:val="0"/>
      <w:marRight w:val="0"/>
      <w:marTop w:val="0"/>
      <w:marBottom w:val="0"/>
      <w:divBdr>
        <w:top w:val="none" w:sz="0" w:space="0" w:color="auto"/>
        <w:left w:val="none" w:sz="0" w:space="0" w:color="auto"/>
        <w:bottom w:val="none" w:sz="0" w:space="0" w:color="auto"/>
        <w:right w:val="none" w:sz="0" w:space="0" w:color="auto"/>
      </w:divBdr>
    </w:div>
    <w:div w:id="346031003">
      <w:bodyDiv w:val="1"/>
      <w:marLeft w:val="0"/>
      <w:marRight w:val="0"/>
      <w:marTop w:val="0"/>
      <w:marBottom w:val="0"/>
      <w:divBdr>
        <w:top w:val="none" w:sz="0" w:space="0" w:color="auto"/>
        <w:left w:val="none" w:sz="0" w:space="0" w:color="auto"/>
        <w:bottom w:val="none" w:sz="0" w:space="0" w:color="auto"/>
        <w:right w:val="none" w:sz="0" w:space="0" w:color="auto"/>
      </w:divBdr>
      <w:divsChild>
        <w:div w:id="880357643">
          <w:marLeft w:val="0"/>
          <w:marRight w:val="0"/>
          <w:marTop w:val="0"/>
          <w:marBottom w:val="0"/>
          <w:divBdr>
            <w:top w:val="none" w:sz="0" w:space="0" w:color="auto"/>
            <w:left w:val="none" w:sz="0" w:space="0" w:color="auto"/>
            <w:bottom w:val="none" w:sz="0" w:space="0" w:color="auto"/>
            <w:right w:val="none" w:sz="0" w:space="0" w:color="auto"/>
          </w:divBdr>
          <w:divsChild>
            <w:div w:id="36124534">
              <w:marLeft w:val="0"/>
              <w:marRight w:val="0"/>
              <w:marTop w:val="0"/>
              <w:marBottom w:val="0"/>
              <w:divBdr>
                <w:top w:val="none" w:sz="0" w:space="0" w:color="auto"/>
                <w:left w:val="none" w:sz="0" w:space="0" w:color="auto"/>
                <w:bottom w:val="none" w:sz="0" w:space="0" w:color="auto"/>
                <w:right w:val="none" w:sz="0" w:space="0" w:color="auto"/>
              </w:divBdr>
              <w:divsChild>
                <w:div w:id="14687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0689">
      <w:bodyDiv w:val="1"/>
      <w:marLeft w:val="0"/>
      <w:marRight w:val="0"/>
      <w:marTop w:val="0"/>
      <w:marBottom w:val="0"/>
      <w:divBdr>
        <w:top w:val="none" w:sz="0" w:space="0" w:color="auto"/>
        <w:left w:val="none" w:sz="0" w:space="0" w:color="auto"/>
        <w:bottom w:val="none" w:sz="0" w:space="0" w:color="auto"/>
        <w:right w:val="none" w:sz="0" w:space="0" w:color="auto"/>
      </w:divBdr>
    </w:div>
    <w:div w:id="826287856">
      <w:bodyDiv w:val="1"/>
      <w:marLeft w:val="0"/>
      <w:marRight w:val="0"/>
      <w:marTop w:val="0"/>
      <w:marBottom w:val="0"/>
      <w:divBdr>
        <w:top w:val="none" w:sz="0" w:space="0" w:color="auto"/>
        <w:left w:val="none" w:sz="0" w:space="0" w:color="auto"/>
        <w:bottom w:val="none" w:sz="0" w:space="0" w:color="auto"/>
        <w:right w:val="none" w:sz="0" w:space="0" w:color="auto"/>
      </w:divBdr>
      <w:divsChild>
        <w:div w:id="1214076542">
          <w:marLeft w:val="0"/>
          <w:marRight w:val="0"/>
          <w:marTop w:val="0"/>
          <w:marBottom w:val="0"/>
          <w:divBdr>
            <w:top w:val="none" w:sz="0" w:space="0" w:color="auto"/>
            <w:left w:val="none" w:sz="0" w:space="0" w:color="auto"/>
            <w:bottom w:val="none" w:sz="0" w:space="0" w:color="auto"/>
            <w:right w:val="none" w:sz="0" w:space="0" w:color="auto"/>
          </w:divBdr>
          <w:divsChild>
            <w:div w:id="1942180401">
              <w:marLeft w:val="0"/>
              <w:marRight w:val="0"/>
              <w:marTop w:val="0"/>
              <w:marBottom w:val="0"/>
              <w:divBdr>
                <w:top w:val="none" w:sz="0" w:space="0" w:color="auto"/>
                <w:left w:val="none" w:sz="0" w:space="0" w:color="auto"/>
                <w:bottom w:val="none" w:sz="0" w:space="0" w:color="auto"/>
                <w:right w:val="none" w:sz="0" w:space="0" w:color="auto"/>
              </w:divBdr>
              <w:divsChild>
                <w:div w:id="13131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53054">
      <w:bodyDiv w:val="1"/>
      <w:marLeft w:val="0"/>
      <w:marRight w:val="0"/>
      <w:marTop w:val="0"/>
      <w:marBottom w:val="0"/>
      <w:divBdr>
        <w:top w:val="none" w:sz="0" w:space="0" w:color="auto"/>
        <w:left w:val="none" w:sz="0" w:space="0" w:color="auto"/>
        <w:bottom w:val="none" w:sz="0" w:space="0" w:color="auto"/>
        <w:right w:val="none" w:sz="0" w:space="0" w:color="auto"/>
      </w:divBdr>
      <w:divsChild>
        <w:div w:id="285934554">
          <w:marLeft w:val="0"/>
          <w:marRight w:val="0"/>
          <w:marTop w:val="0"/>
          <w:marBottom w:val="0"/>
          <w:divBdr>
            <w:top w:val="none" w:sz="0" w:space="0" w:color="auto"/>
            <w:left w:val="none" w:sz="0" w:space="0" w:color="auto"/>
            <w:bottom w:val="none" w:sz="0" w:space="0" w:color="auto"/>
            <w:right w:val="none" w:sz="0" w:space="0" w:color="auto"/>
          </w:divBdr>
          <w:divsChild>
            <w:div w:id="846868320">
              <w:marLeft w:val="0"/>
              <w:marRight w:val="0"/>
              <w:marTop w:val="0"/>
              <w:marBottom w:val="0"/>
              <w:divBdr>
                <w:top w:val="none" w:sz="0" w:space="0" w:color="auto"/>
                <w:left w:val="none" w:sz="0" w:space="0" w:color="auto"/>
                <w:bottom w:val="none" w:sz="0" w:space="0" w:color="auto"/>
                <w:right w:val="none" w:sz="0" w:space="0" w:color="auto"/>
              </w:divBdr>
              <w:divsChild>
                <w:div w:id="7354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472355">
      <w:bodyDiv w:val="1"/>
      <w:marLeft w:val="0"/>
      <w:marRight w:val="0"/>
      <w:marTop w:val="0"/>
      <w:marBottom w:val="0"/>
      <w:divBdr>
        <w:top w:val="none" w:sz="0" w:space="0" w:color="auto"/>
        <w:left w:val="none" w:sz="0" w:space="0" w:color="auto"/>
        <w:bottom w:val="none" w:sz="0" w:space="0" w:color="auto"/>
        <w:right w:val="none" w:sz="0" w:space="0" w:color="auto"/>
      </w:divBdr>
    </w:div>
    <w:div w:id="1141311690">
      <w:bodyDiv w:val="1"/>
      <w:marLeft w:val="0"/>
      <w:marRight w:val="0"/>
      <w:marTop w:val="0"/>
      <w:marBottom w:val="0"/>
      <w:divBdr>
        <w:top w:val="none" w:sz="0" w:space="0" w:color="auto"/>
        <w:left w:val="none" w:sz="0" w:space="0" w:color="auto"/>
        <w:bottom w:val="none" w:sz="0" w:space="0" w:color="auto"/>
        <w:right w:val="none" w:sz="0" w:space="0" w:color="auto"/>
      </w:divBdr>
    </w:div>
    <w:div w:id="1284310047">
      <w:bodyDiv w:val="1"/>
      <w:marLeft w:val="0"/>
      <w:marRight w:val="0"/>
      <w:marTop w:val="0"/>
      <w:marBottom w:val="0"/>
      <w:divBdr>
        <w:top w:val="none" w:sz="0" w:space="0" w:color="auto"/>
        <w:left w:val="none" w:sz="0" w:space="0" w:color="auto"/>
        <w:bottom w:val="none" w:sz="0" w:space="0" w:color="auto"/>
        <w:right w:val="none" w:sz="0" w:space="0" w:color="auto"/>
      </w:divBdr>
    </w:div>
    <w:div w:id="1405226368">
      <w:bodyDiv w:val="1"/>
      <w:marLeft w:val="0"/>
      <w:marRight w:val="0"/>
      <w:marTop w:val="0"/>
      <w:marBottom w:val="0"/>
      <w:divBdr>
        <w:top w:val="none" w:sz="0" w:space="0" w:color="auto"/>
        <w:left w:val="none" w:sz="0" w:space="0" w:color="auto"/>
        <w:bottom w:val="none" w:sz="0" w:space="0" w:color="auto"/>
        <w:right w:val="none" w:sz="0" w:space="0" w:color="auto"/>
      </w:divBdr>
    </w:div>
    <w:div w:id="1415784174">
      <w:bodyDiv w:val="1"/>
      <w:marLeft w:val="0"/>
      <w:marRight w:val="0"/>
      <w:marTop w:val="0"/>
      <w:marBottom w:val="0"/>
      <w:divBdr>
        <w:top w:val="none" w:sz="0" w:space="0" w:color="auto"/>
        <w:left w:val="none" w:sz="0" w:space="0" w:color="auto"/>
        <w:bottom w:val="none" w:sz="0" w:space="0" w:color="auto"/>
        <w:right w:val="none" w:sz="0" w:space="0" w:color="auto"/>
      </w:divBdr>
    </w:div>
    <w:div w:id="1443181715">
      <w:bodyDiv w:val="1"/>
      <w:marLeft w:val="0"/>
      <w:marRight w:val="0"/>
      <w:marTop w:val="0"/>
      <w:marBottom w:val="0"/>
      <w:divBdr>
        <w:top w:val="none" w:sz="0" w:space="0" w:color="auto"/>
        <w:left w:val="none" w:sz="0" w:space="0" w:color="auto"/>
        <w:bottom w:val="none" w:sz="0" w:space="0" w:color="auto"/>
        <w:right w:val="none" w:sz="0" w:space="0" w:color="auto"/>
      </w:divBdr>
      <w:divsChild>
        <w:div w:id="492767805">
          <w:marLeft w:val="0"/>
          <w:marRight w:val="0"/>
          <w:marTop w:val="0"/>
          <w:marBottom w:val="0"/>
          <w:divBdr>
            <w:top w:val="none" w:sz="0" w:space="0" w:color="auto"/>
            <w:left w:val="none" w:sz="0" w:space="0" w:color="auto"/>
            <w:bottom w:val="none" w:sz="0" w:space="0" w:color="auto"/>
            <w:right w:val="none" w:sz="0" w:space="0" w:color="auto"/>
          </w:divBdr>
          <w:divsChild>
            <w:div w:id="610741775">
              <w:marLeft w:val="0"/>
              <w:marRight w:val="0"/>
              <w:marTop w:val="0"/>
              <w:marBottom w:val="0"/>
              <w:divBdr>
                <w:top w:val="none" w:sz="0" w:space="0" w:color="auto"/>
                <w:left w:val="none" w:sz="0" w:space="0" w:color="auto"/>
                <w:bottom w:val="none" w:sz="0" w:space="0" w:color="auto"/>
                <w:right w:val="none" w:sz="0" w:space="0" w:color="auto"/>
              </w:divBdr>
              <w:divsChild>
                <w:div w:id="8293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0938">
      <w:bodyDiv w:val="1"/>
      <w:marLeft w:val="0"/>
      <w:marRight w:val="0"/>
      <w:marTop w:val="0"/>
      <w:marBottom w:val="0"/>
      <w:divBdr>
        <w:top w:val="none" w:sz="0" w:space="0" w:color="auto"/>
        <w:left w:val="none" w:sz="0" w:space="0" w:color="auto"/>
        <w:bottom w:val="none" w:sz="0" w:space="0" w:color="auto"/>
        <w:right w:val="none" w:sz="0" w:space="0" w:color="auto"/>
      </w:divBdr>
    </w:div>
    <w:div w:id="1632323542">
      <w:bodyDiv w:val="1"/>
      <w:marLeft w:val="0"/>
      <w:marRight w:val="0"/>
      <w:marTop w:val="0"/>
      <w:marBottom w:val="0"/>
      <w:divBdr>
        <w:top w:val="none" w:sz="0" w:space="0" w:color="auto"/>
        <w:left w:val="none" w:sz="0" w:space="0" w:color="auto"/>
        <w:bottom w:val="none" w:sz="0" w:space="0" w:color="auto"/>
        <w:right w:val="none" w:sz="0" w:space="0" w:color="auto"/>
      </w:divBdr>
      <w:divsChild>
        <w:div w:id="1942297891">
          <w:marLeft w:val="0"/>
          <w:marRight w:val="0"/>
          <w:marTop w:val="0"/>
          <w:marBottom w:val="0"/>
          <w:divBdr>
            <w:top w:val="none" w:sz="0" w:space="0" w:color="auto"/>
            <w:left w:val="none" w:sz="0" w:space="0" w:color="auto"/>
            <w:bottom w:val="none" w:sz="0" w:space="0" w:color="auto"/>
            <w:right w:val="none" w:sz="0" w:space="0" w:color="auto"/>
          </w:divBdr>
          <w:divsChild>
            <w:div w:id="847675167">
              <w:marLeft w:val="0"/>
              <w:marRight w:val="0"/>
              <w:marTop w:val="0"/>
              <w:marBottom w:val="0"/>
              <w:divBdr>
                <w:top w:val="none" w:sz="0" w:space="0" w:color="auto"/>
                <w:left w:val="none" w:sz="0" w:space="0" w:color="auto"/>
                <w:bottom w:val="none" w:sz="0" w:space="0" w:color="auto"/>
                <w:right w:val="none" w:sz="0" w:space="0" w:color="auto"/>
              </w:divBdr>
              <w:divsChild>
                <w:div w:id="620260421">
                  <w:marLeft w:val="0"/>
                  <w:marRight w:val="0"/>
                  <w:marTop w:val="0"/>
                  <w:marBottom w:val="0"/>
                  <w:divBdr>
                    <w:top w:val="none" w:sz="0" w:space="0" w:color="auto"/>
                    <w:left w:val="none" w:sz="0" w:space="0" w:color="auto"/>
                    <w:bottom w:val="none" w:sz="0" w:space="0" w:color="auto"/>
                    <w:right w:val="none" w:sz="0" w:space="0" w:color="auto"/>
                  </w:divBdr>
                </w:div>
                <w:div w:id="12296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3488">
      <w:bodyDiv w:val="1"/>
      <w:marLeft w:val="0"/>
      <w:marRight w:val="0"/>
      <w:marTop w:val="0"/>
      <w:marBottom w:val="0"/>
      <w:divBdr>
        <w:top w:val="none" w:sz="0" w:space="0" w:color="auto"/>
        <w:left w:val="none" w:sz="0" w:space="0" w:color="auto"/>
        <w:bottom w:val="none" w:sz="0" w:space="0" w:color="auto"/>
        <w:right w:val="none" w:sz="0" w:space="0" w:color="auto"/>
      </w:divBdr>
    </w:div>
    <w:div w:id="1804495211">
      <w:bodyDiv w:val="1"/>
      <w:marLeft w:val="0"/>
      <w:marRight w:val="0"/>
      <w:marTop w:val="0"/>
      <w:marBottom w:val="0"/>
      <w:divBdr>
        <w:top w:val="none" w:sz="0" w:space="0" w:color="auto"/>
        <w:left w:val="none" w:sz="0" w:space="0" w:color="auto"/>
        <w:bottom w:val="none" w:sz="0" w:space="0" w:color="auto"/>
        <w:right w:val="none" w:sz="0" w:space="0" w:color="auto"/>
      </w:divBdr>
    </w:div>
    <w:div w:id="1862696399">
      <w:bodyDiv w:val="1"/>
      <w:marLeft w:val="0"/>
      <w:marRight w:val="0"/>
      <w:marTop w:val="0"/>
      <w:marBottom w:val="0"/>
      <w:divBdr>
        <w:top w:val="none" w:sz="0" w:space="0" w:color="auto"/>
        <w:left w:val="none" w:sz="0" w:space="0" w:color="auto"/>
        <w:bottom w:val="none" w:sz="0" w:space="0" w:color="auto"/>
        <w:right w:val="none" w:sz="0" w:space="0" w:color="auto"/>
      </w:divBdr>
    </w:div>
    <w:div w:id="1868256648">
      <w:bodyDiv w:val="1"/>
      <w:marLeft w:val="0"/>
      <w:marRight w:val="0"/>
      <w:marTop w:val="0"/>
      <w:marBottom w:val="0"/>
      <w:divBdr>
        <w:top w:val="none" w:sz="0" w:space="0" w:color="auto"/>
        <w:left w:val="none" w:sz="0" w:space="0" w:color="auto"/>
        <w:bottom w:val="none" w:sz="0" w:space="0" w:color="auto"/>
        <w:right w:val="none" w:sz="0" w:space="0" w:color="auto"/>
      </w:divBdr>
      <w:divsChild>
        <w:div w:id="1571035414">
          <w:marLeft w:val="0"/>
          <w:marRight w:val="0"/>
          <w:marTop w:val="0"/>
          <w:marBottom w:val="0"/>
          <w:divBdr>
            <w:top w:val="none" w:sz="0" w:space="0" w:color="auto"/>
            <w:left w:val="none" w:sz="0" w:space="0" w:color="auto"/>
            <w:bottom w:val="none" w:sz="0" w:space="0" w:color="auto"/>
            <w:right w:val="none" w:sz="0" w:space="0" w:color="auto"/>
          </w:divBdr>
          <w:divsChild>
            <w:div w:id="906459404">
              <w:marLeft w:val="0"/>
              <w:marRight w:val="0"/>
              <w:marTop w:val="0"/>
              <w:marBottom w:val="0"/>
              <w:divBdr>
                <w:top w:val="none" w:sz="0" w:space="0" w:color="auto"/>
                <w:left w:val="none" w:sz="0" w:space="0" w:color="auto"/>
                <w:bottom w:val="none" w:sz="0" w:space="0" w:color="auto"/>
                <w:right w:val="none" w:sz="0" w:space="0" w:color="auto"/>
              </w:divBdr>
              <w:divsChild>
                <w:div w:id="20351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70926">
      <w:bodyDiv w:val="1"/>
      <w:marLeft w:val="0"/>
      <w:marRight w:val="0"/>
      <w:marTop w:val="0"/>
      <w:marBottom w:val="0"/>
      <w:divBdr>
        <w:top w:val="none" w:sz="0" w:space="0" w:color="auto"/>
        <w:left w:val="none" w:sz="0" w:space="0" w:color="auto"/>
        <w:bottom w:val="none" w:sz="0" w:space="0" w:color="auto"/>
        <w:right w:val="none" w:sz="0" w:space="0" w:color="auto"/>
      </w:divBdr>
    </w:div>
    <w:div w:id="2030792881">
      <w:bodyDiv w:val="1"/>
      <w:marLeft w:val="0"/>
      <w:marRight w:val="0"/>
      <w:marTop w:val="0"/>
      <w:marBottom w:val="0"/>
      <w:divBdr>
        <w:top w:val="none" w:sz="0" w:space="0" w:color="auto"/>
        <w:left w:val="none" w:sz="0" w:space="0" w:color="auto"/>
        <w:bottom w:val="none" w:sz="0" w:space="0" w:color="auto"/>
        <w:right w:val="none" w:sz="0" w:space="0" w:color="auto"/>
      </w:divBdr>
    </w:div>
    <w:div w:id="2124500354">
      <w:bodyDiv w:val="1"/>
      <w:marLeft w:val="0"/>
      <w:marRight w:val="0"/>
      <w:marTop w:val="0"/>
      <w:marBottom w:val="0"/>
      <w:divBdr>
        <w:top w:val="none" w:sz="0" w:space="0" w:color="auto"/>
        <w:left w:val="none" w:sz="0" w:space="0" w:color="auto"/>
        <w:bottom w:val="none" w:sz="0" w:space="0" w:color="auto"/>
        <w:right w:val="none" w:sz="0" w:space="0" w:color="auto"/>
      </w:divBdr>
      <w:divsChild>
        <w:div w:id="1870416581">
          <w:marLeft w:val="0"/>
          <w:marRight w:val="0"/>
          <w:marTop w:val="0"/>
          <w:marBottom w:val="0"/>
          <w:divBdr>
            <w:top w:val="none" w:sz="0" w:space="0" w:color="auto"/>
            <w:left w:val="none" w:sz="0" w:space="0" w:color="auto"/>
            <w:bottom w:val="none" w:sz="0" w:space="0" w:color="auto"/>
            <w:right w:val="none" w:sz="0" w:space="0" w:color="auto"/>
          </w:divBdr>
          <w:divsChild>
            <w:div w:id="1057558095">
              <w:marLeft w:val="0"/>
              <w:marRight w:val="0"/>
              <w:marTop w:val="0"/>
              <w:marBottom w:val="0"/>
              <w:divBdr>
                <w:top w:val="none" w:sz="0" w:space="0" w:color="auto"/>
                <w:left w:val="none" w:sz="0" w:space="0" w:color="auto"/>
                <w:bottom w:val="none" w:sz="0" w:space="0" w:color="auto"/>
                <w:right w:val="none" w:sz="0" w:space="0" w:color="auto"/>
              </w:divBdr>
              <w:divsChild>
                <w:div w:id="8110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944CC-E801-4E3D-9D48-7AF6C703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8769</Words>
  <Characters>49988</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58640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Rizwan Ahmed</dc:creator>
  <cp:lastModifiedBy>Rizwan Ahmed (Birmingham Business School)</cp:lastModifiedBy>
  <cp:revision>4</cp:revision>
  <dcterms:created xsi:type="dcterms:W3CDTF">2020-11-30T22:28:00Z</dcterms:created>
  <dcterms:modified xsi:type="dcterms:W3CDTF">2021-03-24T14:52:00Z</dcterms:modified>
</cp:coreProperties>
</file>