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8AD9A" w14:textId="44E09C88" w:rsidR="0091364D" w:rsidRPr="00171757" w:rsidRDefault="0021225F" w:rsidP="004D0D7D">
      <w:pPr>
        <w:pStyle w:val="Heading1"/>
        <w:spacing w:line="480" w:lineRule="auto"/>
        <w:rPr>
          <w:rFonts w:ascii="Times New Roman" w:hAnsi="Times New Roman" w:cs="Times New Roman"/>
        </w:rPr>
      </w:pPr>
      <w:bookmarkStart w:id="0" w:name="_GoBack"/>
      <w:bookmarkEnd w:id="0"/>
      <w:r w:rsidRPr="00171757">
        <w:rPr>
          <w:rFonts w:ascii="Times New Roman" w:hAnsi="Times New Roman" w:cs="Times New Roman"/>
        </w:rPr>
        <w:t xml:space="preserve">Dysregulation of </w:t>
      </w:r>
      <w:r w:rsidR="00883A16" w:rsidRPr="00171757">
        <w:rPr>
          <w:rFonts w:ascii="Times New Roman" w:hAnsi="Times New Roman" w:cs="Times New Roman"/>
        </w:rPr>
        <w:t>l</w:t>
      </w:r>
      <w:r w:rsidR="00334375" w:rsidRPr="00171757">
        <w:rPr>
          <w:rFonts w:ascii="Times New Roman" w:hAnsi="Times New Roman" w:cs="Times New Roman"/>
        </w:rPr>
        <w:t xml:space="preserve">eukocyte </w:t>
      </w:r>
      <w:r w:rsidR="00883A16" w:rsidRPr="00171757">
        <w:rPr>
          <w:rFonts w:ascii="Times New Roman" w:hAnsi="Times New Roman" w:cs="Times New Roman"/>
        </w:rPr>
        <w:t>t</w:t>
      </w:r>
      <w:r w:rsidR="00334375" w:rsidRPr="00171757">
        <w:rPr>
          <w:rFonts w:ascii="Times New Roman" w:hAnsi="Times New Roman" w:cs="Times New Roman"/>
        </w:rPr>
        <w:t xml:space="preserve">rafficking in </w:t>
      </w:r>
      <w:r w:rsidR="00883A16" w:rsidRPr="00171757">
        <w:rPr>
          <w:rFonts w:ascii="Times New Roman" w:hAnsi="Times New Roman" w:cs="Times New Roman"/>
        </w:rPr>
        <w:t>a</w:t>
      </w:r>
      <w:r w:rsidR="00334375" w:rsidRPr="00171757">
        <w:rPr>
          <w:rFonts w:ascii="Times New Roman" w:hAnsi="Times New Roman" w:cs="Times New Roman"/>
        </w:rPr>
        <w:t>geing</w:t>
      </w:r>
      <w:r w:rsidR="00883A16" w:rsidRPr="00171757">
        <w:rPr>
          <w:rFonts w:ascii="Times New Roman" w:hAnsi="Times New Roman" w:cs="Times New Roman"/>
        </w:rPr>
        <w:t>: Causal factors and possible corrective therapies</w:t>
      </w:r>
    </w:p>
    <w:p w14:paraId="3EEB28E3" w14:textId="08B8E780" w:rsidR="00E15CB7" w:rsidRPr="00171757" w:rsidRDefault="00E15CB7" w:rsidP="004D0D7D">
      <w:pPr>
        <w:spacing w:line="480" w:lineRule="auto"/>
        <w:jc w:val="both"/>
        <w:rPr>
          <w:vertAlign w:val="superscript"/>
        </w:rPr>
      </w:pPr>
      <w:r w:rsidRPr="00171757">
        <w:t>S. Hopkin</w:t>
      </w:r>
      <w:r w:rsidR="00883A16" w:rsidRPr="00171757">
        <w:rPr>
          <w:vertAlign w:val="superscript"/>
        </w:rPr>
        <w:t>1</w:t>
      </w:r>
      <w:r w:rsidRPr="00171757">
        <w:t xml:space="preserve">; </w:t>
      </w:r>
      <w:r w:rsidR="00883A16" w:rsidRPr="00171757">
        <w:t>J.M. Lord</w:t>
      </w:r>
      <w:r w:rsidR="00883A16" w:rsidRPr="00171757">
        <w:rPr>
          <w:vertAlign w:val="superscript"/>
        </w:rPr>
        <w:t>1,2</w:t>
      </w:r>
      <w:r w:rsidR="00883A16" w:rsidRPr="00171757">
        <w:t xml:space="preserve">; </w:t>
      </w:r>
      <w:r w:rsidRPr="00171757">
        <w:t>M.</w:t>
      </w:r>
      <w:r w:rsidR="002B4C99" w:rsidRPr="00171757">
        <w:t xml:space="preserve"> </w:t>
      </w:r>
      <w:r w:rsidRPr="00171757">
        <w:t>Chimen</w:t>
      </w:r>
      <w:r w:rsidR="00883A16" w:rsidRPr="00171757">
        <w:rPr>
          <w:vertAlign w:val="superscript"/>
        </w:rPr>
        <w:t>1</w:t>
      </w:r>
    </w:p>
    <w:p w14:paraId="100D511E" w14:textId="69EDAE35" w:rsidR="00E15CB7" w:rsidRPr="00171757" w:rsidRDefault="00E15CB7" w:rsidP="004D0D7D">
      <w:pPr>
        <w:spacing w:line="480" w:lineRule="auto"/>
        <w:jc w:val="both"/>
      </w:pPr>
    </w:p>
    <w:p w14:paraId="00C303B4" w14:textId="2FAA96D1" w:rsidR="00883A16" w:rsidRPr="00171757" w:rsidRDefault="00264254" w:rsidP="004D0D7D">
      <w:pPr>
        <w:spacing w:line="480" w:lineRule="auto"/>
        <w:jc w:val="both"/>
      </w:pPr>
      <w:r w:rsidRPr="00171757">
        <w:rPr>
          <w:vertAlign w:val="superscript"/>
        </w:rPr>
        <w:t>1</w:t>
      </w:r>
      <w:r w:rsidRPr="00171757">
        <w:t xml:space="preserve">MRC-Versus Arthritis Centre for Musculoskeletal Ageing Research, </w:t>
      </w:r>
      <w:r w:rsidR="00E15CB7" w:rsidRPr="00171757">
        <w:t xml:space="preserve">Institute of Inflammation and Ageing, </w:t>
      </w:r>
      <w:r w:rsidR="00E15CB7" w:rsidRPr="00171757">
        <w:rPr>
          <w:color w:val="000000"/>
        </w:rPr>
        <w:t>College of Medical and Dental Sciences, University of Birmingham, Wolfson Drive, Birmingham, B15 2TT.</w:t>
      </w:r>
      <w:r w:rsidR="00883A16" w:rsidRPr="00171757">
        <w:rPr>
          <w:color w:val="000000"/>
        </w:rPr>
        <w:t xml:space="preserve"> </w:t>
      </w:r>
      <w:r w:rsidR="00883A16" w:rsidRPr="00171757">
        <w:rPr>
          <w:color w:val="000000"/>
          <w:vertAlign w:val="superscript"/>
        </w:rPr>
        <w:t>2</w:t>
      </w:r>
      <w:r w:rsidR="00883A16" w:rsidRPr="00171757">
        <w:t>National Institute for Health Research Birmingham Biomedical Research Centre, University Hospital Birmingham NHS Foundation Trust and University of Birmingham, Birmingham, United Kingdom.</w:t>
      </w:r>
    </w:p>
    <w:p w14:paraId="5E411DF0" w14:textId="38E18F01" w:rsidR="00E15CB7" w:rsidRPr="00171757" w:rsidRDefault="00E15CB7" w:rsidP="004D0D7D">
      <w:pPr>
        <w:spacing w:line="480" w:lineRule="auto"/>
        <w:jc w:val="both"/>
      </w:pPr>
    </w:p>
    <w:p w14:paraId="4037E5B7" w14:textId="735900B6" w:rsidR="006046A2" w:rsidRPr="00171757" w:rsidRDefault="006046A2" w:rsidP="004D0D7D">
      <w:pPr>
        <w:spacing w:line="480" w:lineRule="auto"/>
        <w:jc w:val="both"/>
      </w:pPr>
      <w:r w:rsidRPr="00171757">
        <w:t>Corresponding author: Myriam Chimen; m.chimen@bham.ac.uk</w:t>
      </w:r>
    </w:p>
    <w:p w14:paraId="2EE8B148" w14:textId="39BD4757" w:rsidR="0091364D" w:rsidRPr="00171757" w:rsidRDefault="00A4791C" w:rsidP="004D0D7D">
      <w:pPr>
        <w:pStyle w:val="Heading2"/>
        <w:spacing w:line="480" w:lineRule="auto"/>
        <w:rPr>
          <w:rFonts w:ascii="Times New Roman" w:hAnsi="Times New Roman" w:cs="Times New Roman"/>
        </w:rPr>
      </w:pPr>
      <w:r w:rsidRPr="00171757">
        <w:rPr>
          <w:rFonts w:ascii="Times New Roman" w:hAnsi="Times New Roman" w:cs="Times New Roman"/>
        </w:rPr>
        <w:t>Abstract</w:t>
      </w:r>
    </w:p>
    <w:p w14:paraId="0FB3B657" w14:textId="0DA7F40C" w:rsidR="00311DC4" w:rsidRPr="00171757" w:rsidRDefault="00351638" w:rsidP="00013940">
      <w:pPr>
        <w:spacing w:line="480" w:lineRule="auto"/>
        <w:ind w:firstLine="720"/>
        <w:jc w:val="both"/>
      </w:pPr>
      <w:r w:rsidRPr="00171757">
        <w:t xml:space="preserve">Ageing is a universal biological phenomenon that is accompanied by the development of chronic, low-grade inflammation and </w:t>
      </w:r>
      <w:r w:rsidR="00E303DD" w:rsidRPr="00171757">
        <w:t>remodelling of the immune system resulting in compromised</w:t>
      </w:r>
      <w:r w:rsidRPr="00171757">
        <w:t xml:space="preserve"> immune function.</w:t>
      </w:r>
      <w:r w:rsidR="00B4157C" w:rsidRPr="00171757">
        <w:t xml:space="preserve"> In this review</w:t>
      </w:r>
      <w:r w:rsidR="00A602AD" w:rsidRPr="00171757">
        <w:t xml:space="preserve">, we explore </w:t>
      </w:r>
      <w:r w:rsidR="00A602AD" w:rsidRPr="00171757">
        <w:lastRenderedPageBreak/>
        <w:t xml:space="preserve">how </w:t>
      </w:r>
      <w:r w:rsidR="009C3E4A" w:rsidRPr="00171757">
        <w:t xml:space="preserve">the trafficking of innate and adaptive immune cells under homeostatic and inflammatory conditions is dysregulated in ageing. </w:t>
      </w:r>
      <w:r w:rsidR="003E7FD3" w:rsidRPr="00171757">
        <w:t>We particularly highlight the</w:t>
      </w:r>
      <w:r w:rsidR="009C3E4A" w:rsidRPr="00171757">
        <w:t xml:space="preserve"> </w:t>
      </w:r>
      <w:r w:rsidR="00A602AD" w:rsidRPr="00171757">
        <w:t xml:space="preserve">age-related changes </w:t>
      </w:r>
      <w:r w:rsidR="002F1FDB" w:rsidRPr="00171757">
        <w:t>in</w:t>
      </w:r>
      <w:r w:rsidR="00A602AD" w:rsidRPr="00171757">
        <w:t xml:space="preserve"> the expression of adhesion molecules</w:t>
      </w:r>
      <w:r w:rsidR="006A1F9D" w:rsidRPr="00171757">
        <w:t xml:space="preserve"> </w:t>
      </w:r>
      <w:r w:rsidR="00E303DD" w:rsidRPr="00171757">
        <w:t>and</w:t>
      </w:r>
      <w:r w:rsidR="00A602AD" w:rsidRPr="00171757">
        <w:t xml:space="preserve"> chemokine receptor/ligands</w:t>
      </w:r>
      <w:r w:rsidR="00821F2E" w:rsidRPr="00171757">
        <w:t>,</w:t>
      </w:r>
      <w:r w:rsidR="00A602AD" w:rsidRPr="00171757">
        <w:t xml:space="preserve"> and the accumulation of senescent cells </w:t>
      </w:r>
      <w:r w:rsidR="009C3E4A" w:rsidRPr="00171757">
        <w:t xml:space="preserve">that </w:t>
      </w:r>
      <w:r w:rsidR="00A602AD" w:rsidRPr="00171757">
        <w:t xml:space="preserve">drive </w:t>
      </w:r>
      <w:r w:rsidR="009C3E4A" w:rsidRPr="00171757">
        <w:t>modulated</w:t>
      </w:r>
      <w:r w:rsidR="00A602AD" w:rsidRPr="00171757">
        <w:t xml:space="preserve"> leukocyte trafficking</w:t>
      </w:r>
      <w:r w:rsidR="00AD5F3F" w:rsidRPr="00171757">
        <w:t xml:space="preserve">. </w:t>
      </w:r>
      <w:r w:rsidR="009C3E4A" w:rsidRPr="00171757">
        <w:t>The</w:t>
      </w:r>
      <w:r w:rsidR="006A1F9D" w:rsidRPr="00171757">
        <w:t>se</w:t>
      </w:r>
      <w:r w:rsidR="009C3E4A" w:rsidRPr="00171757">
        <w:t xml:space="preserve"> age-related c</w:t>
      </w:r>
      <w:r w:rsidR="006A1F9D" w:rsidRPr="00171757">
        <w:t>hanges to leukocyte trafficking are multifactorial and specific to leukocyte subset, tissue</w:t>
      </w:r>
      <w:r w:rsidR="00111BE7" w:rsidRPr="00171757">
        <w:t>, type of vascular bed</w:t>
      </w:r>
      <w:r w:rsidR="006A1F9D" w:rsidRPr="00171757">
        <w:t>, and inflammatory status. However, dysregulated leukocyte trafficking ultimately affects immun</w:t>
      </w:r>
      <w:r w:rsidR="0070707C" w:rsidRPr="00171757">
        <w:t>e responses</w:t>
      </w:r>
      <w:r w:rsidR="006A1F9D" w:rsidRPr="00171757">
        <w:t xml:space="preserve"> in older adults</w:t>
      </w:r>
      <w:r w:rsidR="009C3E4A" w:rsidRPr="00171757">
        <w:t xml:space="preserve">. </w:t>
      </w:r>
      <w:r w:rsidR="00A602AD" w:rsidRPr="00171757">
        <w:t xml:space="preserve">We </w:t>
      </w:r>
      <w:r w:rsidR="006A1F9D" w:rsidRPr="00171757">
        <w:t>therefore go on to</w:t>
      </w:r>
      <w:r w:rsidR="00A602AD" w:rsidRPr="00171757">
        <w:t xml:space="preserve"> discuss approved drugs, including anti-integrins</w:t>
      </w:r>
      <w:r w:rsidR="00821F2E" w:rsidRPr="00171757">
        <w:t xml:space="preserve">, anti-chemokines and </w:t>
      </w:r>
      <w:r w:rsidR="00A602AD" w:rsidRPr="00171757">
        <w:t>statins, as well as novel</w:t>
      </w:r>
      <w:r w:rsidR="00E72B2E" w:rsidRPr="00171757">
        <w:t xml:space="preserve"> therapeutics that may be used to target dysregulated leukocyte trafficking in ageing, improve immune responses and delay t</w:t>
      </w:r>
      <w:r w:rsidR="00CE6112" w:rsidRPr="00171757">
        <w:t>he onset of age-related disease</w:t>
      </w:r>
      <w:r w:rsidR="0070707C" w:rsidRPr="00171757">
        <w:t>s</w:t>
      </w:r>
      <w:r w:rsidR="00E72B2E" w:rsidRPr="00171757">
        <w:t>.</w:t>
      </w:r>
    </w:p>
    <w:p w14:paraId="04A183FF" w14:textId="080003EE" w:rsidR="00311DC4" w:rsidRPr="00171757" w:rsidRDefault="00311DC4" w:rsidP="004D0D7D">
      <w:pPr>
        <w:pStyle w:val="Heading2"/>
        <w:rPr>
          <w:rFonts w:ascii="Times New Roman" w:hAnsi="Times New Roman" w:cs="Times New Roman"/>
        </w:rPr>
      </w:pPr>
      <w:r w:rsidRPr="00171757">
        <w:rPr>
          <w:rFonts w:ascii="Times New Roman" w:hAnsi="Times New Roman" w:cs="Times New Roman"/>
        </w:rPr>
        <w:lastRenderedPageBreak/>
        <w:t>Graphical Abstract</w:t>
      </w:r>
    </w:p>
    <w:p w14:paraId="59AF04E3" w14:textId="2E6A9283" w:rsidR="005B09F8" w:rsidRPr="00171757" w:rsidRDefault="00013940" w:rsidP="004D0D7D">
      <w:pPr>
        <w:spacing w:line="480" w:lineRule="auto"/>
        <w:jc w:val="both"/>
      </w:pPr>
      <w:r w:rsidRPr="00171757">
        <w:rPr>
          <w:noProof/>
          <w:lang w:eastAsia="en-GB"/>
        </w:rPr>
        <w:drawing>
          <wp:inline distT="0" distB="0" distL="0" distR="0" wp14:anchorId="49837266" wp14:editId="52C87F7B">
            <wp:extent cx="5262880" cy="3949700"/>
            <wp:effectExtent l="0" t="0" r="0" b="12700"/>
            <wp:docPr id="1" name="Picture 1" descr="Macintosh HD:Users:apple:Desktop:Documents:Ageing and Leukocyte Trafficking Review:Figures:Slid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Documents:Ageing and Leukocyte Trafficking Review:Figures:Slide1.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3949700"/>
                    </a:xfrm>
                    <a:prstGeom prst="rect">
                      <a:avLst/>
                    </a:prstGeom>
                    <a:noFill/>
                    <a:ln>
                      <a:noFill/>
                    </a:ln>
                  </pic:spPr>
                </pic:pic>
              </a:graphicData>
            </a:graphic>
          </wp:inline>
        </w:drawing>
      </w:r>
    </w:p>
    <w:p w14:paraId="4AB2D9DA" w14:textId="2FA73D9F" w:rsidR="005B09F8" w:rsidRPr="00171757" w:rsidRDefault="005B09F8" w:rsidP="004D0D7D">
      <w:pPr>
        <w:spacing w:line="480" w:lineRule="auto"/>
        <w:jc w:val="both"/>
      </w:pPr>
      <w:r w:rsidRPr="00171757">
        <w:rPr>
          <w:b/>
        </w:rPr>
        <w:t>Key words:</w:t>
      </w:r>
      <w:r w:rsidRPr="00171757">
        <w:t xml:space="preserve"> Leukocyte, trafficking, ageing, senescence, inflammageing, </w:t>
      </w:r>
      <w:r w:rsidR="00F62C51" w:rsidRPr="00171757">
        <w:t>therapies</w:t>
      </w:r>
    </w:p>
    <w:p w14:paraId="2FE5E3CF" w14:textId="35B3205E" w:rsidR="0091364D" w:rsidRPr="00171757" w:rsidRDefault="00764660" w:rsidP="00764660">
      <w:pPr>
        <w:pStyle w:val="Heading2"/>
        <w:spacing w:line="480" w:lineRule="auto"/>
        <w:rPr>
          <w:rFonts w:ascii="Times New Roman" w:hAnsi="Times New Roman" w:cs="Times New Roman"/>
        </w:rPr>
      </w:pPr>
      <w:r>
        <w:rPr>
          <w:rFonts w:ascii="Times New Roman" w:hAnsi="Times New Roman" w:cs="Times New Roman"/>
        </w:rPr>
        <w:t xml:space="preserve">1. </w:t>
      </w:r>
      <w:r w:rsidR="0091364D" w:rsidRPr="00171757">
        <w:rPr>
          <w:rFonts w:ascii="Times New Roman" w:hAnsi="Times New Roman" w:cs="Times New Roman"/>
        </w:rPr>
        <w:t>Introduction</w:t>
      </w:r>
    </w:p>
    <w:p w14:paraId="2D233B55" w14:textId="2E054AC5" w:rsidR="0091364D" w:rsidRPr="00171757" w:rsidRDefault="005E7757" w:rsidP="004D0D7D">
      <w:pPr>
        <w:spacing w:line="480" w:lineRule="auto"/>
        <w:jc w:val="both"/>
      </w:pPr>
      <w:r w:rsidRPr="00171757">
        <w:tab/>
      </w:r>
      <w:r w:rsidR="0091364D" w:rsidRPr="00171757">
        <w:t xml:space="preserve">Leukocyte trafficking is </w:t>
      </w:r>
      <w:r w:rsidR="00FB616B" w:rsidRPr="00171757">
        <w:t>essential for eff</w:t>
      </w:r>
      <w:r w:rsidR="00D240A7" w:rsidRPr="00171757">
        <w:t>i</w:t>
      </w:r>
      <w:r w:rsidR="00D333C2" w:rsidRPr="00171757">
        <w:t>cient</w:t>
      </w:r>
      <w:r w:rsidR="00FB616B" w:rsidRPr="00171757">
        <w:t xml:space="preserve"> life-long</w:t>
      </w:r>
      <w:r w:rsidR="0091364D" w:rsidRPr="00171757">
        <w:t xml:space="preserve"> </w:t>
      </w:r>
      <w:r w:rsidR="00FB616B" w:rsidRPr="00171757">
        <w:t>immunity</w:t>
      </w:r>
      <w:r w:rsidR="0091364D" w:rsidRPr="00171757">
        <w:t xml:space="preserve">. Leukocytes must be able to relocate to sites of infection or injury </w:t>
      </w:r>
      <w:r w:rsidR="000B2DB4" w:rsidRPr="00171757">
        <w:t>within tissue</w:t>
      </w:r>
      <w:r w:rsidR="00D240A7" w:rsidRPr="00171757">
        <w:t>s</w:t>
      </w:r>
      <w:r w:rsidR="000B2DB4" w:rsidRPr="00171757">
        <w:t xml:space="preserve"> </w:t>
      </w:r>
      <w:r w:rsidR="0091364D" w:rsidRPr="00171757">
        <w:t>in order to facilitate the clearance of pathogens and damaged cells, instigate tissue repair processes and promote the resolution of inflammation to reinstate tissue homeostasis</w:t>
      </w:r>
      <w:r w:rsidR="00B15CA1" w:rsidRPr="00171757">
        <w:t xml:space="preserve"> [1]</w:t>
      </w:r>
      <w:r w:rsidR="0091364D" w:rsidRPr="00171757">
        <w:t>. As we age, the protective function of the immune system is compromised (immunosenescence)</w:t>
      </w:r>
      <w:r w:rsidR="00E303DD" w:rsidRPr="00171757">
        <w:t xml:space="preserve"> with increased susceptibility to infections, autoimmunity and cancer</w:t>
      </w:r>
      <w:r w:rsidR="00FC0A9E" w:rsidRPr="00171757">
        <w:t>,</w:t>
      </w:r>
      <w:r w:rsidR="00E303DD" w:rsidRPr="00171757">
        <w:t xml:space="preserve"> and reduced responses to vaccination</w:t>
      </w:r>
      <w:r w:rsidR="00B15CA1" w:rsidRPr="00171757">
        <w:t xml:space="preserve"> [2]</w:t>
      </w:r>
      <w:r w:rsidR="0091364D" w:rsidRPr="00171757">
        <w:t>. This is accompanied by constitutive, chronic inflammation (inflammageing</w:t>
      </w:r>
      <w:r w:rsidR="00FB616B" w:rsidRPr="00171757">
        <w:t>) that contributes</w:t>
      </w:r>
      <w:r w:rsidR="0091364D" w:rsidRPr="00171757">
        <w:t xml:space="preserve"> to </w:t>
      </w:r>
      <w:r w:rsidR="00334375" w:rsidRPr="00171757">
        <w:t xml:space="preserve">the development of </w:t>
      </w:r>
      <w:r w:rsidR="0091364D" w:rsidRPr="00171757">
        <w:t xml:space="preserve">many </w:t>
      </w:r>
      <w:r w:rsidR="0091364D" w:rsidRPr="00171757">
        <w:lastRenderedPageBreak/>
        <w:t>age-related diseases</w:t>
      </w:r>
      <w:r w:rsidR="00B15CA1" w:rsidRPr="00171757">
        <w:t xml:space="preserve"> [3]</w:t>
      </w:r>
      <w:r w:rsidR="0091364D" w:rsidRPr="00171757">
        <w:rPr>
          <w:color w:val="000000" w:themeColor="text1"/>
        </w:rPr>
        <w:t xml:space="preserve">. </w:t>
      </w:r>
      <w:r w:rsidR="00334375" w:rsidRPr="00171757">
        <w:t xml:space="preserve">The effect of advancing age on the trafficking and recruitment of leukocytes to peripheral tissues has yet to be </w:t>
      </w:r>
      <w:r w:rsidR="00E303DD" w:rsidRPr="00171757">
        <w:t xml:space="preserve">fully </w:t>
      </w:r>
      <w:r w:rsidR="00334375" w:rsidRPr="00171757">
        <w:t xml:space="preserve">elucidated. </w:t>
      </w:r>
      <w:r w:rsidR="0091364D" w:rsidRPr="00171757">
        <w:t xml:space="preserve">In this review, we explore </w:t>
      </w:r>
      <w:r w:rsidR="00E303DD" w:rsidRPr="00171757">
        <w:t xml:space="preserve">what is known of the </w:t>
      </w:r>
      <w:r w:rsidR="0091364D" w:rsidRPr="00171757">
        <w:t>age-related changes in adhesion molecule and chemokine receptor expression</w:t>
      </w:r>
      <w:r w:rsidR="009C3804" w:rsidRPr="00171757">
        <w:t xml:space="preserve">, </w:t>
      </w:r>
      <w:r w:rsidR="00F56BCF" w:rsidRPr="00171757">
        <w:t xml:space="preserve">and </w:t>
      </w:r>
      <w:r w:rsidR="00E303DD" w:rsidRPr="00171757">
        <w:t xml:space="preserve">the relation with </w:t>
      </w:r>
      <w:r w:rsidR="004E220F" w:rsidRPr="00171757">
        <w:t>immunosenescence</w:t>
      </w:r>
      <w:r w:rsidR="009C3804" w:rsidRPr="00171757">
        <w:t xml:space="preserve"> </w:t>
      </w:r>
      <w:r w:rsidR="00676F64" w:rsidRPr="00171757">
        <w:t>that</w:t>
      </w:r>
      <w:r w:rsidR="004E220F" w:rsidRPr="00171757">
        <w:t xml:space="preserve"> contribute to </w:t>
      </w:r>
      <w:r w:rsidR="00676F64" w:rsidRPr="00171757">
        <w:t>dysregulated</w:t>
      </w:r>
      <w:r w:rsidR="0091364D" w:rsidRPr="00171757">
        <w:t xml:space="preserve"> leukocyte </w:t>
      </w:r>
      <w:r w:rsidR="00676F64" w:rsidRPr="00171757">
        <w:t xml:space="preserve">trafficking in </w:t>
      </w:r>
      <w:r w:rsidR="00E303DD" w:rsidRPr="00171757">
        <w:t xml:space="preserve">advanced </w:t>
      </w:r>
      <w:r w:rsidR="00676F64" w:rsidRPr="00171757">
        <w:t>age</w:t>
      </w:r>
      <w:r w:rsidR="00D0169E" w:rsidRPr="00171757">
        <w:t xml:space="preserve"> (</w:t>
      </w:r>
      <w:r w:rsidR="00D0169E" w:rsidRPr="00171757">
        <w:rPr>
          <w:b/>
        </w:rPr>
        <w:t>Figure 1</w:t>
      </w:r>
      <w:r w:rsidR="00D0169E" w:rsidRPr="00171757">
        <w:t>)</w:t>
      </w:r>
      <w:r w:rsidR="0091364D" w:rsidRPr="00171757">
        <w:t xml:space="preserve">. </w:t>
      </w:r>
      <w:r w:rsidR="00D7469B" w:rsidRPr="00171757">
        <w:t xml:space="preserve">We specifically focus on studies </w:t>
      </w:r>
      <w:r w:rsidR="00C9481C" w:rsidRPr="00171757">
        <w:t xml:space="preserve">demonstrating changes in </w:t>
      </w:r>
      <w:r w:rsidR="00D7469B" w:rsidRPr="00171757">
        <w:t xml:space="preserve">the trafficking of leukocytes in the context of ageing. To this end, we have not included some major studies </w:t>
      </w:r>
      <w:r w:rsidR="00C9481C" w:rsidRPr="00171757">
        <w:t xml:space="preserve">describing the </w:t>
      </w:r>
      <w:r w:rsidR="00D7469B" w:rsidRPr="00171757">
        <w:t xml:space="preserve">mechanisms of immune ageing </w:t>
      </w:r>
      <w:r w:rsidR="00FC0A9E" w:rsidRPr="00171757">
        <w:t>or</w:t>
      </w:r>
      <w:r w:rsidR="00D7469B" w:rsidRPr="00171757">
        <w:t xml:space="preserve"> the establishment of age-related inflammatory diseases as this is beyond the scope of the review</w:t>
      </w:r>
      <w:r w:rsidR="00C9481C" w:rsidRPr="00171757">
        <w:t xml:space="preserve"> and has been reviewed elsewhere</w:t>
      </w:r>
      <w:r w:rsidR="00B15CA1" w:rsidRPr="00171757">
        <w:t xml:space="preserve"> [4-6]</w:t>
      </w:r>
      <w:r w:rsidR="00D7469B" w:rsidRPr="00171757">
        <w:t xml:space="preserve">. </w:t>
      </w:r>
    </w:p>
    <w:p w14:paraId="3BA804E5" w14:textId="39D0F95F" w:rsidR="0091364D" w:rsidRPr="00171757" w:rsidRDefault="00764660" w:rsidP="00C9481C">
      <w:pPr>
        <w:pStyle w:val="Heading2"/>
        <w:spacing w:line="480" w:lineRule="auto"/>
        <w:rPr>
          <w:rFonts w:ascii="Times New Roman" w:hAnsi="Times New Roman" w:cs="Times New Roman"/>
        </w:rPr>
      </w:pPr>
      <w:r>
        <w:rPr>
          <w:rFonts w:ascii="Times New Roman" w:hAnsi="Times New Roman" w:cs="Times New Roman"/>
        </w:rPr>
        <w:t xml:space="preserve">1.1 </w:t>
      </w:r>
      <w:r w:rsidR="00D83C27" w:rsidRPr="00171757">
        <w:rPr>
          <w:rFonts w:ascii="Times New Roman" w:hAnsi="Times New Roman" w:cs="Times New Roman"/>
        </w:rPr>
        <w:t xml:space="preserve">Leukocyte </w:t>
      </w:r>
      <w:r w:rsidR="00171757">
        <w:rPr>
          <w:rFonts w:ascii="Times New Roman" w:hAnsi="Times New Roman" w:cs="Times New Roman"/>
        </w:rPr>
        <w:t>recruitment in acute inflammation and homeostasis</w:t>
      </w:r>
    </w:p>
    <w:p w14:paraId="03F72934" w14:textId="4E950D94" w:rsidR="00797020" w:rsidRPr="00171757" w:rsidRDefault="005E7757" w:rsidP="006D059A">
      <w:pPr>
        <w:tabs>
          <w:tab w:val="left" w:pos="993"/>
        </w:tabs>
        <w:spacing w:line="480" w:lineRule="auto"/>
        <w:jc w:val="both"/>
      </w:pPr>
      <w:r w:rsidRPr="00171757">
        <w:tab/>
      </w:r>
      <w:r w:rsidR="00797020" w:rsidRPr="00171757">
        <w:t>During acute inflammation, leukocytes are trafficked from the circulation into tissue (extravasation) to clear inflammatory stimul</w:t>
      </w:r>
      <w:r w:rsidR="00D42311" w:rsidRPr="00171757">
        <w:t>i</w:t>
      </w:r>
      <w:r w:rsidR="00797020" w:rsidRPr="00171757">
        <w:t>. Endothelial cells upregulate the expression of adhesion molecules in response to locally generated pro-inflammatory mediators, such as tumour necrosis factor-alpha (TNFα) and interferon-gamma (IFNγ)</w:t>
      </w:r>
      <w:r w:rsidR="00B15CA1" w:rsidRPr="00171757">
        <w:t xml:space="preserve"> [7]</w:t>
      </w:r>
      <w:r w:rsidR="00797020" w:rsidRPr="00171757">
        <w:t xml:space="preserve">. Circulating leukocytes are captured by cytokine-activated endothelium through selectin-ligand interactions, which mediate </w:t>
      </w:r>
      <w:r w:rsidR="00797020" w:rsidRPr="00171757">
        <w:lastRenderedPageBreak/>
        <w:t>leukocyte rolling</w:t>
      </w:r>
      <w:r w:rsidR="00B15CA1" w:rsidRPr="00171757">
        <w:t xml:space="preserve"> [8, 9]</w:t>
      </w:r>
      <w:r w:rsidR="00797020" w:rsidRPr="00171757">
        <w:t>. Chemokines on the endothelial surface interact with G-protein-coupled receptors on leukocytes to induce integrin activation and initiate firm adhesion</w:t>
      </w:r>
      <w:r w:rsidR="00B15CA1" w:rsidRPr="00171757">
        <w:t xml:space="preserve"> [9-11]</w:t>
      </w:r>
      <w:r w:rsidR="00797020" w:rsidRPr="00171757">
        <w:t xml:space="preserve">. Integrins interact with adhesion molecules, such as intercellular adhesion molecule 1 (ICAM-1) and vascular cell adhesion protein 1 (VCAM-1), and junctional adhesion molecules expressed on endothelial cells to mediate the firm adhesion of </w:t>
      </w:r>
      <w:r w:rsidR="00FC0A9E" w:rsidRPr="00171757">
        <w:t>leuk</w:t>
      </w:r>
      <w:r w:rsidR="00797020" w:rsidRPr="00171757">
        <w:t>o</w:t>
      </w:r>
      <w:r w:rsidR="00FC0A9E" w:rsidRPr="00171757">
        <w:t>c</w:t>
      </w:r>
      <w:r w:rsidR="00797020" w:rsidRPr="00171757">
        <w:t>yte</w:t>
      </w:r>
      <w:r w:rsidR="00FC0A9E" w:rsidRPr="00171757">
        <w:t>s</w:t>
      </w:r>
      <w:r w:rsidR="00797020" w:rsidRPr="00171757">
        <w:t xml:space="preserve"> to the vasculature</w:t>
      </w:r>
      <w:r w:rsidR="00B15CA1" w:rsidRPr="00171757">
        <w:t xml:space="preserve"> [1, 12]</w:t>
      </w:r>
      <w:r w:rsidR="00797020" w:rsidRPr="00171757">
        <w:t xml:space="preserve">. </w:t>
      </w:r>
      <w:r w:rsidR="006E1E75" w:rsidRPr="00171757">
        <w:t>Adhered</w:t>
      </w:r>
      <w:r w:rsidR="00797020" w:rsidRPr="00171757">
        <w:t xml:space="preserve"> leukocytes </w:t>
      </w:r>
      <w:r w:rsidR="00E26995" w:rsidRPr="00171757">
        <w:t xml:space="preserve">migrate along the endothelial monolayer to </w:t>
      </w:r>
      <w:r w:rsidR="00797020" w:rsidRPr="00171757">
        <w:t>identify permissible sites that enable transendothelial migration</w:t>
      </w:r>
      <w:r w:rsidR="006E1E75" w:rsidRPr="00171757">
        <w:t xml:space="preserve"> and entry into tissue</w:t>
      </w:r>
      <w:r w:rsidR="00797020" w:rsidRPr="00171757">
        <w:t>. Here, leukocytes may migrate in a random fashion (chemokines</w:t>
      </w:r>
      <w:r w:rsidR="00760D0F" w:rsidRPr="00171757">
        <w:t>i</w:t>
      </w:r>
      <w:r w:rsidR="00797020" w:rsidRPr="00171757">
        <w:t>s) in the absence of chemoattractants, or if a strong chemoattractant gradient is available, leukocytes will move in a directional manner (chemotaxis) towards the area with the highest concentration of chemoattractants</w:t>
      </w:r>
      <w:r w:rsidR="00B15CA1" w:rsidRPr="00171757">
        <w:t xml:space="preserve"> [13]</w:t>
      </w:r>
      <w:r w:rsidR="00797020" w:rsidRPr="00171757">
        <w:t>. In the context of inflammation, leukocytes utilise a chemokine gradient to migrate towards the source of infection/injury. The leukocyte adhesion cascade has been reviewed in depth elsewhere</w:t>
      </w:r>
      <w:r w:rsidR="00B15CA1" w:rsidRPr="00171757">
        <w:t xml:space="preserve"> [1, 14, 15]</w:t>
      </w:r>
      <w:r w:rsidR="00797020" w:rsidRPr="00171757">
        <w:t xml:space="preserve">. </w:t>
      </w:r>
    </w:p>
    <w:p w14:paraId="3BF46F21" w14:textId="28C3497F" w:rsidR="00797020" w:rsidRPr="00171757" w:rsidRDefault="00797020">
      <w:pPr>
        <w:tabs>
          <w:tab w:val="left" w:pos="993"/>
        </w:tabs>
        <w:spacing w:line="480" w:lineRule="auto"/>
        <w:jc w:val="both"/>
      </w:pPr>
      <w:r w:rsidRPr="00171757">
        <w:tab/>
        <w:t xml:space="preserve">For successful recruitment and entry into inflamed tissue, leukocytes must be able to negotiate the endothelial barrier using an arsenal of molecules, including cell adhesion molecules, chemokine receptors and lipid mediators, which differ depending on </w:t>
      </w:r>
      <w:r w:rsidR="00FC0A9E" w:rsidRPr="00171757">
        <w:t>the inflammatory stimulus</w:t>
      </w:r>
      <w:r w:rsidRPr="00171757">
        <w:t xml:space="preserve">, leukocyte </w:t>
      </w:r>
      <w:r w:rsidRPr="00171757">
        <w:lastRenderedPageBreak/>
        <w:t>subset and vascular bed involved in the migration process.  Importantly, adhesion molecules involved in leukocyte trafficking also influence leukocyte effector functions, such as the involvement of integrin signalling in T-cell activation, differentiation and proliferation</w:t>
      </w:r>
      <w:r w:rsidR="00B15CA1" w:rsidRPr="00171757">
        <w:t xml:space="preserve"> [16]</w:t>
      </w:r>
      <w:r w:rsidRPr="00171757">
        <w:t>. Any changes in expression or functionality of these molecules will disrupt the leukocyte trafficking process and affect immune responses.</w:t>
      </w:r>
    </w:p>
    <w:p w14:paraId="2B582A85" w14:textId="1718339F" w:rsidR="00797020" w:rsidRPr="00171757" w:rsidRDefault="00797020">
      <w:pPr>
        <w:tabs>
          <w:tab w:val="left" w:pos="993"/>
        </w:tabs>
        <w:spacing w:line="480" w:lineRule="auto"/>
        <w:jc w:val="both"/>
      </w:pPr>
      <w:r w:rsidRPr="00171757">
        <w:tab/>
        <w:t>Although heavily associated with inflammatory responses, the trafficking of leukocytes into and out</w:t>
      </w:r>
      <w:r w:rsidR="00FC0A9E" w:rsidRPr="00171757">
        <w:t xml:space="preserve"> of</w:t>
      </w:r>
      <w:r w:rsidRPr="00171757">
        <w:t xml:space="preserve"> tissues is an essential p</w:t>
      </w:r>
      <w:r w:rsidR="006E1E75" w:rsidRPr="00171757">
        <w:t>art of steady state homeostasis</w:t>
      </w:r>
      <w:r w:rsidRPr="00171757">
        <w:t xml:space="preserve"> to provide ongoing immune surveillance</w:t>
      </w:r>
      <w:r w:rsidR="00B15CA1" w:rsidRPr="00171757">
        <w:t xml:space="preserve"> [15]</w:t>
      </w:r>
      <w:r w:rsidRPr="00171757">
        <w:t>. Homeostatic leukocyte trafficking occurs in a time-dependent manner, with peak leukocyte extravasation from blood into tissue</w:t>
      </w:r>
      <w:r w:rsidR="00760D0F" w:rsidRPr="00171757">
        <w:t>s</w:t>
      </w:r>
      <w:r w:rsidRPr="00171757">
        <w:t xml:space="preserve"> occurring in the day for humans and in the night for mice</w:t>
      </w:r>
      <w:r w:rsidR="00B15CA1" w:rsidRPr="00171757">
        <w:t xml:space="preserve"> [17, 18]</w:t>
      </w:r>
      <w:r w:rsidRPr="00171757">
        <w:t>. The synchronization of homeostatic leukocyte trafficking with the circadian rhythm is partly due to the oscillating expression of adhesion molecules e.g. ICAM-1 and VCAM-1 on the surface of endothelial cells and the expression of chemokine receptors e.g. CXCR4 and integrin su</w:t>
      </w:r>
      <w:r w:rsidR="00FC0A9E" w:rsidRPr="00171757">
        <w:t>bunits e.g. CD11a on leukocytes;</w:t>
      </w:r>
      <w:r w:rsidRPr="00171757">
        <w:t xml:space="preserve"> with peak expression on bot</w:t>
      </w:r>
      <w:r w:rsidR="00FC0A9E" w:rsidRPr="00171757">
        <w:t>h cell types occurring at night</w:t>
      </w:r>
      <w:r w:rsidR="006E1E75" w:rsidRPr="00171757">
        <w:t xml:space="preserve"> in mice</w:t>
      </w:r>
      <w:r w:rsidR="00FC0A9E" w:rsidRPr="00171757">
        <w:t xml:space="preserve">, </w:t>
      </w:r>
      <w:r w:rsidRPr="00171757">
        <w:t>promoting the extravasation of leukocytes from circulation</w:t>
      </w:r>
      <w:r w:rsidR="00B15CA1" w:rsidRPr="00171757">
        <w:t xml:space="preserve"> [19]</w:t>
      </w:r>
      <w:r w:rsidRPr="00171757">
        <w:t xml:space="preserve">. </w:t>
      </w:r>
    </w:p>
    <w:p w14:paraId="1929C666" w14:textId="6B6896B6" w:rsidR="00AE3B7F" w:rsidRPr="00171757" w:rsidRDefault="00797020">
      <w:pPr>
        <w:tabs>
          <w:tab w:val="left" w:pos="993"/>
        </w:tabs>
        <w:spacing w:line="480" w:lineRule="auto"/>
        <w:jc w:val="both"/>
      </w:pPr>
      <w:r w:rsidRPr="00171757">
        <w:tab/>
      </w:r>
      <w:r w:rsidRPr="00171757">
        <w:tab/>
        <w:t xml:space="preserve">Leukocytes are not only trafficked between the circulatory system and </w:t>
      </w:r>
      <w:r w:rsidR="00FC0A9E" w:rsidRPr="00171757">
        <w:t xml:space="preserve">peripheral </w:t>
      </w:r>
      <w:r w:rsidRPr="00171757">
        <w:t xml:space="preserve">tissues, but also within the </w:t>
      </w:r>
      <w:r w:rsidRPr="00171757">
        <w:lastRenderedPageBreak/>
        <w:t>lymphatic network</w:t>
      </w:r>
      <w:r w:rsidR="00B15CA1" w:rsidRPr="00171757">
        <w:t xml:space="preserve"> [20, 21]</w:t>
      </w:r>
      <w:r w:rsidRPr="00171757">
        <w:t xml:space="preserve">. </w:t>
      </w:r>
      <w:r w:rsidR="00FC0A9E" w:rsidRPr="00171757">
        <w:t>Lymphatic vessels facilitate</w:t>
      </w:r>
      <w:r w:rsidRPr="00171757">
        <w:t xml:space="preserve"> the trafficking of antigen-loade</w:t>
      </w:r>
      <w:r w:rsidR="00A63384" w:rsidRPr="00171757">
        <w:t>d antigen presenting cells (APC</w:t>
      </w:r>
      <w:r w:rsidRPr="00171757">
        <w:t>) to draining lymph nodes (dLN) in order to initiate adaptive immune responses during acute inflammation, and also the trafficking of leukocytes capable of providing immunoreg</w:t>
      </w:r>
      <w:r w:rsidR="00FC0A9E" w:rsidRPr="00171757">
        <w:t>ulation and immune</w:t>
      </w:r>
      <w:r w:rsidR="00760D0F" w:rsidRPr="00171757">
        <w:t xml:space="preserve"> </w:t>
      </w:r>
      <w:r w:rsidR="00FC0A9E" w:rsidRPr="00171757">
        <w:t>surveillance</w:t>
      </w:r>
      <w:r w:rsidRPr="00171757">
        <w:t xml:space="preserve"> during homeostasis</w:t>
      </w:r>
      <w:r w:rsidR="00B15CA1" w:rsidRPr="00171757">
        <w:t xml:space="preserve"> [20]</w:t>
      </w:r>
      <w:r w:rsidRPr="00171757">
        <w:t xml:space="preserve">. APC enter the lymphatic system from tissue by migrating through interstitial matrix, peri-lymphatic basement membrane and crossing the external adhesion molecule-coated surface of afferent lymphatic </w:t>
      </w:r>
      <w:r w:rsidR="00760D0F" w:rsidRPr="00171757">
        <w:t>capillaries</w:t>
      </w:r>
      <w:r w:rsidRPr="00171757">
        <w:t xml:space="preserve"> in a process termed intravasation</w:t>
      </w:r>
      <w:r w:rsidR="00B15CA1" w:rsidRPr="00171757">
        <w:t xml:space="preserve"> [20, 22]</w:t>
      </w:r>
      <w:r w:rsidR="00A63384" w:rsidRPr="00171757">
        <w:t>. Once within the lymphatic network, APC</w:t>
      </w:r>
      <w:r w:rsidRPr="00171757">
        <w:t xml:space="preserve"> </w:t>
      </w:r>
      <w:r w:rsidR="00A63384" w:rsidRPr="00171757">
        <w:t>traffic</w:t>
      </w:r>
      <w:r w:rsidRPr="00171757">
        <w:t xml:space="preserve"> into dLN using the lymph circulation. Lymphocytes, on the other hand, enter dLN from high endothelial venules and eventually exit the lymphatic network through extravasation within efferent lymphatic vessels</w:t>
      </w:r>
      <w:r w:rsidR="00B15CA1" w:rsidRPr="00171757">
        <w:t xml:space="preserve"> [21]</w:t>
      </w:r>
      <w:r w:rsidR="00500BD9" w:rsidRPr="00171757">
        <w:t>.</w:t>
      </w:r>
      <w:r w:rsidRPr="00171757">
        <w:t xml:space="preserve">  </w:t>
      </w:r>
    </w:p>
    <w:p w14:paraId="774DA5F6" w14:textId="33956825" w:rsidR="0091364D" w:rsidRPr="00171757" w:rsidRDefault="00764660">
      <w:pPr>
        <w:pStyle w:val="Heading2"/>
        <w:spacing w:line="480" w:lineRule="auto"/>
        <w:rPr>
          <w:rFonts w:ascii="Times New Roman" w:hAnsi="Times New Roman" w:cs="Times New Roman"/>
        </w:rPr>
      </w:pPr>
      <w:r>
        <w:rPr>
          <w:rFonts w:ascii="Times New Roman" w:hAnsi="Times New Roman" w:cs="Times New Roman"/>
        </w:rPr>
        <w:t xml:space="preserve">1.2 </w:t>
      </w:r>
      <w:r w:rsidR="004C5C06" w:rsidRPr="00171757">
        <w:rPr>
          <w:rFonts w:ascii="Times New Roman" w:hAnsi="Times New Roman" w:cs="Times New Roman"/>
        </w:rPr>
        <w:t>Trafficking</w:t>
      </w:r>
      <w:r w:rsidR="006B3652" w:rsidRPr="00171757">
        <w:rPr>
          <w:rFonts w:ascii="Times New Roman" w:hAnsi="Times New Roman" w:cs="Times New Roman"/>
        </w:rPr>
        <w:t xml:space="preserve"> of innate immune cells</w:t>
      </w:r>
      <w:r w:rsidR="0091364D" w:rsidRPr="00171757">
        <w:rPr>
          <w:rFonts w:ascii="Times New Roman" w:hAnsi="Times New Roman" w:cs="Times New Roman"/>
        </w:rPr>
        <w:t xml:space="preserve"> in </w:t>
      </w:r>
      <w:r w:rsidR="006B3652" w:rsidRPr="00171757">
        <w:rPr>
          <w:rFonts w:ascii="Times New Roman" w:hAnsi="Times New Roman" w:cs="Times New Roman"/>
        </w:rPr>
        <w:t>a</w:t>
      </w:r>
      <w:r w:rsidR="0091364D" w:rsidRPr="00171757">
        <w:rPr>
          <w:rFonts w:ascii="Times New Roman" w:hAnsi="Times New Roman" w:cs="Times New Roman"/>
        </w:rPr>
        <w:t>ge</w:t>
      </w:r>
      <w:r w:rsidR="004C5C06" w:rsidRPr="00171757">
        <w:rPr>
          <w:rFonts w:ascii="Times New Roman" w:hAnsi="Times New Roman" w:cs="Times New Roman"/>
        </w:rPr>
        <w:t>ing</w:t>
      </w:r>
    </w:p>
    <w:p w14:paraId="42F0475F" w14:textId="15B4CD89" w:rsidR="00F60E28" w:rsidRPr="00171757" w:rsidRDefault="003F172B">
      <w:pPr>
        <w:spacing w:line="480" w:lineRule="auto"/>
        <w:jc w:val="both"/>
      </w:pPr>
      <w:r w:rsidRPr="00171757">
        <w:tab/>
      </w:r>
      <w:r w:rsidR="00F60E28" w:rsidRPr="00171757">
        <w:t xml:space="preserve">Intrinsic cellular deficiencies caused by ageing modulate </w:t>
      </w:r>
      <w:r w:rsidR="00171757">
        <w:t xml:space="preserve">the </w:t>
      </w:r>
      <w:r w:rsidR="00F60E28" w:rsidRPr="00171757">
        <w:t>homeostatic trafficking of innate immune cells. Single-cell RNA sequencing has revealed age-related changes to murine tissu</w:t>
      </w:r>
      <w:r w:rsidR="004D6F54" w:rsidRPr="00171757">
        <w:t>e-resident leukocyte population sizes</w:t>
      </w:r>
      <w:r w:rsidR="00F60E28" w:rsidRPr="00171757">
        <w:t xml:space="preserve"> under homeostatic conditions in a tissue-specific manner</w:t>
      </w:r>
      <w:r w:rsidR="00B15CA1" w:rsidRPr="00171757">
        <w:t xml:space="preserve"> [23]</w:t>
      </w:r>
      <w:r w:rsidR="009A25B7" w:rsidRPr="00171757">
        <w:t xml:space="preserve">. </w:t>
      </w:r>
      <w:r w:rsidR="00F60E28" w:rsidRPr="00171757">
        <w:t xml:space="preserve">There was an increased relative abundance of granulocytes and decreased abundance of monocytes in the bone marrow (BM) </w:t>
      </w:r>
      <w:r w:rsidR="00F60E28" w:rsidRPr="00171757">
        <w:lastRenderedPageBreak/>
        <w:t>of aged C57B</w:t>
      </w:r>
      <w:r w:rsidR="00A764BE" w:rsidRPr="00171757">
        <w:t>L</w:t>
      </w:r>
      <w:r w:rsidR="00F60E28" w:rsidRPr="00171757">
        <w:t xml:space="preserve">/6 mice </w:t>
      </w:r>
      <w:r w:rsidR="00A06364" w:rsidRPr="00171757">
        <w:t>(&gt;18 month</w:t>
      </w:r>
      <w:r w:rsidR="00A11572" w:rsidRPr="00171757">
        <w:t>s</w:t>
      </w:r>
      <w:r w:rsidR="00A06364" w:rsidRPr="00171757">
        <w:t xml:space="preserve">) </w:t>
      </w:r>
      <w:r w:rsidR="00F60E28" w:rsidRPr="00171757">
        <w:t>compared to younger mice</w:t>
      </w:r>
      <w:r w:rsidR="00A06364" w:rsidRPr="00171757">
        <w:t xml:space="preserve"> (&lt;3 month</w:t>
      </w:r>
      <w:r w:rsidR="00A11572" w:rsidRPr="00171757">
        <w:t>s</w:t>
      </w:r>
      <w:r w:rsidR="00A06364" w:rsidRPr="00171757">
        <w:t>),</w:t>
      </w:r>
      <w:r w:rsidR="00F60E28" w:rsidRPr="00171757">
        <w:t xml:space="preserve"> whilst the relative abundance of macrophages in the kidney increased with age</w:t>
      </w:r>
      <w:r w:rsidR="00B15CA1" w:rsidRPr="00171757">
        <w:t xml:space="preserve"> [23]</w:t>
      </w:r>
      <w:r w:rsidR="00F60E28" w:rsidRPr="00171757">
        <w:t>.</w:t>
      </w:r>
      <w:r w:rsidR="00570F76" w:rsidRPr="00171757">
        <w:t xml:space="preserve"> </w:t>
      </w:r>
      <w:r w:rsidR="001E6214" w:rsidRPr="00171757">
        <w:t xml:space="preserve">It is not clear whether these changes in leukocyte population numbers are due </w:t>
      </w:r>
      <w:r w:rsidR="003E6EEC" w:rsidRPr="00171757">
        <w:t>to age-related changes in</w:t>
      </w:r>
      <w:r w:rsidR="001E6214" w:rsidRPr="00171757">
        <w:t xml:space="preserve"> homeostatic </w:t>
      </w:r>
      <w:r w:rsidR="003E6EEC" w:rsidRPr="00171757">
        <w:t xml:space="preserve">leukocyte </w:t>
      </w:r>
      <w:r w:rsidR="001E6214" w:rsidRPr="00171757">
        <w:t xml:space="preserve">trafficking, or due to additional factors that may change with age such as leukocyte retention within tissue, proliferation/survival rates, </w:t>
      </w:r>
      <w:r w:rsidR="003E6EEC" w:rsidRPr="00171757">
        <w:t>and leukocyte</w:t>
      </w:r>
      <w:r w:rsidR="001E6214" w:rsidRPr="00171757">
        <w:t xml:space="preserve"> differentiation. </w:t>
      </w:r>
      <w:r w:rsidR="00570F76" w:rsidRPr="00171757">
        <w:t xml:space="preserve">More studies in this area are needed to </w:t>
      </w:r>
      <w:r w:rsidR="001E6214" w:rsidRPr="00171757">
        <w:t xml:space="preserve">elucidate whether differences in leukocyte numbers within tissue are due to </w:t>
      </w:r>
      <w:r w:rsidR="004D6F54" w:rsidRPr="00171757">
        <w:t xml:space="preserve">age-related </w:t>
      </w:r>
      <w:r w:rsidR="001E6214" w:rsidRPr="00171757">
        <w:t>d</w:t>
      </w:r>
      <w:r w:rsidR="004D6F54" w:rsidRPr="00171757">
        <w:t>efects in leukocyte trafficking</w:t>
      </w:r>
      <w:r w:rsidR="001E6214" w:rsidRPr="00171757">
        <w:t xml:space="preserve"> and</w:t>
      </w:r>
      <w:r w:rsidR="004D6F54" w:rsidRPr="00171757">
        <w:t>,</w:t>
      </w:r>
      <w:r w:rsidR="001E6214" w:rsidRPr="00171757">
        <w:t xml:space="preserve"> if </w:t>
      </w:r>
      <w:r w:rsidR="003E6EEC" w:rsidRPr="00171757">
        <w:t>so</w:t>
      </w:r>
      <w:r w:rsidR="001E6214" w:rsidRPr="00171757">
        <w:t>, determine</w:t>
      </w:r>
      <w:r w:rsidR="00570F76" w:rsidRPr="00171757">
        <w:t xml:space="preserve"> the mechanisms </w:t>
      </w:r>
      <w:r w:rsidR="004D6F54" w:rsidRPr="00171757">
        <w:t>underpinning</w:t>
      </w:r>
      <w:r w:rsidR="00570F76" w:rsidRPr="00171757">
        <w:t xml:space="preserve"> the differential recruitment of </w:t>
      </w:r>
      <w:r w:rsidR="001E6214" w:rsidRPr="00171757">
        <w:t xml:space="preserve">leukocytes </w:t>
      </w:r>
      <w:r w:rsidR="00570F76" w:rsidRPr="00171757">
        <w:t>to tissues in homeosta</w:t>
      </w:r>
      <w:r w:rsidR="000E3C77" w:rsidRPr="00171757">
        <w:t>s</w:t>
      </w:r>
      <w:r w:rsidR="00570F76" w:rsidRPr="00171757">
        <w:t>is</w:t>
      </w:r>
      <w:r w:rsidR="003E6EEC" w:rsidRPr="00171757">
        <w:t>,</w:t>
      </w:r>
      <w:r w:rsidR="000E3C77" w:rsidRPr="00171757">
        <w:t xml:space="preserve"> and whether the same effects are seen in humans</w:t>
      </w:r>
      <w:r w:rsidR="00570F76" w:rsidRPr="00171757">
        <w:t>.</w:t>
      </w:r>
    </w:p>
    <w:p w14:paraId="73F61D3A" w14:textId="5614079D" w:rsidR="001E6214" w:rsidRPr="00171757" w:rsidRDefault="00764660" w:rsidP="00FB2954">
      <w:pPr>
        <w:pStyle w:val="Heading3"/>
        <w:spacing w:line="480" w:lineRule="auto"/>
        <w:jc w:val="both"/>
      </w:pPr>
      <w:r>
        <w:t xml:space="preserve">1.2.1 </w:t>
      </w:r>
      <w:r w:rsidR="006A1CF4" w:rsidRPr="00171757">
        <w:t>Dendritic cells</w:t>
      </w:r>
    </w:p>
    <w:p w14:paraId="144D9523" w14:textId="60F702F5" w:rsidR="00CC43F3" w:rsidRPr="00171757" w:rsidRDefault="00F60E28" w:rsidP="004D0D7D">
      <w:pPr>
        <w:spacing w:line="480" w:lineRule="auto"/>
        <w:jc w:val="both"/>
      </w:pPr>
      <w:r w:rsidRPr="00171757">
        <w:tab/>
      </w:r>
      <w:r w:rsidR="0091364D" w:rsidRPr="00171757">
        <w:t xml:space="preserve">The </w:t>
      </w:r>
      <w:r w:rsidR="002A1303" w:rsidRPr="00171757">
        <w:t>trafficking</w:t>
      </w:r>
      <w:r w:rsidR="0091364D" w:rsidRPr="00171757">
        <w:t xml:space="preserve"> of </w:t>
      </w:r>
      <w:r w:rsidR="004C5C06" w:rsidRPr="00171757">
        <w:t>innate immune cells</w:t>
      </w:r>
      <w:r w:rsidR="0091364D" w:rsidRPr="00171757">
        <w:t xml:space="preserve"> under </w:t>
      </w:r>
      <w:r w:rsidR="00E31BA8" w:rsidRPr="00171757">
        <w:t>inflammatory conditions</w:t>
      </w:r>
      <w:r w:rsidR="0091364D" w:rsidRPr="00171757">
        <w:t xml:space="preserve"> </w:t>
      </w:r>
      <w:r w:rsidRPr="00171757">
        <w:t xml:space="preserve">is also affected </w:t>
      </w:r>
      <w:r w:rsidR="003E6EEC" w:rsidRPr="00171757">
        <w:t>by</w:t>
      </w:r>
      <w:r w:rsidR="0091364D" w:rsidRPr="00171757">
        <w:t xml:space="preserve"> advancing age</w:t>
      </w:r>
      <w:r w:rsidR="00B15CA1" w:rsidRPr="00171757">
        <w:t xml:space="preserve"> [24, 25]</w:t>
      </w:r>
      <w:r w:rsidR="00AE0D92" w:rsidRPr="00171757">
        <w:t>.</w:t>
      </w:r>
      <w:r w:rsidR="0091364D" w:rsidRPr="00171757">
        <w:t xml:space="preserve"> </w:t>
      </w:r>
      <w:r w:rsidR="00611511" w:rsidRPr="00171757">
        <w:t xml:space="preserve">In a murine model of respiratory infection, young </w:t>
      </w:r>
      <w:r w:rsidR="005E6B2A" w:rsidRPr="00171757">
        <w:t>(&lt;2 month</w:t>
      </w:r>
      <w:r w:rsidR="00A11572" w:rsidRPr="00171757">
        <w:t>s</w:t>
      </w:r>
      <w:r w:rsidR="00611511" w:rsidRPr="00171757">
        <w:t>) and aged</w:t>
      </w:r>
      <w:r w:rsidR="005026EF" w:rsidRPr="00171757">
        <w:t xml:space="preserve"> </w:t>
      </w:r>
      <w:r w:rsidR="002A1303" w:rsidRPr="00171757">
        <w:t>C57B</w:t>
      </w:r>
      <w:r w:rsidR="00A764BE" w:rsidRPr="00171757">
        <w:t>L/</w:t>
      </w:r>
      <w:r w:rsidR="002A1303" w:rsidRPr="00171757">
        <w:t xml:space="preserve">6 </w:t>
      </w:r>
      <w:r w:rsidR="00611511" w:rsidRPr="00171757">
        <w:t>mice</w:t>
      </w:r>
      <w:r w:rsidR="00A06364" w:rsidRPr="00171757">
        <w:t xml:space="preserve"> (22 month</w:t>
      </w:r>
      <w:r w:rsidR="00A11572" w:rsidRPr="00171757">
        <w:t>s</w:t>
      </w:r>
      <w:r w:rsidR="00A06364" w:rsidRPr="00171757">
        <w:t xml:space="preserve">) </w:t>
      </w:r>
      <w:r w:rsidR="00611511" w:rsidRPr="00171757">
        <w:t xml:space="preserve">were inoculated with </w:t>
      </w:r>
      <w:r w:rsidR="000E3C77" w:rsidRPr="00171757">
        <w:t xml:space="preserve">either </w:t>
      </w:r>
      <w:r w:rsidR="005E6B2A" w:rsidRPr="00171757">
        <w:t>influenza A</w:t>
      </w:r>
      <w:r w:rsidR="000E3C77" w:rsidRPr="00171757">
        <w:t>,</w:t>
      </w:r>
      <w:r w:rsidR="00C64E21" w:rsidRPr="00171757">
        <w:t xml:space="preserve"> a </w:t>
      </w:r>
      <w:r w:rsidR="005E6B2A" w:rsidRPr="00171757">
        <w:t>severe acute respiratory syndrome coronavirus</w:t>
      </w:r>
      <w:r w:rsidR="000E3C77" w:rsidRPr="00171757">
        <w:t>,</w:t>
      </w:r>
      <w:r w:rsidR="00C64E21" w:rsidRPr="00171757">
        <w:t xml:space="preserve"> a </w:t>
      </w:r>
      <w:r w:rsidR="005E6B2A" w:rsidRPr="00171757">
        <w:t>respiratory syncytial virus</w:t>
      </w:r>
      <w:r w:rsidR="00611511" w:rsidRPr="00171757">
        <w:t xml:space="preserve">, </w:t>
      </w:r>
      <w:r w:rsidR="005C5BE4" w:rsidRPr="00171757">
        <w:t>or</w:t>
      </w:r>
      <w:r w:rsidR="00611511" w:rsidRPr="00171757">
        <w:t xml:space="preserve"> </w:t>
      </w:r>
      <w:r w:rsidR="00C64E21" w:rsidRPr="00171757">
        <w:t xml:space="preserve">a </w:t>
      </w:r>
      <w:r w:rsidR="005E6B2A" w:rsidRPr="00171757">
        <w:t>mouse hepatitis strain 1</w:t>
      </w:r>
      <w:r w:rsidR="00611511" w:rsidRPr="00171757">
        <w:t xml:space="preserve"> virus</w:t>
      </w:r>
      <w:r w:rsidR="00B15CA1" w:rsidRPr="00171757">
        <w:t xml:space="preserve"> [24]</w:t>
      </w:r>
      <w:r w:rsidR="005C5BE4" w:rsidRPr="00171757">
        <w:t>. T</w:t>
      </w:r>
      <w:r w:rsidR="0091364D" w:rsidRPr="00171757">
        <w:t xml:space="preserve">he migration of </w:t>
      </w:r>
      <w:r w:rsidR="00611511" w:rsidRPr="00171757">
        <w:t xml:space="preserve">respiratory </w:t>
      </w:r>
      <w:r w:rsidR="005E6B2A" w:rsidRPr="00171757">
        <w:t>dendritic cells</w:t>
      </w:r>
      <w:r w:rsidR="00BC5058" w:rsidRPr="00171757">
        <w:t xml:space="preserve"> </w:t>
      </w:r>
      <w:r w:rsidR="00DB0A1F" w:rsidRPr="00171757">
        <w:t>(</w:t>
      </w:r>
      <w:r w:rsidR="00D26F8C" w:rsidRPr="00171757">
        <w:t xml:space="preserve">DC) </w:t>
      </w:r>
      <w:r w:rsidR="00BC5058" w:rsidRPr="00171757">
        <w:t xml:space="preserve">to </w:t>
      </w:r>
      <w:r w:rsidR="000B3A8E" w:rsidRPr="00171757">
        <w:t>lung</w:t>
      </w:r>
      <w:r w:rsidR="00724BA2" w:rsidRPr="00171757">
        <w:t xml:space="preserve"> </w:t>
      </w:r>
      <w:r w:rsidR="00511055" w:rsidRPr="00171757">
        <w:t>dLN</w:t>
      </w:r>
      <w:r w:rsidR="00BC5058" w:rsidRPr="00171757">
        <w:t xml:space="preserve"> </w:t>
      </w:r>
      <w:r w:rsidR="005C5BE4" w:rsidRPr="00171757">
        <w:t xml:space="preserve">18 h post-infection </w:t>
      </w:r>
      <w:r w:rsidR="00BC5058" w:rsidRPr="00171757">
        <w:t>was</w:t>
      </w:r>
      <w:r w:rsidR="0091364D" w:rsidRPr="00171757">
        <w:t xml:space="preserve"> impaired in </w:t>
      </w:r>
      <w:r w:rsidR="00FB616B" w:rsidRPr="00171757">
        <w:lastRenderedPageBreak/>
        <w:t>aged</w:t>
      </w:r>
      <w:r w:rsidR="0091364D" w:rsidRPr="00171757">
        <w:t xml:space="preserve"> mice</w:t>
      </w:r>
      <w:r w:rsidR="005C5BE4" w:rsidRPr="00171757">
        <w:t xml:space="preserve"> compared to younger </w:t>
      </w:r>
      <w:r w:rsidR="00AE107C" w:rsidRPr="00171757">
        <w:t>mice</w:t>
      </w:r>
      <w:r w:rsidR="002A1303" w:rsidRPr="00171757">
        <w:t>,</w:t>
      </w:r>
      <w:r w:rsidR="00AE107C" w:rsidRPr="00171757">
        <w:t xml:space="preserve"> and</w:t>
      </w:r>
      <w:r w:rsidR="005C5BE4" w:rsidRPr="00171757">
        <w:t xml:space="preserve"> was </w:t>
      </w:r>
      <w:r w:rsidR="0091364D" w:rsidRPr="00171757">
        <w:t xml:space="preserve">attributed to </w:t>
      </w:r>
      <w:r w:rsidR="0003326F" w:rsidRPr="00171757">
        <w:t xml:space="preserve">an </w:t>
      </w:r>
      <w:r w:rsidR="0091364D" w:rsidRPr="00171757">
        <w:t xml:space="preserve">age-related </w:t>
      </w:r>
      <w:r w:rsidR="0003326F" w:rsidRPr="00171757">
        <w:t xml:space="preserve">increase </w:t>
      </w:r>
      <w:r w:rsidR="0091364D" w:rsidRPr="00171757">
        <w:t xml:space="preserve">in </w:t>
      </w:r>
      <w:r w:rsidR="003E6EEC" w:rsidRPr="00171757">
        <w:t xml:space="preserve">local </w:t>
      </w:r>
      <w:r w:rsidR="00416B24" w:rsidRPr="00171757">
        <w:t xml:space="preserve">levels of </w:t>
      </w:r>
      <w:r w:rsidR="0091364D" w:rsidRPr="00171757">
        <w:t>prostaglandin D2</w:t>
      </w:r>
      <w:r w:rsidR="00BC5058" w:rsidRPr="00171757">
        <w:t xml:space="preserve"> (PGD</w:t>
      </w:r>
      <w:r w:rsidR="00BC5058" w:rsidRPr="00171757">
        <w:rPr>
          <w:vertAlign w:val="subscript"/>
        </w:rPr>
        <w:t>2</w:t>
      </w:r>
      <w:r w:rsidR="00BC5058" w:rsidRPr="00171757">
        <w:t>)</w:t>
      </w:r>
      <w:r w:rsidR="002E62D0" w:rsidRPr="00171757">
        <w:t>.</w:t>
      </w:r>
      <w:r w:rsidR="0091364D" w:rsidRPr="00171757">
        <w:t xml:space="preserve"> Impaired </w:t>
      </w:r>
      <w:r w:rsidR="00DB0A1F" w:rsidRPr="00171757">
        <w:t xml:space="preserve">respiratory </w:t>
      </w:r>
      <w:r w:rsidR="0091364D" w:rsidRPr="00171757">
        <w:t xml:space="preserve">DC migration was accompanied with poor T-cell responses </w:t>
      </w:r>
      <w:r w:rsidR="002E62D0" w:rsidRPr="00171757">
        <w:t>in infected aged mice</w:t>
      </w:r>
      <w:r w:rsidR="0091364D" w:rsidRPr="00171757">
        <w:t xml:space="preserve">. Interestingly, blocking </w:t>
      </w:r>
      <w:r w:rsidR="00BC5058" w:rsidRPr="00171757">
        <w:t>PGD</w:t>
      </w:r>
      <w:r w:rsidR="00BC5058" w:rsidRPr="00171757">
        <w:rPr>
          <w:vertAlign w:val="subscript"/>
        </w:rPr>
        <w:t xml:space="preserve">2 </w:t>
      </w:r>
      <w:r w:rsidR="0091364D" w:rsidRPr="00171757">
        <w:t xml:space="preserve">function rescued </w:t>
      </w:r>
      <w:r w:rsidR="00DB0A1F" w:rsidRPr="00171757">
        <w:t xml:space="preserve">respiratory </w:t>
      </w:r>
      <w:r w:rsidR="0091364D" w:rsidRPr="00171757">
        <w:t xml:space="preserve">DC migration </w:t>
      </w:r>
      <w:r w:rsidR="00F44900" w:rsidRPr="00171757">
        <w:t>to dLN in aged animals</w:t>
      </w:r>
      <w:r w:rsidR="006A1CF4" w:rsidRPr="00171757">
        <w:t xml:space="preserve"> and correlated with increased </w:t>
      </w:r>
      <w:r w:rsidR="00933067" w:rsidRPr="00171757">
        <w:t xml:space="preserve">surface </w:t>
      </w:r>
      <w:r w:rsidR="00D26039" w:rsidRPr="00171757">
        <w:t xml:space="preserve">expression of the homing chemokine receptor </w:t>
      </w:r>
      <w:r w:rsidR="00A2723F" w:rsidRPr="00171757">
        <w:t>7 (</w:t>
      </w:r>
      <w:r w:rsidR="0091364D" w:rsidRPr="00171757">
        <w:t>CCR7</w:t>
      </w:r>
      <w:r w:rsidR="00A2723F" w:rsidRPr="00171757">
        <w:t>)</w:t>
      </w:r>
      <w:r w:rsidR="00D26039" w:rsidRPr="00171757">
        <w:t xml:space="preserve"> </w:t>
      </w:r>
      <w:r w:rsidR="0091364D" w:rsidRPr="00171757">
        <w:t xml:space="preserve">on </w:t>
      </w:r>
      <w:r w:rsidR="00DB0A1F" w:rsidRPr="00171757">
        <w:t xml:space="preserve">respiratory </w:t>
      </w:r>
      <w:r w:rsidR="0091364D" w:rsidRPr="00171757">
        <w:t>DC</w:t>
      </w:r>
      <w:r w:rsidR="00204B92" w:rsidRPr="00171757">
        <w:t xml:space="preserve"> in the lungs</w:t>
      </w:r>
      <w:r w:rsidR="005026EF" w:rsidRPr="00171757">
        <w:t xml:space="preserve"> and dLN</w:t>
      </w:r>
      <w:r w:rsidR="0091364D" w:rsidRPr="00171757">
        <w:t xml:space="preserve">. </w:t>
      </w:r>
      <w:r w:rsidR="000E2130" w:rsidRPr="00171757">
        <w:t>Age-related changes to local microenvironmental factors, such as PGD</w:t>
      </w:r>
      <w:r w:rsidR="000E2130" w:rsidRPr="00171757">
        <w:rPr>
          <w:vertAlign w:val="subscript"/>
        </w:rPr>
        <w:t>2</w:t>
      </w:r>
      <w:r w:rsidR="000E2130" w:rsidRPr="00171757">
        <w:t xml:space="preserve">, may therefore influence leukocyte migration </w:t>
      </w:r>
      <w:r w:rsidR="002A1303" w:rsidRPr="00171757">
        <w:t>during inflammation</w:t>
      </w:r>
      <w:r w:rsidR="006A6953" w:rsidRPr="00171757">
        <w:t xml:space="preserve"> through regulating the expression of chemokine receptor</w:t>
      </w:r>
      <w:r w:rsidR="002A1303" w:rsidRPr="00171757">
        <w:t xml:space="preserve">s </w:t>
      </w:r>
      <w:r w:rsidR="006A6953" w:rsidRPr="00171757">
        <w:t>on leukocytes</w:t>
      </w:r>
      <w:r w:rsidR="000E2130" w:rsidRPr="00171757">
        <w:t xml:space="preserve">. Indeed, </w:t>
      </w:r>
      <w:r w:rsidR="00BC5058" w:rsidRPr="00171757">
        <w:t>PGD</w:t>
      </w:r>
      <w:r w:rsidR="00BC5058" w:rsidRPr="00171757">
        <w:rPr>
          <w:vertAlign w:val="subscript"/>
        </w:rPr>
        <w:t>2</w:t>
      </w:r>
      <w:r w:rsidR="00BC5058" w:rsidRPr="00171757">
        <w:t xml:space="preserve"> </w:t>
      </w:r>
      <w:r w:rsidR="00E101AD" w:rsidRPr="00171757">
        <w:t xml:space="preserve">signals are necessary for the </w:t>
      </w:r>
      <w:r w:rsidR="00AE107C" w:rsidRPr="00171757">
        <w:t>transmigration</w:t>
      </w:r>
      <w:r w:rsidR="00E101AD" w:rsidRPr="00171757">
        <w:t xml:space="preserve"> of neutrophils across an endothelial monolayer </w:t>
      </w:r>
      <w:r w:rsidR="00E101AD" w:rsidRPr="00171757">
        <w:rPr>
          <w:i/>
        </w:rPr>
        <w:t>in vitro</w:t>
      </w:r>
      <w:r w:rsidR="00B15CA1" w:rsidRPr="00171757">
        <w:t xml:space="preserve"> [26]</w:t>
      </w:r>
      <w:r w:rsidR="005B6F2A" w:rsidRPr="00171757">
        <w:t>.</w:t>
      </w:r>
    </w:p>
    <w:p w14:paraId="1BD1458C" w14:textId="0714DF18" w:rsidR="005A14D4" w:rsidRPr="00171757" w:rsidRDefault="00F65FBD" w:rsidP="004D0D7D">
      <w:pPr>
        <w:spacing w:line="480" w:lineRule="auto"/>
        <w:ind w:firstLine="720"/>
        <w:jc w:val="both"/>
      </w:pPr>
      <w:r w:rsidRPr="00171757">
        <w:t xml:space="preserve"> </w:t>
      </w:r>
      <w:r w:rsidR="00B078A6" w:rsidRPr="00171757">
        <w:t xml:space="preserve">To assess DC migration and function in ageing, </w:t>
      </w:r>
      <w:r w:rsidR="003D3450" w:rsidRPr="00171757">
        <w:t xml:space="preserve">terminally mature DC-like cells were generated from the </w:t>
      </w:r>
      <w:r w:rsidR="00B078A6" w:rsidRPr="00171757">
        <w:t xml:space="preserve">BM </w:t>
      </w:r>
      <w:r w:rsidR="003D3450" w:rsidRPr="00171757">
        <w:t>of</w:t>
      </w:r>
      <w:r w:rsidR="00B078A6" w:rsidRPr="00171757">
        <w:t xml:space="preserve"> young (</w:t>
      </w:r>
      <w:r w:rsidR="00E81190" w:rsidRPr="00171757">
        <w:t>&lt;6 months old</w:t>
      </w:r>
      <w:r w:rsidR="00B078A6" w:rsidRPr="00171757">
        <w:t>) and</w:t>
      </w:r>
      <w:r w:rsidR="0091364D" w:rsidRPr="00171757">
        <w:t xml:space="preserve"> </w:t>
      </w:r>
      <w:r w:rsidR="00FB616B" w:rsidRPr="00171757">
        <w:t xml:space="preserve">aged </w:t>
      </w:r>
      <w:r w:rsidR="00DC219E" w:rsidRPr="00171757">
        <w:t>C57BL</w:t>
      </w:r>
      <w:r w:rsidR="00DB6F72" w:rsidRPr="00171757">
        <w:t>/</w:t>
      </w:r>
      <w:r w:rsidR="0091364D" w:rsidRPr="00171757">
        <w:t xml:space="preserve">6 mice </w:t>
      </w:r>
      <w:r w:rsidR="00A06364" w:rsidRPr="00171757">
        <w:t>(&gt;18 month</w:t>
      </w:r>
      <w:r w:rsidR="00A11572" w:rsidRPr="00171757">
        <w:t>s</w:t>
      </w:r>
      <w:r w:rsidR="00A06364" w:rsidRPr="00171757">
        <w:t xml:space="preserve"> old)</w:t>
      </w:r>
      <w:r w:rsidR="00724BA2" w:rsidRPr="00171757">
        <w:t xml:space="preserve"> </w:t>
      </w:r>
      <w:r w:rsidR="00A764BE" w:rsidRPr="00171757">
        <w:t xml:space="preserve">using </w:t>
      </w:r>
      <w:r w:rsidR="000A145D" w:rsidRPr="00171757">
        <w:t>granulocyte-macrophage colony-stimulating factor</w:t>
      </w:r>
      <w:r w:rsidR="00B078A6" w:rsidRPr="00171757">
        <w:t xml:space="preserve"> and</w:t>
      </w:r>
      <w:r w:rsidR="000A145D" w:rsidRPr="00171757">
        <w:t xml:space="preserve"> interleukin 4</w:t>
      </w:r>
      <w:r w:rsidR="00B078A6" w:rsidRPr="00171757">
        <w:t xml:space="preserve"> </w:t>
      </w:r>
      <w:r w:rsidR="000A145D" w:rsidRPr="00171757">
        <w:t>(</w:t>
      </w:r>
      <w:r w:rsidR="00B078A6" w:rsidRPr="00171757">
        <w:t>IL-4</w:t>
      </w:r>
      <w:r w:rsidR="000A145D" w:rsidRPr="00171757">
        <w:t>)</w:t>
      </w:r>
      <w:r w:rsidR="00B15CA1" w:rsidRPr="00171757">
        <w:t xml:space="preserve"> [27]</w:t>
      </w:r>
      <w:r w:rsidR="00E81190" w:rsidRPr="00171757">
        <w:t xml:space="preserve">. </w:t>
      </w:r>
      <w:r w:rsidR="00724BA2" w:rsidRPr="00171757">
        <w:t xml:space="preserve">After 5 days, </w:t>
      </w:r>
      <w:r w:rsidR="00E81190" w:rsidRPr="00171757">
        <w:t>DC</w:t>
      </w:r>
      <w:r w:rsidR="003D3450" w:rsidRPr="00171757">
        <w:t xml:space="preserve"> were isolated</w:t>
      </w:r>
      <w:r w:rsidR="00E81190" w:rsidRPr="00171757">
        <w:t xml:space="preserve"> </w:t>
      </w:r>
      <w:r w:rsidR="003D3450" w:rsidRPr="00171757">
        <w:t>and</w:t>
      </w:r>
      <w:r w:rsidR="00E81190" w:rsidRPr="00171757">
        <w:t xml:space="preserve"> stimulated with </w:t>
      </w:r>
      <w:r w:rsidR="000A145D" w:rsidRPr="00171757">
        <w:t>lipopolysaccharide (</w:t>
      </w:r>
      <w:r w:rsidR="00E81190" w:rsidRPr="00171757">
        <w:t>LPS</w:t>
      </w:r>
      <w:r w:rsidR="000A145D" w:rsidRPr="00171757">
        <w:t>)</w:t>
      </w:r>
      <w:r w:rsidR="00E81190" w:rsidRPr="00171757">
        <w:t xml:space="preserve"> for 24 h </w:t>
      </w:r>
      <w:r w:rsidR="00B078A6" w:rsidRPr="00171757">
        <w:t>to generate</w:t>
      </w:r>
      <w:r w:rsidR="00E81190" w:rsidRPr="00171757">
        <w:t xml:space="preserve"> terminally mature DC</w:t>
      </w:r>
      <w:r w:rsidR="00B078A6" w:rsidRPr="00171757">
        <w:t xml:space="preserve">. Ageing </w:t>
      </w:r>
      <w:r w:rsidR="0091364D" w:rsidRPr="00171757">
        <w:t>impaired</w:t>
      </w:r>
      <w:r w:rsidR="00B078A6" w:rsidRPr="00171757">
        <w:t xml:space="preserve"> the</w:t>
      </w:r>
      <w:r w:rsidR="00E81190" w:rsidRPr="00171757">
        <w:t xml:space="preserve"> ability of terminally mature DC to </w:t>
      </w:r>
      <w:r w:rsidR="0091364D" w:rsidRPr="00171757">
        <w:t xml:space="preserve">migrate towards </w:t>
      </w:r>
      <w:r w:rsidR="00E81190" w:rsidRPr="00171757">
        <w:t xml:space="preserve">CCL21 </w:t>
      </w:r>
      <w:r w:rsidR="00E81190" w:rsidRPr="00171757">
        <w:rPr>
          <w:i/>
        </w:rPr>
        <w:t>in vitro</w:t>
      </w:r>
      <w:r w:rsidR="00E81190" w:rsidRPr="00171757">
        <w:t xml:space="preserve">, and towards </w:t>
      </w:r>
      <w:r w:rsidR="001C3A44" w:rsidRPr="00171757">
        <w:t>popliteal dLN</w:t>
      </w:r>
      <w:r w:rsidR="00E81190" w:rsidRPr="00171757">
        <w:t xml:space="preserve"> </w:t>
      </w:r>
      <w:r w:rsidR="00E81190" w:rsidRPr="00171757">
        <w:rPr>
          <w:i/>
        </w:rPr>
        <w:t>in vivo</w:t>
      </w:r>
      <w:r w:rsidR="00E81190" w:rsidRPr="00171757">
        <w:t xml:space="preserve">. </w:t>
      </w:r>
      <w:r w:rsidR="00395AAC" w:rsidRPr="00171757">
        <w:t>The</w:t>
      </w:r>
      <w:r w:rsidR="00DB0A1F" w:rsidRPr="00171757">
        <w:t xml:space="preserve"> impaired mi</w:t>
      </w:r>
      <w:r w:rsidR="00DB0A1F" w:rsidRPr="00171757">
        <w:lastRenderedPageBreak/>
        <w:t>gratory ability of</w:t>
      </w:r>
      <w:r w:rsidR="005369C4" w:rsidRPr="00171757">
        <w:t xml:space="preserve"> aged</w:t>
      </w:r>
      <w:r w:rsidR="00DB0A1F" w:rsidRPr="00171757">
        <w:t xml:space="preserve"> terminally mature </w:t>
      </w:r>
      <w:r w:rsidR="00395AAC" w:rsidRPr="00171757">
        <w:t xml:space="preserve">DC </w:t>
      </w:r>
      <w:r w:rsidR="004B1B11" w:rsidRPr="00171757">
        <w:t xml:space="preserve">was </w:t>
      </w:r>
      <w:r w:rsidR="00FD7696" w:rsidRPr="00171757">
        <w:t xml:space="preserve">not </w:t>
      </w:r>
      <w:r w:rsidR="00F42E92" w:rsidRPr="00171757">
        <w:t>attributed</w:t>
      </w:r>
      <w:r w:rsidR="004B1B11" w:rsidRPr="00171757">
        <w:t xml:space="preserve"> </w:t>
      </w:r>
      <w:r w:rsidR="00A27415" w:rsidRPr="00171757">
        <w:t xml:space="preserve">to age-related changes to the </w:t>
      </w:r>
      <w:r w:rsidR="004B1B11" w:rsidRPr="00171757">
        <w:t xml:space="preserve">local </w:t>
      </w:r>
      <w:r w:rsidR="00F90764" w:rsidRPr="00171757">
        <w:t>micro</w:t>
      </w:r>
      <w:r w:rsidR="004B1B11" w:rsidRPr="00171757">
        <w:t>environment</w:t>
      </w:r>
      <w:r w:rsidR="00395AAC" w:rsidRPr="00171757">
        <w:t xml:space="preserve">, </w:t>
      </w:r>
      <w:r w:rsidR="00A27415" w:rsidRPr="00171757">
        <w:t>as</w:t>
      </w:r>
      <w:r w:rsidR="00DB0A1F" w:rsidRPr="00171757">
        <w:t xml:space="preserve"> </w:t>
      </w:r>
      <w:r w:rsidR="006B1AFA" w:rsidRPr="00171757">
        <w:t xml:space="preserve">the </w:t>
      </w:r>
      <w:r w:rsidR="00DB0A1F" w:rsidRPr="00171757">
        <w:t xml:space="preserve">adoptive transfer of aged terminally mature </w:t>
      </w:r>
      <w:r w:rsidR="004B1B11" w:rsidRPr="00171757">
        <w:t xml:space="preserve">DC into young </w:t>
      </w:r>
      <w:r w:rsidR="001C23A2" w:rsidRPr="00171757">
        <w:t>mice</w:t>
      </w:r>
      <w:r w:rsidR="00DB0A1F" w:rsidRPr="00171757">
        <w:t xml:space="preserve"> did not improve </w:t>
      </w:r>
      <w:r w:rsidR="004B1B11" w:rsidRPr="00171757">
        <w:t>DC homing to dLN</w:t>
      </w:r>
      <w:r w:rsidR="0091364D" w:rsidRPr="00171757">
        <w:t xml:space="preserve">. </w:t>
      </w:r>
      <w:r w:rsidR="00A27415" w:rsidRPr="00171757">
        <w:t>Additionally</w:t>
      </w:r>
      <w:r w:rsidR="0091364D" w:rsidRPr="00171757">
        <w:t xml:space="preserve">, </w:t>
      </w:r>
      <w:r w:rsidR="004B1B11" w:rsidRPr="00171757">
        <w:t xml:space="preserve">expression of </w:t>
      </w:r>
      <w:r w:rsidR="0091364D" w:rsidRPr="00171757">
        <w:t xml:space="preserve">CCR7 </w:t>
      </w:r>
      <w:r w:rsidR="00DB0A1F" w:rsidRPr="00171757">
        <w:t xml:space="preserve">on terminally mature </w:t>
      </w:r>
      <w:r w:rsidR="001C23A2" w:rsidRPr="00171757">
        <w:t xml:space="preserve">DC </w:t>
      </w:r>
      <w:r w:rsidR="0091364D" w:rsidRPr="00171757">
        <w:t xml:space="preserve">did not differ between young and </w:t>
      </w:r>
      <w:r w:rsidR="002F0DEB" w:rsidRPr="00171757">
        <w:t>aged mice</w:t>
      </w:r>
      <w:r w:rsidR="00D008DE" w:rsidRPr="00171757">
        <w:t xml:space="preserve">. </w:t>
      </w:r>
      <w:r w:rsidR="00A27415" w:rsidRPr="00171757">
        <w:t>Instead, the impaired migratory capacity of aged terminally mature DC was attributed to defective intracellular signalling pathways following CCR7 stimulation. W</w:t>
      </w:r>
      <w:r w:rsidR="00044C68" w:rsidRPr="00171757">
        <w:t xml:space="preserve">estern blot analysis </w:t>
      </w:r>
      <w:r w:rsidR="00D008DE" w:rsidRPr="00171757">
        <w:t>revealed lower levels of tyrosine</w:t>
      </w:r>
      <w:r w:rsidR="00044C68" w:rsidRPr="00171757">
        <w:t xml:space="preserve"> phosphorylation of intracellular proteins </w:t>
      </w:r>
      <w:r w:rsidR="00D008DE" w:rsidRPr="00171757">
        <w:t xml:space="preserve">in aged terminally mature DC </w:t>
      </w:r>
      <w:r w:rsidR="00044C68" w:rsidRPr="00171757">
        <w:t>post-stimulation with CCL21</w:t>
      </w:r>
      <w:r w:rsidR="00A27415" w:rsidRPr="00171757">
        <w:t>, a CCR7 ligand,</w:t>
      </w:r>
      <w:r w:rsidR="00D008DE" w:rsidRPr="00171757">
        <w:t xml:space="preserve"> compared to young </w:t>
      </w:r>
      <w:r w:rsidR="00297A7B" w:rsidRPr="00171757">
        <w:t>terminally</w:t>
      </w:r>
      <w:r w:rsidR="00D008DE" w:rsidRPr="00171757">
        <w:t xml:space="preserve"> mature DC</w:t>
      </w:r>
      <w:r w:rsidR="002F0DEB" w:rsidRPr="00171757">
        <w:t>.</w:t>
      </w:r>
      <w:r w:rsidR="0091364D" w:rsidRPr="00171757">
        <w:t xml:space="preserve"> </w:t>
      </w:r>
      <w:r w:rsidR="00D008DE" w:rsidRPr="00171757">
        <w:t xml:space="preserve">However, the level of tyrosine phosphorylation was only </w:t>
      </w:r>
      <w:r w:rsidR="006B1AFA" w:rsidRPr="00171757">
        <w:t>measured</w:t>
      </w:r>
      <w:r w:rsidR="00D008DE" w:rsidRPr="00171757">
        <w:t xml:space="preserve"> on two unidentified proteins, and the differences between the relative expressions of phosphorylated tyrosine proteins in young and aged terminally mature DC did not reach statistical significance. These studies require further evaluation and </w:t>
      </w:r>
      <w:r w:rsidR="00895116" w:rsidRPr="00171757">
        <w:t>validation</w:t>
      </w:r>
      <w:r w:rsidR="00D008DE" w:rsidRPr="00171757">
        <w:t xml:space="preserve"> </w:t>
      </w:r>
      <w:r w:rsidR="000B7387" w:rsidRPr="00171757">
        <w:t>in order to determine whether</w:t>
      </w:r>
      <w:r w:rsidR="00D008DE" w:rsidRPr="00171757">
        <w:t xml:space="preserve"> </w:t>
      </w:r>
      <w:r w:rsidR="00895116" w:rsidRPr="00171757">
        <w:t xml:space="preserve">aged </w:t>
      </w:r>
      <w:r w:rsidR="00D008DE" w:rsidRPr="00171757">
        <w:t xml:space="preserve">terminally mature DC do indeed exhibit </w:t>
      </w:r>
      <w:r w:rsidR="00895116" w:rsidRPr="00171757">
        <w:t>dysfunctional intracellular signalling in response to chemoattractant stimulation.</w:t>
      </w:r>
    </w:p>
    <w:p w14:paraId="4D7530A5" w14:textId="5028D898" w:rsidR="001E3A88" w:rsidRPr="00171757" w:rsidRDefault="0091364D" w:rsidP="004D0D7D">
      <w:pPr>
        <w:spacing w:line="480" w:lineRule="auto"/>
        <w:ind w:firstLine="720"/>
        <w:jc w:val="both"/>
      </w:pPr>
      <w:r w:rsidRPr="00171757">
        <w:t xml:space="preserve"> </w:t>
      </w:r>
      <w:r w:rsidR="00AD3AD0" w:rsidRPr="00171757">
        <w:t>In humans</w:t>
      </w:r>
      <w:r w:rsidRPr="00171757">
        <w:t xml:space="preserve">, </w:t>
      </w:r>
      <w:r w:rsidR="00783238" w:rsidRPr="00171757">
        <w:t xml:space="preserve">similar findings regarding </w:t>
      </w:r>
      <w:r w:rsidR="00EF5D59" w:rsidRPr="00171757">
        <w:t xml:space="preserve">the age-associated impairment of </w:t>
      </w:r>
      <w:r w:rsidR="00783238" w:rsidRPr="00171757">
        <w:t xml:space="preserve">DC </w:t>
      </w:r>
      <w:r w:rsidR="00EF5D59" w:rsidRPr="00171757">
        <w:t>migration</w:t>
      </w:r>
      <w:r w:rsidR="00783238" w:rsidRPr="00171757">
        <w:t xml:space="preserve"> were observed</w:t>
      </w:r>
      <w:r w:rsidR="001C3A44" w:rsidRPr="00171757">
        <w:t xml:space="preserve"> under in</w:t>
      </w:r>
      <w:r w:rsidR="001C3A44" w:rsidRPr="00171757">
        <w:lastRenderedPageBreak/>
        <w:t>flammatory conditions</w:t>
      </w:r>
      <w:r w:rsidR="000E3C77" w:rsidRPr="00171757">
        <w:t xml:space="preserve">, albeit in </w:t>
      </w:r>
      <w:r w:rsidR="000E3C77" w:rsidRPr="00171757">
        <w:rPr>
          <w:i/>
        </w:rPr>
        <w:t>ex vivo</w:t>
      </w:r>
      <w:r w:rsidR="000E3C77" w:rsidRPr="00171757">
        <w:t xml:space="preserve"> studies</w:t>
      </w:r>
      <w:r w:rsidR="00783238" w:rsidRPr="00171757">
        <w:t xml:space="preserve">. </w:t>
      </w:r>
      <w:r w:rsidR="001C3A44" w:rsidRPr="00171757">
        <w:t xml:space="preserve">LPS-stimulated </w:t>
      </w:r>
      <w:r w:rsidR="00AD3AD0" w:rsidRPr="00171757">
        <w:t xml:space="preserve">monocyte-derived DC </w:t>
      </w:r>
      <w:r w:rsidR="000102FF" w:rsidRPr="00171757">
        <w:t xml:space="preserve">(MDDC) </w:t>
      </w:r>
      <w:r w:rsidR="00AD3AD0" w:rsidRPr="00171757">
        <w:t xml:space="preserve">isolated from </w:t>
      </w:r>
      <w:r w:rsidR="000A44A1" w:rsidRPr="00171757">
        <w:t xml:space="preserve">older </w:t>
      </w:r>
      <w:r w:rsidR="005A14D4" w:rsidRPr="00171757">
        <w:t xml:space="preserve">adults </w:t>
      </w:r>
      <w:r w:rsidR="00836C71" w:rsidRPr="00171757">
        <w:t>(&gt;65</w:t>
      </w:r>
      <w:r w:rsidR="00A552ED" w:rsidRPr="00171757">
        <w:t xml:space="preserve"> years </w:t>
      </w:r>
      <w:r w:rsidR="006B1AFA" w:rsidRPr="00171757">
        <w:t>old)</w:t>
      </w:r>
      <w:r w:rsidR="00AD3AD0" w:rsidRPr="00171757">
        <w:t xml:space="preserve"> exhibited </w:t>
      </w:r>
      <w:r w:rsidR="006D3A0E" w:rsidRPr="00171757">
        <w:t>impaired</w:t>
      </w:r>
      <w:r w:rsidR="00AD3AD0" w:rsidRPr="00171757">
        <w:t xml:space="preserve"> </w:t>
      </w:r>
      <w:r w:rsidR="006D3A0E" w:rsidRPr="00171757">
        <w:rPr>
          <w:iCs/>
        </w:rPr>
        <w:t>migration towards</w:t>
      </w:r>
      <w:r w:rsidR="006D3A0E" w:rsidRPr="00171757">
        <w:rPr>
          <w:i/>
          <w:iCs/>
        </w:rPr>
        <w:t xml:space="preserve"> </w:t>
      </w:r>
      <w:r w:rsidR="006D3A0E" w:rsidRPr="00171757">
        <w:t>CCL19</w:t>
      </w:r>
      <w:r w:rsidR="005A14D4" w:rsidRPr="00171757">
        <w:rPr>
          <w:i/>
        </w:rPr>
        <w:t xml:space="preserve"> in vitro</w:t>
      </w:r>
      <w:r w:rsidR="005A14D4" w:rsidRPr="00171757">
        <w:t xml:space="preserve"> </w:t>
      </w:r>
      <w:r w:rsidR="00E920C7" w:rsidRPr="00171757">
        <w:t>compared to young</w:t>
      </w:r>
      <w:r w:rsidR="00076566" w:rsidRPr="00171757">
        <w:t xml:space="preserve"> MDDC</w:t>
      </w:r>
      <w:r w:rsidR="00E920C7" w:rsidRPr="00171757">
        <w:t xml:space="preserve"> (</w:t>
      </w:r>
      <w:r w:rsidR="00836C71" w:rsidRPr="00171757">
        <w:t>&lt;</w:t>
      </w:r>
      <w:r w:rsidR="00E920C7" w:rsidRPr="00171757">
        <w:t>35 years old)</w:t>
      </w:r>
      <w:r w:rsidR="00B15CA1" w:rsidRPr="00171757">
        <w:t xml:space="preserve"> [28]</w:t>
      </w:r>
      <w:r w:rsidR="009A25B7" w:rsidRPr="00171757">
        <w:t xml:space="preserve">. </w:t>
      </w:r>
      <w:r w:rsidR="006B1AFA" w:rsidRPr="00171757">
        <w:t>A</w:t>
      </w:r>
      <w:r w:rsidR="005A14D4" w:rsidRPr="00171757">
        <w:t>gain</w:t>
      </w:r>
      <w:r w:rsidR="006B1AFA" w:rsidRPr="00171757">
        <w:t>, this</w:t>
      </w:r>
      <w:r w:rsidR="005A14D4" w:rsidRPr="00171757">
        <w:t xml:space="preserve"> </w:t>
      </w:r>
      <w:r w:rsidR="00E920C7" w:rsidRPr="00171757">
        <w:t xml:space="preserve">was not due to differential expression of surface </w:t>
      </w:r>
      <w:r w:rsidRPr="00171757">
        <w:t>CCR7</w:t>
      </w:r>
      <w:r w:rsidR="00A552ED" w:rsidRPr="00171757">
        <w:t xml:space="preserve">. </w:t>
      </w:r>
      <w:r w:rsidR="00F91023" w:rsidRPr="00171757">
        <w:t xml:space="preserve">Instead, the reduced </w:t>
      </w:r>
      <w:r w:rsidR="00116F33" w:rsidRPr="00171757">
        <w:t>chemotactic responses</w:t>
      </w:r>
      <w:r w:rsidR="00F91023" w:rsidRPr="00171757">
        <w:t xml:space="preserve"> of </w:t>
      </w:r>
      <w:r w:rsidR="006B1AFA" w:rsidRPr="00171757">
        <w:t xml:space="preserve">aged </w:t>
      </w:r>
      <w:r w:rsidR="00F91023" w:rsidRPr="00171757">
        <w:t>MDDC was attributed to defect</w:t>
      </w:r>
      <w:r w:rsidR="006B1AFA" w:rsidRPr="00171757">
        <w:t>ive</w:t>
      </w:r>
      <w:r w:rsidR="00F91023" w:rsidRPr="00171757">
        <w:t xml:space="preserve"> </w:t>
      </w:r>
      <w:r w:rsidR="00996E09" w:rsidRPr="00171757">
        <w:t>phosphoinositide 3-kinase (</w:t>
      </w:r>
      <w:r w:rsidR="00F91023" w:rsidRPr="00171757">
        <w:t>PI3K</w:t>
      </w:r>
      <w:r w:rsidR="00996E09" w:rsidRPr="00171757">
        <w:t xml:space="preserve">)-AKT </w:t>
      </w:r>
      <w:r w:rsidR="00F91023" w:rsidRPr="00171757">
        <w:t>signalling</w:t>
      </w:r>
      <w:r w:rsidR="00116F33" w:rsidRPr="00171757">
        <w:t xml:space="preserve">, a signalling pathway involved in </w:t>
      </w:r>
      <w:r w:rsidR="004B3683" w:rsidRPr="00171757">
        <w:t>regulating</w:t>
      </w:r>
      <w:r w:rsidR="000F06F1" w:rsidRPr="00171757">
        <w:t xml:space="preserve"> cell migration</w:t>
      </w:r>
      <w:r w:rsidR="00116F33" w:rsidRPr="00171757">
        <w:t>, as aged MDDC displayed defective phosphorylation of AKT and increased expression of</w:t>
      </w:r>
      <w:r w:rsidR="00996E09" w:rsidRPr="00171757">
        <w:t xml:space="preserve"> a PI3K negative regulator compared to young MDDC</w:t>
      </w:r>
      <w:r w:rsidR="00F91023" w:rsidRPr="00171757">
        <w:t xml:space="preserve">. </w:t>
      </w:r>
      <w:r w:rsidR="00996E09" w:rsidRPr="00171757">
        <w:t>This was demonstrated through treating</w:t>
      </w:r>
      <w:r w:rsidR="00F91023" w:rsidRPr="00171757">
        <w:t xml:space="preserve"> young MDDC with a specific PI3K inhibitor, </w:t>
      </w:r>
      <w:r w:rsidR="005369C4" w:rsidRPr="00171757">
        <w:t>which impaired</w:t>
      </w:r>
      <w:r w:rsidR="00996E09" w:rsidRPr="00171757">
        <w:t xml:space="preserve"> their</w:t>
      </w:r>
      <w:r w:rsidR="00F91023" w:rsidRPr="00171757">
        <w:t xml:space="preserve"> abil</w:t>
      </w:r>
      <w:r w:rsidR="00996E09" w:rsidRPr="00171757">
        <w:t xml:space="preserve">ity to migrate towards </w:t>
      </w:r>
      <w:r w:rsidR="003D3450" w:rsidRPr="00171757">
        <w:t>CCL19</w:t>
      </w:r>
      <w:r w:rsidR="00F91023" w:rsidRPr="00171757">
        <w:t xml:space="preserve"> </w:t>
      </w:r>
      <w:r w:rsidR="00F91023" w:rsidRPr="00171757">
        <w:rPr>
          <w:i/>
        </w:rPr>
        <w:t>in vitro</w:t>
      </w:r>
      <w:r w:rsidR="004B3683" w:rsidRPr="00171757">
        <w:rPr>
          <w:i/>
        </w:rPr>
        <w:t xml:space="preserve">. </w:t>
      </w:r>
      <w:r w:rsidR="00996E09" w:rsidRPr="00171757">
        <w:t>However, the effect of treating aged MDDC with a PI3K inhibitor was not explored in this study.</w:t>
      </w:r>
      <w:r w:rsidR="000F06F1" w:rsidRPr="00171757">
        <w:t xml:space="preserve"> </w:t>
      </w:r>
      <w:r w:rsidR="00F46980" w:rsidRPr="00171757">
        <w:t xml:space="preserve">As research in this area is currently limited, it is unclear to what extent </w:t>
      </w:r>
      <w:r w:rsidR="000F06F1" w:rsidRPr="00171757">
        <w:t xml:space="preserve">the PI3K-AKT pathway </w:t>
      </w:r>
      <w:r w:rsidR="00F46980" w:rsidRPr="00171757">
        <w:t xml:space="preserve">plays </w:t>
      </w:r>
      <w:r w:rsidR="000F06F1" w:rsidRPr="00171757">
        <w:t xml:space="preserve">in </w:t>
      </w:r>
      <w:r w:rsidR="00F46980" w:rsidRPr="00171757">
        <w:t xml:space="preserve">the </w:t>
      </w:r>
      <w:r w:rsidR="000F06F1" w:rsidRPr="00171757">
        <w:t>age-relate</w:t>
      </w:r>
      <w:r w:rsidR="00F46980" w:rsidRPr="00171757">
        <w:t>d</w:t>
      </w:r>
      <w:r w:rsidR="000F06F1" w:rsidRPr="00171757">
        <w:t xml:space="preserve"> </w:t>
      </w:r>
      <w:r w:rsidR="004B3683" w:rsidRPr="00171757">
        <w:t>impairment</w:t>
      </w:r>
      <w:r w:rsidR="00F46980" w:rsidRPr="00171757">
        <w:t xml:space="preserve"> of MDDC chemotactic responses.</w:t>
      </w:r>
    </w:p>
    <w:p w14:paraId="25EF34B7" w14:textId="2F774F53" w:rsidR="00264254" w:rsidRPr="00171757" w:rsidRDefault="00764660" w:rsidP="00FB2954">
      <w:pPr>
        <w:pStyle w:val="Heading3"/>
        <w:spacing w:line="480" w:lineRule="auto"/>
        <w:jc w:val="both"/>
      </w:pPr>
      <w:r>
        <w:t xml:space="preserve">1.2.2 </w:t>
      </w:r>
      <w:r w:rsidR="00264254" w:rsidRPr="00171757">
        <w:t>Monocytes</w:t>
      </w:r>
    </w:p>
    <w:p w14:paraId="17144452" w14:textId="073813A1" w:rsidR="00264254" w:rsidRPr="00171757" w:rsidRDefault="002B6792" w:rsidP="00264254">
      <w:pPr>
        <w:spacing w:line="480" w:lineRule="auto"/>
        <w:ind w:firstLine="720"/>
        <w:jc w:val="both"/>
      </w:pPr>
      <w:r w:rsidRPr="00171757">
        <w:t>The ageing process also modulates the trafficking of monocytes in humans. I</w:t>
      </w:r>
      <w:r w:rsidR="00264254" w:rsidRPr="00171757">
        <w:t xml:space="preserve">ntradermal injection of </w:t>
      </w:r>
      <w:r w:rsidRPr="00171757">
        <w:t xml:space="preserve">harmless substances such as </w:t>
      </w:r>
      <w:r w:rsidR="00264254" w:rsidRPr="00171757">
        <w:t>air or saline resulted in the recruitment of CCR2</w:t>
      </w:r>
      <w:r w:rsidR="00264254" w:rsidRPr="00171757">
        <w:rPr>
          <w:vertAlign w:val="superscript"/>
        </w:rPr>
        <w:t>+</w:t>
      </w:r>
      <w:r w:rsidR="00264254" w:rsidRPr="00171757">
        <w:t xml:space="preserve"> monocytes to the skin in older adults (&gt;65 years old), </w:t>
      </w:r>
      <w:r w:rsidR="00264254" w:rsidRPr="00171757">
        <w:lastRenderedPageBreak/>
        <w:t xml:space="preserve">but not younger adults (&lt;40 years old) </w:t>
      </w:r>
      <w:r w:rsidR="00B15CA1" w:rsidRPr="00171757">
        <w:t>(study not yet peer-reviewed</w:t>
      </w:r>
      <w:r w:rsidR="008D09AC" w:rsidRPr="00171757">
        <w:t xml:space="preserve">, published in </w:t>
      </w:r>
      <w:r w:rsidR="00264254" w:rsidRPr="00171757">
        <w:t>BioRXiv preprint bioarchive)</w:t>
      </w:r>
      <w:r w:rsidR="00B15CA1" w:rsidRPr="00171757">
        <w:t xml:space="preserve"> [29]</w:t>
      </w:r>
      <w:r w:rsidR="00264254" w:rsidRPr="00171757">
        <w:t>. Inappropriate monocyte recruitment was thought to be a consequence of CCL2 secretion by senescent fibroblasts in the skin. Recruited monocytes inhibited resident memory T-cell proliferation through secretion of PGE</w:t>
      </w:r>
      <w:r w:rsidR="00264254" w:rsidRPr="00171757">
        <w:rPr>
          <w:vertAlign w:val="subscript"/>
        </w:rPr>
        <w:t>2</w:t>
      </w:r>
      <w:r w:rsidR="00264254" w:rsidRPr="00171757">
        <w:t>, which impaired T-cell responses against recall antigens such as</w:t>
      </w:r>
      <w:r w:rsidR="00DD5F8E" w:rsidRPr="00171757">
        <w:t xml:space="preserve"> those derived from the</w:t>
      </w:r>
      <w:r w:rsidR="00264254" w:rsidRPr="00171757">
        <w:t xml:space="preserve"> </w:t>
      </w:r>
      <w:r w:rsidR="00DD5F8E" w:rsidRPr="00171757">
        <w:t>varicella zoster virus (</w:t>
      </w:r>
      <w:r w:rsidR="00264254" w:rsidRPr="00171757">
        <w:t>VZV</w:t>
      </w:r>
      <w:r w:rsidR="00DD5F8E" w:rsidRPr="00171757">
        <w:t>)</w:t>
      </w:r>
      <w:r w:rsidR="00264254" w:rsidRPr="00171757">
        <w:t xml:space="preserve">. Importantly, treatment with a p38-MAPK inhibitor, Losmapimod, reduced CCL2 </w:t>
      </w:r>
      <w:r w:rsidR="00DD5F8E" w:rsidRPr="00171757">
        <w:t>levels</w:t>
      </w:r>
      <w:r w:rsidR="00264254" w:rsidRPr="00171757">
        <w:t xml:space="preserve">, monocyte recruitment to the skin of older adults, and boosted immunity against VZV. However, Losmapimod does not specifically target CCL2 production, but has broad anti-inflammatory effects including reducing the production of TNFα, IL-6 and IL-8 by LPS-stimulated PBMC </w:t>
      </w:r>
      <w:r w:rsidR="00264254" w:rsidRPr="00171757">
        <w:rPr>
          <w:i/>
        </w:rPr>
        <w:t>ex viv</w:t>
      </w:r>
      <w:r w:rsidR="00B15CA1" w:rsidRPr="00171757">
        <w:rPr>
          <w:i/>
        </w:rPr>
        <w:t xml:space="preserve">o </w:t>
      </w:r>
      <w:r w:rsidR="00B15CA1" w:rsidRPr="00171757">
        <w:t>[30]</w:t>
      </w:r>
      <w:r w:rsidR="00264254" w:rsidRPr="00171757">
        <w:t xml:space="preserve">. Elucidating the mechanisms driving inappropriate monocyte recruitment to the skin of older adults in response harmless </w:t>
      </w:r>
      <w:r w:rsidR="00DD5F8E" w:rsidRPr="00171757">
        <w:t>substances</w:t>
      </w:r>
      <w:r w:rsidR="00264254" w:rsidRPr="00171757">
        <w:t>, and whether this does specifically rely on CCL2 production, therefore requires further work.</w:t>
      </w:r>
    </w:p>
    <w:p w14:paraId="23D160A0" w14:textId="23E6B5B0" w:rsidR="002C3B21" w:rsidRPr="00171757" w:rsidRDefault="00764660" w:rsidP="00FB2954">
      <w:pPr>
        <w:pStyle w:val="Heading3"/>
        <w:spacing w:line="480" w:lineRule="auto"/>
        <w:jc w:val="both"/>
      </w:pPr>
      <w:r>
        <w:t xml:space="preserve">1.2.3 </w:t>
      </w:r>
      <w:r w:rsidR="002C3B21" w:rsidRPr="00171757">
        <w:t>Neutrophils</w:t>
      </w:r>
    </w:p>
    <w:p w14:paraId="5A3D892F" w14:textId="72A27F29" w:rsidR="0084416B" w:rsidRPr="00171757" w:rsidRDefault="009E620F" w:rsidP="004D0D7D">
      <w:pPr>
        <w:spacing w:line="480" w:lineRule="auto"/>
        <w:ind w:firstLine="720"/>
        <w:jc w:val="both"/>
      </w:pPr>
      <w:r w:rsidRPr="00171757">
        <w:t>N</w:t>
      </w:r>
      <w:r w:rsidR="0091364D" w:rsidRPr="00171757">
        <w:t>eutr</w:t>
      </w:r>
      <w:r w:rsidR="005B5E6F" w:rsidRPr="00171757">
        <w:t>ophil</w:t>
      </w:r>
      <w:r w:rsidR="000E3C77" w:rsidRPr="00171757">
        <w:t>s</w:t>
      </w:r>
      <w:r w:rsidR="005B5E6F" w:rsidRPr="00171757">
        <w:t xml:space="preserve"> </w:t>
      </w:r>
      <w:r w:rsidR="009F1964" w:rsidRPr="00171757">
        <w:t xml:space="preserve">are also affected by the ageing process as their </w:t>
      </w:r>
      <w:r w:rsidR="005B5E6F" w:rsidRPr="00171757">
        <w:t>chemotaxis (direction</w:t>
      </w:r>
      <w:r w:rsidR="000E3C77" w:rsidRPr="00171757">
        <w:t>al</w:t>
      </w:r>
      <w:r w:rsidR="0091364D" w:rsidRPr="00171757">
        <w:t xml:space="preserve"> migrat</w:t>
      </w:r>
      <w:r w:rsidR="000E3C77" w:rsidRPr="00171757">
        <w:t>ory speed</w:t>
      </w:r>
      <w:r w:rsidR="0091364D" w:rsidRPr="00171757">
        <w:t>)</w:t>
      </w:r>
      <w:r w:rsidR="00D00954" w:rsidRPr="00171757">
        <w:t>,</w:t>
      </w:r>
      <w:r w:rsidR="0091364D" w:rsidRPr="00171757">
        <w:t xml:space="preserve"> but not chemokinesis (</w:t>
      </w:r>
      <w:r w:rsidR="000E3C77" w:rsidRPr="00171757">
        <w:t xml:space="preserve">overall </w:t>
      </w:r>
      <w:r w:rsidR="0091364D" w:rsidRPr="00171757">
        <w:t>migrat</w:t>
      </w:r>
      <w:r w:rsidR="000E3C77" w:rsidRPr="00171757">
        <w:t>ory speed</w:t>
      </w:r>
      <w:r w:rsidR="0091364D" w:rsidRPr="00171757">
        <w:t>)</w:t>
      </w:r>
      <w:r w:rsidR="00D00954" w:rsidRPr="00171757">
        <w:t>,</w:t>
      </w:r>
      <w:r w:rsidR="0091364D" w:rsidRPr="00171757">
        <w:t xml:space="preserve"> </w:t>
      </w:r>
      <w:r w:rsidR="002F0DEB" w:rsidRPr="00171757">
        <w:t>is</w:t>
      </w:r>
      <w:r w:rsidR="0091364D" w:rsidRPr="00171757">
        <w:t xml:space="preserve"> impaired</w:t>
      </w:r>
      <w:r w:rsidR="00A57AC6" w:rsidRPr="00171757">
        <w:t xml:space="preserve"> in humans</w:t>
      </w:r>
      <w:r w:rsidR="00B15CA1" w:rsidRPr="00171757">
        <w:t xml:space="preserve"> [31-33]</w:t>
      </w:r>
      <w:r w:rsidR="009A25B7" w:rsidRPr="00171757">
        <w:t xml:space="preserve">. </w:t>
      </w:r>
      <w:r w:rsidR="008D09AC" w:rsidRPr="00171757">
        <w:t>N</w:t>
      </w:r>
      <w:r w:rsidR="00301650" w:rsidRPr="00171757">
        <w:t xml:space="preserve">eutrophils isolated from </w:t>
      </w:r>
      <w:r w:rsidR="000E3C77" w:rsidRPr="00171757">
        <w:t xml:space="preserve">healthy </w:t>
      </w:r>
      <w:r w:rsidR="003739A8" w:rsidRPr="00171757">
        <w:t>older</w:t>
      </w:r>
      <w:r w:rsidR="00301650" w:rsidRPr="00171757">
        <w:t xml:space="preserve"> </w:t>
      </w:r>
      <w:r w:rsidR="003739A8" w:rsidRPr="00171757">
        <w:t>adults</w:t>
      </w:r>
      <w:r w:rsidRPr="00171757">
        <w:t xml:space="preserve"> (&gt;65 </w:t>
      </w:r>
      <w:r w:rsidRPr="00171757">
        <w:lastRenderedPageBreak/>
        <w:t xml:space="preserve">years old) </w:t>
      </w:r>
      <w:r w:rsidR="00301650" w:rsidRPr="00171757">
        <w:t xml:space="preserve">displayed </w:t>
      </w:r>
      <w:r w:rsidR="009424EA" w:rsidRPr="00171757">
        <w:t>reduced chemotaxis</w:t>
      </w:r>
      <w:r w:rsidR="00301650" w:rsidRPr="00171757">
        <w:t xml:space="preserve"> </w:t>
      </w:r>
      <w:r w:rsidR="009424EA" w:rsidRPr="00171757">
        <w:t xml:space="preserve">towards several chemoattractants, including CXCL8, </w:t>
      </w:r>
      <w:r w:rsidR="00842EB4" w:rsidRPr="00171757">
        <w:t>N-formylmethionyl-leucyl-phenylalanine (</w:t>
      </w:r>
      <w:r w:rsidR="009424EA" w:rsidRPr="00171757">
        <w:t>fMLP</w:t>
      </w:r>
      <w:r w:rsidR="00842EB4" w:rsidRPr="00171757">
        <w:t>)</w:t>
      </w:r>
      <w:r w:rsidR="009424EA" w:rsidRPr="00171757">
        <w:t xml:space="preserve"> and CXCL1, </w:t>
      </w:r>
      <w:r w:rsidR="009424EA" w:rsidRPr="00171757">
        <w:rPr>
          <w:i/>
        </w:rPr>
        <w:t xml:space="preserve">in vitro </w:t>
      </w:r>
      <w:r w:rsidR="00301650" w:rsidRPr="00171757">
        <w:t>compared to neutrophils isolated from younger individuals</w:t>
      </w:r>
      <w:r w:rsidR="000A62F3" w:rsidRPr="00171757">
        <w:t xml:space="preserve"> (&lt;35 years old)</w:t>
      </w:r>
      <w:r w:rsidR="00B15CA1" w:rsidRPr="00171757">
        <w:t xml:space="preserve"> [33]</w:t>
      </w:r>
      <w:r w:rsidR="00301650" w:rsidRPr="00171757">
        <w:t xml:space="preserve">. </w:t>
      </w:r>
      <w:r w:rsidR="00F94106" w:rsidRPr="00171757">
        <w:t xml:space="preserve">Importantly, the age-related </w:t>
      </w:r>
      <w:r w:rsidR="003739A8" w:rsidRPr="00171757">
        <w:t>impairment</w:t>
      </w:r>
      <w:r w:rsidR="00F94106" w:rsidRPr="00171757">
        <w:t xml:space="preserve"> of neutrophil chemotaxis appeared independent of age-related changes to the microenviro</w:t>
      </w:r>
      <w:r w:rsidR="00F30844" w:rsidRPr="00171757">
        <w:t>nment, as</w:t>
      </w:r>
      <w:r w:rsidR="00F94106" w:rsidRPr="00171757">
        <w:t xml:space="preserve"> </w:t>
      </w:r>
      <w:r w:rsidR="00EA17F7" w:rsidRPr="00171757">
        <w:t xml:space="preserve">the </w:t>
      </w:r>
      <w:r w:rsidR="00F94106" w:rsidRPr="00171757">
        <w:t xml:space="preserve">pre-treatment of neutrophils derived from </w:t>
      </w:r>
      <w:r w:rsidR="000E3C77" w:rsidRPr="00171757">
        <w:t>young</w:t>
      </w:r>
      <w:r w:rsidR="00F94106" w:rsidRPr="00171757">
        <w:t xml:space="preserve"> donors with serum derived from </w:t>
      </w:r>
      <w:r w:rsidR="000E3C77" w:rsidRPr="00171757">
        <w:t>old</w:t>
      </w:r>
      <w:r w:rsidR="003739A8" w:rsidRPr="00171757">
        <w:t>er</w:t>
      </w:r>
      <w:r w:rsidR="00F94106" w:rsidRPr="00171757">
        <w:t xml:space="preserve"> donors did not modulate neutrophil chemotaxi</w:t>
      </w:r>
      <w:r w:rsidR="00F30844" w:rsidRPr="00171757">
        <w:t>s</w:t>
      </w:r>
      <w:r w:rsidR="00F94106" w:rsidRPr="00171757">
        <w:t xml:space="preserve">. </w:t>
      </w:r>
      <w:r w:rsidR="004E2569" w:rsidRPr="00171757">
        <w:t>The a</w:t>
      </w:r>
      <w:r w:rsidR="00F94106" w:rsidRPr="00171757">
        <w:t xml:space="preserve">ge-related modulation of neutrophil </w:t>
      </w:r>
      <w:r w:rsidR="004E2569" w:rsidRPr="00171757">
        <w:t>migration</w:t>
      </w:r>
      <w:r w:rsidR="00F94106" w:rsidRPr="00171757">
        <w:t xml:space="preserve"> was</w:t>
      </w:r>
      <w:r w:rsidR="002D6BD4" w:rsidRPr="00171757">
        <w:t xml:space="preserve"> instead attributed to defective intracellular signalling, as n</w:t>
      </w:r>
      <w:r w:rsidR="00F94106" w:rsidRPr="00171757">
        <w:t xml:space="preserve">eutrophils </w:t>
      </w:r>
      <w:r w:rsidR="00301650" w:rsidRPr="00171757">
        <w:t xml:space="preserve">derived from </w:t>
      </w:r>
      <w:r w:rsidR="003739A8" w:rsidRPr="00171757">
        <w:t>older</w:t>
      </w:r>
      <w:r w:rsidR="00301650" w:rsidRPr="00171757">
        <w:t xml:space="preserve"> individuals </w:t>
      </w:r>
      <w:r w:rsidR="00F94106" w:rsidRPr="00171757">
        <w:t xml:space="preserve">exhibited </w:t>
      </w:r>
      <w:r w:rsidR="000E3C77" w:rsidRPr="00171757">
        <w:t>constitutive</w:t>
      </w:r>
      <w:r w:rsidR="00996E09" w:rsidRPr="00171757">
        <w:t xml:space="preserve"> PI3K </w:t>
      </w:r>
      <w:r w:rsidR="00301650" w:rsidRPr="00171757">
        <w:t>signalling</w:t>
      </w:r>
      <w:r w:rsidR="00F94106" w:rsidRPr="00171757">
        <w:t xml:space="preserve"> before and after stimulation with chemoattractants. </w:t>
      </w:r>
      <w:r w:rsidR="002D6BD4" w:rsidRPr="00171757">
        <w:t>Importantly, i</w:t>
      </w:r>
      <w:r w:rsidR="00F94106" w:rsidRPr="00171757">
        <w:t>nhibition of</w:t>
      </w:r>
      <w:r w:rsidR="00301650" w:rsidRPr="00171757">
        <w:t xml:space="preserve"> PI3K signalling improved</w:t>
      </w:r>
      <w:r w:rsidR="00DA708E" w:rsidRPr="00171757">
        <w:t xml:space="preserve"> the accuracy of</w:t>
      </w:r>
      <w:r w:rsidR="00301650" w:rsidRPr="00171757">
        <w:t xml:space="preserve"> neutrophil </w:t>
      </w:r>
      <w:r w:rsidR="00DA708E" w:rsidRPr="00171757">
        <w:t>migration towards chemoattractants</w:t>
      </w:r>
      <w:r w:rsidR="00B15CA1" w:rsidRPr="00171757">
        <w:t xml:space="preserve"> [33]</w:t>
      </w:r>
      <w:r w:rsidR="002D6BD4" w:rsidRPr="00171757">
        <w:t>.</w:t>
      </w:r>
      <w:r w:rsidR="00301650" w:rsidRPr="00171757">
        <w:t xml:space="preserve"> </w:t>
      </w:r>
    </w:p>
    <w:p w14:paraId="381EE216" w14:textId="4B773D3D" w:rsidR="001000B3" w:rsidRPr="00171757" w:rsidRDefault="00A57AC6" w:rsidP="00C9481C">
      <w:pPr>
        <w:spacing w:line="480" w:lineRule="auto"/>
        <w:ind w:firstLine="720"/>
        <w:jc w:val="both"/>
      </w:pPr>
      <w:r w:rsidRPr="00171757">
        <w:t>In mice, both the chemokinesis and chemotaxis of neutrophils is modulated with age</w:t>
      </w:r>
      <w:r w:rsidR="002D6BD4" w:rsidRPr="00171757">
        <w:t>. N</w:t>
      </w:r>
      <w:r w:rsidR="007A4059" w:rsidRPr="00171757">
        <w:t xml:space="preserve">eutrophils isolated from aged BALB/c mice </w:t>
      </w:r>
      <w:r w:rsidR="00A06364" w:rsidRPr="00171757">
        <w:t>(&gt;18 month</w:t>
      </w:r>
      <w:r w:rsidR="00A11572" w:rsidRPr="00171757">
        <w:t>s</w:t>
      </w:r>
      <w:r w:rsidR="00A06364" w:rsidRPr="00171757">
        <w:t xml:space="preserve">) </w:t>
      </w:r>
      <w:r w:rsidR="007A4059" w:rsidRPr="00171757">
        <w:t xml:space="preserve">exhibited </w:t>
      </w:r>
      <w:r w:rsidR="00CD2CCB" w:rsidRPr="00171757">
        <w:t xml:space="preserve">increased </w:t>
      </w:r>
      <w:r w:rsidR="00C14EFE" w:rsidRPr="00171757">
        <w:t>chemokinetic respo</w:t>
      </w:r>
      <w:r w:rsidR="00631760" w:rsidRPr="00171757">
        <w:t>nses in the absence of chemoatt</w:t>
      </w:r>
      <w:r w:rsidR="00C14EFE" w:rsidRPr="00171757">
        <w:t>r</w:t>
      </w:r>
      <w:r w:rsidR="00631760" w:rsidRPr="00171757">
        <w:t>a</w:t>
      </w:r>
      <w:r w:rsidR="00C14EFE" w:rsidRPr="00171757">
        <w:t>ctants</w:t>
      </w:r>
      <w:r w:rsidR="002C3B21" w:rsidRPr="00171757">
        <w:t>,</w:t>
      </w:r>
      <w:r w:rsidR="00C14EFE" w:rsidRPr="00171757">
        <w:t xml:space="preserve"> </w:t>
      </w:r>
      <w:r w:rsidR="0030782E" w:rsidRPr="00171757">
        <w:t xml:space="preserve">but impaired chemotactic responses in the presence of CXCL1 </w:t>
      </w:r>
      <w:r w:rsidR="007A4059" w:rsidRPr="00171757">
        <w:rPr>
          <w:i/>
        </w:rPr>
        <w:t>ex vivo</w:t>
      </w:r>
      <w:r w:rsidR="006D2191" w:rsidRPr="00171757">
        <w:rPr>
          <w:i/>
        </w:rPr>
        <w:t xml:space="preserve"> </w:t>
      </w:r>
      <w:r w:rsidR="006D2191" w:rsidRPr="00171757">
        <w:t>compared to neutrophils isolated from younger mice</w:t>
      </w:r>
      <w:r w:rsidR="00B15CA1" w:rsidRPr="00171757">
        <w:t xml:space="preserve"> [34]</w:t>
      </w:r>
      <w:r w:rsidR="0030782E" w:rsidRPr="00171757">
        <w:t xml:space="preserve">. </w:t>
      </w:r>
      <w:r w:rsidR="008D09AC" w:rsidRPr="00171757">
        <w:t xml:space="preserve">In </w:t>
      </w:r>
      <w:r w:rsidR="00BA5C12" w:rsidRPr="00171757">
        <w:t xml:space="preserve">a burn injury model, </w:t>
      </w:r>
      <w:r w:rsidR="0091364D" w:rsidRPr="00171757">
        <w:t xml:space="preserve">neutrophilia </w:t>
      </w:r>
      <w:r w:rsidR="008D09AC" w:rsidRPr="00171757">
        <w:t xml:space="preserve">occurred </w:t>
      </w:r>
      <w:r w:rsidR="0091364D" w:rsidRPr="00171757">
        <w:t>in the lungs of aged mice compared to young</w:t>
      </w:r>
      <w:r w:rsidR="00BA5C12" w:rsidRPr="00171757">
        <w:t xml:space="preserve">er mice </w:t>
      </w:r>
      <w:r w:rsidR="00A06364" w:rsidRPr="00171757">
        <w:t>(&lt;6 month</w:t>
      </w:r>
      <w:r w:rsidR="00A11572" w:rsidRPr="00171757">
        <w:t>s</w:t>
      </w:r>
      <w:r w:rsidR="00A06364" w:rsidRPr="00171757">
        <w:t xml:space="preserve">) </w:t>
      </w:r>
      <w:r w:rsidR="00BA5C12" w:rsidRPr="00171757">
        <w:lastRenderedPageBreak/>
        <w:t>24 h</w:t>
      </w:r>
      <w:r w:rsidR="005F20FC" w:rsidRPr="00171757">
        <w:t xml:space="preserve"> after injury</w:t>
      </w:r>
      <w:r w:rsidR="00B15CA1" w:rsidRPr="00171757">
        <w:t xml:space="preserve"> [34]</w:t>
      </w:r>
      <w:r w:rsidR="00174D6B" w:rsidRPr="00171757">
        <w:t xml:space="preserve">. </w:t>
      </w:r>
      <w:r w:rsidR="000E684B" w:rsidRPr="00171757">
        <w:t xml:space="preserve">Surprisingly, neutrophils isolated from aged, burn-injured mice exhibited reduced expression of CXCR2, despite previous reports </w:t>
      </w:r>
      <w:r w:rsidR="0071344D" w:rsidRPr="00171757">
        <w:t xml:space="preserve">stating </w:t>
      </w:r>
      <w:r w:rsidR="000E684B" w:rsidRPr="00171757">
        <w:t xml:space="preserve">that </w:t>
      </w:r>
      <w:r w:rsidR="00A64479" w:rsidRPr="00171757">
        <w:t>CXCR2-CXCL1 directed chemotactic respon</w:t>
      </w:r>
      <w:r w:rsidR="000E684B" w:rsidRPr="00171757">
        <w:t>ses are</w:t>
      </w:r>
      <w:r w:rsidR="00A64479" w:rsidRPr="00171757">
        <w:t xml:space="preserve"> </w:t>
      </w:r>
      <w:r w:rsidR="000E684B" w:rsidRPr="00171757">
        <w:t xml:space="preserve">necessary for </w:t>
      </w:r>
      <w:r w:rsidR="00A64479" w:rsidRPr="00171757">
        <w:t>neutrophil recruitment</w:t>
      </w:r>
      <w:r w:rsidR="000E684B" w:rsidRPr="00171757">
        <w:t xml:space="preserve"> to the lung during burn-injury</w:t>
      </w:r>
      <w:r w:rsidR="00B15CA1" w:rsidRPr="00171757">
        <w:t xml:space="preserve"> [35]</w:t>
      </w:r>
      <w:r w:rsidR="000E684B" w:rsidRPr="00171757">
        <w:t xml:space="preserve">. Instead, </w:t>
      </w:r>
      <w:r w:rsidR="0071344D" w:rsidRPr="00171757">
        <w:t xml:space="preserve">the </w:t>
      </w:r>
      <w:r w:rsidR="000E684B" w:rsidRPr="00171757">
        <w:t>a</w:t>
      </w:r>
      <w:r w:rsidR="00174D6B" w:rsidRPr="00171757">
        <w:t xml:space="preserve">ge-related neutrophilia in the lung </w:t>
      </w:r>
      <w:r w:rsidR="0091364D" w:rsidRPr="00171757">
        <w:t xml:space="preserve">following </w:t>
      </w:r>
      <w:r w:rsidR="00B616B6" w:rsidRPr="00171757">
        <w:t xml:space="preserve">burn </w:t>
      </w:r>
      <w:r w:rsidR="0091364D" w:rsidRPr="00171757">
        <w:t>injury</w:t>
      </w:r>
      <w:r w:rsidR="00174D6B" w:rsidRPr="00171757">
        <w:t xml:space="preserve"> was </w:t>
      </w:r>
      <w:r w:rsidR="000E684B" w:rsidRPr="00171757">
        <w:t>attributed to</w:t>
      </w:r>
      <w:r w:rsidR="00174D6B" w:rsidRPr="00171757">
        <w:t xml:space="preserve"> increased ICAM-1</w:t>
      </w:r>
      <w:r w:rsidR="0071344D" w:rsidRPr="00171757">
        <w:t xml:space="preserve"> expression on aged lung vasculature </w:t>
      </w:r>
      <w:r w:rsidR="00174D6B" w:rsidRPr="00171757">
        <w:t xml:space="preserve">and </w:t>
      </w:r>
      <w:r w:rsidR="002C4889" w:rsidRPr="00171757">
        <w:t xml:space="preserve">the </w:t>
      </w:r>
      <w:r w:rsidR="00174D6B" w:rsidRPr="00171757">
        <w:t>hyperchemokinesis of aged neutrophils</w:t>
      </w:r>
      <w:r w:rsidR="002C4889" w:rsidRPr="00171757">
        <w:t>,</w:t>
      </w:r>
      <w:r w:rsidR="00174D6B" w:rsidRPr="00171757">
        <w:t xml:space="preserve"> facilitating </w:t>
      </w:r>
      <w:r w:rsidR="002C4889" w:rsidRPr="00171757">
        <w:t>neutrophil</w:t>
      </w:r>
      <w:r w:rsidR="00174D6B" w:rsidRPr="00171757">
        <w:t xml:space="preserve"> retention in the </w:t>
      </w:r>
      <w:r w:rsidR="002C4889" w:rsidRPr="00171757">
        <w:t>lung</w:t>
      </w:r>
      <w:r w:rsidR="00B15CA1" w:rsidRPr="00171757">
        <w:t xml:space="preserve"> [34]</w:t>
      </w:r>
      <w:r w:rsidR="002C4889" w:rsidRPr="00171757">
        <w:t xml:space="preserve">. </w:t>
      </w:r>
      <w:r w:rsidR="00641B21" w:rsidRPr="00171757">
        <w:t xml:space="preserve">Furthermore, a murine-model of peritoneal </w:t>
      </w:r>
      <w:r w:rsidR="00641B21" w:rsidRPr="00171757">
        <w:rPr>
          <w:i/>
        </w:rPr>
        <w:t xml:space="preserve">Candida albicans </w:t>
      </w:r>
      <w:r w:rsidR="00641B21" w:rsidRPr="00171757">
        <w:t>infection resulted in significantly more neutrophils and macrophages traffick</w:t>
      </w:r>
      <w:r w:rsidR="00B616B6" w:rsidRPr="00171757">
        <w:t>ing</w:t>
      </w:r>
      <w:r w:rsidR="00641B21" w:rsidRPr="00171757">
        <w:t xml:space="preserve"> into the peritoneum of aged C57B</w:t>
      </w:r>
      <w:r w:rsidR="008D09AC" w:rsidRPr="00171757">
        <w:t>L</w:t>
      </w:r>
      <w:r w:rsidR="00DC219E" w:rsidRPr="00171757">
        <w:t>/</w:t>
      </w:r>
      <w:r w:rsidR="00641B21" w:rsidRPr="00171757">
        <w:t xml:space="preserve">6 mice </w:t>
      </w:r>
      <w:r w:rsidR="00A06364" w:rsidRPr="00171757">
        <w:t>(&gt;18 month</w:t>
      </w:r>
      <w:r w:rsidR="00A11572" w:rsidRPr="00171757">
        <w:t>s</w:t>
      </w:r>
      <w:r w:rsidR="00A06364" w:rsidRPr="00171757">
        <w:t xml:space="preserve">) </w:t>
      </w:r>
      <w:r w:rsidR="00641B21" w:rsidRPr="00171757">
        <w:t>compared to younger mice</w:t>
      </w:r>
      <w:r w:rsidR="00A06364" w:rsidRPr="00171757">
        <w:t xml:space="preserve"> (&lt;3 month</w:t>
      </w:r>
      <w:r w:rsidR="00A11572" w:rsidRPr="00171757">
        <w:t>s</w:t>
      </w:r>
      <w:r w:rsidR="00A06364" w:rsidRPr="00171757">
        <w:t>)</w:t>
      </w:r>
      <w:r w:rsidR="00B15CA1" w:rsidRPr="00171757">
        <w:t xml:space="preserve"> [36]</w:t>
      </w:r>
      <w:r w:rsidR="00641B21" w:rsidRPr="00171757">
        <w:t xml:space="preserve">. </w:t>
      </w:r>
      <w:r w:rsidR="003D4B66" w:rsidRPr="00171757">
        <w:t>Although the reason for differential recruitment of neutrophils and macrophages to the peritoneum of young and aged mice was not clear</w:t>
      </w:r>
      <w:r w:rsidR="00641B21" w:rsidRPr="00171757">
        <w:t xml:space="preserve">, </w:t>
      </w:r>
      <w:r w:rsidR="00FE275C" w:rsidRPr="00171757">
        <w:t>a significant population of peritoneal macrophages displayed</w:t>
      </w:r>
      <w:r w:rsidR="00B616B6" w:rsidRPr="00171757">
        <w:t xml:space="preserve"> </w:t>
      </w:r>
      <w:r w:rsidR="00641B21" w:rsidRPr="00171757">
        <w:t>impaired fungicidal activity</w:t>
      </w:r>
      <w:r w:rsidR="00BA5C12" w:rsidRPr="00171757">
        <w:t xml:space="preserve"> in </w:t>
      </w:r>
      <w:r w:rsidR="003D4B66" w:rsidRPr="00171757">
        <w:t>aged animals</w:t>
      </w:r>
      <w:r w:rsidR="00FE275C" w:rsidRPr="00171757">
        <w:t>, diminishing the capacity of aged mice to clear the infection</w:t>
      </w:r>
      <w:r w:rsidR="00D00954" w:rsidRPr="00171757">
        <w:t xml:space="preserve">. </w:t>
      </w:r>
    </w:p>
    <w:p w14:paraId="4644B89D" w14:textId="4ED3BBF6" w:rsidR="004F0E59" w:rsidRPr="00171757" w:rsidRDefault="001000B3" w:rsidP="00C9481C">
      <w:pPr>
        <w:spacing w:line="480" w:lineRule="auto"/>
        <w:ind w:firstLine="720"/>
        <w:jc w:val="both"/>
      </w:pPr>
      <w:r w:rsidRPr="00171757">
        <w:t>D</w:t>
      </w:r>
      <w:r w:rsidR="00B616B6" w:rsidRPr="00171757">
        <w:t xml:space="preserve">ysregulated neutrophil recruitment in ageing </w:t>
      </w:r>
      <w:r w:rsidR="004F0E59" w:rsidRPr="00171757">
        <w:t xml:space="preserve">also </w:t>
      </w:r>
      <w:r w:rsidRPr="00171757">
        <w:t>appears</w:t>
      </w:r>
      <w:r w:rsidR="00B616B6" w:rsidRPr="00171757">
        <w:t xml:space="preserve"> to be tissue-specific. Indeed</w:t>
      </w:r>
      <w:r w:rsidR="00D00954" w:rsidRPr="00171757">
        <w:t>, neutrophil</w:t>
      </w:r>
      <w:r w:rsidR="00641B21" w:rsidRPr="00171757">
        <w:t xml:space="preserve"> </w:t>
      </w:r>
      <w:r w:rsidR="00D00954" w:rsidRPr="00171757">
        <w:t xml:space="preserve">infiltration </w:t>
      </w:r>
      <w:r w:rsidR="00B616B6" w:rsidRPr="00171757">
        <w:t>in</w:t>
      </w:r>
      <w:r w:rsidR="001B1AD3" w:rsidRPr="00171757">
        <w:t>to</w:t>
      </w:r>
      <w:r w:rsidR="00D00954" w:rsidRPr="00171757">
        <w:t xml:space="preserve"> cutaneous wound</w:t>
      </w:r>
      <w:r w:rsidR="001B1AD3" w:rsidRPr="00171757">
        <w:t xml:space="preserve">s infected with </w:t>
      </w:r>
      <w:r w:rsidR="001B1AD3" w:rsidRPr="00171757">
        <w:rPr>
          <w:i/>
        </w:rPr>
        <w:t xml:space="preserve">Staphylococcus aureus </w:t>
      </w:r>
      <w:r w:rsidR="00D00954" w:rsidRPr="00171757">
        <w:t xml:space="preserve">was </w:t>
      </w:r>
      <w:r w:rsidR="00B616B6" w:rsidRPr="00171757">
        <w:t xml:space="preserve">lower </w:t>
      </w:r>
      <w:r w:rsidR="00D00954" w:rsidRPr="00171757">
        <w:t xml:space="preserve">in </w:t>
      </w:r>
      <w:r w:rsidR="00641B21" w:rsidRPr="00171757">
        <w:t xml:space="preserve">aged BALB/c mice </w:t>
      </w:r>
      <w:r w:rsidR="00A06364" w:rsidRPr="00171757">
        <w:t>(&gt;18 month</w:t>
      </w:r>
      <w:r w:rsidR="00A11572" w:rsidRPr="00171757">
        <w:t>s</w:t>
      </w:r>
      <w:r w:rsidR="00A06364" w:rsidRPr="00171757">
        <w:t xml:space="preserve">) </w:t>
      </w:r>
      <w:r w:rsidR="00D00954" w:rsidRPr="00171757">
        <w:t>compared to younger mice</w:t>
      </w:r>
      <w:r w:rsidR="00A06364" w:rsidRPr="00171757">
        <w:t xml:space="preserve"> (&lt;4 month</w:t>
      </w:r>
      <w:r w:rsidR="00A11572" w:rsidRPr="00171757">
        <w:t>s</w:t>
      </w:r>
      <w:r w:rsidR="00A06364" w:rsidRPr="00171757">
        <w:t>)</w:t>
      </w:r>
      <w:r w:rsidR="00D00954" w:rsidRPr="00171757">
        <w:t xml:space="preserve">, despite similar levels of local </w:t>
      </w:r>
      <w:r w:rsidR="00371E3A" w:rsidRPr="00171757">
        <w:lastRenderedPageBreak/>
        <w:t xml:space="preserve">CXCL1 and </w:t>
      </w:r>
      <w:r w:rsidR="00876D42" w:rsidRPr="00171757">
        <w:t>CXCL2</w:t>
      </w:r>
      <w:r w:rsidR="00B15CA1" w:rsidRPr="00171757">
        <w:t xml:space="preserve"> [3</w:t>
      </w:r>
      <w:r w:rsidR="00BC31AD">
        <w:t>7</w:t>
      </w:r>
      <w:r w:rsidR="00B15CA1" w:rsidRPr="00171757">
        <w:t>]</w:t>
      </w:r>
      <w:r w:rsidR="0091364D" w:rsidRPr="00171757">
        <w:t xml:space="preserve">. Impaired neutrophil migration was </w:t>
      </w:r>
      <w:r w:rsidR="00D00954" w:rsidRPr="00171757">
        <w:t>attributed</w:t>
      </w:r>
      <w:r w:rsidR="0091364D" w:rsidRPr="00171757">
        <w:t xml:space="preserve"> </w:t>
      </w:r>
      <w:r w:rsidR="00D00954" w:rsidRPr="00171757">
        <w:t>to</w:t>
      </w:r>
      <w:r w:rsidR="0091364D" w:rsidRPr="00171757">
        <w:t xml:space="preserve"> reduced ICAM-1 expression in the wounds of aged mice. </w:t>
      </w:r>
      <w:r w:rsidR="00F10BA1" w:rsidRPr="00171757">
        <w:t xml:space="preserve">Finally, aged </w:t>
      </w:r>
      <w:r w:rsidR="00185049" w:rsidRPr="00171757">
        <w:t xml:space="preserve">mice </w:t>
      </w:r>
      <w:r w:rsidR="00A06364" w:rsidRPr="00171757">
        <w:t>(&gt;22 month</w:t>
      </w:r>
      <w:r w:rsidR="00A11572" w:rsidRPr="00171757">
        <w:t>s</w:t>
      </w:r>
      <w:r w:rsidR="00A06364" w:rsidRPr="00171757">
        <w:t xml:space="preserve">) </w:t>
      </w:r>
      <w:r w:rsidR="00185049" w:rsidRPr="00171757">
        <w:t>infected with</w:t>
      </w:r>
      <w:r w:rsidR="00641B21" w:rsidRPr="00171757">
        <w:t xml:space="preserve"> </w:t>
      </w:r>
      <w:r w:rsidR="00641B21" w:rsidRPr="00171757">
        <w:rPr>
          <w:i/>
        </w:rPr>
        <w:t>S. Typhimurium</w:t>
      </w:r>
      <w:r w:rsidR="00185049" w:rsidRPr="00171757">
        <w:rPr>
          <w:i/>
        </w:rPr>
        <w:t xml:space="preserve"> </w:t>
      </w:r>
      <w:r w:rsidR="00185049" w:rsidRPr="00171757">
        <w:t xml:space="preserve">exhibited reduced </w:t>
      </w:r>
      <w:r w:rsidR="00BA6B2B" w:rsidRPr="00171757">
        <w:t>neu</w:t>
      </w:r>
      <w:r w:rsidR="008D00DC" w:rsidRPr="00171757">
        <w:t>trophil</w:t>
      </w:r>
      <w:r w:rsidR="00BA6B2B" w:rsidRPr="00171757">
        <w:t xml:space="preserve"> </w:t>
      </w:r>
      <w:r w:rsidR="008D00DC" w:rsidRPr="00171757">
        <w:t xml:space="preserve">trafficking </w:t>
      </w:r>
      <w:r w:rsidR="00BA6B2B" w:rsidRPr="00171757">
        <w:t>to secondary lymphoid tissues</w:t>
      </w:r>
      <w:r w:rsidR="00F10BA1" w:rsidRPr="00171757">
        <w:t xml:space="preserve"> such as the spleen and mesenteric LN</w:t>
      </w:r>
      <w:r w:rsidR="00BA6B2B" w:rsidRPr="00171757">
        <w:t xml:space="preserve"> </w:t>
      </w:r>
      <w:r w:rsidR="008D00DC" w:rsidRPr="00171757">
        <w:t>compared to young mice</w:t>
      </w:r>
      <w:r w:rsidR="00F10BA1" w:rsidRPr="00171757">
        <w:t xml:space="preserve"> </w:t>
      </w:r>
      <w:r w:rsidR="00A06364" w:rsidRPr="00171757">
        <w:t>(&lt;6</w:t>
      </w:r>
      <w:r w:rsidR="003D3450" w:rsidRPr="00171757">
        <w:t xml:space="preserve"> </w:t>
      </w:r>
      <w:r w:rsidR="00A06364" w:rsidRPr="00171757">
        <w:t>month</w:t>
      </w:r>
      <w:r w:rsidR="00A11572" w:rsidRPr="00171757">
        <w:t>s</w:t>
      </w:r>
      <w:r w:rsidR="00A06364" w:rsidRPr="00171757">
        <w:t>)</w:t>
      </w:r>
      <w:r w:rsidR="00B15CA1" w:rsidRPr="00171757">
        <w:t xml:space="preserve"> [3</w:t>
      </w:r>
      <w:r w:rsidR="00E31ED9">
        <w:t>8</w:t>
      </w:r>
      <w:r w:rsidR="00B15CA1" w:rsidRPr="00171757">
        <w:t>]</w:t>
      </w:r>
      <w:r w:rsidR="00185049" w:rsidRPr="00171757">
        <w:t>. This lack of neutrophil recruitment resulted in</w:t>
      </w:r>
      <w:r w:rsidR="00BA6B2B" w:rsidRPr="00171757">
        <w:t xml:space="preserve"> </w:t>
      </w:r>
      <w:r w:rsidR="00185049" w:rsidRPr="00171757">
        <w:t>increased</w:t>
      </w:r>
      <w:r w:rsidR="00D00954" w:rsidRPr="00171757">
        <w:t xml:space="preserve"> level</w:t>
      </w:r>
      <w:r w:rsidR="00185049" w:rsidRPr="00171757">
        <w:t>s</w:t>
      </w:r>
      <w:r w:rsidR="00D00954" w:rsidRPr="00171757">
        <w:t xml:space="preserve"> of bacterial </w:t>
      </w:r>
      <w:r w:rsidR="000D62CA" w:rsidRPr="00171757">
        <w:t xml:space="preserve">colonisation of multiple organs in aged mice, including the spleen, </w:t>
      </w:r>
      <w:r w:rsidR="0046461D" w:rsidRPr="00171757">
        <w:t>ileum, colon, Peyer’s patches and liver</w:t>
      </w:r>
      <w:r w:rsidR="00B15CA1" w:rsidRPr="00171757">
        <w:t xml:space="preserve"> [3</w:t>
      </w:r>
      <w:r w:rsidR="00E31ED9">
        <w:t>8</w:t>
      </w:r>
      <w:r w:rsidR="00B15CA1" w:rsidRPr="00171757">
        <w:t>]</w:t>
      </w:r>
      <w:r w:rsidR="00BA6B2B" w:rsidRPr="00171757">
        <w:t>.</w:t>
      </w:r>
      <w:r w:rsidR="00641B21" w:rsidRPr="00171757">
        <w:t xml:space="preserve"> </w:t>
      </w:r>
    </w:p>
    <w:p w14:paraId="01938B98" w14:textId="7138C885" w:rsidR="00E378AC" w:rsidRPr="00171757" w:rsidRDefault="0091364D" w:rsidP="00C9481C">
      <w:pPr>
        <w:spacing w:line="480" w:lineRule="auto"/>
        <w:ind w:firstLine="720"/>
        <w:jc w:val="both"/>
      </w:pPr>
      <w:r w:rsidRPr="00171757">
        <w:t xml:space="preserve">Together, these studies suggest </w:t>
      </w:r>
      <w:r w:rsidR="00185049" w:rsidRPr="00171757">
        <w:t xml:space="preserve">that </w:t>
      </w:r>
      <w:r w:rsidRPr="00171757">
        <w:t xml:space="preserve">age-related changes </w:t>
      </w:r>
      <w:r w:rsidR="007A4059" w:rsidRPr="00171757">
        <w:t>in</w:t>
      </w:r>
      <w:r w:rsidRPr="00171757">
        <w:t xml:space="preserve"> n</w:t>
      </w:r>
      <w:r w:rsidR="007A4059" w:rsidRPr="00171757">
        <w:t>eutrophil</w:t>
      </w:r>
      <w:r w:rsidR="004F0E59" w:rsidRPr="00171757">
        <w:t>, monocyte, macroph</w:t>
      </w:r>
      <w:r w:rsidR="00C17764" w:rsidRPr="00171757">
        <w:t>a</w:t>
      </w:r>
      <w:r w:rsidR="004F0E59" w:rsidRPr="00171757">
        <w:t>ge and DC</w:t>
      </w:r>
      <w:r w:rsidR="007A4059" w:rsidRPr="00171757">
        <w:t xml:space="preserve"> chemotactic responses</w:t>
      </w:r>
      <w:r w:rsidRPr="00171757">
        <w:t xml:space="preserve"> </w:t>
      </w:r>
      <w:r w:rsidR="00185049" w:rsidRPr="00171757">
        <w:t>are therefore</w:t>
      </w:r>
      <w:r w:rsidRPr="00171757">
        <w:t xml:space="preserve"> </w:t>
      </w:r>
      <w:r w:rsidR="007A4059" w:rsidRPr="00171757">
        <w:t xml:space="preserve">dependent upon </w:t>
      </w:r>
      <w:r w:rsidRPr="00171757">
        <w:t xml:space="preserve">tissue type </w:t>
      </w:r>
      <w:r w:rsidR="00185049" w:rsidRPr="00171757">
        <w:t xml:space="preserve">as well as </w:t>
      </w:r>
      <w:r w:rsidRPr="00171757">
        <w:t xml:space="preserve">the nature of </w:t>
      </w:r>
      <w:r w:rsidR="00185049" w:rsidRPr="00171757">
        <w:t xml:space="preserve">the </w:t>
      </w:r>
      <w:r w:rsidRPr="00171757">
        <w:t>inflammat</w:t>
      </w:r>
      <w:r w:rsidR="00185049" w:rsidRPr="00171757">
        <w:t>ory signals</w:t>
      </w:r>
      <w:r w:rsidR="001C7E22" w:rsidRPr="00171757">
        <w:t>.</w:t>
      </w:r>
      <w:r w:rsidRPr="00171757">
        <w:t xml:space="preserve"> Ultimately, these studies </w:t>
      </w:r>
      <w:r w:rsidR="001C7E22" w:rsidRPr="00171757">
        <w:t>emphasize</w:t>
      </w:r>
      <w:r w:rsidRPr="00171757">
        <w:t xml:space="preserve"> </w:t>
      </w:r>
      <w:r w:rsidR="007A4059" w:rsidRPr="00171757">
        <w:t xml:space="preserve">age-related changes in </w:t>
      </w:r>
      <w:r w:rsidR="004F0E59" w:rsidRPr="00171757">
        <w:t xml:space="preserve">innate cell </w:t>
      </w:r>
      <w:r w:rsidR="007A4059" w:rsidRPr="00171757">
        <w:t>migrat</w:t>
      </w:r>
      <w:r w:rsidR="00185049" w:rsidRPr="00171757">
        <w:t>ory capacity</w:t>
      </w:r>
      <w:r w:rsidR="007A4059" w:rsidRPr="00171757">
        <w:t xml:space="preserve">, which affects </w:t>
      </w:r>
      <w:r w:rsidR="00185049" w:rsidRPr="00171757">
        <w:t>development of appropriate immune responses</w:t>
      </w:r>
      <w:r w:rsidR="001331E3" w:rsidRPr="00171757">
        <w:t xml:space="preserve"> (</w:t>
      </w:r>
      <w:r w:rsidR="001331E3" w:rsidRPr="00171757">
        <w:rPr>
          <w:b/>
          <w:bCs/>
        </w:rPr>
        <w:t>Table 1</w:t>
      </w:r>
      <w:r w:rsidR="001331E3" w:rsidRPr="00171757">
        <w:t>)</w:t>
      </w:r>
      <w:r w:rsidRPr="00171757">
        <w:t>.</w:t>
      </w:r>
      <w:r w:rsidR="001C3A44" w:rsidRPr="00171757">
        <w:t xml:space="preserve"> </w:t>
      </w:r>
      <w:r w:rsidR="0050334E" w:rsidRPr="00171757">
        <w:t>However, o</w:t>
      </w:r>
      <w:r w:rsidR="00E378AC" w:rsidRPr="00171757">
        <w:t>nly a handful of studies have investigated the effect of ageing on homeostatic leukocyte trafficking</w:t>
      </w:r>
      <w:r w:rsidR="0050334E" w:rsidRPr="00171757">
        <w:t xml:space="preserve"> to identify pathways intrinsically affected by the ageing process</w:t>
      </w:r>
      <w:r w:rsidR="00E378AC" w:rsidRPr="00171757">
        <w:t>, and so more studies in this area are required.</w:t>
      </w:r>
    </w:p>
    <w:p w14:paraId="3B6AA80B" w14:textId="2CBAEFFB" w:rsidR="004C5C06" w:rsidRPr="00171757" w:rsidRDefault="00764660" w:rsidP="001975E9">
      <w:pPr>
        <w:pStyle w:val="Heading2"/>
        <w:spacing w:line="480" w:lineRule="auto"/>
        <w:rPr>
          <w:rFonts w:ascii="Times New Roman" w:hAnsi="Times New Roman" w:cs="Times New Roman"/>
        </w:rPr>
      </w:pPr>
      <w:r>
        <w:rPr>
          <w:rFonts w:ascii="Times New Roman" w:hAnsi="Times New Roman" w:cs="Times New Roman"/>
        </w:rPr>
        <w:lastRenderedPageBreak/>
        <w:t xml:space="preserve">1.3 </w:t>
      </w:r>
      <w:r w:rsidR="004C5C06" w:rsidRPr="00171757">
        <w:rPr>
          <w:rFonts w:ascii="Times New Roman" w:hAnsi="Times New Roman" w:cs="Times New Roman"/>
        </w:rPr>
        <w:t xml:space="preserve">Trafficking </w:t>
      </w:r>
      <w:r w:rsidR="00A30E07" w:rsidRPr="00171757">
        <w:rPr>
          <w:rFonts w:ascii="Times New Roman" w:hAnsi="Times New Roman" w:cs="Times New Roman"/>
        </w:rPr>
        <w:t xml:space="preserve">of adaptive immune cells </w:t>
      </w:r>
      <w:r w:rsidR="004C5C06" w:rsidRPr="00171757">
        <w:rPr>
          <w:rFonts w:ascii="Times New Roman" w:hAnsi="Times New Roman" w:cs="Times New Roman"/>
        </w:rPr>
        <w:t xml:space="preserve">in </w:t>
      </w:r>
      <w:r w:rsidR="00A30E07" w:rsidRPr="00171757">
        <w:rPr>
          <w:rFonts w:ascii="Times New Roman" w:hAnsi="Times New Roman" w:cs="Times New Roman"/>
        </w:rPr>
        <w:t>a</w:t>
      </w:r>
      <w:r w:rsidR="004C5C06" w:rsidRPr="00171757">
        <w:rPr>
          <w:rFonts w:ascii="Times New Roman" w:hAnsi="Times New Roman" w:cs="Times New Roman"/>
        </w:rPr>
        <w:t>geing</w:t>
      </w:r>
    </w:p>
    <w:p w14:paraId="4C799F57" w14:textId="6A4133FA" w:rsidR="00AC1835" w:rsidRPr="00171757" w:rsidRDefault="004C5C06">
      <w:pPr>
        <w:spacing w:line="480" w:lineRule="auto"/>
        <w:ind w:firstLine="720"/>
        <w:jc w:val="both"/>
      </w:pPr>
      <w:r w:rsidRPr="00171757">
        <w:t>The ageing process also affects the trafficking of adaptive immune cells in both human</w:t>
      </w:r>
      <w:r w:rsidR="009D61C9" w:rsidRPr="00171757">
        <w:t>s</w:t>
      </w:r>
      <w:r w:rsidRPr="00171757">
        <w:t xml:space="preserve"> and </w:t>
      </w:r>
      <w:r w:rsidR="009D61C9" w:rsidRPr="00171757">
        <w:t>m</w:t>
      </w:r>
      <w:r w:rsidR="002D5286" w:rsidRPr="00171757">
        <w:t xml:space="preserve">ice </w:t>
      </w:r>
      <w:r w:rsidR="001331E3" w:rsidRPr="00171757">
        <w:t>(</w:t>
      </w:r>
      <w:r w:rsidR="001331E3" w:rsidRPr="00171757">
        <w:rPr>
          <w:b/>
          <w:bCs/>
        </w:rPr>
        <w:t>Table 1</w:t>
      </w:r>
      <w:r w:rsidR="001331E3" w:rsidRPr="00171757">
        <w:t>)</w:t>
      </w:r>
      <w:r w:rsidRPr="00171757">
        <w:t>.</w:t>
      </w:r>
      <w:r w:rsidR="00C525F9" w:rsidRPr="00171757">
        <w:t xml:space="preserve"> </w:t>
      </w:r>
      <w:r w:rsidR="00602CC8" w:rsidRPr="00171757">
        <w:t>T</w:t>
      </w:r>
      <w:r w:rsidR="008A6338" w:rsidRPr="00171757">
        <w:t>he number of T-cells residi</w:t>
      </w:r>
      <w:r w:rsidR="006D48BA" w:rsidRPr="00171757">
        <w:t xml:space="preserve">ng in the brains of </w:t>
      </w:r>
      <w:r w:rsidR="00602CC8" w:rsidRPr="00171757">
        <w:t xml:space="preserve">unchallenged </w:t>
      </w:r>
      <w:r w:rsidR="006D48BA" w:rsidRPr="00171757">
        <w:t xml:space="preserve">aged </w:t>
      </w:r>
      <w:r w:rsidR="008A6338" w:rsidRPr="00171757">
        <w:t>mice</w:t>
      </w:r>
      <w:r w:rsidR="00602CC8" w:rsidRPr="00171757">
        <w:t xml:space="preserve"> (&gt;18 month</w:t>
      </w:r>
      <w:r w:rsidR="00A11572" w:rsidRPr="00171757">
        <w:t>s</w:t>
      </w:r>
      <w:r w:rsidR="00602CC8" w:rsidRPr="00171757">
        <w:t xml:space="preserve">) </w:t>
      </w:r>
      <w:r w:rsidR="008A6338" w:rsidRPr="00171757">
        <w:t xml:space="preserve">was 3-fold higher than in younger </w:t>
      </w:r>
      <w:r w:rsidR="00602CC8" w:rsidRPr="00171757">
        <w:t xml:space="preserve">mice </w:t>
      </w:r>
      <w:r w:rsidR="006D48BA" w:rsidRPr="00171757">
        <w:t>(&lt;3 month</w:t>
      </w:r>
      <w:r w:rsidR="00A11572" w:rsidRPr="00171757">
        <w:t>s</w:t>
      </w:r>
      <w:r w:rsidR="008A6338" w:rsidRPr="00171757">
        <w:t>),</w:t>
      </w:r>
      <w:r w:rsidR="006D48BA" w:rsidRPr="00171757">
        <w:t xml:space="preserve"> and</w:t>
      </w:r>
      <w:r w:rsidR="008A6338" w:rsidRPr="00171757">
        <w:t xml:space="preserve"> </w:t>
      </w:r>
      <w:r w:rsidR="00C82D89" w:rsidRPr="00171757">
        <w:t>correlated with</w:t>
      </w:r>
      <w:r w:rsidR="008A6338" w:rsidRPr="00171757">
        <w:t xml:space="preserve"> increase</w:t>
      </w:r>
      <w:r w:rsidR="006D48BA" w:rsidRPr="00171757">
        <w:t>d</w:t>
      </w:r>
      <w:r w:rsidR="008A6338" w:rsidRPr="00171757">
        <w:t xml:space="preserve"> </w:t>
      </w:r>
      <w:r w:rsidR="00C82D89" w:rsidRPr="00171757">
        <w:t xml:space="preserve">levels of </w:t>
      </w:r>
      <w:r w:rsidR="002B72EB" w:rsidRPr="00171757">
        <w:t>CCL5, CCL11, CXCL9, and CXCL10</w:t>
      </w:r>
      <w:r w:rsidR="008A6338" w:rsidRPr="00171757">
        <w:t xml:space="preserve"> </w:t>
      </w:r>
      <w:r w:rsidR="006D48BA" w:rsidRPr="00171757">
        <w:t xml:space="preserve">in </w:t>
      </w:r>
      <w:r w:rsidR="00C82D89" w:rsidRPr="00171757">
        <w:t>aged</w:t>
      </w:r>
      <w:r w:rsidR="006D48BA" w:rsidRPr="00171757">
        <w:t xml:space="preserve"> brain</w:t>
      </w:r>
      <w:r w:rsidR="00C82D89" w:rsidRPr="00171757">
        <w:t xml:space="preserve">s which may have facilitated </w:t>
      </w:r>
      <w:r w:rsidR="001F3361" w:rsidRPr="00171757">
        <w:t xml:space="preserve">increased </w:t>
      </w:r>
      <w:r w:rsidR="00C82D89" w:rsidRPr="00171757">
        <w:t>T-cell recruitment</w:t>
      </w:r>
      <w:r w:rsidR="00B15CA1" w:rsidRPr="00171757">
        <w:t xml:space="preserve"> [</w:t>
      </w:r>
      <w:r w:rsidR="00E31ED9">
        <w:t>39</w:t>
      </w:r>
      <w:r w:rsidR="00B15CA1" w:rsidRPr="00171757">
        <w:t>]</w:t>
      </w:r>
      <w:r w:rsidR="008A6338" w:rsidRPr="00171757">
        <w:t>.</w:t>
      </w:r>
      <w:r w:rsidR="00C10291" w:rsidRPr="00171757">
        <w:t xml:space="preserve"> </w:t>
      </w:r>
      <w:r w:rsidR="001B66E4" w:rsidRPr="00171757">
        <w:t>Single-cell RNA sequencing has revealed age-related changes in the abundance of B- and T-cells in</w:t>
      </w:r>
      <w:r w:rsidR="00A61851" w:rsidRPr="00171757">
        <w:t xml:space="preserve"> various murine tissues</w:t>
      </w:r>
      <w:r w:rsidR="00F8594A" w:rsidRPr="00171757">
        <w:t xml:space="preserve"> under homeostatic conditions</w:t>
      </w:r>
      <w:r w:rsidR="00A61851" w:rsidRPr="00171757">
        <w:t>, albeit in</w:t>
      </w:r>
      <w:r w:rsidR="001B66E4" w:rsidRPr="00171757">
        <w:t xml:space="preserve"> </w:t>
      </w:r>
      <w:r w:rsidR="00A61851" w:rsidRPr="00171757">
        <w:t>a tissue-specific manner</w:t>
      </w:r>
      <w:r w:rsidR="00B15CA1" w:rsidRPr="00171757">
        <w:t xml:space="preserve"> [23, 4</w:t>
      </w:r>
      <w:r w:rsidR="00E31ED9">
        <w:t>0</w:t>
      </w:r>
      <w:r w:rsidR="00B15CA1" w:rsidRPr="00171757">
        <w:t>]</w:t>
      </w:r>
      <w:r w:rsidR="00A61851" w:rsidRPr="00171757">
        <w:t xml:space="preserve">. The proportion of B-cells </w:t>
      </w:r>
      <w:r w:rsidR="00F8594A" w:rsidRPr="00171757">
        <w:t xml:space="preserve">in the spleen and anterior </w:t>
      </w:r>
      <w:r w:rsidR="00804E3B" w:rsidRPr="00171757">
        <w:t xml:space="preserve">tibialis </w:t>
      </w:r>
      <w:r w:rsidR="00F8594A" w:rsidRPr="00171757">
        <w:t>muscle</w:t>
      </w:r>
      <w:r w:rsidR="006D48BA" w:rsidRPr="00171757">
        <w:t>s</w:t>
      </w:r>
      <w:r w:rsidR="00F8594A" w:rsidRPr="00171757">
        <w:t xml:space="preserve"> of aged </w:t>
      </w:r>
      <w:r w:rsidR="006D48BA" w:rsidRPr="00171757">
        <w:t>C57B</w:t>
      </w:r>
      <w:r w:rsidR="006649E3" w:rsidRPr="00171757">
        <w:t>L</w:t>
      </w:r>
      <w:r w:rsidR="00973716" w:rsidRPr="00171757">
        <w:t>/</w:t>
      </w:r>
      <w:r w:rsidR="006D48BA" w:rsidRPr="00171757">
        <w:t xml:space="preserve">6 </w:t>
      </w:r>
      <w:r w:rsidR="00F8594A" w:rsidRPr="00171757">
        <w:t>mice</w:t>
      </w:r>
      <w:r w:rsidR="00973716" w:rsidRPr="00171757">
        <w:t xml:space="preserve"> (&gt;18 month</w:t>
      </w:r>
      <w:r w:rsidR="00A11572" w:rsidRPr="00171757">
        <w:t>s</w:t>
      </w:r>
      <w:r w:rsidR="00973716" w:rsidRPr="00171757">
        <w:t xml:space="preserve">) </w:t>
      </w:r>
      <w:r w:rsidR="006D48BA" w:rsidRPr="00171757">
        <w:t xml:space="preserve">is reduced </w:t>
      </w:r>
      <w:r w:rsidR="00F8594A" w:rsidRPr="00171757">
        <w:t>compared to younger mice</w:t>
      </w:r>
      <w:r w:rsidR="00973716" w:rsidRPr="00171757">
        <w:t xml:space="preserve"> (&lt;3 month</w:t>
      </w:r>
      <w:r w:rsidR="00A11572" w:rsidRPr="00171757">
        <w:t>s</w:t>
      </w:r>
      <w:r w:rsidR="00973716" w:rsidRPr="00171757">
        <w:t>)</w:t>
      </w:r>
      <w:r w:rsidR="00F8594A" w:rsidRPr="00171757">
        <w:t xml:space="preserve">, </w:t>
      </w:r>
      <w:r w:rsidR="00537FE2" w:rsidRPr="00171757">
        <w:t>whilst</w:t>
      </w:r>
      <w:r w:rsidR="00F8594A" w:rsidRPr="00171757">
        <w:t xml:space="preserve"> the proportion of T-cells in the thymus</w:t>
      </w:r>
      <w:r w:rsidR="00537FE2" w:rsidRPr="00171757">
        <w:t>, spleen</w:t>
      </w:r>
      <w:r w:rsidR="00F8594A" w:rsidRPr="00171757">
        <w:t xml:space="preserve"> and mammary gland</w:t>
      </w:r>
      <w:r w:rsidR="002B523F" w:rsidRPr="00171757">
        <w:t>s</w:t>
      </w:r>
      <w:r w:rsidR="00F8594A" w:rsidRPr="00171757">
        <w:t xml:space="preserve"> are </w:t>
      </w:r>
      <w:r w:rsidR="00AC1835" w:rsidRPr="00171757">
        <w:t xml:space="preserve">also </w:t>
      </w:r>
      <w:r w:rsidR="006D48BA" w:rsidRPr="00171757">
        <w:t>decreased</w:t>
      </w:r>
      <w:r w:rsidR="00B15CA1" w:rsidRPr="00171757">
        <w:t xml:space="preserve"> [23]</w:t>
      </w:r>
      <w:r w:rsidR="00F8594A" w:rsidRPr="00171757">
        <w:t xml:space="preserve">. </w:t>
      </w:r>
      <w:r w:rsidR="006424FF" w:rsidRPr="00171757">
        <w:t xml:space="preserve">In another study, single-cell RNA sequencing revealed increased B- and T-cell infiltration of the </w:t>
      </w:r>
      <w:r w:rsidR="006D48BA" w:rsidRPr="00171757">
        <w:t>gonadal</w:t>
      </w:r>
      <w:r w:rsidR="006424FF" w:rsidRPr="00171757">
        <w:t xml:space="preserve"> adipose tissue in aged mice </w:t>
      </w:r>
      <w:r w:rsidR="00AC1835" w:rsidRPr="00171757">
        <w:t>(24 month</w:t>
      </w:r>
      <w:r w:rsidR="00A11572" w:rsidRPr="00171757">
        <w:t>s</w:t>
      </w:r>
      <w:r w:rsidR="00AC1835" w:rsidRPr="00171757">
        <w:t xml:space="preserve">) </w:t>
      </w:r>
      <w:r w:rsidR="006424FF" w:rsidRPr="00171757">
        <w:t>compared to young mice</w:t>
      </w:r>
      <w:r w:rsidR="00AC1835" w:rsidRPr="00171757">
        <w:t xml:space="preserve"> (3 month</w:t>
      </w:r>
      <w:r w:rsidR="00A11572" w:rsidRPr="00171757">
        <w:t>s</w:t>
      </w:r>
      <w:r w:rsidR="00AC1835" w:rsidRPr="00171757">
        <w:t>)</w:t>
      </w:r>
      <w:r w:rsidR="006424FF" w:rsidRPr="00171757">
        <w:t xml:space="preserve">, along with increased levels of VCAM-1 in </w:t>
      </w:r>
      <w:r w:rsidR="00764660">
        <w:t xml:space="preserve">the </w:t>
      </w:r>
      <w:r w:rsidR="006424FF" w:rsidRPr="00171757">
        <w:t xml:space="preserve">serum, kidney and heart of aged </w:t>
      </w:r>
      <w:r w:rsidR="006D48BA" w:rsidRPr="00171757">
        <w:t>animals</w:t>
      </w:r>
      <w:r w:rsidR="00B15CA1" w:rsidRPr="00171757">
        <w:t xml:space="preserve"> [4</w:t>
      </w:r>
      <w:r w:rsidR="00E31ED9">
        <w:t>0</w:t>
      </w:r>
      <w:r w:rsidR="00B15CA1" w:rsidRPr="00171757">
        <w:t>]</w:t>
      </w:r>
      <w:r w:rsidR="006424FF" w:rsidRPr="00171757">
        <w:t xml:space="preserve">. </w:t>
      </w:r>
    </w:p>
    <w:p w14:paraId="6A65535C" w14:textId="421FC09A" w:rsidR="008407E4" w:rsidRPr="00171757" w:rsidRDefault="00764660" w:rsidP="008407E4">
      <w:pPr>
        <w:pStyle w:val="Heading3"/>
        <w:spacing w:line="480" w:lineRule="auto"/>
        <w:jc w:val="both"/>
      </w:pPr>
      <w:r>
        <w:lastRenderedPageBreak/>
        <w:t xml:space="preserve">1.3.1 </w:t>
      </w:r>
      <w:r w:rsidR="008407E4" w:rsidRPr="00171757">
        <w:t xml:space="preserve">T-cells: </w:t>
      </w:r>
      <w:r>
        <w:t>m</w:t>
      </w:r>
      <w:r w:rsidR="008407E4" w:rsidRPr="00171757">
        <w:t>ouse studies</w:t>
      </w:r>
    </w:p>
    <w:p w14:paraId="04D623B3" w14:textId="6299624A" w:rsidR="00F50CF2" w:rsidRPr="00171757" w:rsidRDefault="00747F4B" w:rsidP="008407E4">
      <w:pPr>
        <w:spacing w:line="480" w:lineRule="auto"/>
        <w:ind w:firstLine="720"/>
        <w:jc w:val="both"/>
      </w:pPr>
      <w:r w:rsidRPr="00171757">
        <w:t xml:space="preserve">In mice, </w:t>
      </w:r>
      <w:r w:rsidRPr="00171757">
        <w:rPr>
          <w:color w:val="000000"/>
        </w:rPr>
        <w:t>i</w:t>
      </w:r>
      <w:r w:rsidR="00432C7F" w:rsidRPr="00171757">
        <w:rPr>
          <w:color w:val="000000"/>
        </w:rPr>
        <w:t xml:space="preserve">nduction of </w:t>
      </w:r>
      <w:r w:rsidRPr="00171757">
        <w:rPr>
          <w:color w:val="000000"/>
        </w:rPr>
        <w:t xml:space="preserve">subcutaneous </w:t>
      </w:r>
      <w:r w:rsidR="00432C7F" w:rsidRPr="00171757">
        <w:rPr>
          <w:color w:val="000000"/>
        </w:rPr>
        <w:t>West Nile virus (WNV) infection led to reduced trafficking of T-cell</w:t>
      </w:r>
      <w:r w:rsidRPr="00171757">
        <w:rPr>
          <w:color w:val="000000"/>
        </w:rPr>
        <w:t>s</w:t>
      </w:r>
      <w:r w:rsidR="00432C7F" w:rsidRPr="00171757">
        <w:rPr>
          <w:color w:val="000000"/>
        </w:rPr>
        <w:t xml:space="preserve">, </w:t>
      </w:r>
      <w:r w:rsidRPr="00171757">
        <w:rPr>
          <w:color w:val="000000"/>
        </w:rPr>
        <w:t>natural killer</w:t>
      </w:r>
      <w:r w:rsidR="00432C7F" w:rsidRPr="00171757">
        <w:rPr>
          <w:color w:val="000000"/>
        </w:rPr>
        <w:t xml:space="preserve"> cells</w:t>
      </w:r>
      <w:r w:rsidRPr="00171757">
        <w:rPr>
          <w:color w:val="000000"/>
        </w:rPr>
        <w:t xml:space="preserve"> (NK)</w:t>
      </w:r>
      <w:r w:rsidR="00432C7F" w:rsidRPr="00171757">
        <w:rPr>
          <w:color w:val="000000"/>
        </w:rPr>
        <w:t xml:space="preserve">, macrophages and DC to the popliteal </w:t>
      </w:r>
      <w:r w:rsidR="004968A2" w:rsidRPr="00171757">
        <w:rPr>
          <w:color w:val="000000"/>
        </w:rPr>
        <w:t>d</w:t>
      </w:r>
      <w:r w:rsidR="00432C7F" w:rsidRPr="00171757">
        <w:rPr>
          <w:color w:val="000000"/>
        </w:rPr>
        <w:t>LN of aged mice</w:t>
      </w:r>
      <w:r w:rsidR="003B4BCB" w:rsidRPr="00171757">
        <w:rPr>
          <w:color w:val="000000"/>
        </w:rPr>
        <w:t xml:space="preserve"> </w:t>
      </w:r>
      <w:r w:rsidR="00A06364" w:rsidRPr="00171757">
        <w:rPr>
          <w:color w:val="000000"/>
        </w:rPr>
        <w:t>(&gt;18 month</w:t>
      </w:r>
      <w:r w:rsidR="00A11572" w:rsidRPr="00171757">
        <w:rPr>
          <w:color w:val="000000"/>
        </w:rPr>
        <w:t>s</w:t>
      </w:r>
      <w:r w:rsidR="00A06364" w:rsidRPr="00171757">
        <w:rPr>
          <w:color w:val="000000"/>
        </w:rPr>
        <w:t xml:space="preserve">) </w:t>
      </w:r>
      <w:r w:rsidR="003B4BCB" w:rsidRPr="00171757">
        <w:rPr>
          <w:color w:val="000000"/>
        </w:rPr>
        <w:t>compared to younger mice</w:t>
      </w:r>
      <w:r w:rsidR="00A06364" w:rsidRPr="00171757">
        <w:rPr>
          <w:color w:val="000000"/>
        </w:rPr>
        <w:t xml:space="preserve"> (&lt;4 month</w:t>
      </w:r>
      <w:r w:rsidR="00A11572" w:rsidRPr="00171757">
        <w:rPr>
          <w:color w:val="000000"/>
        </w:rPr>
        <w:t>s</w:t>
      </w:r>
      <w:r w:rsidR="00A06364" w:rsidRPr="00171757">
        <w:rPr>
          <w:color w:val="000000"/>
        </w:rPr>
        <w:t>)</w:t>
      </w:r>
      <w:r w:rsidR="00B15CA1" w:rsidRPr="00171757">
        <w:rPr>
          <w:color w:val="000000"/>
        </w:rPr>
        <w:t xml:space="preserve"> [4</w:t>
      </w:r>
      <w:r w:rsidR="00E31ED9">
        <w:rPr>
          <w:color w:val="000000"/>
        </w:rPr>
        <w:t>1</w:t>
      </w:r>
      <w:r w:rsidR="00B15CA1" w:rsidRPr="00171757">
        <w:rPr>
          <w:color w:val="000000"/>
        </w:rPr>
        <w:t>]</w:t>
      </w:r>
      <w:r w:rsidRPr="00171757">
        <w:rPr>
          <w:color w:val="000000"/>
        </w:rPr>
        <w:t>. Aged mice also exhibited poor anti-viral immunity, as aged animals presented with</w:t>
      </w:r>
      <w:r w:rsidR="00432C7F" w:rsidRPr="00171757">
        <w:rPr>
          <w:color w:val="000000"/>
        </w:rPr>
        <w:t xml:space="preserve"> </w:t>
      </w:r>
      <w:r w:rsidRPr="00171757">
        <w:rPr>
          <w:color w:val="000000"/>
        </w:rPr>
        <w:t xml:space="preserve">an </w:t>
      </w:r>
      <w:r w:rsidR="00432C7F" w:rsidRPr="00171757">
        <w:rPr>
          <w:color w:val="000000"/>
        </w:rPr>
        <w:t>increased viral burden in the blood, spleen, and brain.</w:t>
      </w:r>
      <w:r w:rsidR="00DD1238" w:rsidRPr="00171757">
        <w:rPr>
          <w:color w:val="000000"/>
        </w:rPr>
        <w:t xml:space="preserve"> </w:t>
      </w:r>
      <w:r w:rsidR="004968A2" w:rsidRPr="00171757">
        <w:rPr>
          <w:color w:val="000000"/>
        </w:rPr>
        <w:t>Impaired</w:t>
      </w:r>
      <w:r w:rsidR="008C75FA" w:rsidRPr="00171757">
        <w:rPr>
          <w:color w:val="000000"/>
        </w:rPr>
        <w:t xml:space="preserve"> naïve CD4</w:t>
      </w:r>
      <w:r w:rsidR="008C75FA" w:rsidRPr="00171757">
        <w:rPr>
          <w:color w:val="000000"/>
          <w:vertAlign w:val="superscript"/>
        </w:rPr>
        <w:t>+</w:t>
      </w:r>
      <w:r w:rsidR="008C75FA" w:rsidRPr="00171757">
        <w:rPr>
          <w:color w:val="000000"/>
        </w:rPr>
        <w:t xml:space="preserve"> T-cell trafficking </w:t>
      </w:r>
      <w:r w:rsidR="004968A2" w:rsidRPr="00171757">
        <w:rPr>
          <w:color w:val="000000"/>
        </w:rPr>
        <w:t>into the spleen and dLN of</w:t>
      </w:r>
      <w:r w:rsidR="008C75FA" w:rsidRPr="00171757">
        <w:rPr>
          <w:color w:val="000000"/>
        </w:rPr>
        <w:t xml:space="preserve"> </w:t>
      </w:r>
      <w:r w:rsidR="004968A2" w:rsidRPr="00171757">
        <w:rPr>
          <w:color w:val="000000"/>
        </w:rPr>
        <w:t xml:space="preserve">WNV-infected </w:t>
      </w:r>
      <w:r w:rsidR="008C75FA" w:rsidRPr="00171757">
        <w:rPr>
          <w:color w:val="000000"/>
        </w:rPr>
        <w:t xml:space="preserve">aged mice was </w:t>
      </w:r>
      <w:r w:rsidR="004968A2" w:rsidRPr="00171757">
        <w:rPr>
          <w:color w:val="000000"/>
        </w:rPr>
        <w:t xml:space="preserve">partly </w:t>
      </w:r>
      <w:r w:rsidR="008C75FA" w:rsidRPr="00171757">
        <w:rPr>
          <w:color w:val="000000"/>
        </w:rPr>
        <w:t>attributed to i</w:t>
      </w:r>
      <w:r w:rsidR="00785074" w:rsidRPr="00171757">
        <w:rPr>
          <w:color w:val="000000"/>
        </w:rPr>
        <w:t xml:space="preserve">ntrinsic </w:t>
      </w:r>
      <w:r w:rsidR="008C75FA" w:rsidRPr="00171757">
        <w:rPr>
          <w:color w:val="000000"/>
        </w:rPr>
        <w:t xml:space="preserve">cellular </w:t>
      </w:r>
      <w:r w:rsidR="00785074" w:rsidRPr="00171757">
        <w:rPr>
          <w:color w:val="000000"/>
        </w:rPr>
        <w:t>defect</w:t>
      </w:r>
      <w:r w:rsidR="008C75FA" w:rsidRPr="00171757">
        <w:rPr>
          <w:color w:val="000000"/>
        </w:rPr>
        <w:t>s</w:t>
      </w:r>
      <w:r w:rsidR="00785074" w:rsidRPr="00171757">
        <w:rPr>
          <w:color w:val="000000"/>
        </w:rPr>
        <w:t xml:space="preserve">, as </w:t>
      </w:r>
      <w:r w:rsidR="004968A2" w:rsidRPr="00171757">
        <w:rPr>
          <w:color w:val="000000"/>
        </w:rPr>
        <w:t xml:space="preserve">the adoptive transfer of </w:t>
      </w:r>
      <w:r w:rsidR="00785074" w:rsidRPr="00171757">
        <w:rPr>
          <w:color w:val="000000"/>
        </w:rPr>
        <w:t xml:space="preserve">naïve </w:t>
      </w:r>
      <w:r w:rsidR="004968A2" w:rsidRPr="00171757">
        <w:rPr>
          <w:color w:val="000000"/>
        </w:rPr>
        <w:t>CD4</w:t>
      </w:r>
      <w:r w:rsidR="004968A2" w:rsidRPr="00171757">
        <w:rPr>
          <w:color w:val="000000"/>
          <w:vertAlign w:val="superscript"/>
        </w:rPr>
        <w:t xml:space="preserve">+ </w:t>
      </w:r>
      <w:r w:rsidR="00785074" w:rsidRPr="00171757">
        <w:rPr>
          <w:color w:val="000000"/>
        </w:rPr>
        <w:t xml:space="preserve">T-cells derived from aged </w:t>
      </w:r>
      <w:r w:rsidR="004968A2" w:rsidRPr="00171757">
        <w:rPr>
          <w:color w:val="000000"/>
        </w:rPr>
        <w:t>mice into a</w:t>
      </w:r>
      <w:r w:rsidR="00DE239A" w:rsidRPr="00171757">
        <w:rPr>
          <w:color w:val="000000"/>
        </w:rPr>
        <w:t xml:space="preserve"> </w:t>
      </w:r>
      <w:r w:rsidR="00063CD7" w:rsidRPr="00171757">
        <w:rPr>
          <w:color w:val="000000"/>
        </w:rPr>
        <w:t xml:space="preserve">young </w:t>
      </w:r>
      <w:r w:rsidR="00DE239A" w:rsidRPr="00171757">
        <w:rPr>
          <w:color w:val="000000"/>
        </w:rPr>
        <w:t>recipient</w:t>
      </w:r>
      <w:r w:rsidR="00063CD7" w:rsidRPr="00171757">
        <w:rPr>
          <w:color w:val="000000"/>
        </w:rPr>
        <w:t xml:space="preserve"> experiencing WNV infection</w:t>
      </w:r>
      <w:r w:rsidR="004968A2" w:rsidRPr="00171757">
        <w:rPr>
          <w:color w:val="000000"/>
        </w:rPr>
        <w:t xml:space="preserve"> did not improve T-cell trafficking</w:t>
      </w:r>
      <w:r w:rsidR="002B2879" w:rsidRPr="00171757">
        <w:rPr>
          <w:color w:val="000000"/>
        </w:rPr>
        <w:t xml:space="preserve"> to youthful levels</w:t>
      </w:r>
      <w:r w:rsidR="00063CD7" w:rsidRPr="00171757">
        <w:rPr>
          <w:color w:val="000000"/>
        </w:rPr>
        <w:t xml:space="preserve">. However, defective naïve </w:t>
      </w:r>
      <w:r w:rsidR="002B2879" w:rsidRPr="00171757">
        <w:rPr>
          <w:color w:val="000000"/>
        </w:rPr>
        <w:t>CD4</w:t>
      </w:r>
      <w:r w:rsidR="002B2879" w:rsidRPr="00171757">
        <w:rPr>
          <w:color w:val="000000"/>
          <w:vertAlign w:val="superscript"/>
        </w:rPr>
        <w:t xml:space="preserve">+ </w:t>
      </w:r>
      <w:r w:rsidR="00063CD7" w:rsidRPr="00171757">
        <w:rPr>
          <w:color w:val="000000"/>
        </w:rPr>
        <w:t xml:space="preserve">T-cell trafficking </w:t>
      </w:r>
      <w:r w:rsidR="002B2879" w:rsidRPr="00171757">
        <w:rPr>
          <w:color w:val="000000"/>
        </w:rPr>
        <w:t xml:space="preserve">in WNV-infected aged mice </w:t>
      </w:r>
      <w:r w:rsidR="00063CD7" w:rsidRPr="00171757">
        <w:rPr>
          <w:color w:val="000000"/>
        </w:rPr>
        <w:t xml:space="preserve">was also </w:t>
      </w:r>
      <w:r w:rsidR="002B2879" w:rsidRPr="00171757">
        <w:rPr>
          <w:color w:val="000000"/>
        </w:rPr>
        <w:t xml:space="preserve">partly attributed </w:t>
      </w:r>
      <w:r w:rsidR="00063CD7" w:rsidRPr="00171757">
        <w:rPr>
          <w:color w:val="000000"/>
        </w:rPr>
        <w:t>to age-related changes in the micro</w:t>
      </w:r>
      <w:r w:rsidR="002B2879" w:rsidRPr="00171757">
        <w:rPr>
          <w:color w:val="000000"/>
        </w:rPr>
        <w:t>environment</w:t>
      </w:r>
      <w:r w:rsidR="00063CD7" w:rsidRPr="00171757">
        <w:rPr>
          <w:color w:val="000000"/>
        </w:rPr>
        <w:t>, as both young and aged naïve CD4</w:t>
      </w:r>
      <w:r w:rsidR="00063CD7" w:rsidRPr="00171757">
        <w:rPr>
          <w:color w:val="000000"/>
          <w:vertAlign w:val="superscript"/>
        </w:rPr>
        <w:t>+</w:t>
      </w:r>
      <w:r w:rsidR="00063CD7" w:rsidRPr="00171757">
        <w:rPr>
          <w:color w:val="000000"/>
        </w:rPr>
        <w:t xml:space="preserve"> T-cells displayed lower levels of migration into spleen</w:t>
      </w:r>
      <w:r w:rsidR="002B2879" w:rsidRPr="00171757">
        <w:rPr>
          <w:color w:val="000000"/>
        </w:rPr>
        <w:t xml:space="preserve"> and dLN</w:t>
      </w:r>
      <w:r w:rsidR="00063CD7" w:rsidRPr="00171757">
        <w:rPr>
          <w:color w:val="000000"/>
        </w:rPr>
        <w:t xml:space="preserve"> when adoptively transferred into </w:t>
      </w:r>
      <w:r w:rsidR="00DE239A" w:rsidRPr="00171757">
        <w:rPr>
          <w:color w:val="000000"/>
        </w:rPr>
        <w:t xml:space="preserve">infected, </w:t>
      </w:r>
      <w:r w:rsidR="00063CD7" w:rsidRPr="00171757">
        <w:rPr>
          <w:color w:val="000000"/>
        </w:rPr>
        <w:t xml:space="preserve">aged recipients. </w:t>
      </w:r>
      <w:r w:rsidR="00A04F5E" w:rsidRPr="00171757">
        <w:rPr>
          <w:color w:val="000000"/>
        </w:rPr>
        <w:t xml:space="preserve">Indeed, aged mice had significantly lower levels of CCL21, a </w:t>
      </w:r>
      <w:r w:rsidR="006649E3" w:rsidRPr="00171757">
        <w:rPr>
          <w:color w:val="000000"/>
        </w:rPr>
        <w:t xml:space="preserve">chemoattractant for </w:t>
      </w:r>
      <w:r w:rsidR="00DE239A" w:rsidRPr="00171757">
        <w:rPr>
          <w:color w:val="000000"/>
        </w:rPr>
        <w:t>naïve T-</w:t>
      </w:r>
      <w:r w:rsidR="00A04F5E" w:rsidRPr="00171757">
        <w:rPr>
          <w:color w:val="000000"/>
        </w:rPr>
        <w:t>cell</w:t>
      </w:r>
      <w:r w:rsidR="006649E3" w:rsidRPr="00171757">
        <w:rPr>
          <w:color w:val="000000"/>
        </w:rPr>
        <w:t>s</w:t>
      </w:r>
      <w:r w:rsidR="00A04F5E" w:rsidRPr="00171757">
        <w:rPr>
          <w:color w:val="000000"/>
        </w:rPr>
        <w:t xml:space="preserve">, in dLN after 2 days of infection. </w:t>
      </w:r>
      <w:r w:rsidR="00193A05" w:rsidRPr="00171757">
        <w:rPr>
          <w:color w:val="000000"/>
        </w:rPr>
        <w:t xml:space="preserve">Intravital two-photon microscopy revealed that </w:t>
      </w:r>
      <w:r w:rsidR="002B2879" w:rsidRPr="00171757">
        <w:rPr>
          <w:color w:val="000000"/>
        </w:rPr>
        <w:t xml:space="preserve">leukocyte capture and rolling along HEV is unaffected by age, </w:t>
      </w:r>
      <w:r w:rsidR="00193A05" w:rsidRPr="00171757">
        <w:rPr>
          <w:color w:val="000000"/>
        </w:rPr>
        <w:t>however, aged naïve CD4</w:t>
      </w:r>
      <w:r w:rsidR="00193A05" w:rsidRPr="00171757">
        <w:rPr>
          <w:color w:val="000000"/>
          <w:vertAlign w:val="superscript"/>
        </w:rPr>
        <w:t>+</w:t>
      </w:r>
      <w:r w:rsidR="002B2879" w:rsidRPr="00171757">
        <w:rPr>
          <w:color w:val="000000"/>
        </w:rPr>
        <w:t xml:space="preserve"> T-cells </w:t>
      </w:r>
      <w:r w:rsidR="00193A05" w:rsidRPr="00171757">
        <w:rPr>
          <w:color w:val="000000"/>
        </w:rPr>
        <w:t>extravasated less efficiently</w:t>
      </w:r>
      <w:r w:rsidR="00A04F5E" w:rsidRPr="00171757">
        <w:rPr>
          <w:color w:val="000000"/>
        </w:rPr>
        <w:t xml:space="preserve"> into dLN</w:t>
      </w:r>
      <w:r w:rsidR="00242BCC" w:rsidRPr="00171757">
        <w:rPr>
          <w:color w:val="000000"/>
        </w:rPr>
        <w:t xml:space="preserve"> [4</w:t>
      </w:r>
      <w:r w:rsidR="00E31ED9">
        <w:rPr>
          <w:color w:val="000000"/>
        </w:rPr>
        <w:t>1</w:t>
      </w:r>
      <w:r w:rsidR="00242BCC" w:rsidRPr="00171757">
        <w:rPr>
          <w:color w:val="000000"/>
        </w:rPr>
        <w:t>]</w:t>
      </w:r>
      <w:r w:rsidR="00193A05" w:rsidRPr="00171757">
        <w:rPr>
          <w:color w:val="000000"/>
        </w:rPr>
        <w:t>.</w:t>
      </w:r>
      <w:r w:rsidR="00A04F5E" w:rsidRPr="00171757">
        <w:rPr>
          <w:color w:val="000000"/>
        </w:rPr>
        <w:t xml:space="preserve"> Importantly, </w:t>
      </w:r>
      <w:r w:rsidR="002B2879" w:rsidRPr="00171757">
        <w:rPr>
          <w:color w:val="000000"/>
        </w:rPr>
        <w:t>defective</w:t>
      </w:r>
      <w:r w:rsidR="00A04F5E" w:rsidRPr="00171757">
        <w:rPr>
          <w:color w:val="000000"/>
        </w:rPr>
        <w:t xml:space="preserve"> </w:t>
      </w:r>
      <w:r w:rsidR="00A04F5E" w:rsidRPr="00171757">
        <w:rPr>
          <w:color w:val="000000"/>
        </w:rPr>
        <w:lastRenderedPageBreak/>
        <w:t>naïve CD4</w:t>
      </w:r>
      <w:r w:rsidR="00A04F5E" w:rsidRPr="00171757">
        <w:rPr>
          <w:color w:val="000000"/>
          <w:vertAlign w:val="superscript"/>
        </w:rPr>
        <w:t>+</w:t>
      </w:r>
      <w:r w:rsidR="00DE239A" w:rsidRPr="00171757">
        <w:rPr>
          <w:color w:val="000000"/>
        </w:rPr>
        <w:t xml:space="preserve"> T-cell</w:t>
      </w:r>
      <w:r w:rsidR="00A04F5E" w:rsidRPr="00171757">
        <w:rPr>
          <w:color w:val="000000"/>
        </w:rPr>
        <w:t xml:space="preserve"> trafficking had profound effects on </w:t>
      </w:r>
      <w:r w:rsidR="002B2879" w:rsidRPr="00171757">
        <w:rPr>
          <w:color w:val="000000"/>
        </w:rPr>
        <w:t>the development of anti-viral humoral responses, including formation of germinal centres, in aged mice</w:t>
      </w:r>
      <w:r w:rsidR="00A31D66" w:rsidRPr="00171757">
        <w:rPr>
          <w:color w:val="000000"/>
        </w:rPr>
        <w:t xml:space="preserve"> leading to uncontrolled viral burdens and increased mortality rates</w:t>
      </w:r>
      <w:r w:rsidR="002B2879" w:rsidRPr="00171757">
        <w:rPr>
          <w:color w:val="000000"/>
        </w:rPr>
        <w:t xml:space="preserve">. </w:t>
      </w:r>
    </w:p>
    <w:p w14:paraId="08898CB1" w14:textId="101755F6" w:rsidR="008407E4" w:rsidRPr="00171757" w:rsidRDefault="00764660" w:rsidP="008407E4">
      <w:pPr>
        <w:pStyle w:val="Heading3"/>
        <w:spacing w:line="480" w:lineRule="auto"/>
        <w:jc w:val="both"/>
      </w:pPr>
      <w:r>
        <w:t xml:space="preserve">1.3.2 </w:t>
      </w:r>
      <w:r w:rsidR="008407E4" w:rsidRPr="00171757">
        <w:t xml:space="preserve">T-cells: </w:t>
      </w:r>
      <w:r>
        <w:t>h</w:t>
      </w:r>
      <w:r w:rsidR="008407E4" w:rsidRPr="00171757">
        <w:t>uman studies</w:t>
      </w:r>
    </w:p>
    <w:p w14:paraId="06D382ED" w14:textId="4CB04294" w:rsidR="003A797B" w:rsidRPr="00171757" w:rsidRDefault="00CA02A0" w:rsidP="00264254">
      <w:pPr>
        <w:spacing w:line="480" w:lineRule="auto"/>
        <w:ind w:firstLine="720"/>
        <w:jc w:val="both"/>
      </w:pPr>
      <w:r w:rsidRPr="00171757">
        <w:t xml:space="preserve">In </w:t>
      </w:r>
      <w:r w:rsidR="008A6338" w:rsidRPr="00171757">
        <w:t>a human model of delayed-type hypersensitivity</w:t>
      </w:r>
      <w:r w:rsidRPr="00171757">
        <w:t>,</w:t>
      </w:r>
      <w:r w:rsidR="008A6338" w:rsidRPr="00171757">
        <w:t xml:space="preserve"> </w:t>
      </w:r>
      <w:r w:rsidR="00770D18" w:rsidRPr="00171757">
        <w:t>bacterial (tuberculosis</w:t>
      </w:r>
      <w:r w:rsidR="00A5286B" w:rsidRPr="00171757">
        <w:t>), fungal (</w:t>
      </w:r>
      <w:r w:rsidR="00A5286B" w:rsidRPr="00171757">
        <w:rPr>
          <w:i/>
        </w:rPr>
        <w:t>C. albicans</w:t>
      </w:r>
      <w:r w:rsidR="00A5286B" w:rsidRPr="00171757">
        <w:t>) and viral (</w:t>
      </w:r>
      <w:r w:rsidR="00770D18" w:rsidRPr="00171757">
        <w:t>VZV</w:t>
      </w:r>
      <w:r w:rsidR="00A5286B" w:rsidRPr="00171757">
        <w:t>) recall antigens were administ</w:t>
      </w:r>
      <w:r w:rsidR="00DF615E" w:rsidRPr="00171757">
        <w:t xml:space="preserve">ered into the skin of younger </w:t>
      </w:r>
      <w:r w:rsidR="004A4842" w:rsidRPr="00171757">
        <w:t xml:space="preserve">adults </w:t>
      </w:r>
      <w:r w:rsidR="00DF615E" w:rsidRPr="00171757">
        <w:t>(&lt;</w:t>
      </w:r>
      <w:r w:rsidR="00A5286B" w:rsidRPr="00171757">
        <w:t xml:space="preserve">40 years old) and older </w:t>
      </w:r>
      <w:r w:rsidR="004A4842" w:rsidRPr="00171757">
        <w:t xml:space="preserve">adults </w:t>
      </w:r>
      <w:r w:rsidR="00A5286B" w:rsidRPr="00171757">
        <w:t xml:space="preserve">(&gt;70 years old) </w:t>
      </w:r>
      <w:r w:rsidR="00DF615E" w:rsidRPr="00171757">
        <w:t>to assess T-cell recruitment</w:t>
      </w:r>
      <w:r w:rsidR="00242BCC" w:rsidRPr="00171757">
        <w:t xml:space="preserve"> [4</w:t>
      </w:r>
      <w:r w:rsidR="00E31ED9">
        <w:t>2</w:t>
      </w:r>
      <w:r w:rsidR="00242BCC" w:rsidRPr="00171757">
        <w:t>]</w:t>
      </w:r>
      <w:r w:rsidR="00DF615E" w:rsidRPr="00171757">
        <w:t xml:space="preserve">. Older </w:t>
      </w:r>
      <w:r w:rsidR="008A6338" w:rsidRPr="00171757">
        <w:t xml:space="preserve">adults exhibited impaired cutaneous immune responses to recall antigens, which was </w:t>
      </w:r>
      <w:r w:rsidR="00DF615E" w:rsidRPr="00171757">
        <w:t>attributed</w:t>
      </w:r>
      <w:r w:rsidR="008A6338" w:rsidRPr="00171757">
        <w:t xml:space="preserve"> </w:t>
      </w:r>
      <w:r w:rsidR="00DF615E" w:rsidRPr="00171757">
        <w:t>to</w:t>
      </w:r>
      <w:r w:rsidR="008A6338" w:rsidRPr="00171757">
        <w:t xml:space="preserve"> reduced T-cell infiltration into the skin post-antigen administration. Importantly, this modulated T-cell trafficking in older adults was not due to reduced </w:t>
      </w:r>
      <w:r w:rsidR="00F87B3E" w:rsidRPr="00171757">
        <w:t xml:space="preserve">surface </w:t>
      </w:r>
      <w:r w:rsidR="008A6338" w:rsidRPr="00171757">
        <w:t xml:space="preserve">expression of </w:t>
      </w:r>
      <w:r w:rsidR="00F50CF2" w:rsidRPr="00171757">
        <w:t xml:space="preserve">chemokine receptors, CXCR4, or </w:t>
      </w:r>
      <w:r w:rsidRPr="00171757">
        <w:t xml:space="preserve">ICAM-1-binding </w:t>
      </w:r>
      <w:r w:rsidR="00A62A19" w:rsidRPr="00171757">
        <w:t>integrins</w:t>
      </w:r>
      <w:r w:rsidR="00F50CF2" w:rsidRPr="00171757">
        <w:t xml:space="preserve">, </w:t>
      </w:r>
      <w:r w:rsidR="00CD6381" w:rsidRPr="00171757">
        <w:t xml:space="preserve">or </w:t>
      </w:r>
      <w:r w:rsidR="00801BFD" w:rsidRPr="00171757">
        <w:t xml:space="preserve">cutaneous lymphocyte associated antigen </w:t>
      </w:r>
      <w:r w:rsidR="00DE5DF1" w:rsidRPr="00171757">
        <w:t>and</w:t>
      </w:r>
      <w:r w:rsidR="00F50CF2" w:rsidRPr="00171757">
        <w:t xml:space="preserve"> </w:t>
      </w:r>
      <w:r w:rsidR="00DD7BB5" w:rsidRPr="00171757">
        <w:t xml:space="preserve">integrin subunit </w:t>
      </w:r>
      <w:r w:rsidR="00F50CF2" w:rsidRPr="00171757">
        <w:t xml:space="preserve">CD11a. </w:t>
      </w:r>
      <w:r w:rsidRPr="00171757">
        <w:t>However</w:t>
      </w:r>
      <w:r w:rsidR="00F50CF2" w:rsidRPr="00171757">
        <w:t xml:space="preserve">, T-cells isolated </w:t>
      </w:r>
      <w:r w:rsidR="00597E04" w:rsidRPr="00171757">
        <w:t>fro</w:t>
      </w:r>
      <w:r w:rsidR="00F50CF2" w:rsidRPr="00171757">
        <w:t xml:space="preserve">m </w:t>
      </w:r>
      <w:r w:rsidR="00C10291" w:rsidRPr="00171757">
        <w:t xml:space="preserve">the blood of </w:t>
      </w:r>
      <w:r w:rsidR="0066792E" w:rsidRPr="00171757">
        <w:t>older</w:t>
      </w:r>
      <w:r w:rsidR="00C10291" w:rsidRPr="00171757">
        <w:t xml:space="preserve"> </w:t>
      </w:r>
      <w:r w:rsidR="00F50CF2" w:rsidRPr="00171757">
        <w:t>individuals</w:t>
      </w:r>
      <w:r w:rsidR="004A4842" w:rsidRPr="00171757">
        <w:t xml:space="preserve"> (&gt;65 years old)</w:t>
      </w:r>
      <w:r w:rsidR="00F50CF2" w:rsidRPr="00171757">
        <w:t xml:space="preserve"> are reported to express higher levels of CD11a mRNA</w:t>
      </w:r>
      <w:r w:rsidR="002B72EB" w:rsidRPr="00171757">
        <w:t xml:space="preserve"> </w:t>
      </w:r>
      <w:r w:rsidR="00C10291" w:rsidRPr="00171757">
        <w:t xml:space="preserve">compared to T-cells isolated from the cord blood of newborns, </w:t>
      </w:r>
      <w:r w:rsidR="002B72EB" w:rsidRPr="00171757">
        <w:t>due to age-related changes in DNA methylation patterns</w:t>
      </w:r>
      <w:r w:rsidR="00242BCC" w:rsidRPr="00171757">
        <w:t xml:space="preserve"> [4</w:t>
      </w:r>
      <w:r w:rsidR="00E31ED9">
        <w:t>3</w:t>
      </w:r>
      <w:r w:rsidR="00242BCC" w:rsidRPr="00171757">
        <w:t>]</w:t>
      </w:r>
      <w:r w:rsidR="00DD2507" w:rsidRPr="00171757">
        <w:t xml:space="preserve">. </w:t>
      </w:r>
      <w:r w:rsidR="00CD6381" w:rsidRPr="00171757">
        <w:t>R</w:t>
      </w:r>
      <w:r w:rsidR="003B0C8D" w:rsidRPr="00171757">
        <w:t>educed</w:t>
      </w:r>
      <w:r w:rsidR="002B72EB" w:rsidRPr="00171757">
        <w:t xml:space="preserve"> T-cell trafficking into the skin </w:t>
      </w:r>
      <w:r w:rsidR="003B0C8D" w:rsidRPr="00171757">
        <w:t xml:space="preserve">of older adults </w:t>
      </w:r>
      <w:r w:rsidR="002B72EB" w:rsidRPr="00171757">
        <w:t>was attributed to reduced expression of</w:t>
      </w:r>
      <w:r w:rsidR="003B0C8D" w:rsidRPr="00171757">
        <w:t xml:space="preserve"> E-selectin, VCAM-1 and ICAM-1 on </w:t>
      </w:r>
      <w:r w:rsidR="003B0C8D" w:rsidRPr="00171757">
        <w:lastRenderedPageBreak/>
        <w:t>skin endothelial cells in response to recall antigen administration</w:t>
      </w:r>
      <w:r w:rsidR="00242BCC" w:rsidRPr="00171757">
        <w:t xml:space="preserve"> [4</w:t>
      </w:r>
      <w:r w:rsidR="00E31ED9">
        <w:t>4</w:t>
      </w:r>
      <w:r w:rsidR="00242BCC" w:rsidRPr="00171757">
        <w:t>]</w:t>
      </w:r>
      <w:r w:rsidR="003B0C8D" w:rsidRPr="00171757">
        <w:t xml:space="preserve">. </w:t>
      </w:r>
    </w:p>
    <w:p w14:paraId="58A84813" w14:textId="77777777" w:rsidR="00264254" w:rsidRPr="00171757" w:rsidRDefault="00264254">
      <w:r w:rsidRPr="00171757">
        <w:br w:type="page"/>
      </w:r>
    </w:p>
    <w:tbl>
      <w:tblPr>
        <w:tblStyle w:val="TableGrid"/>
        <w:tblW w:w="0" w:type="auto"/>
        <w:tblLook w:val="04A0" w:firstRow="1" w:lastRow="0" w:firstColumn="1" w:lastColumn="0" w:noHBand="0" w:noVBand="1"/>
      </w:tblPr>
      <w:tblGrid>
        <w:gridCol w:w="1255"/>
        <w:gridCol w:w="3956"/>
        <w:gridCol w:w="2694"/>
        <w:gridCol w:w="611"/>
      </w:tblGrid>
      <w:tr w:rsidR="00510519" w:rsidRPr="00171757" w14:paraId="01538DA2" w14:textId="77777777" w:rsidTr="0016599C">
        <w:tc>
          <w:tcPr>
            <w:tcW w:w="5211" w:type="dxa"/>
            <w:gridSpan w:val="2"/>
            <w:tcBorders>
              <w:bottom w:val="nil"/>
              <w:right w:val="single" w:sz="4" w:space="0" w:color="FFFFFF" w:themeColor="background1"/>
            </w:tcBorders>
          </w:tcPr>
          <w:p w14:paraId="47645847" w14:textId="0CBA0D98" w:rsidR="00510519" w:rsidRPr="00171757" w:rsidRDefault="00510519" w:rsidP="0016599C">
            <w:pPr>
              <w:rPr>
                <w:sz w:val="22"/>
                <w:szCs w:val="22"/>
              </w:rPr>
            </w:pPr>
            <w:r w:rsidRPr="00171757">
              <w:rPr>
                <w:b/>
                <w:sz w:val="22"/>
                <w:szCs w:val="22"/>
              </w:rPr>
              <w:lastRenderedPageBreak/>
              <w:t>Innate immune cells</w:t>
            </w:r>
          </w:p>
        </w:tc>
        <w:tc>
          <w:tcPr>
            <w:tcW w:w="2694" w:type="dxa"/>
            <w:tcBorders>
              <w:left w:val="single" w:sz="4" w:space="0" w:color="FFFFFF" w:themeColor="background1"/>
              <w:right w:val="single" w:sz="4" w:space="0" w:color="FFFFFF" w:themeColor="background1"/>
            </w:tcBorders>
          </w:tcPr>
          <w:p w14:paraId="6F9B728F" w14:textId="77777777" w:rsidR="00510519" w:rsidRPr="00171757" w:rsidRDefault="00510519" w:rsidP="0016599C">
            <w:pPr>
              <w:rPr>
                <w:sz w:val="22"/>
                <w:szCs w:val="22"/>
              </w:rPr>
            </w:pPr>
          </w:p>
        </w:tc>
        <w:tc>
          <w:tcPr>
            <w:tcW w:w="611" w:type="dxa"/>
            <w:tcBorders>
              <w:left w:val="single" w:sz="4" w:space="0" w:color="FFFFFF" w:themeColor="background1"/>
            </w:tcBorders>
          </w:tcPr>
          <w:p w14:paraId="3986BED4" w14:textId="77777777" w:rsidR="00510519" w:rsidRPr="00171757" w:rsidRDefault="00510519" w:rsidP="0016599C">
            <w:pPr>
              <w:rPr>
                <w:sz w:val="22"/>
                <w:szCs w:val="22"/>
              </w:rPr>
            </w:pPr>
          </w:p>
        </w:tc>
      </w:tr>
      <w:tr w:rsidR="00510519" w:rsidRPr="00171757" w14:paraId="45837FCF" w14:textId="77777777" w:rsidTr="0016599C">
        <w:tc>
          <w:tcPr>
            <w:tcW w:w="1255" w:type="dxa"/>
            <w:tcBorders>
              <w:top w:val="nil"/>
            </w:tcBorders>
          </w:tcPr>
          <w:p w14:paraId="7D6D1F51" w14:textId="77777777" w:rsidR="00510519" w:rsidRPr="00171757" w:rsidRDefault="00510519" w:rsidP="0016599C">
            <w:pPr>
              <w:rPr>
                <w:sz w:val="22"/>
                <w:szCs w:val="22"/>
              </w:rPr>
            </w:pPr>
          </w:p>
        </w:tc>
        <w:tc>
          <w:tcPr>
            <w:tcW w:w="3956" w:type="dxa"/>
          </w:tcPr>
          <w:p w14:paraId="5E5771B8" w14:textId="77777777" w:rsidR="00510519" w:rsidRPr="00171757" w:rsidRDefault="00510519" w:rsidP="0016599C">
            <w:pPr>
              <w:rPr>
                <w:sz w:val="22"/>
                <w:szCs w:val="22"/>
              </w:rPr>
            </w:pPr>
            <w:r w:rsidRPr="00171757">
              <w:rPr>
                <w:sz w:val="22"/>
                <w:szCs w:val="22"/>
              </w:rPr>
              <w:t>Effect of ageing on cell recruitment and migration</w:t>
            </w:r>
          </w:p>
        </w:tc>
        <w:tc>
          <w:tcPr>
            <w:tcW w:w="2694" w:type="dxa"/>
          </w:tcPr>
          <w:p w14:paraId="5BB278A2" w14:textId="77777777" w:rsidR="00510519" w:rsidRPr="00171757" w:rsidRDefault="00510519" w:rsidP="0016599C">
            <w:pPr>
              <w:rPr>
                <w:sz w:val="22"/>
                <w:szCs w:val="22"/>
              </w:rPr>
            </w:pPr>
            <w:r w:rsidRPr="00171757">
              <w:rPr>
                <w:sz w:val="22"/>
                <w:szCs w:val="22"/>
              </w:rPr>
              <w:t>Potential mechanisms</w:t>
            </w:r>
          </w:p>
        </w:tc>
        <w:tc>
          <w:tcPr>
            <w:tcW w:w="611" w:type="dxa"/>
          </w:tcPr>
          <w:p w14:paraId="68CAC20E" w14:textId="77777777" w:rsidR="00510519" w:rsidRPr="00171757" w:rsidRDefault="00510519" w:rsidP="0016599C">
            <w:pPr>
              <w:rPr>
                <w:sz w:val="22"/>
                <w:szCs w:val="22"/>
              </w:rPr>
            </w:pPr>
            <w:r w:rsidRPr="00171757">
              <w:rPr>
                <w:sz w:val="22"/>
                <w:szCs w:val="22"/>
              </w:rPr>
              <w:t>Ref.</w:t>
            </w:r>
          </w:p>
        </w:tc>
      </w:tr>
      <w:tr w:rsidR="00510519" w:rsidRPr="00171757" w14:paraId="513EABB0" w14:textId="77777777" w:rsidTr="0016599C">
        <w:tc>
          <w:tcPr>
            <w:tcW w:w="1255" w:type="dxa"/>
          </w:tcPr>
          <w:p w14:paraId="60CAF12D" w14:textId="77777777" w:rsidR="00510519" w:rsidRPr="00171757" w:rsidRDefault="00510519" w:rsidP="0016599C">
            <w:pPr>
              <w:rPr>
                <w:sz w:val="22"/>
                <w:szCs w:val="22"/>
              </w:rPr>
            </w:pPr>
            <w:r w:rsidRPr="00171757">
              <w:rPr>
                <w:sz w:val="22"/>
                <w:szCs w:val="22"/>
              </w:rPr>
              <w:t>DC</w:t>
            </w:r>
          </w:p>
        </w:tc>
        <w:tc>
          <w:tcPr>
            <w:tcW w:w="3956" w:type="dxa"/>
          </w:tcPr>
          <w:p w14:paraId="64934867"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DC recruitment to lung-dLN post-burn injury in mice</w:t>
            </w:r>
          </w:p>
          <w:p w14:paraId="014D7755" w14:textId="77777777" w:rsidR="00510519" w:rsidRPr="00171757" w:rsidRDefault="00510519" w:rsidP="0016599C">
            <w:pPr>
              <w:rPr>
                <w:sz w:val="22"/>
                <w:szCs w:val="22"/>
              </w:rPr>
            </w:pPr>
          </w:p>
          <w:p w14:paraId="13E7982D" w14:textId="77777777" w:rsidR="00510519" w:rsidRPr="00171757" w:rsidRDefault="00510519" w:rsidP="0016599C">
            <w:pPr>
              <w:rPr>
                <w:sz w:val="22"/>
                <w:szCs w:val="22"/>
              </w:rPr>
            </w:pPr>
            <w:r w:rsidRPr="00171757">
              <w:rPr>
                <w:sz w:val="22"/>
                <w:szCs w:val="22"/>
              </w:rPr>
              <w:t>Delayed DC recruitment to the lungs of influenza A-infected mice</w:t>
            </w:r>
          </w:p>
          <w:p w14:paraId="36C5B4D7" w14:textId="77777777" w:rsidR="00510519" w:rsidRPr="00171757" w:rsidRDefault="00510519" w:rsidP="0016599C">
            <w:pPr>
              <w:rPr>
                <w:sz w:val="22"/>
                <w:szCs w:val="22"/>
              </w:rPr>
            </w:pPr>
          </w:p>
          <w:p w14:paraId="59B76DD0" w14:textId="77777777" w:rsidR="00510519" w:rsidRPr="00171757" w:rsidRDefault="00510519" w:rsidP="0016599C">
            <w:pPr>
              <w:rPr>
                <w:i/>
                <w:sz w:val="22"/>
                <w:szCs w:val="22"/>
              </w:rPr>
            </w:pPr>
            <w:r w:rsidRPr="00171757">
              <w:rPr>
                <w:rFonts w:ascii="Wingdings" w:hAnsi="Wingdings"/>
                <w:sz w:val="18"/>
                <w:szCs w:val="22"/>
              </w:rPr>
              <w:t></w:t>
            </w:r>
            <w:r w:rsidRPr="00171757">
              <w:rPr>
                <w:sz w:val="22"/>
                <w:szCs w:val="22"/>
              </w:rPr>
              <w:t xml:space="preserve">CCL21-directed chemotaxis </w:t>
            </w:r>
            <w:r w:rsidRPr="00171757">
              <w:rPr>
                <w:i/>
                <w:sz w:val="22"/>
                <w:szCs w:val="22"/>
              </w:rPr>
              <w:t>in vitro</w:t>
            </w:r>
            <w:r w:rsidRPr="00171757">
              <w:rPr>
                <w:sz w:val="22"/>
                <w:szCs w:val="22"/>
              </w:rPr>
              <w:t xml:space="preserve">, </w:t>
            </w:r>
            <w:r w:rsidRPr="00171757">
              <w:rPr>
                <w:rFonts w:ascii="Wingdings" w:hAnsi="Wingdings"/>
                <w:sz w:val="18"/>
                <w:szCs w:val="22"/>
              </w:rPr>
              <w:t></w:t>
            </w:r>
            <w:r w:rsidRPr="00171757">
              <w:rPr>
                <w:sz w:val="22"/>
                <w:szCs w:val="22"/>
              </w:rPr>
              <w:t xml:space="preserve">popliteal dLN-homing </w:t>
            </w:r>
            <w:r w:rsidRPr="00171757">
              <w:rPr>
                <w:i/>
                <w:sz w:val="22"/>
                <w:szCs w:val="22"/>
              </w:rPr>
              <w:t>in vivo</w:t>
            </w:r>
          </w:p>
          <w:p w14:paraId="6CFCB4A7" w14:textId="77777777" w:rsidR="00510519" w:rsidRPr="00171757" w:rsidRDefault="00510519" w:rsidP="0016599C">
            <w:pPr>
              <w:rPr>
                <w:rFonts w:ascii="Wingdings" w:hAnsi="Wingdings"/>
                <w:sz w:val="22"/>
                <w:szCs w:val="22"/>
              </w:rPr>
            </w:pPr>
          </w:p>
          <w:p w14:paraId="35AB60AE"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CCL19-directed chemotaxis </w:t>
            </w:r>
            <w:r w:rsidRPr="00171757">
              <w:rPr>
                <w:i/>
                <w:sz w:val="22"/>
                <w:szCs w:val="22"/>
              </w:rPr>
              <w:t>in vitro</w:t>
            </w:r>
            <w:r w:rsidRPr="00171757">
              <w:rPr>
                <w:sz w:val="22"/>
                <w:szCs w:val="22"/>
              </w:rPr>
              <w:t>*</w:t>
            </w:r>
          </w:p>
        </w:tc>
        <w:tc>
          <w:tcPr>
            <w:tcW w:w="2694" w:type="dxa"/>
          </w:tcPr>
          <w:p w14:paraId="0AA8D05A"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PGD</w:t>
            </w:r>
            <w:r w:rsidRPr="00171757">
              <w:rPr>
                <w:sz w:val="22"/>
                <w:szCs w:val="22"/>
                <w:vertAlign w:val="subscript"/>
              </w:rPr>
              <w:t>2</w:t>
            </w:r>
            <w:r w:rsidRPr="00171757">
              <w:rPr>
                <w:sz w:val="22"/>
                <w:szCs w:val="22"/>
              </w:rPr>
              <w:t xml:space="preserve"> levels leading to </w:t>
            </w:r>
          </w:p>
          <w:p w14:paraId="094DB7B5"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CCR7-expression on DC</w:t>
            </w:r>
          </w:p>
          <w:p w14:paraId="058D5846" w14:textId="77777777" w:rsidR="00510519" w:rsidRPr="00171757" w:rsidRDefault="00510519" w:rsidP="0016599C">
            <w:pPr>
              <w:rPr>
                <w:sz w:val="22"/>
                <w:szCs w:val="22"/>
              </w:rPr>
            </w:pPr>
          </w:p>
          <w:p w14:paraId="1A802DC7" w14:textId="77777777" w:rsidR="00510519" w:rsidRPr="00171757" w:rsidRDefault="00510519" w:rsidP="0016599C">
            <w:pPr>
              <w:rPr>
                <w:sz w:val="22"/>
                <w:szCs w:val="22"/>
              </w:rPr>
            </w:pPr>
            <w:r w:rsidRPr="00171757">
              <w:rPr>
                <w:sz w:val="22"/>
                <w:szCs w:val="22"/>
              </w:rPr>
              <w:t>Delayed local IL-8 production</w:t>
            </w:r>
          </w:p>
          <w:p w14:paraId="4268F58C" w14:textId="77777777" w:rsidR="00510519" w:rsidRPr="00171757" w:rsidRDefault="00510519" w:rsidP="0016599C">
            <w:pPr>
              <w:rPr>
                <w:sz w:val="22"/>
                <w:szCs w:val="22"/>
              </w:rPr>
            </w:pPr>
          </w:p>
          <w:p w14:paraId="4FA0D5EC" w14:textId="77777777" w:rsidR="00510519" w:rsidRPr="00171757" w:rsidRDefault="00510519" w:rsidP="0016599C">
            <w:pPr>
              <w:rPr>
                <w:sz w:val="22"/>
                <w:szCs w:val="22"/>
              </w:rPr>
            </w:pPr>
            <w:r w:rsidRPr="00171757">
              <w:rPr>
                <w:sz w:val="22"/>
                <w:szCs w:val="22"/>
              </w:rPr>
              <w:t>Defective signal transduction pathways</w:t>
            </w:r>
          </w:p>
          <w:p w14:paraId="683BA54F" w14:textId="77777777" w:rsidR="00510519" w:rsidRPr="00171757" w:rsidRDefault="00510519" w:rsidP="0016599C">
            <w:pPr>
              <w:rPr>
                <w:sz w:val="22"/>
                <w:szCs w:val="22"/>
              </w:rPr>
            </w:pPr>
          </w:p>
          <w:p w14:paraId="5341BB17" w14:textId="77777777" w:rsidR="00510519" w:rsidRPr="00171757" w:rsidRDefault="00510519" w:rsidP="0016599C">
            <w:pPr>
              <w:rPr>
                <w:sz w:val="22"/>
                <w:szCs w:val="22"/>
              </w:rPr>
            </w:pPr>
            <w:r w:rsidRPr="00171757">
              <w:rPr>
                <w:sz w:val="22"/>
                <w:szCs w:val="22"/>
              </w:rPr>
              <w:t>Defective PI3K-AKT signalling</w:t>
            </w:r>
          </w:p>
        </w:tc>
        <w:tc>
          <w:tcPr>
            <w:tcW w:w="611" w:type="dxa"/>
          </w:tcPr>
          <w:p w14:paraId="1BB330B5" w14:textId="31EAC038" w:rsidR="00510519" w:rsidRPr="00171757" w:rsidRDefault="00510519" w:rsidP="0016599C">
            <w:pPr>
              <w:rPr>
                <w:sz w:val="22"/>
                <w:szCs w:val="22"/>
              </w:rPr>
            </w:pPr>
            <w:r w:rsidRPr="00171757">
              <w:rPr>
                <w:sz w:val="22"/>
                <w:szCs w:val="22"/>
              </w:rPr>
              <w:t>2</w:t>
            </w:r>
            <w:r w:rsidR="00171757">
              <w:rPr>
                <w:sz w:val="22"/>
                <w:szCs w:val="22"/>
              </w:rPr>
              <w:t>4</w:t>
            </w:r>
          </w:p>
          <w:p w14:paraId="446050F1" w14:textId="77777777" w:rsidR="00510519" w:rsidRPr="00171757" w:rsidRDefault="00510519" w:rsidP="0016599C">
            <w:pPr>
              <w:rPr>
                <w:sz w:val="22"/>
                <w:szCs w:val="22"/>
              </w:rPr>
            </w:pPr>
          </w:p>
          <w:p w14:paraId="3E0E0870" w14:textId="77777777" w:rsidR="00510519" w:rsidRPr="00171757" w:rsidRDefault="00510519" w:rsidP="0016599C">
            <w:pPr>
              <w:rPr>
                <w:sz w:val="22"/>
                <w:szCs w:val="22"/>
              </w:rPr>
            </w:pPr>
          </w:p>
          <w:p w14:paraId="3B669731" w14:textId="578F1F96" w:rsidR="00510519" w:rsidRPr="00171757" w:rsidRDefault="00510519" w:rsidP="0016599C">
            <w:pPr>
              <w:rPr>
                <w:sz w:val="22"/>
                <w:szCs w:val="22"/>
              </w:rPr>
            </w:pPr>
            <w:r w:rsidRPr="00171757">
              <w:rPr>
                <w:sz w:val="22"/>
                <w:szCs w:val="22"/>
              </w:rPr>
              <w:t>2</w:t>
            </w:r>
            <w:r w:rsidR="00171757">
              <w:rPr>
                <w:sz w:val="22"/>
                <w:szCs w:val="22"/>
              </w:rPr>
              <w:t>5</w:t>
            </w:r>
          </w:p>
          <w:p w14:paraId="69C2F8DB" w14:textId="77777777" w:rsidR="00510519" w:rsidRPr="00171757" w:rsidRDefault="00510519" w:rsidP="0016599C">
            <w:pPr>
              <w:rPr>
                <w:sz w:val="22"/>
                <w:szCs w:val="22"/>
              </w:rPr>
            </w:pPr>
          </w:p>
          <w:p w14:paraId="77D1E364" w14:textId="77777777" w:rsidR="00510519" w:rsidRPr="00171757" w:rsidRDefault="00510519" w:rsidP="0016599C">
            <w:pPr>
              <w:rPr>
                <w:sz w:val="22"/>
                <w:szCs w:val="22"/>
              </w:rPr>
            </w:pPr>
          </w:p>
          <w:p w14:paraId="4A0D5A81" w14:textId="3F560D4D" w:rsidR="00510519" w:rsidRPr="00171757" w:rsidRDefault="00510519" w:rsidP="0016599C">
            <w:pPr>
              <w:rPr>
                <w:sz w:val="22"/>
                <w:szCs w:val="22"/>
              </w:rPr>
            </w:pPr>
            <w:r w:rsidRPr="00171757">
              <w:rPr>
                <w:sz w:val="22"/>
                <w:szCs w:val="22"/>
              </w:rPr>
              <w:t>2</w:t>
            </w:r>
            <w:r w:rsidR="00171757">
              <w:rPr>
                <w:sz w:val="22"/>
                <w:szCs w:val="22"/>
              </w:rPr>
              <w:t>7</w:t>
            </w:r>
          </w:p>
          <w:p w14:paraId="7D55E558" w14:textId="77777777" w:rsidR="00510519" w:rsidRPr="00171757" w:rsidRDefault="00510519" w:rsidP="0016599C">
            <w:pPr>
              <w:rPr>
                <w:sz w:val="22"/>
                <w:szCs w:val="22"/>
              </w:rPr>
            </w:pPr>
          </w:p>
          <w:p w14:paraId="634C630B" w14:textId="77777777" w:rsidR="00510519" w:rsidRPr="00171757" w:rsidRDefault="00510519" w:rsidP="0016599C">
            <w:pPr>
              <w:rPr>
                <w:sz w:val="22"/>
                <w:szCs w:val="22"/>
              </w:rPr>
            </w:pPr>
          </w:p>
          <w:p w14:paraId="0480836D" w14:textId="1359E66A" w:rsidR="00510519" w:rsidRPr="00171757" w:rsidRDefault="00510519" w:rsidP="0016599C">
            <w:pPr>
              <w:rPr>
                <w:sz w:val="22"/>
                <w:szCs w:val="22"/>
              </w:rPr>
            </w:pPr>
            <w:r w:rsidRPr="00171757">
              <w:rPr>
                <w:sz w:val="22"/>
                <w:szCs w:val="22"/>
              </w:rPr>
              <w:t>2</w:t>
            </w:r>
            <w:r w:rsidR="00171757">
              <w:rPr>
                <w:sz w:val="22"/>
                <w:szCs w:val="22"/>
              </w:rPr>
              <w:t>8</w:t>
            </w:r>
          </w:p>
        </w:tc>
      </w:tr>
      <w:tr w:rsidR="00510519" w:rsidRPr="00171757" w14:paraId="1EB6586F" w14:textId="77777777" w:rsidTr="0016599C">
        <w:tc>
          <w:tcPr>
            <w:tcW w:w="1255" w:type="dxa"/>
          </w:tcPr>
          <w:p w14:paraId="6C4D5687" w14:textId="77777777" w:rsidR="00510519" w:rsidRPr="00171757" w:rsidRDefault="00510519" w:rsidP="0016599C">
            <w:pPr>
              <w:rPr>
                <w:sz w:val="22"/>
                <w:szCs w:val="22"/>
              </w:rPr>
            </w:pPr>
            <w:r w:rsidRPr="00171757">
              <w:rPr>
                <w:sz w:val="22"/>
                <w:szCs w:val="22"/>
              </w:rPr>
              <w:t>Neutrophils</w:t>
            </w:r>
          </w:p>
        </w:tc>
        <w:tc>
          <w:tcPr>
            <w:tcW w:w="3956" w:type="dxa"/>
          </w:tcPr>
          <w:p w14:paraId="6DFD5FD8"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fMLP-directed chemotaxis </w:t>
            </w:r>
            <w:r w:rsidRPr="00171757">
              <w:rPr>
                <w:i/>
                <w:sz w:val="22"/>
                <w:szCs w:val="22"/>
              </w:rPr>
              <w:t>in vitro</w:t>
            </w:r>
            <w:r w:rsidRPr="00171757">
              <w:rPr>
                <w:sz w:val="22"/>
                <w:szCs w:val="22"/>
              </w:rPr>
              <w:t>*</w:t>
            </w:r>
          </w:p>
          <w:p w14:paraId="2C52C367" w14:textId="77777777" w:rsidR="00510519" w:rsidRPr="00171757" w:rsidRDefault="00510519" w:rsidP="0016599C">
            <w:pPr>
              <w:rPr>
                <w:sz w:val="22"/>
                <w:szCs w:val="22"/>
              </w:rPr>
            </w:pPr>
          </w:p>
          <w:p w14:paraId="7E1F097A" w14:textId="77777777" w:rsidR="00510519" w:rsidRPr="00171757" w:rsidRDefault="00510519" w:rsidP="0016599C">
            <w:pPr>
              <w:rPr>
                <w:rFonts w:ascii="Wingdings" w:hAnsi="Wingdings"/>
                <w:sz w:val="22"/>
                <w:szCs w:val="22"/>
              </w:rPr>
            </w:pPr>
          </w:p>
          <w:p w14:paraId="07BB7CF8"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fMLP- and PAF-directed chemotaxis </w:t>
            </w:r>
            <w:r w:rsidRPr="00171757">
              <w:rPr>
                <w:i/>
                <w:sz w:val="22"/>
                <w:szCs w:val="22"/>
              </w:rPr>
              <w:t>in vitro</w:t>
            </w:r>
            <w:r w:rsidRPr="00171757">
              <w:rPr>
                <w:sz w:val="22"/>
                <w:szCs w:val="22"/>
              </w:rPr>
              <w:t>*</w:t>
            </w:r>
          </w:p>
          <w:p w14:paraId="3EB5DC15" w14:textId="77777777" w:rsidR="00510519" w:rsidRPr="00171757" w:rsidRDefault="00510519" w:rsidP="0016599C">
            <w:pPr>
              <w:rPr>
                <w:sz w:val="22"/>
                <w:szCs w:val="22"/>
              </w:rPr>
            </w:pPr>
          </w:p>
          <w:p w14:paraId="61C8EEFD"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fMLP-, CXCL8-, and CXCL1-directed chemotaxis </w:t>
            </w:r>
            <w:r w:rsidRPr="00171757">
              <w:rPr>
                <w:i/>
                <w:sz w:val="22"/>
                <w:szCs w:val="22"/>
              </w:rPr>
              <w:t>in vitro</w:t>
            </w:r>
            <w:r w:rsidRPr="00171757">
              <w:rPr>
                <w:sz w:val="22"/>
                <w:szCs w:val="22"/>
              </w:rPr>
              <w:t>*</w:t>
            </w:r>
          </w:p>
          <w:p w14:paraId="7485462F" w14:textId="77777777" w:rsidR="00510519" w:rsidRPr="00171757" w:rsidRDefault="00510519" w:rsidP="0016599C">
            <w:pPr>
              <w:rPr>
                <w:sz w:val="22"/>
                <w:szCs w:val="22"/>
              </w:rPr>
            </w:pPr>
          </w:p>
          <w:p w14:paraId="37E276F4"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Chemokinesis and </w:t>
            </w:r>
            <w:r w:rsidRPr="00171757">
              <w:rPr>
                <w:rFonts w:ascii="Wingdings" w:hAnsi="Wingdings"/>
                <w:sz w:val="18"/>
                <w:szCs w:val="22"/>
              </w:rPr>
              <w:t></w:t>
            </w:r>
            <w:r w:rsidRPr="00171757">
              <w:rPr>
                <w:sz w:val="22"/>
                <w:szCs w:val="22"/>
              </w:rPr>
              <w:t xml:space="preserve">CXCL1-directed chemotaxis </w:t>
            </w:r>
            <w:r w:rsidRPr="00171757">
              <w:rPr>
                <w:i/>
                <w:sz w:val="22"/>
                <w:szCs w:val="22"/>
              </w:rPr>
              <w:t>in vitro</w:t>
            </w:r>
            <w:r w:rsidRPr="00171757">
              <w:rPr>
                <w:sz w:val="22"/>
                <w:szCs w:val="22"/>
              </w:rPr>
              <w:t xml:space="preserve">, </w:t>
            </w:r>
            <w:r w:rsidRPr="00171757">
              <w:rPr>
                <w:rFonts w:ascii="Wingdings" w:hAnsi="Wingdings"/>
                <w:sz w:val="18"/>
                <w:szCs w:val="22"/>
              </w:rPr>
              <w:t></w:t>
            </w:r>
            <w:r w:rsidRPr="00171757">
              <w:rPr>
                <w:sz w:val="22"/>
                <w:szCs w:val="22"/>
              </w:rPr>
              <w:t>neutrophil recruitment to the lung post-burn injury in mice</w:t>
            </w:r>
          </w:p>
          <w:p w14:paraId="05FA4E7A" w14:textId="77777777" w:rsidR="00510519" w:rsidRPr="00171757" w:rsidRDefault="00510519" w:rsidP="0016599C">
            <w:pPr>
              <w:rPr>
                <w:rFonts w:ascii="Wingdings" w:hAnsi="Wingdings"/>
                <w:sz w:val="22"/>
                <w:szCs w:val="22"/>
              </w:rPr>
            </w:pPr>
          </w:p>
          <w:p w14:paraId="6EA15E02"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Neutrophil recruitment to peritoneum during </w:t>
            </w:r>
            <w:r w:rsidRPr="00171757">
              <w:rPr>
                <w:i/>
                <w:sz w:val="22"/>
                <w:szCs w:val="22"/>
              </w:rPr>
              <w:t xml:space="preserve">C. albicans </w:t>
            </w:r>
            <w:r w:rsidRPr="00171757">
              <w:rPr>
                <w:sz w:val="22"/>
                <w:szCs w:val="22"/>
              </w:rPr>
              <w:t>infection</w:t>
            </w:r>
          </w:p>
          <w:p w14:paraId="3FA05BB4" w14:textId="77777777" w:rsidR="00510519" w:rsidRPr="00171757" w:rsidRDefault="00510519" w:rsidP="0016599C">
            <w:pPr>
              <w:rPr>
                <w:sz w:val="22"/>
                <w:szCs w:val="22"/>
              </w:rPr>
            </w:pPr>
          </w:p>
          <w:p w14:paraId="05EACE4D" w14:textId="77777777" w:rsidR="00510519" w:rsidRPr="00171757" w:rsidRDefault="00510519" w:rsidP="0016599C">
            <w:pPr>
              <w:rPr>
                <w:i/>
                <w:sz w:val="22"/>
                <w:szCs w:val="22"/>
              </w:rPr>
            </w:pPr>
            <w:r w:rsidRPr="00171757">
              <w:rPr>
                <w:rFonts w:ascii="Wingdings" w:hAnsi="Wingdings"/>
                <w:sz w:val="18"/>
                <w:szCs w:val="22"/>
              </w:rPr>
              <w:t></w:t>
            </w:r>
            <w:r w:rsidRPr="00171757">
              <w:rPr>
                <w:sz w:val="22"/>
                <w:szCs w:val="22"/>
              </w:rPr>
              <w:t xml:space="preserve">Neutrophil infiltration into wounds infected with </w:t>
            </w:r>
            <w:r w:rsidRPr="00171757">
              <w:rPr>
                <w:i/>
                <w:sz w:val="22"/>
                <w:szCs w:val="22"/>
              </w:rPr>
              <w:t>S. aureus</w:t>
            </w:r>
          </w:p>
          <w:p w14:paraId="1BF92582" w14:textId="77777777" w:rsidR="00510519" w:rsidRPr="00171757" w:rsidRDefault="00510519" w:rsidP="0016599C">
            <w:pPr>
              <w:rPr>
                <w:i/>
                <w:sz w:val="22"/>
                <w:szCs w:val="22"/>
              </w:rPr>
            </w:pPr>
          </w:p>
          <w:p w14:paraId="4020B548"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Neutrophil trafficking to spleen and mesenteric LN during </w:t>
            </w:r>
            <w:r w:rsidRPr="00171757">
              <w:rPr>
                <w:i/>
                <w:sz w:val="22"/>
                <w:szCs w:val="22"/>
              </w:rPr>
              <w:t xml:space="preserve">S. Typhimurium </w:t>
            </w:r>
            <w:r w:rsidRPr="00171757">
              <w:rPr>
                <w:sz w:val="22"/>
                <w:szCs w:val="22"/>
              </w:rPr>
              <w:t>infection</w:t>
            </w:r>
          </w:p>
        </w:tc>
        <w:tc>
          <w:tcPr>
            <w:tcW w:w="2694" w:type="dxa"/>
          </w:tcPr>
          <w:p w14:paraId="41D768D1" w14:textId="77777777" w:rsidR="00510519" w:rsidRPr="00171757" w:rsidRDefault="00510519" w:rsidP="0016599C">
            <w:pPr>
              <w:rPr>
                <w:sz w:val="22"/>
                <w:szCs w:val="22"/>
              </w:rPr>
            </w:pPr>
            <w:r w:rsidRPr="00171757">
              <w:rPr>
                <w:sz w:val="22"/>
                <w:szCs w:val="22"/>
              </w:rPr>
              <w:t>Defective intracellular calcium signalling</w:t>
            </w:r>
          </w:p>
          <w:p w14:paraId="7FDCF5B6" w14:textId="77777777" w:rsidR="00510519" w:rsidRPr="00171757" w:rsidRDefault="00510519" w:rsidP="0016599C">
            <w:pPr>
              <w:rPr>
                <w:sz w:val="22"/>
                <w:szCs w:val="22"/>
              </w:rPr>
            </w:pPr>
          </w:p>
          <w:p w14:paraId="5ACB3483" w14:textId="77777777" w:rsidR="00510519" w:rsidRPr="00171757" w:rsidRDefault="00510519" w:rsidP="0016599C">
            <w:pPr>
              <w:rPr>
                <w:sz w:val="22"/>
                <w:szCs w:val="22"/>
              </w:rPr>
            </w:pPr>
            <w:r w:rsidRPr="00171757">
              <w:rPr>
                <w:sz w:val="22"/>
                <w:szCs w:val="22"/>
              </w:rPr>
              <w:t xml:space="preserve">No mechanisms described </w:t>
            </w:r>
          </w:p>
          <w:p w14:paraId="40AA66EC" w14:textId="77777777" w:rsidR="00510519" w:rsidRPr="00171757" w:rsidRDefault="00510519" w:rsidP="0016599C">
            <w:pPr>
              <w:rPr>
                <w:sz w:val="22"/>
                <w:szCs w:val="22"/>
              </w:rPr>
            </w:pPr>
          </w:p>
          <w:p w14:paraId="643B43B3" w14:textId="77777777" w:rsidR="00510519" w:rsidRPr="00171757" w:rsidRDefault="00510519" w:rsidP="0016599C">
            <w:pPr>
              <w:rPr>
                <w:sz w:val="22"/>
                <w:szCs w:val="22"/>
              </w:rPr>
            </w:pPr>
          </w:p>
          <w:p w14:paraId="50A10D4E" w14:textId="77777777" w:rsidR="00510519" w:rsidRPr="00171757" w:rsidRDefault="00510519" w:rsidP="0016599C">
            <w:pPr>
              <w:rPr>
                <w:sz w:val="22"/>
                <w:szCs w:val="22"/>
              </w:rPr>
            </w:pPr>
            <w:r w:rsidRPr="00171757">
              <w:rPr>
                <w:sz w:val="22"/>
                <w:szCs w:val="22"/>
              </w:rPr>
              <w:t>Defective PI3K-signalling</w:t>
            </w:r>
          </w:p>
          <w:p w14:paraId="4D885D06" w14:textId="77777777" w:rsidR="00510519" w:rsidRPr="00171757" w:rsidRDefault="00510519" w:rsidP="0016599C">
            <w:pPr>
              <w:rPr>
                <w:sz w:val="22"/>
                <w:szCs w:val="22"/>
              </w:rPr>
            </w:pPr>
          </w:p>
          <w:p w14:paraId="03659A68" w14:textId="77777777" w:rsidR="00510519" w:rsidRPr="00171757" w:rsidRDefault="00510519" w:rsidP="0016599C">
            <w:pPr>
              <w:rPr>
                <w:rFonts w:ascii="Wingdings" w:hAnsi="Wingdings"/>
                <w:sz w:val="18"/>
                <w:szCs w:val="22"/>
              </w:rPr>
            </w:pPr>
          </w:p>
          <w:p w14:paraId="6BE1387B"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 xml:space="preserve">ICAM-1 expression in lung and </w:t>
            </w:r>
            <w:r w:rsidRPr="00171757">
              <w:rPr>
                <w:rFonts w:ascii="Wingdings" w:hAnsi="Wingdings"/>
                <w:sz w:val="18"/>
                <w:szCs w:val="22"/>
              </w:rPr>
              <w:t></w:t>
            </w:r>
            <w:r w:rsidRPr="00171757">
              <w:rPr>
                <w:sz w:val="22"/>
                <w:szCs w:val="22"/>
              </w:rPr>
              <w:t>neutrophil chemokinesis</w:t>
            </w:r>
          </w:p>
          <w:p w14:paraId="3A40C96F" w14:textId="77777777" w:rsidR="00510519" w:rsidRPr="00171757" w:rsidRDefault="00510519" w:rsidP="0016599C">
            <w:pPr>
              <w:rPr>
                <w:sz w:val="22"/>
                <w:szCs w:val="22"/>
              </w:rPr>
            </w:pPr>
          </w:p>
          <w:p w14:paraId="627C7FD0" w14:textId="77777777" w:rsidR="00510519" w:rsidRPr="00171757" w:rsidRDefault="00510519" w:rsidP="0016599C">
            <w:pPr>
              <w:rPr>
                <w:sz w:val="22"/>
                <w:szCs w:val="22"/>
              </w:rPr>
            </w:pPr>
          </w:p>
          <w:p w14:paraId="5D403C42" w14:textId="77777777" w:rsidR="00510519" w:rsidRPr="00171757" w:rsidRDefault="00510519" w:rsidP="0016599C">
            <w:pPr>
              <w:rPr>
                <w:sz w:val="22"/>
                <w:szCs w:val="22"/>
              </w:rPr>
            </w:pPr>
            <w:r w:rsidRPr="00171757">
              <w:rPr>
                <w:sz w:val="22"/>
                <w:szCs w:val="22"/>
              </w:rPr>
              <w:t xml:space="preserve">No mechanisms described </w:t>
            </w:r>
          </w:p>
          <w:p w14:paraId="045486D3" w14:textId="77777777" w:rsidR="00510519" w:rsidRPr="00171757" w:rsidRDefault="00510519" w:rsidP="0016599C">
            <w:pPr>
              <w:rPr>
                <w:sz w:val="22"/>
                <w:szCs w:val="22"/>
              </w:rPr>
            </w:pPr>
          </w:p>
          <w:p w14:paraId="39C4EDC5" w14:textId="77777777" w:rsidR="00510519" w:rsidRPr="00171757" w:rsidRDefault="00510519" w:rsidP="0016599C">
            <w:pPr>
              <w:rPr>
                <w:rFonts w:ascii="Wingdings" w:hAnsi="Wingdings"/>
                <w:sz w:val="18"/>
                <w:szCs w:val="22"/>
              </w:rPr>
            </w:pPr>
          </w:p>
          <w:p w14:paraId="52E28358" w14:textId="77777777" w:rsidR="00510519" w:rsidRPr="00171757" w:rsidRDefault="00510519" w:rsidP="0016599C">
            <w:pPr>
              <w:rPr>
                <w:sz w:val="22"/>
                <w:szCs w:val="22"/>
              </w:rPr>
            </w:pPr>
            <w:r w:rsidRPr="00171757">
              <w:rPr>
                <w:rFonts w:ascii="Wingdings" w:hAnsi="Wingdings"/>
                <w:sz w:val="18"/>
                <w:szCs w:val="22"/>
              </w:rPr>
              <w:t></w:t>
            </w:r>
            <w:r w:rsidRPr="00171757">
              <w:rPr>
                <w:sz w:val="22"/>
                <w:szCs w:val="22"/>
              </w:rPr>
              <w:t>ICAM-1 expression in wounds</w:t>
            </w:r>
          </w:p>
          <w:p w14:paraId="56D5AC92" w14:textId="77777777" w:rsidR="00510519" w:rsidRPr="00171757" w:rsidRDefault="00510519" w:rsidP="0016599C">
            <w:pPr>
              <w:rPr>
                <w:sz w:val="22"/>
                <w:szCs w:val="22"/>
              </w:rPr>
            </w:pPr>
          </w:p>
          <w:p w14:paraId="5E4A4291" w14:textId="77777777" w:rsidR="00510519" w:rsidRPr="00171757" w:rsidRDefault="00510519" w:rsidP="0016599C">
            <w:pPr>
              <w:rPr>
                <w:sz w:val="22"/>
                <w:szCs w:val="22"/>
              </w:rPr>
            </w:pPr>
          </w:p>
          <w:p w14:paraId="61E8933C" w14:textId="77777777" w:rsidR="00510519" w:rsidRPr="00171757" w:rsidRDefault="00510519" w:rsidP="0016599C">
            <w:pPr>
              <w:rPr>
                <w:sz w:val="22"/>
                <w:szCs w:val="22"/>
              </w:rPr>
            </w:pPr>
            <w:r w:rsidRPr="00171757">
              <w:rPr>
                <w:sz w:val="22"/>
                <w:szCs w:val="22"/>
              </w:rPr>
              <w:t xml:space="preserve">No mechanisms described </w:t>
            </w:r>
          </w:p>
          <w:p w14:paraId="3265477B" w14:textId="77777777" w:rsidR="00510519" w:rsidRPr="00171757" w:rsidRDefault="00510519" w:rsidP="0016599C">
            <w:pPr>
              <w:rPr>
                <w:sz w:val="22"/>
                <w:szCs w:val="22"/>
              </w:rPr>
            </w:pPr>
          </w:p>
        </w:tc>
        <w:tc>
          <w:tcPr>
            <w:tcW w:w="611" w:type="dxa"/>
          </w:tcPr>
          <w:p w14:paraId="7273F5A0" w14:textId="51156743" w:rsidR="00510519" w:rsidRPr="00171757" w:rsidRDefault="00171757" w:rsidP="0016599C">
            <w:pPr>
              <w:rPr>
                <w:sz w:val="22"/>
                <w:szCs w:val="22"/>
              </w:rPr>
            </w:pPr>
            <w:r>
              <w:rPr>
                <w:sz w:val="22"/>
                <w:szCs w:val="22"/>
              </w:rPr>
              <w:t>31</w:t>
            </w:r>
          </w:p>
          <w:p w14:paraId="65A2E0F3" w14:textId="77777777" w:rsidR="00510519" w:rsidRPr="00171757" w:rsidRDefault="00510519" w:rsidP="0016599C">
            <w:pPr>
              <w:rPr>
                <w:sz w:val="22"/>
                <w:szCs w:val="22"/>
              </w:rPr>
            </w:pPr>
          </w:p>
          <w:p w14:paraId="349CC4C9" w14:textId="77777777" w:rsidR="00510519" w:rsidRPr="00171757" w:rsidRDefault="00510519" w:rsidP="0016599C">
            <w:pPr>
              <w:rPr>
                <w:sz w:val="22"/>
                <w:szCs w:val="22"/>
              </w:rPr>
            </w:pPr>
          </w:p>
          <w:p w14:paraId="7D362C2E" w14:textId="25E0668B" w:rsidR="00510519" w:rsidRPr="00171757" w:rsidRDefault="00171757" w:rsidP="0016599C">
            <w:pPr>
              <w:rPr>
                <w:sz w:val="22"/>
                <w:szCs w:val="22"/>
              </w:rPr>
            </w:pPr>
            <w:r>
              <w:rPr>
                <w:sz w:val="22"/>
                <w:szCs w:val="22"/>
              </w:rPr>
              <w:t>32</w:t>
            </w:r>
          </w:p>
          <w:p w14:paraId="2249E6C3" w14:textId="77777777" w:rsidR="00510519" w:rsidRPr="00171757" w:rsidRDefault="00510519" w:rsidP="0016599C">
            <w:pPr>
              <w:rPr>
                <w:sz w:val="22"/>
                <w:szCs w:val="22"/>
              </w:rPr>
            </w:pPr>
          </w:p>
          <w:p w14:paraId="082678AC" w14:textId="77777777" w:rsidR="00510519" w:rsidRPr="00171757" w:rsidRDefault="00510519" w:rsidP="0016599C">
            <w:pPr>
              <w:rPr>
                <w:sz w:val="22"/>
                <w:szCs w:val="22"/>
              </w:rPr>
            </w:pPr>
          </w:p>
          <w:p w14:paraId="46F009F1" w14:textId="7ACD9469" w:rsidR="00510519" w:rsidRPr="00171757" w:rsidRDefault="00171757" w:rsidP="0016599C">
            <w:pPr>
              <w:rPr>
                <w:sz w:val="22"/>
                <w:szCs w:val="22"/>
              </w:rPr>
            </w:pPr>
            <w:r>
              <w:rPr>
                <w:sz w:val="22"/>
                <w:szCs w:val="22"/>
              </w:rPr>
              <w:t>33</w:t>
            </w:r>
          </w:p>
          <w:p w14:paraId="01BA49E2" w14:textId="77777777" w:rsidR="00510519" w:rsidRPr="00171757" w:rsidRDefault="00510519" w:rsidP="0016599C">
            <w:pPr>
              <w:rPr>
                <w:sz w:val="22"/>
                <w:szCs w:val="22"/>
              </w:rPr>
            </w:pPr>
          </w:p>
          <w:p w14:paraId="62B102B8" w14:textId="77777777" w:rsidR="00510519" w:rsidRPr="00171757" w:rsidRDefault="00510519" w:rsidP="0016599C">
            <w:pPr>
              <w:rPr>
                <w:sz w:val="22"/>
                <w:szCs w:val="22"/>
              </w:rPr>
            </w:pPr>
          </w:p>
          <w:p w14:paraId="3BC23FB6" w14:textId="0F5594F5" w:rsidR="00510519" w:rsidRPr="00171757" w:rsidRDefault="00171757" w:rsidP="0016599C">
            <w:pPr>
              <w:rPr>
                <w:sz w:val="22"/>
                <w:szCs w:val="22"/>
              </w:rPr>
            </w:pPr>
            <w:r>
              <w:rPr>
                <w:sz w:val="22"/>
                <w:szCs w:val="22"/>
              </w:rPr>
              <w:t>34</w:t>
            </w:r>
          </w:p>
          <w:p w14:paraId="2613050E" w14:textId="77777777" w:rsidR="00510519" w:rsidRPr="00171757" w:rsidRDefault="00510519" w:rsidP="0016599C">
            <w:pPr>
              <w:rPr>
                <w:sz w:val="22"/>
                <w:szCs w:val="22"/>
              </w:rPr>
            </w:pPr>
          </w:p>
          <w:p w14:paraId="42B5BF0E" w14:textId="77777777" w:rsidR="00510519" w:rsidRPr="00171757" w:rsidRDefault="00510519" w:rsidP="0016599C">
            <w:pPr>
              <w:rPr>
                <w:sz w:val="22"/>
                <w:szCs w:val="22"/>
              </w:rPr>
            </w:pPr>
          </w:p>
          <w:p w14:paraId="516F552D" w14:textId="77777777" w:rsidR="00510519" w:rsidRPr="00171757" w:rsidRDefault="00510519" w:rsidP="0016599C">
            <w:pPr>
              <w:rPr>
                <w:sz w:val="22"/>
                <w:szCs w:val="22"/>
              </w:rPr>
            </w:pPr>
          </w:p>
          <w:p w14:paraId="37237810" w14:textId="77777777" w:rsidR="00510519" w:rsidRPr="00171757" w:rsidRDefault="00510519" w:rsidP="0016599C">
            <w:pPr>
              <w:rPr>
                <w:sz w:val="22"/>
                <w:szCs w:val="22"/>
              </w:rPr>
            </w:pPr>
          </w:p>
          <w:p w14:paraId="66C1DA0C" w14:textId="2549997B" w:rsidR="00510519" w:rsidRPr="00171757" w:rsidRDefault="00510519" w:rsidP="0016599C">
            <w:pPr>
              <w:rPr>
                <w:sz w:val="22"/>
                <w:szCs w:val="22"/>
              </w:rPr>
            </w:pPr>
            <w:r w:rsidRPr="00171757">
              <w:rPr>
                <w:sz w:val="22"/>
                <w:szCs w:val="22"/>
              </w:rPr>
              <w:t>3</w:t>
            </w:r>
            <w:r w:rsidR="00171757">
              <w:rPr>
                <w:sz w:val="22"/>
                <w:szCs w:val="22"/>
              </w:rPr>
              <w:t>6</w:t>
            </w:r>
          </w:p>
          <w:p w14:paraId="35D6EF34" w14:textId="77777777" w:rsidR="00510519" w:rsidRPr="00171757" w:rsidRDefault="00510519" w:rsidP="0016599C">
            <w:pPr>
              <w:rPr>
                <w:sz w:val="22"/>
                <w:szCs w:val="22"/>
              </w:rPr>
            </w:pPr>
          </w:p>
          <w:p w14:paraId="11A36680" w14:textId="77777777" w:rsidR="00510519" w:rsidRPr="00171757" w:rsidRDefault="00510519" w:rsidP="0016599C">
            <w:pPr>
              <w:rPr>
                <w:sz w:val="22"/>
                <w:szCs w:val="22"/>
              </w:rPr>
            </w:pPr>
          </w:p>
          <w:p w14:paraId="449FF05A" w14:textId="2FC5FEF7" w:rsidR="00510519" w:rsidRPr="00171757" w:rsidRDefault="00510519" w:rsidP="0016599C">
            <w:pPr>
              <w:rPr>
                <w:sz w:val="22"/>
                <w:szCs w:val="22"/>
              </w:rPr>
            </w:pPr>
            <w:r w:rsidRPr="00171757">
              <w:rPr>
                <w:sz w:val="22"/>
                <w:szCs w:val="22"/>
              </w:rPr>
              <w:t>3</w:t>
            </w:r>
            <w:r w:rsidR="00170F40">
              <w:rPr>
                <w:sz w:val="22"/>
                <w:szCs w:val="22"/>
              </w:rPr>
              <w:t>7</w:t>
            </w:r>
          </w:p>
          <w:p w14:paraId="46D47AD8" w14:textId="77777777" w:rsidR="00510519" w:rsidRPr="00171757" w:rsidRDefault="00510519" w:rsidP="0016599C">
            <w:pPr>
              <w:rPr>
                <w:sz w:val="22"/>
                <w:szCs w:val="22"/>
              </w:rPr>
            </w:pPr>
          </w:p>
          <w:p w14:paraId="60799B9D" w14:textId="77777777" w:rsidR="00510519" w:rsidRPr="00171757" w:rsidRDefault="00510519" w:rsidP="0016599C">
            <w:pPr>
              <w:rPr>
                <w:sz w:val="22"/>
                <w:szCs w:val="22"/>
              </w:rPr>
            </w:pPr>
          </w:p>
          <w:p w14:paraId="3453CC7F" w14:textId="77777777" w:rsidR="00510519" w:rsidRPr="00171757" w:rsidRDefault="00510519" w:rsidP="0016599C">
            <w:pPr>
              <w:rPr>
                <w:sz w:val="22"/>
                <w:szCs w:val="22"/>
              </w:rPr>
            </w:pPr>
          </w:p>
          <w:p w14:paraId="0DD904A6" w14:textId="100ED77F" w:rsidR="00510519" w:rsidRPr="00171757" w:rsidRDefault="00510519" w:rsidP="0016599C">
            <w:pPr>
              <w:rPr>
                <w:sz w:val="22"/>
                <w:szCs w:val="22"/>
              </w:rPr>
            </w:pPr>
            <w:r w:rsidRPr="00171757">
              <w:rPr>
                <w:sz w:val="22"/>
                <w:szCs w:val="22"/>
              </w:rPr>
              <w:t>3</w:t>
            </w:r>
            <w:r w:rsidR="00170F40">
              <w:rPr>
                <w:sz w:val="22"/>
                <w:szCs w:val="22"/>
              </w:rPr>
              <w:t>8</w:t>
            </w:r>
          </w:p>
          <w:p w14:paraId="599405FB" w14:textId="77777777" w:rsidR="00510519" w:rsidRPr="00171757" w:rsidRDefault="00510519" w:rsidP="0016599C">
            <w:pPr>
              <w:rPr>
                <w:sz w:val="22"/>
                <w:szCs w:val="22"/>
              </w:rPr>
            </w:pPr>
          </w:p>
        </w:tc>
      </w:tr>
      <w:tr w:rsidR="00510519" w:rsidRPr="00171757" w14:paraId="12904713" w14:textId="77777777" w:rsidTr="0016599C">
        <w:tc>
          <w:tcPr>
            <w:tcW w:w="1255" w:type="dxa"/>
            <w:tcBorders>
              <w:bottom w:val="single" w:sz="12" w:space="0" w:color="000000" w:themeColor="text1"/>
            </w:tcBorders>
          </w:tcPr>
          <w:p w14:paraId="546B6387" w14:textId="77777777" w:rsidR="00510519" w:rsidRPr="00171757" w:rsidRDefault="00510519" w:rsidP="0016599C">
            <w:pPr>
              <w:rPr>
                <w:sz w:val="22"/>
                <w:szCs w:val="22"/>
              </w:rPr>
            </w:pPr>
            <w:r w:rsidRPr="00171757">
              <w:rPr>
                <w:sz w:val="22"/>
                <w:szCs w:val="22"/>
              </w:rPr>
              <w:t>Monocytes</w:t>
            </w:r>
          </w:p>
        </w:tc>
        <w:tc>
          <w:tcPr>
            <w:tcW w:w="3956" w:type="dxa"/>
            <w:tcBorders>
              <w:bottom w:val="single" w:sz="12" w:space="0" w:color="000000" w:themeColor="text1"/>
            </w:tcBorders>
          </w:tcPr>
          <w:p w14:paraId="36D61DA4" w14:textId="1CB7C1BE" w:rsidR="00510519" w:rsidRPr="00171757" w:rsidRDefault="00510519" w:rsidP="0016599C">
            <w:pPr>
              <w:rPr>
                <w:sz w:val="22"/>
                <w:szCs w:val="22"/>
              </w:rPr>
            </w:pPr>
            <w:r w:rsidRPr="00171757">
              <w:rPr>
                <w:sz w:val="22"/>
                <w:szCs w:val="22"/>
              </w:rPr>
              <w:t xml:space="preserve">Inappropriate recruitment to the skin in response to harmless </w:t>
            </w:r>
            <w:r w:rsidR="00B0791A">
              <w:rPr>
                <w:sz w:val="22"/>
                <w:szCs w:val="22"/>
              </w:rPr>
              <w:t>substances</w:t>
            </w:r>
            <w:r w:rsidRPr="00171757">
              <w:rPr>
                <w:sz w:val="22"/>
                <w:szCs w:val="22"/>
              </w:rPr>
              <w:t>*</w:t>
            </w:r>
          </w:p>
        </w:tc>
        <w:tc>
          <w:tcPr>
            <w:tcW w:w="2694" w:type="dxa"/>
            <w:tcBorders>
              <w:bottom w:val="single" w:sz="12" w:space="0" w:color="000000" w:themeColor="text1"/>
            </w:tcBorders>
          </w:tcPr>
          <w:p w14:paraId="4F3BF01F" w14:textId="77777777" w:rsidR="00510519" w:rsidRPr="00171757" w:rsidRDefault="00510519" w:rsidP="0016599C">
            <w:pPr>
              <w:rPr>
                <w:sz w:val="22"/>
                <w:szCs w:val="22"/>
              </w:rPr>
            </w:pPr>
            <w:r w:rsidRPr="00171757">
              <w:rPr>
                <w:sz w:val="22"/>
                <w:szCs w:val="22"/>
              </w:rPr>
              <w:t>CCL2 secretion by senescent fibroblasts in skin</w:t>
            </w:r>
          </w:p>
        </w:tc>
        <w:tc>
          <w:tcPr>
            <w:tcW w:w="611" w:type="dxa"/>
            <w:tcBorders>
              <w:bottom w:val="single" w:sz="12" w:space="0" w:color="000000" w:themeColor="text1"/>
            </w:tcBorders>
          </w:tcPr>
          <w:p w14:paraId="4977C368" w14:textId="70E2CC2B" w:rsidR="00510519" w:rsidRPr="00171757" w:rsidRDefault="00171757" w:rsidP="0016599C">
            <w:pPr>
              <w:rPr>
                <w:sz w:val="22"/>
                <w:szCs w:val="22"/>
              </w:rPr>
            </w:pPr>
            <w:r>
              <w:rPr>
                <w:sz w:val="22"/>
                <w:szCs w:val="22"/>
              </w:rPr>
              <w:t>29</w:t>
            </w:r>
          </w:p>
        </w:tc>
      </w:tr>
      <w:tr w:rsidR="00510519" w:rsidRPr="00171757" w14:paraId="4E86DE0F" w14:textId="77777777" w:rsidTr="0016599C">
        <w:tc>
          <w:tcPr>
            <w:tcW w:w="8516" w:type="dxa"/>
            <w:gridSpan w:val="4"/>
            <w:tcBorders>
              <w:top w:val="single" w:sz="12" w:space="0" w:color="000000" w:themeColor="text1"/>
            </w:tcBorders>
          </w:tcPr>
          <w:p w14:paraId="440352A8" w14:textId="77777777" w:rsidR="00510519" w:rsidRPr="00171757" w:rsidRDefault="00510519" w:rsidP="0016599C">
            <w:pPr>
              <w:rPr>
                <w:sz w:val="22"/>
                <w:szCs w:val="22"/>
              </w:rPr>
            </w:pPr>
            <w:r w:rsidRPr="00171757">
              <w:rPr>
                <w:b/>
                <w:sz w:val="22"/>
                <w:szCs w:val="22"/>
              </w:rPr>
              <w:t>Adaptive immune cells</w:t>
            </w:r>
          </w:p>
        </w:tc>
      </w:tr>
      <w:tr w:rsidR="00510519" w:rsidRPr="00171757" w14:paraId="3DD7EA23" w14:textId="77777777" w:rsidTr="0016599C">
        <w:tc>
          <w:tcPr>
            <w:tcW w:w="1255" w:type="dxa"/>
          </w:tcPr>
          <w:p w14:paraId="2701B5ED" w14:textId="77777777" w:rsidR="00510519" w:rsidRPr="00171757" w:rsidRDefault="00510519" w:rsidP="0016599C">
            <w:pPr>
              <w:rPr>
                <w:sz w:val="22"/>
                <w:szCs w:val="22"/>
              </w:rPr>
            </w:pPr>
            <w:r w:rsidRPr="00171757">
              <w:rPr>
                <w:sz w:val="22"/>
                <w:szCs w:val="22"/>
              </w:rPr>
              <w:t>T-cells</w:t>
            </w:r>
          </w:p>
        </w:tc>
        <w:tc>
          <w:tcPr>
            <w:tcW w:w="3956" w:type="dxa"/>
          </w:tcPr>
          <w:p w14:paraId="07ACFBB9" w14:textId="77777777" w:rsidR="00510519" w:rsidRPr="00171757" w:rsidRDefault="00510519" w:rsidP="0016599C">
            <w:pPr>
              <w:rPr>
                <w:sz w:val="22"/>
                <w:szCs w:val="22"/>
              </w:rPr>
            </w:pPr>
            <w:r w:rsidRPr="00171757">
              <w:rPr>
                <w:sz w:val="22"/>
                <w:szCs w:val="22"/>
              </w:rPr>
              <w:t>Delayed recruitment to the lungs of influenza A-infected mice</w:t>
            </w:r>
          </w:p>
          <w:p w14:paraId="1241ABA5" w14:textId="77777777" w:rsidR="00510519" w:rsidRPr="00171757" w:rsidRDefault="00510519" w:rsidP="0016599C">
            <w:pPr>
              <w:rPr>
                <w:sz w:val="22"/>
                <w:szCs w:val="22"/>
              </w:rPr>
            </w:pPr>
          </w:p>
          <w:p w14:paraId="7C629EB2" w14:textId="77777777" w:rsidR="00510519" w:rsidRPr="00171757" w:rsidRDefault="00510519" w:rsidP="0016599C">
            <w:pPr>
              <w:rPr>
                <w:sz w:val="22"/>
                <w:szCs w:val="22"/>
              </w:rPr>
            </w:pPr>
            <w:r w:rsidRPr="00171757">
              <w:rPr>
                <w:rFonts w:ascii="Wingdings" w:hAnsi="Wingdings"/>
                <w:sz w:val="22"/>
                <w:szCs w:val="22"/>
              </w:rPr>
              <w:t></w:t>
            </w:r>
            <w:r w:rsidRPr="00171757">
              <w:rPr>
                <w:sz w:val="22"/>
                <w:szCs w:val="22"/>
              </w:rPr>
              <w:t>T-cell recruitment to popliteal LN during West Nile virus infection in mice</w:t>
            </w:r>
          </w:p>
          <w:p w14:paraId="6E6F16FC" w14:textId="77777777" w:rsidR="00510519" w:rsidRPr="00171757" w:rsidRDefault="00510519" w:rsidP="0016599C">
            <w:pPr>
              <w:rPr>
                <w:rFonts w:ascii="Wingdings" w:hAnsi="Wingdings"/>
                <w:sz w:val="22"/>
                <w:szCs w:val="22"/>
              </w:rPr>
            </w:pPr>
          </w:p>
          <w:p w14:paraId="36D1B95C" w14:textId="77777777" w:rsidR="00510519" w:rsidRPr="00171757" w:rsidRDefault="00510519" w:rsidP="0016599C">
            <w:pPr>
              <w:rPr>
                <w:rFonts w:ascii="Wingdings" w:hAnsi="Wingdings"/>
                <w:sz w:val="22"/>
                <w:szCs w:val="22"/>
              </w:rPr>
            </w:pPr>
          </w:p>
          <w:p w14:paraId="26C0C2FC" w14:textId="77777777" w:rsidR="00510519" w:rsidRPr="00171757" w:rsidRDefault="00510519" w:rsidP="0016599C">
            <w:pPr>
              <w:rPr>
                <w:sz w:val="22"/>
                <w:szCs w:val="22"/>
              </w:rPr>
            </w:pPr>
            <w:r w:rsidRPr="00171757">
              <w:rPr>
                <w:rFonts w:ascii="Wingdings" w:hAnsi="Wingdings"/>
                <w:sz w:val="22"/>
                <w:szCs w:val="22"/>
              </w:rPr>
              <w:t></w:t>
            </w:r>
            <w:r w:rsidRPr="00171757">
              <w:rPr>
                <w:sz w:val="22"/>
                <w:szCs w:val="22"/>
              </w:rPr>
              <w:t>T-cell recruitment to the skin in response to recall antigens*</w:t>
            </w:r>
          </w:p>
        </w:tc>
        <w:tc>
          <w:tcPr>
            <w:tcW w:w="2694" w:type="dxa"/>
          </w:tcPr>
          <w:p w14:paraId="4C04F8BD" w14:textId="77777777" w:rsidR="00510519" w:rsidRPr="00171757" w:rsidRDefault="00510519" w:rsidP="0016599C">
            <w:pPr>
              <w:rPr>
                <w:sz w:val="22"/>
                <w:szCs w:val="22"/>
              </w:rPr>
            </w:pPr>
            <w:r w:rsidRPr="00171757">
              <w:rPr>
                <w:sz w:val="22"/>
                <w:szCs w:val="22"/>
              </w:rPr>
              <w:t>Delayed local IL-8 and MIP-1β production</w:t>
            </w:r>
          </w:p>
          <w:p w14:paraId="75C75787" w14:textId="77777777" w:rsidR="00510519" w:rsidRPr="00171757" w:rsidRDefault="00510519" w:rsidP="0016599C">
            <w:pPr>
              <w:rPr>
                <w:sz w:val="22"/>
                <w:szCs w:val="22"/>
              </w:rPr>
            </w:pPr>
          </w:p>
          <w:p w14:paraId="7B75D352" w14:textId="77777777" w:rsidR="00510519" w:rsidRPr="00171757" w:rsidRDefault="00510519" w:rsidP="0016599C">
            <w:pPr>
              <w:rPr>
                <w:sz w:val="22"/>
                <w:szCs w:val="22"/>
              </w:rPr>
            </w:pPr>
            <w:r w:rsidRPr="00171757">
              <w:rPr>
                <w:rFonts w:ascii="Wingdings" w:hAnsi="Wingdings"/>
                <w:sz w:val="22"/>
                <w:szCs w:val="22"/>
              </w:rPr>
              <w:t></w:t>
            </w:r>
            <w:r w:rsidRPr="00171757">
              <w:rPr>
                <w:sz w:val="22"/>
                <w:szCs w:val="22"/>
              </w:rPr>
              <w:t xml:space="preserve">CCL2 production, </w:t>
            </w:r>
            <w:r w:rsidRPr="00171757">
              <w:rPr>
                <w:rFonts w:ascii="Wingdings" w:hAnsi="Wingdings"/>
                <w:sz w:val="22"/>
                <w:szCs w:val="22"/>
              </w:rPr>
              <w:t></w:t>
            </w:r>
            <w:r w:rsidRPr="00171757">
              <w:rPr>
                <w:sz w:val="22"/>
                <w:szCs w:val="22"/>
              </w:rPr>
              <w:t xml:space="preserve">ability of old T-cells to extravasate </w:t>
            </w:r>
          </w:p>
          <w:p w14:paraId="7238E599" w14:textId="77777777" w:rsidR="00510519" w:rsidRPr="00171757" w:rsidRDefault="00510519" w:rsidP="0016599C">
            <w:pPr>
              <w:rPr>
                <w:sz w:val="22"/>
                <w:szCs w:val="22"/>
              </w:rPr>
            </w:pPr>
          </w:p>
          <w:p w14:paraId="0BCD25AE" w14:textId="0123082F" w:rsidR="00510519" w:rsidRPr="00171757" w:rsidRDefault="00B0791A" w:rsidP="0016599C">
            <w:pPr>
              <w:rPr>
                <w:sz w:val="22"/>
                <w:szCs w:val="22"/>
              </w:rPr>
            </w:pPr>
            <w:r w:rsidRPr="00171757">
              <w:rPr>
                <w:rFonts w:ascii="Wingdings" w:hAnsi="Wingdings"/>
                <w:sz w:val="22"/>
                <w:szCs w:val="22"/>
              </w:rPr>
              <w:t></w:t>
            </w:r>
            <w:r w:rsidR="00510519" w:rsidRPr="00171757">
              <w:rPr>
                <w:sz w:val="22"/>
                <w:szCs w:val="22"/>
              </w:rPr>
              <w:t>E-selectin, ICAM-1 and VCAM-1 expression on endothelial cells in skin</w:t>
            </w:r>
          </w:p>
        </w:tc>
        <w:tc>
          <w:tcPr>
            <w:tcW w:w="611" w:type="dxa"/>
          </w:tcPr>
          <w:p w14:paraId="582B4ADE" w14:textId="554732C5" w:rsidR="00510519" w:rsidRPr="00171757" w:rsidRDefault="00510519" w:rsidP="0016599C">
            <w:pPr>
              <w:rPr>
                <w:sz w:val="22"/>
                <w:szCs w:val="22"/>
              </w:rPr>
            </w:pPr>
            <w:r w:rsidRPr="00171757">
              <w:rPr>
                <w:sz w:val="22"/>
                <w:szCs w:val="22"/>
              </w:rPr>
              <w:t>2</w:t>
            </w:r>
            <w:r w:rsidR="00171757">
              <w:rPr>
                <w:sz w:val="22"/>
                <w:szCs w:val="22"/>
              </w:rPr>
              <w:t>5</w:t>
            </w:r>
          </w:p>
          <w:p w14:paraId="0FE40B81" w14:textId="77777777" w:rsidR="00510519" w:rsidRPr="00171757" w:rsidRDefault="00510519" w:rsidP="0016599C">
            <w:pPr>
              <w:rPr>
                <w:sz w:val="22"/>
                <w:szCs w:val="22"/>
              </w:rPr>
            </w:pPr>
          </w:p>
          <w:p w14:paraId="3A9A1A12" w14:textId="77777777" w:rsidR="00510519" w:rsidRPr="00171757" w:rsidRDefault="00510519" w:rsidP="0016599C">
            <w:pPr>
              <w:rPr>
                <w:sz w:val="22"/>
                <w:szCs w:val="22"/>
              </w:rPr>
            </w:pPr>
          </w:p>
          <w:p w14:paraId="44E705F2" w14:textId="082AA2AC" w:rsidR="00510519" w:rsidRPr="00171757" w:rsidRDefault="00171757" w:rsidP="0016599C">
            <w:pPr>
              <w:rPr>
                <w:sz w:val="22"/>
                <w:szCs w:val="22"/>
              </w:rPr>
            </w:pPr>
            <w:r>
              <w:rPr>
                <w:sz w:val="22"/>
                <w:szCs w:val="22"/>
              </w:rPr>
              <w:t>4</w:t>
            </w:r>
            <w:r w:rsidR="00170F40">
              <w:rPr>
                <w:sz w:val="22"/>
                <w:szCs w:val="22"/>
              </w:rPr>
              <w:t>1</w:t>
            </w:r>
          </w:p>
          <w:p w14:paraId="6DDBF3D9" w14:textId="77777777" w:rsidR="00510519" w:rsidRPr="00171757" w:rsidRDefault="00510519" w:rsidP="0016599C">
            <w:pPr>
              <w:rPr>
                <w:sz w:val="22"/>
                <w:szCs w:val="22"/>
              </w:rPr>
            </w:pPr>
          </w:p>
          <w:p w14:paraId="2A26AAFE" w14:textId="77777777" w:rsidR="00510519" w:rsidRPr="00171757" w:rsidRDefault="00510519" w:rsidP="0016599C">
            <w:pPr>
              <w:rPr>
                <w:sz w:val="22"/>
                <w:szCs w:val="22"/>
              </w:rPr>
            </w:pPr>
          </w:p>
          <w:p w14:paraId="287AA020" w14:textId="77777777" w:rsidR="00510519" w:rsidRPr="00171757" w:rsidRDefault="00510519" w:rsidP="0016599C">
            <w:pPr>
              <w:rPr>
                <w:sz w:val="22"/>
                <w:szCs w:val="22"/>
              </w:rPr>
            </w:pPr>
          </w:p>
          <w:p w14:paraId="035DBAE7" w14:textId="3E784B4B" w:rsidR="00510519" w:rsidRPr="00171757" w:rsidRDefault="00171757" w:rsidP="0016599C">
            <w:pPr>
              <w:rPr>
                <w:sz w:val="22"/>
                <w:szCs w:val="22"/>
              </w:rPr>
            </w:pPr>
            <w:r>
              <w:rPr>
                <w:sz w:val="22"/>
                <w:szCs w:val="22"/>
              </w:rPr>
              <w:t>4</w:t>
            </w:r>
            <w:r w:rsidR="00170F40">
              <w:rPr>
                <w:sz w:val="22"/>
                <w:szCs w:val="22"/>
              </w:rPr>
              <w:t>2</w:t>
            </w:r>
          </w:p>
        </w:tc>
      </w:tr>
      <w:tr w:rsidR="00510519" w:rsidRPr="00171757" w14:paraId="50D12B16" w14:textId="77777777" w:rsidTr="0016599C">
        <w:tc>
          <w:tcPr>
            <w:tcW w:w="1255" w:type="dxa"/>
          </w:tcPr>
          <w:p w14:paraId="1F3E1FBA" w14:textId="77777777" w:rsidR="00510519" w:rsidRPr="00171757" w:rsidRDefault="00510519" w:rsidP="0016599C">
            <w:pPr>
              <w:rPr>
                <w:sz w:val="22"/>
                <w:szCs w:val="22"/>
              </w:rPr>
            </w:pPr>
            <w:r w:rsidRPr="00171757">
              <w:rPr>
                <w:sz w:val="22"/>
                <w:szCs w:val="22"/>
              </w:rPr>
              <w:t>B-cells</w:t>
            </w:r>
          </w:p>
        </w:tc>
        <w:tc>
          <w:tcPr>
            <w:tcW w:w="3956" w:type="dxa"/>
          </w:tcPr>
          <w:p w14:paraId="2D53E256" w14:textId="77777777" w:rsidR="00510519" w:rsidRPr="00171757" w:rsidRDefault="00510519" w:rsidP="0016599C">
            <w:pPr>
              <w:rPr>
                <w:sz w:val="22"/>
                <w:szCs w:val="22"/>
              </w:rPr>
            </w:pPr>
            <w:r w:rsidRPr="00171757">
              <w:rPr>
                <w:sz w:val="22"/>
                <w:szCs w:val="22"/>
              </w:rPr>
              <w:t>Retention within marginal zones of spleens</w:t>
            </w:r>
          </w:p>
        </w:tc>
        <w:tc>
          <w:tcPr>
            <w:tcW w:w="2694" w:type="dxa"/>
          </w:tcPr>
          <w:p w14:paraId="061EC6D3" w14:textId="77777777" w:rsidR="00510519" w:rsidRPr="00171757" w:rsidRDefault="00510519" w:rsidP="0016599C">
            <w:pPr>
              <w:rPr>
                <w:sz w:val="22"/>
                <w:szCs w:val="22"/>
              </w:rPr>
            </w:pPr>
            <w:r w:rsidRPr="00171757">
              <w:rPr>
                <w:rFonts w:ascii="Wingdings" w:hAnsi="Wingdings"/>
                <w:sz w:val="22"/>
                <w:szCs w:val="22"/>
              </w:rPr>
              <w:t></w:t>
            </w:r>
            <w:r w:rsidRPr="00171757">
              <w:rPr>
                <w:sz w:val="22"/>
                <w:szCs w:val="22"/>
              </w:rPr>
              <w:t>CXCR5 expression on B-cells</w:t>
            </w:r>
          </w:p>
        </w:tc>
        <w:tc>
          <w:tcPr>
            <w:tcW w:w="611" w:type="dxa"/>
          </w:tcPr>
          <w:p w14:paraId="65BE4E5D" w14:textId="56BBDF49" w:rsidR="00510519" w:rsidRPr="00171757" w:rsidRDefault="00171757" w:rsidP="0016599C">
            <w:pPr>
              <w:rPr>
                <w:sz w:val="22"/>
                <w:szCs w:val="22"/>
              </w:rPr>
            </w:pPr>
            <w:r>
              <w:rPr>
                <w:sz w:val="22"/>
                <w:szCs w:val="22"/>
              </w:rPr>
              <w:t>16</w:t>
            </w:r>
            <w:r w:rsidR="00170F40">
              <w:rPr>
                <w:sz w:val="22"/>
                <w:szCs w:val="22"/>
              </w:rPr>
              <w:t>0</w:t>
            </w:r>
          </w:p>
        </w:tc>
      </w:tr>
    </w:tbl>
    <w:p w14:paraId="7E8A5D9C" w14:textId="37D81AB0" w:rsidR="00510519" w:rsidRPr="00171757" w:rsidRDefault="00510519" w:rsidP="00510519">
      <w:pPr>
        <w:spacing w:line="480" w:lineRule="auto"/>
        <w:jc w:val="both"/>
        <w:rPr>
          <w:sz w:val="20"/>
          <w:szCs w:val="20"/>
        </w:rPr>
      </w:pPr>
      <w:r w:rsidRPr="00171757">
        <w:rPr>
          <w:b/>
          <w:sz w:val="20"/>
          <w:szCs w:val="20"/>
        </w:rPr>
        <w:t>Table 1</w:t>
      </w:r>
      <w:r w:rsidRPr="00171757">
        <w:rPr>
          <w:sz w:val="20"/>
          <w:szCs w:val="20"/>
        </w:rPr>
        <w:t>: A summary of human and mouse studies discussed in this review assessing age-related changes to the trafficking of innate and adaptive immune cells. *Human studies.</w:t>
      </w:r>
    </w:p>
    <w:p w14:paraId="7A975061" w14:textId="0853EA90" w:rsidR="0091364D" w:rsidRPr="00171757" w:rsidRDefault="00764660">
      <w:pPr>
        <w:pStyle w:val="Heading2"/>
        <w:spacing w:line="480" w:lineRule="auto"/>
        <w:rPr>
          <w:rFonts w:ascii="Times New Roman" w:hAnsi="Times New Roman" w:cs="Times New Roman"/>
        </w:rPr>
      </w:pPr>
      <w:r>
        <w:rPr>
          <w:rFonts w:ascii="Times New Roman" w:hAnsi="Times New Roman" w:cs="Times New Roman"/>
        </w:rPr>
        <w:t xml:space="preserve">1.4 </w:t>
      </w:r>
      <w:r w:rsidR="007C7F37" w:rsidRPr="00171757">
        <w:rPr>
          <w:rFonts w:ascii="Times New Roman" w:hAnsi="Times New Roman" w:cs="Times New Roman"/>
        </w:rPr>
        <w:t xml:space="preserve">Expression of </w:t>
      </w:r>
      <w:r w:rsidR="00ED1B07" w:rsidRPr="00171757">
        <w:rPr>
          <w:rFonts w:ascii="Times New Roman" w:hAnsi="Times New Roman" w:cs="Times New Roman"/>
        </w:rPr>
        <w:t>a</w:t>
      </w:r>
      <w:r w:rsidR="00D83C27" w:rsidRPr="00171757">
        <w:rPr>
          <w:rFonts w:ascii="Times New Roman" w:hAnsi="Times New Roman" w:cs="Times New Roman"/>
        </w:rPr>
        <w:t xml:space="preserve">dhesion </w:t>
      </w:r>
      <w:r w:rsidR="00ED1B07" w:rsidRPr="00171757">
        <w:rPr>
          <w:rFonts w:ascii="Times New Roman" w:hAnsi="Times New Roman" w:cs="Times New Roman"/>
        </w:rPr>
        <w:t>m</w:t>
      </w:r>
      <w:r w:rsidR="00D83C27" w:rsidRPr="00171757">
        <w:rPr>
          <w:rFonts w:ascii="Times New Roman" w:hAnsi="Times New Roman" w:cs="Times New Roman"/>
        </w:rPr>
        <w:t>olecule</w:t>
      </w:r>
      <w:r w:rsidR="007C7F37" w:rsidRPr="00171757">
        <w:rPr>
          <w:rFonts w:ascii="Times New Roman" w:hAnsi="Times New Roman" w:cs="Times New Roman"/>
        </w:rPr>
        <w:t>s</w:t>
      </w:r>
      <w:r w:rsidR="003C32FE" w:rsidRPr="00171757">
        <w:rPr>
          <w:rFonts w:ascii="Times New Roman" w:hAnsi="Times New Roman" w:cs="Times New Roman"/>
        </w:rPr>
        <w:t xml:space="preserve"> in </w:t>
      </w:r>
      <w:r w:rsidR="00ED1B07" w:rsidRPr="00171757">
        <w:rPr>
          <w:rFonts w:ascii="Times New Roman" w:hAnsi="Times New Roman" w:cs="Times New Roman"/>
        </w:rPr>
        <w:t>a</w:t>
      </w:r>
      <w:r w:rsidR="003C32FE" w:rsidRPr="00171757">
        <w:rPr>
          <w:rFonts w:ascii="Times New Roman" w:hAnsi="Times New Roman" w:cs="Times New Roman"/>
        </w:rPr>
        <w:t>geing</w:t>
      </w:r>
    </w:p>
    <w:p w14:paraId="66BAE084" w14:textId="5E2BFA10" w:rsidR="000742F4" w:rsidRPr="00171757" w:rsidRDefault="0091364D">
      <w:pPr>
        <w:tabs>
          <w:tab w:val="left" w:pos="4253"/>
        </w:tabs>
        <w:spacing w:line="480" w:lineRule="auto"/>
        <w:ind w:firstLine="720"/>
        <w:jc w:val="both"/>
      </w:pPr>
      <w:r w:rsidRPr="00171757">
        <w:t>Several studies have investigated the effect of ageing on</w:t>
      </w:r>
      <w:r w:rsidR="00B66309" w:rsidRPr="00171757">
        <w:t xml:space="preserve"> endothelial expression of</w:t>
      </w:r>
      <w:r w:rsidRPr="00171757">
        <w:t xml:space="preserve"> adhesion molecule</w:t>
      </w:r>
      <w:r w:rsidR="00B66309" w:rsidRPr="00171757">
        <w:t>s</w:t>
      </w:r>
      <w:r w:rsidR="00B528FD" w:rsidRPr="00171757">
        <w:t xml:space="preserve"> and found their expression to be increased on </w:t>
      </w:r>
      <w:r w:rsidR="003D07B8" w:rsidRPr="00171757">
        <w:t xml:space="preserve">the </w:t>
      </w:r>
      <w:r w:rsidR="00B528FD" w:rsidRPr="00171757">
        <w:t>aged vasculature</w:t>
      </w:r>
      <w:r w:rsidR="00521CC0" w:rsidRPr="00171757">
        <w:t xml:space="preserve"> under homeostatic conditions</w:t>
      </w:r>
      <w:r w:rsidR="00FB2954" w:rsidRPr="00171757">
        <w:t xml:space="preserve"> </w:t>
      </w:r>
      <w:r w:rsidR="00242BCC" w:rsidRPr="00171757">
        <w:t>[4</w:t>
      </w:r>
      <w:r w:rsidR="00E31ED9">
        <w:t>4</w:t>
      </w:r>
      <w:r w:rsidR="00242BCC" w:rsidRPr="00171757">
        <w:t>, 4</w:t>
      </w:r>
      <w:r w:rsidR="00E31ED9">
        <w:t>5</w:t>
      </w:r>
      <w:r w:rsidR="00242BCC" w:rsidRPr="00171757">
        <w:t>-</w:t>
      </w:r>
      <w:r w:rsidR="00E31ED9">
        <w:t>49</w:t>
      </w:r>
      <w:r w:rsidR="00242BCC" w:rsidRPr="00171757">
        <w:t>]</w:t>
      </w:r>
      <w:r w:rsidR="00B528FD" w:rsidRPr="00171757">
        <w:t>.</w:t>
      </w:r>
      <w:r w:rsidRPr="00171757">
        <w:t xml:space="preserve"> </w:t>
      </w:r>
      <w:r w:rsidR="000F542A" w:rsidRPr="00171757">
        <w:t>In rats, ageing is associated with e</w:t>
      </w:r>
      <w:r w:rsidR="00485DB9" w:rsidRPr="00171757">
        <w:t xml:space="preserve">nhanced leukocyte </w:t>
      </w:r>
      <w:r w:rsidR="0025504C" w:rsidRPr="00171757">
        <w:t>rolling, adhe</w:t>
      </w:r>
      <w:r w:rsidR="0098141F" w:rsidRPr="00171757">
        <w:t>sion</w:t>
      </w:r>
      <w:r w:rsidR="0025504C" w:rsidRPr="00171757">
        <w:t xml:space="preserve"> and transmigration across</w:t>
      </w:r>
      <w:r w:rsidR="00485DB9" w:rsidRPr="00171757">
        <w:t xml:space="preserve"> </w:t>
      </w:r>
      <w:r w:rsidR="0025504C" w:rsidRPr="00171757">
        <w:t xml:space="preserve">the </w:t>
      </w:r>
      <w:r w:rsidR="00485DB9" w:rsidRPr="00171757">
        <w:t>mesenteric microcirculation</w:t>
      </w:r>
      <w:r w:rsidR="000F542A" w:rsidRPr="00171757">
        <w:t xml:space="preserve">, as </w:t>
      </w:r>
      <w:r w:rsidR="000F542A" w:rsidRPr="00171757">
        <w:lastRenderedPageBreak/>
        <w:t xml:space="preserve">well as increased expression of endothelial ICAM-1, P-selectin and VCAM-1 </w:t>
      </w:r>
      <w:r w:rsidR="00E43EFC" w:rsidRPr="00171757">
        <w:fldChar w:fldCharType="begin"/>
      </w:r>
      <w:r w:rsidR="00821F2E" w:rsidRPr="00171757">
        <w:instrText xml:space="preserve"> ADDIN EN.CITE &lt;EndNote&gt;&lt;Cite&gt;&lt;Author&gt;Rom&lt;/Author&gt;&lt;Year&gt;2013&lt;/Year&gt;&lt;RecNum&gt;34&lt;/RecNum&gt;&lt;DisplayText&gt;[48]&lt;/DisplayText&gt;&lt;record&gt;&lt;rec-number&gt;34&lt;/rec-number&gt;&lt;foreign-keys&gt;&lt;key app="EN" db-id="0ed0rvtvc9ers9era5y5svwdvsad5vweewap" timestamp="1601321062"&gt;34&lt;/key&gt;&lt;/foreign-keys&gt;&lt;ref-type name="Journal Article"&gt;17&lt;/ref-type&gt;&lt;contributors&gt;&lt;authors&gt;&lt;author&gt;Rom, I.&lt;/author&gt;&lt;author&gt;Scalia, R.&lt;/author&gt;&lt;/authors&gt;&lt;/contributors&gt;&lt;titles&gt;&lt;title&gt;Aging-associated calpain activation increases leukocyte trafficking in the microcirculation&lt;/title&gt;&lt;secondary-title&gt;FASEB J&lt;/secondary-title&gt;&lt;/titles&gt;&lt;periodical&gt;&lt;full-title&gt;FASEB J&lt;/full-title&gt;&lt;/periodical&gt;&lt;pages&gt;687&lt;/pages&gt;&lt;volume&gt;27&lt;/volume&gt;&lt;number&gt;S1&lt;/number&gt;&lt;dates&gt;&lt;year&gt;2013&lt;/year&gt;&lt;/dates&gt;&lt;isbn&gt;S1&lt;/isbn&gt;&lt;urls&gt;&lt;/urls&gt;&lt;electronic-resource-num&gt;https://doi.org/10.1096/fasebj.27.1_supplement.687.16&lt;/electronic-resource-num&gt;&lt;/record&gt;&lt;/Cite&gt;&lt;/EndNote&gt;</w:instrText>
      </w:r>
      <w:r w:rsidR="00E43EFC" w:rsidRPr="00171757">
        <w:fldChar w:fldCharType="separate"/>
      </w:r>
      <w:r w:rsidR="00821F2E" w:rsidRPr="00171757">
        <w:rPr>
          <w:noProof/>
        </w:rPr>
        <w:t>[</w:t>
      </w:r>
      <w:r w:rsidR="00242BCC" w:rsidRPr="00171757">
        <w:t>4</w:t>
      </w:r>
      <w:r w:rsidR="00E31ED9">
        <w:t>4</w:t>
      </w:r>
      <w:r w:rsidR="000F542A" w:rsidRPr="00171757">
        <w:t>, 4</w:t>
      </w:r>
      <w:r w:rsidR="00E31ED9">
        <w:t>5</w:t>
      </w:r>
      <w:r w:rsidR="00821F2E" w:rsidRPr="00171757">
        <w:rPr>
          <w:noProof/>
        </w:rPr>
        <w:t>]</w:t>
      </w:r>
      <w:r w:rsidR="00E43EFC" w:rsidRPr="00171757">
        <w:fldChar w:fldCharType="end"/>
      </w:r>
      <w:r w:rsidR="0025504C" w:rsidRPr="00171757">
        <w:t>.</w:t>
      </w:r>
      <w:r w:rsidR="0030231B" w:rsidRPr="00171757">
        <w:t xml:space="preserve"> </w:t>
      </w:r>
      <w:r w:rsidR="00872A53" w:rsidRPr="00171757">
        <w:t>Ageing is</w:t>
      </w:r>
      <w:r w:rsidR="00521CC0" w:rsidRPr="00171757">
        <w:t xml:space="preserve"> also</w:t>
      </w:r>
      <w:r w:rsidR="00872A53" w:rsidRPr="00171757">
        <w:t xml:space="preserve"> associated with increased expression of ICAM-1 and VCAM-1 in the brains of humans and mice, respectively, and may contribute to the development of</w:t>
      </w:r>
      <w:r w:rsidR="00B865AD" w:rsidRPr="00171757">
        <w:t xml:space="preserve"> neuro</w:t>
      </w:r>
      <w:r w:rsidR="008256D7" w:rsidRPr="00171757">
        <w:t>inflammation with age</w:t>
      </w:r>
      <w:r w:rsidR="00242BCC" w:rsidRPr="00171757">
        <w:t xml:space="preserve"> [4</w:t>
      </w:r>
      <w:r w:rsidR="00E31ED9">
        <w:t>6</w:t>
      </w:r>
      <w:r w:rsidR="00242BCC" w:rsidRPr="00171757">
        <w:t>, 4</w:t>
      </w:r>
      <w:r w:rsidR="00E31ED9">
        <w:t>7</w:t>
      </w:r>
      <w:r w:rsidR="00242BCC" w:rsidRPr="00171757">
        <w:t>]</w:t>
      </w:r>
      <w:r w:rsidR="00F11DF2" w:rsidRPr="00171757">
        <w:t xml:space="preserve">. </w:t>
      </w:r>
      <w:r w:rsidR="00872A53" w:rsidRPr="00171757">
        <w:t xml:space="preserve">Importantly, the age-related increase of VCAM-1 on brain endothelial cells in aged mice </w:t>
      </w:r>
      <w:r w:rsidR="00EA5ECD" w:rsidRPr="00171757">
        <w:t>(&gt;18 month</w:t>
      </w:r>
      <w:r w:rsidR="00A11572" w:rsidRPr="00171757">
        <w:t>s</w:t>
      </w:r>
      <w:r w:rsidR="00EA5ECD" w:rsidRPr="00171757">
        <w:t xml:space="preserve">) </w:t>
      </w:r>
      <w:r w:rsidR="00872A53" w:rsidRPr="00171757">
        <w:t xml:space="preserve">was due to age-related soluble factors, as aged blood </w:t>
      </w:r>
      <w:r w:rsidR="002B5BD6" w:rsidRPr="00171757">
        <w:t>delivered</w:t>
      </w:r>
      <w:r w:rsidR="00872A53" w:rsidRPr="00171757">
        <w:t xml:space="preserve"> to younger mice</w:t>
      </w:r>
      <w:r w:rsidR="00A06364" w:rsidRPr="00171757">
        <w:t xml:space="preserve"> (&lt;12 month</w:t>
      </w:r>
      <w:r w:rsidR="00A11572" w:rsidRPr="00171757">
        <w:t>s</w:t>
      </w:r>
      <w:r w:rsidR="00A06364" w:rsidRPr="00171757">
        <w:t>)</w:t>
      </w:r>
      <w:r w:rsidR="00872A53" w:rsidRPr="00171757">
        <w:t xml:space="preserve"> through heterochronic paraboisis resulted in increased levels </w:t>
      </w:r>
      <w:r w:rsidR="00521CC0" w:rsidRPr="00171757">
        <w:t>of VCAM</w:t>
      </w:r>
      <w:r w:rsidR="00872A53" w:rsidRPr="00171757">
        <w:t>-1 expression in young brains</w:t>
      </w:r>
      <w:r w:rsidR="00242BCC" w:rsidRPr="00171757">
        <w:t xml:space="preserve"> [4</w:t>
      </w:r>
      <w:r w:rsidR="00E31ED9">
        <w:t>7</w:t>
      </w:r>
      <w:r w:rsidR="00242BCC" w:rsidRPr="00171757">
        <w:t>]</w:t>
      </w:r>
      <w:r w:rsidR="00872A53" w:rsidRPr="00171757">
        <w:t xml:space="preserve">. </w:t>
      </w:r>
      <w:r w:rsidR="000742F4" w:rsidRPr="00171757">
        <w:t xml:space="preserve">   </w:t>
      </w:r>
    </w:p>
    <w:p w14:paraId="52D21CE7" w14:textId="5D19246D" w:rsidR="00EB5948" w:rsidRPr="00171757" w:rsidRDefault="00764660" w:rsidP="00DC742E">
      <w:pPr>
        <w:pStyle w:val="Heading3"/>
        <w:spacing w:line="480" w:lineRule="auto"/>
        <w:jc w:val="both"/>
      </w:pPr>
      <w:r>
        <w:t xml:space="preserve">1.4.1 </w:t>
      </w:r>
      <w:r w:rsidR="00EB5948" w:rsidRPr="00171757">
        <w:t xml:space="preserve">Junctional adhesion molecules </w:t>
      </w:r>
    </w:p>
    <w:p w14:paraId="15F519A3" w14:textId="6C8BF7CD" w:rsidR="00D83C27" w:rsidRPr="00171757" w:rsidRDefault="00485EE4" w:rsidP="004D0D7D">
      <w:pPr>
        <w:tabs>
          <w:tab w:val="left" w:pos="4253"/>
        </w:tabs>
        <w:spacing w:line="480" w:lineRule="auto"/>
        <w:ind w:firstLine="720"/>
        <w:jc w:val="both"/>
      </w:pPr>
      <w:r w:rsidRPr="00171757">
        <w:t>Vascular endothelial (VE)-cadherin is a classical cadherin expressed on endothelial cells and is involved in regulating vasc</w:t>
      </w:r>
      <w:r w:rsidR="00373BB5" w:rsidRPr="00171757">
        <w:t>ular permeability</w:t>
      </w:r>
      <w:r w:rsidR="00242BCC" w:rsidRPr="00171757">
        <w:t xml:space="preserve"> [5</w:t>
      </w:r>
      <w:r w:rsidR="00E31ED9">
        <w:t>0</w:t>
      </w:r>
      <w:r w:rsidR="00242BCC" w:rsidRPr="00171757">
        <w:t>]</w:t>
      </w:r>
      <w:r w:rsidRPr="00171757">
        <w:t xml:space="preserve">. Ageing is associated with increased internalisation and degradation of arterial VE-cadherin in </w:t>
      </w:r>
      <w:r w:rsidR="002D3CE6" w:rsidRPr="00171757">
        <w:t>aged F344</w:t>
      </w:r>
      <w:r w:rsidRPr="00171757">
        <w:t xml:space="preserve"> rats</w:t>
      </w:r>
      <w:r w:rsidR="002D3CE6" w:rsidRPr="00171757">
        <w:t xml:space="preserve"> (&gt;24 month</w:t>
      </w:r>
      <w:r w:rsidR="00A11572" w:rsidRPr="00171757">
        <w:t>s</w:t>
      </w:r>
      <w:r w:rsidR="002D3CE6" w:rsidRPr="00171757">
        <w:t>)</w:t>
      </w:r>
      <w:r w:rsidRPr="00171757">
        <w:t xml:space="preserve"> compared to younger rats</w:t>
      </w:r>
      <w:r w:rsidR="002D3CE6" w:rsidRPr="00171757">
        <w:t xml:space="preserve"> (&lt;4 month</w:t>
      </w:r>
      <w:r w:rsidR="00A11572" w:rsidRPr="00171757">
        <w:t>s</w:t>
      </w:r>
      <w:r w:rsidR="002D3CE6" w:rsidRPr="00171757">
        <w:t>)</w:t>
      </w:r>
      <w:r w:rsidR="00242BCC" w:rsidRPr="00171757">
        <w:t xml:space="preserve"> [5</w:t>
      </w:r>
      <w:r w:rsidR="00E31ED9">
        <w:t>1</w:t>
      </w:r>
      <w:r w:rsidR="00242BCC" w:rsidRPr="00171757">
        <w:t>]</w:t>
      </w:r>
      <w:r w:rsidR="00E25B75" w:rsidRPr="00171757">
        <w:t xml:space="preserve">. </w:t>
      </w:r>
      <w:r w:rsidRPr="00171757">
        <w:t>Increased arterial VE-cadherin degradation disrupts endothelial barrier integrity and contributes to the observed age-associated increase in vascular permeability in aged rats</w:t>
      </w:r>
      <w:r w:rsidR="00242BCC" w:rsidRPr="00171757">
        <w:t xml:space="preserve"> [5</w:t>
      </w:r>
      <w:r w:rsidR="00E31ED9">
        <w:t>2</w:t>
      </w:r>
      <w:r w:rsidR="00242BCC" w:rsidRPr="00171757">
        <w:t>, 5</w:t>
      </w:r>
      <w:r w:rsidR="00E31ED9">
        <w:t>3</w:t>
      </w:r>
      <w:r w:rsidR="00242BCC" w:rsidRPr="00171757">
        <w:t>]</w:t>
      </w:r>
      <w:r w:rsidR="00E25B75" w:rsidRPr="00171757">
        <w:t xml:space="preserve">. </w:t>
      </w:r>
      <w:r w:rsidR="0091364D" w:rsidRPr="00171757">
        <w:t xml:space="preserve">The enhanced expression of adhesion molecules </w:t>
      </w:r>
      <w:r w:rsidRPr="00171757">
        <w:t xml:space="preserve">and reduction in junctional protein such as VE-cadherin </w:t>
      </w:r>
      <w:r w:rsidR="0091364D" w:rsidRPr="00171757">
        <w:t xml:space="preserve">in aged tissue </w:t>
      </w:r>
      <w:r w:rsidR="0030231B" w:rsidRPr="00171757">
        <w:t xml:space="preserve">under homeostatic conditions </w:t>
      </w:r>
      <w:r w:rsidR="0091364D" w:rsidRPr="00171757">
        <w:t xml:space="preserve">may </w:t>
      </w:r>
      <w:r w:rsidR="00CC2273" w:rsidRPr="00171757">
        <w:t xml:space="preserve">be </w:t>
      </w:r>
      <w:r w:rsidR="00CC2273" w:rsidRPr="00171757">
        <w:lastRenderedPageBreak/>
        <w:t>d</w:t>
      </w:r>
      <w:r w:rsidR="004E4963" w:rsidRPr="00171757">
        <w:t xml:space="preserve">ue to age-related changes </w:t>
      </w:r>
      <w:r w:rsidR="00CC2273" w:rsidRPr="00171757">
        <w:t>of</w:t>
      </w:r>
      <w:r w:rsidR="004E4963" w:rsidRPr="00171757">
        <w:t xml:space="preserve"> the inflammatory status of the tissue, therefore modulating </w:t>
      </w:r>
      <w:r w:rsidR="000D5154" w:rsidRPr="00171757">
        <w:t xml:space="preserve">homeostatic </w:t>
      </w:r>
      <w:r w:rsidR="0091364D" w:rsidRPr="00171757">
        <w:t>leukocyte trafficking</w:t>
      </w:r>
      <w:r w:rsidRPr="00171757">
        <w:t xml:space="preserve"> and vascular </w:t>
      </w:r>
      <w:r w:rsidR="002D3CE6" w:rsidRPr="00171757">
        <w:t>permeability</w:t>
      </w:r>
      <w:r w:rsidRPr="00171757">
        <w:t>,</w:t>
      </w:r>
      <w:r w:rsidR="0091364D" w:rsidRPr="00171757">
        <w:t xml:space="preserve"> </w:t>
      </w:r>
      <w:r w:rsidRPr="00171757">
        <w:t xml:space="preserve">which </w:t>
      </w:r>
      <w:r w:rsidR="0030231B" w:rsidRPr="00171757">
        <w:t>promot</w:t>
      </w:r>
      <w:r w:rsidRPr="00171757">
        <w:t>es</w:t>
      </w:r>
      <w:r w:rsidR="0030231B" w:rsidRPr="00171757">
        <w:t xml:space="preserve"> leukocyte recruitment </w:t>
      </w:r>
      <w:r w:rsidR="000D5154" w:rsidRPr="00171757">
        <w:t xml:space="preserve">to </w:t>
      </w:r>
      <w:r w:rsidR="0030231B" w:rsidRPr="00171757">
        <w:t>and retention</w:t>
      </w:r>
      <w:r w:rsidR="000D5154" w:rsidRPr="00171757">
        <w:t xml:space="preserve"> within tissue</w:t>
      </w:r>
      <w:r w:rsidR="0091364D" w:rsidRPr="00171757">
        <w:t xml:space="preserve">. </w:t>
      </w:r>
    </w:p>
    <w:p w14:paraId="0D9732B6" w14:textId="7AD0C013" w:rsidR="00EB5948" w:rsidRPr="00171757" w:rsidRDefault="00764660" w:rsidP="00DC742E">
      <w:pPr>
        <w:pStyle w:val="Heading3"/>
        <w:spacing w:line="480" w:lineRule="auto"/>
        <w:jc w:val="both"/>
      </w:pPr>
      <w:r>
        <w:t xml:space="preserve">1.4.2 </w:t>
      </w:r>
      <w:r w:rsidR="00EB5948" w:rsidRPr="00171757">
        <w:t>Microenvironmental factors</w:t>
      </w:r>
    </w:p>
    <w:p w14:paraId="14516057" w14:textId="0F576000" w:rsidR="002E71D2" w:rsidRPr="00171757" w:rsidRDefault="002013AD" w:rsidP="004D0D7D">
      <w:pPr>
        <w:spacing w:line="480" w:lineRule="auto"/>
        <w:ind w:firstLine="720"/>
        <w:jc w:val="both"/>
      </w:pPr>
      <w:r w:rsidRPr="00171757">
        <w:t xml:space="preserve">Age-related changes in the local inflammatory environment, including pro-inflammatory cytokine generation, </w:t>
      </w:r>
      <w:r w:rsidR="00563DEB" w:rsidRPr="00171757">
        <w:t>nitric oxide (</w:t>
      </w:r>
      <w:r w:rsidRPr="00171757">
        <w:t>NO</w:t>
      </w:r>
      <w:r w:rsidR="00563DEB" w:rsidRPr="00171757">
        <w:t>)</w:t>
      </w:r>
      <w:r w:rsidRPr="00171757">
        <w:t xml:space="preserve"> availability, and increased oxidative stress</w:t>
      </w:r>
      <w:r w:rsidR="00563DEB" w:rsidRPr="00171757">
        <w:t>,</w:t>
      </w:r>
      <w:r w:rsidRPr="00171757">
        <w:t xml:space="preserve"> also modify leukocyte trafficking. </w:t>
      </w:r>
      <w:r w:rsidR="00E11CF5" w:rsidRPr="00171757">
        <w:t xml:space="preserve">In a murine model of endotoxic stress, </w:t>
      </w:r>
      <w:r w:rsidR="008E2F15" w:rsidRPr="00171757">
        <w:t>enhanced ICAM</w:t>
      </w:r>
      <w:r w:rsidR="00294C4C" w:rsidRPr="00171757">
        <w:t>-</w:t>
      </w:r>
      <w:r w:rsidR="008E2F15" w:rsidRPr="00171757">
        <w:t>1</w:t>
      </w:r>
      <w:r w:rsidR="00E11CF5" w:rsidRPr="00171757">
        <w:t xml:space="preserve"> gene induction </w:t>
      </w:r>
      <w:r w:rsidR="00563DEB" w:rsidRPr="00171757">
        <w:t xml:space="preserve">was observed </w:t>
      </w:r>
      <w:r w:rsidR="008E2F15" w:rsidRPr="00171757">
        <w:t>in the</w:t>
      </w:r>
      <w:r w:rsidR="00E11CF5" w:rsidRPr="00171757">
        <w:t xml:space="preserve"> heart</w:t>
      </w:r>
      <w:r w:rsidR="00563DEB" w:rsidRPr="00171757">
        <w:t xml:space="preserve">s aged mice (24 months) compared to younger mice (4 months) </w:t>
      </w:r>
      <w:r w:rsidR="008E2F15" w:rsidRPr="00171757">
        <w:t xml:space="preserve">following intraperitoneal </w:t>
      </w:r>
      <w:r w:rsidR="00563DEB" w:rsidRPr="00171757">
        <w:t>LPS-</w:t>
      </w:r>
      <w:r w:rsidR="008E2F15" w:rsidRPr="00171757">
        <w:t>administration</w:t>
      </w:r>
      <w:r w:rsidR="00242BCC" w:rsidRPr="00171757">
        <w:t xml:space="preserve"> [5</w:t>
      </w:r>
      <w:r w:rsidR="00E31ED9">
        <w:t>4</w:t>
      </w:r>
      <w:r w:rsidR="00242BCC" w:rsidRPr="00171757">
        <w:t>]</w:t>
      </w:r>
      <w:r w:rsidR="004424B8" w:rsidRPr="00171757">
        <w:t>. Increased ICAM</w:t>
      </w:r>
      <w:r w:rsidR="00294C4C" w:rsidRPr="00171757">
        <w:t>-</w:t>
      </w:r>
      <w:r w:rsidR="004424B8" w:rsidRPr="00171757">
        <w:t xml:space="preserve">1 mRNA expression in </w:t>
      </w:r>
      <w:r w:rsidR="00CC2273" w:rsidRPr="00171757">
        <w:t xml:space="preserve">the </w:t>
      </w:r>
      <w:r w:rsidR="004424B8" w:rsidRPr="00171757">
        <w:t>aged heart was</w:t>
      </w:r>
      <w:r w:rsidR="00E11CF5" w:rsidRPr="00171757">
        <w:t xml:space="preserve"> partly due to the age-related exacerbation of endotoxin-induced pro-inflammatory cytokines in</w:t>
      </w:r>
      <w:r w:rsidR="00E25B75" w:rsidRPr="00171757">
        <w:t xml:space="preserve"> p</w:t>
      </w:r>
      <w:r w:rsidR="00373BB5" w:rsidRPr="00171757">
        <w:t>lasma, such as TNFα and IFNγ</w:t>
      </w:r>
      <w:r w:rsidR="00242BCC" w:rsidRPr="00171757">
        <w:t xml:space="preserve"> [5</w:t>
      </w:r>
      <w:r w:rsidR="00E31ED9">
        <w:t>5</w:t>
      </w:r>
      <w:r w:rsidR="00242BCC" w:rsidRPr="00171757">
        <w:t>]</w:t>
      </w:r>
      <w:r w:rsidR="00E11CF5" w:rsidRPr="00171757">
        <w:t xml:space="preserve">. In a study focusing on the effect of ageing on the development of atherosclerosis, </w:t>
      </w:r>
      <w:r w:rsidR="009943DF" w:rsidRPr="00171757">
        <w:t xml:space="preserve">increased VCAM-1 expression was observed in the aortic arch of </w:t>
      </w:r>
      <w:r w:rsidR="00E11CF5" w:rsidRPr="00171757">
        <w:t xml:space="preserve">aged </w:t>
      </w:r>
      <w:r w:rsidR="00014B92" w:rsidRPr="00171757">
        <w:t>LDLR</w:t>
      </w:r>
      <w:r w:rsidR="00014B92" w:rsidRPr="00171757">
        <w:rPr>
          <w:vertAlign w:val="superscript"/>
        </w:rPr>
        <w:t>-/-</w:t>
      </w:r>
      <w:r w:rsidR="00014B92" w:rsidRPr="00171757">
        <w:t xml:space="preserve"> </w:t>
      </w:r>
      <w:r w:rsidR="004424B8" w:rsidRPr="00171757">
        <w:t>C57B</w:t>
      </w:r>
      <w:r w:rsidR="00C214E6" w:rsidRPr="00171757">
        <w:t>L/</w:t>
      </w:r>
      <w:r w:rsidR="004424B8" w:rsidRPr="00171757">
        <w:t xml:space="preserve">6 </w:t>
      </w:r>
      <w:r w:rsidR="00E11CF5" w:rsidRPr="00171757">
        <w:t>mice</w:t>
      </w:r>
      <w:r w:rsidR="00A22EE1" w:rsidRPr="00171757">
        <w:t xml:space="preserve"> (&gt;20 month</w:t>
      </w:r>
      <w:r w:rsidR="00A11572" w:rsidRPr="00171757">
        <w:t>s</w:t>
      </w:r>
      <w:r w:rsidR="00A22EE1" w:rsidRPr="00171757">
        <w:t>)</w:t>
      </w:r>
      <w:r w:rsidR="00E11CF5" w:rsidRPr="00171757">
        <w:t xml:space="preserve"> compared to young</w:t>
      </w:r>
      <w:r w:rsidR="009943DF" w:rsidRPr="00171757">
        <w:t>er</w:t>
      </w:r>
      <w:r w:rsidR="00E11CF5" w:rsidRPr="00171757">
        <w:t xml:space="preserve"> </w:t>
      </w:r>
      <w:r w:rsidR="00014B92" w:rsidRPr="00171757">
        <w:t>LDLR</w:t>
      </w:r>
      <w:r w:rsidR="00014B92" w:rsidRPr="00171757">
        <w:rPr>
          <w:vertAlign w:val="superscript"/>
        </w:rPr>
        <w:t>-/-</w:t>
      </w:r>
      <w:r w:rsidR="00014B92" w:rsidRPr="00171757">
        <w:t xml:space="preserve"> </w:t>
      </w:r>
      <w:r w:rsidR="00E11CF5" w:rsidRPr="00171757">
        <w:t>mice</w:t>
      </w:r>
      <w:r w:rsidR="00A06364" w:rsidRPr="00171757">
        <w:t xml:space="preserve"> (&lt;4 month</w:t>
      </w:r>
      <w:r w:rsidR="00A11572" w:rsidRPr="00171757">
        <w:t>s</w:t>
      </w:r>
      <w:r w:rsidR="00A06364" w:rsidRPr="00171757">
        <w:t>)</w:t>
      </w:r>
      <w:r w:rsidR="00242BCC" w:rsidRPr="00171757">
        <w:t xml:space="preserve"> [5</w:t>
      </w:r>
      <w:r w:rsidR="00E31ED9">
        <w:t>6</w:t>
      </w:r>
      <w:r w:rsidR="00242BCC" w:rsidRPr="00171757">
        <w:t>]</w:t>
      </w:r>
      <w:r w:rsidR="00854557" w:rsidRPr="00171757">
        <w:t xml:space="preserve">. Increased </w:t>
      </w:r>
      <w:r w:rsidR="007916CC" w:rsidRPr="00171757">
        <w:t>cardiac</w:t>
      </w:r>
      <w:r w:rsidR="00854557" w:rsidRPr="00171757">
        <w:t xml:space="preserve"> VCAM</w:t>
      </w:r>
      <w:r w:rsidR="00294C4C" w:rsidRPr="00171757">
        <w:t>-</w:t>
      </w:r>
      <w:r w:rsidR="00854557" w:rsidRPr="00171757">
        <w:t xml:space="preserve">1 expression </w:t>
      </w:r>
      <w:r w:rsidR="00E11CF5" w:rsidRPr="00171757">
        <w:t xml:space="preserve">was </w:t>
      </w:r>
      <w:r w:rsidR="00CC2273" w:rsidRPr="00171757">
        <w:t>thought to be a consequence of either</w:t>
      </w:r>
      <w:r w:rsidR="00E11CF5" w:rsidRPr="00171757">
        <w:t xml:space="preserve"> age-related </w:t>
      </w:r>
      <w:r w:rsidR="00C230DF" w:rsidRPr="00171757">
        <w:t>endothelial cell dysfunction</w:t>
      </w:r>
      <w:r w:rsidR="00854557" w:rsidRPr="00171757">
        <w:t>,</w:t>
      </w:r>
      <w:r w:rsidR="009943DF" w:rsidRPr="00171757">
        <w:t xml:space="preserve"> driven by reduced NO</w:t>
      </w:r>
      <w:r w:rsidR="00C230DF" w:rsidRPr="00171757">
        <w:t xml:space="preserve"> </w:t>
      </w:r>
      <w:r w:rsidR="00C230DF" w:rsidRPr="00171757">
        <w:lastRenderedPageBreak/>
        <w:t>availability</w:t>
      </w:r>
      <w:r w:rsidR="00854557" w:rsidRPr="00171757">
        <w:t>, or due to increased oxidative stress</w:t>
      </w:r>
      <w:r w:rsidR="00C230DF" w:rsidRPr="00171757">
        <w:t xml:space="preserve"> </w:t>
      </w:r>
      <w:r w:rsidR="00854557" w:rsidRPr="00171757">
        <w:t>with age</w:t>
      </w:r>
      <w:r w:rsidR="00E11CF5" w:rsidRPr="00171757">
        <w:t xml:space="preserve">. </w:t>
      </w:r>
      <w:r w:rsidR="00395101" w:rsidRPr="00171757">
        <w:t>Interestingly, a</w:t>
      </w:r>
      <w:r w:rsidR="00E11CF5" w:rsidRPr="00171757">
        <w:t>ntioxidants are able to inhibit VCAM-1, but not ICAM-1, expression</w:t>
      </w:r>
      <w:r w:rsidR="00706627" w:rsidRPr="00171757">
        <w:t xml:space="preserve"> on TNFα-stimulated </w:t>
      </w:r>
      <w:r w:rsidR="00CC2273" w:rsidRPr="00171757">
        <w:t>human umbilical vein endothelial cells (HUVEC)</w:t>
      </w:r>
      <w:r w:rsidR="00E11CF5" w:rsidRPr="00171757">
        <w:t xml:space="preserve"> through </w:t>
      </w:r>
      <w:r w:rsidR="00706627" w:rsidRPr="00171757">
        <w:t>inactivating</w:t>
      </w:r>
      <w:r w:rsidR="00E11CF5" w:rsidRPr="00171757">
        <w:t xml:space="preserve"> NF-</w:t>
      </w:r>
      <w:r w:rsidR="002D3CE6" w:rsidRPr="00171757">
        <w:t>κ</w:t>
      </w:r>
      <w:r w:rsidR="00E11CF5" w:rsidRPr="00171757">
        <w:t xml:space="preserve">B </w:t>
      </w:r>
      <w:r w:rsidR="00706627" w:rsidRPr="00171757">
        <w:t>signalling and scavenging radicals</w:t>
      </w:r>
      <w:r w:rsidR="00854557" w:rsidRPr="00171757">
        <w:t xml:space="preserve"> involved in promoting VCAM-1 expression</w:t>
      </w:r>
      <w:r w:rsidR="00242BCC" w:rsidRPr="00171757">
        <w:t xml:space="preserve"> [5</w:t>
      </w:r>
      <w:r w:rsidR="00E31ED9">
        <w:t>7</w:t>
      </w:r>
      <w:r w:rsidR="00242BCC" w:rsidRPr="00171757">
        <w:t>]</w:t>
      </w:r>
      <w:r w:rsidR="00E11CF5" w:rsidRPr="00171757">
        <w:t xml:space="preserve">. </w:t>
      </w:r>
      <w:r w:rsidR="00935804" w:rsidRPr="00171757">
        <w:t xml:space="preserve">Although the expression of adhesion molecules is generally increased with ageing, this highly depends </w:t>
      </w:r>
      <w:r w:rsidR="00A526F2" w:rsidRPr="00171757">
        <w:t xml:space="preserve">on </w:t>
      </w:r>
      <w:r w:rsidR="00935804" w:rsidRPr="00171757">
        <w:t xml:space="preserve">the </w:t>
      </w:r>
      <w:r w:rsidR="00A526F2" w:rsidRPr="00171757">
        <w:t xml:space="preserve">tissue-type and </w:t>
      </w:r>
      <w:r w:rsidR="00795F8F" w:rsidRPr="00171757">
        <w:t xml:space="preserve">the </w:t>
      </w:r>
      <w:r w:rsidR="00A526F2" w:rsidRPr="00171757">
        <w:t xml:space="preserve">nature of </w:t>
      </w:r>
      <w:r w:rsidR="00795F8F" w:rsidRPr="00171757">
        <w:t xml:space="preserve">the </w:t>
      </w:r>
      <w:r w:rsidR="00A526F2" w:rsidRPr="00171757">
        <w:t>inflammatory stimulus</w:t>
      </w:r>
      <w:r w:rsidR="00C22314" w:rsidRPr="00171757">
        <w:t>. For instance,</w:t>
      </w:r>
      <w:r w:rsidR="00A526F2" w:rsidRPr="00171757">
        <w:t xml:space="preserve"> the expression of ICAM-1 is decreased in the wounds of aged mice experiencing </w:t>
      </w:r>
      <w:r w:rsidR="00A526F2" w:rsidRPr="00171757">
        <w:rPr>
          <w:i/>
        </w:rPr>
        <w:t xml:space="preserve">Staphylococcus aureus </w:t>
      </w:r>
      <w:r w:rsidR="00A526F2" w:rsidRPr="00171757">
        <w:t xml:space="preserve">infection compared to younger mice, however, </w:t>
      </w:r>
      <w:r w:rsidR="00C22314" w:rsidRPr="00171757">
        <w:t xml:space="preserve">it is </w:t>
      </w:r>
      <w:r w:rsidR="00A526F2" w:rsidRPr="00171757">
        <w:t>increased in the lungs of aged mice post-burn injury</w:t>
      </w:r>
      <w:r w:rsidR="00242BCC" w:rsidRPr="00171757">
        <w:t xml:space="preserve"> [34, 3</w:t>
      </w:r>
      <w:r w:rsidR="00E31ED9">
        <w:t>7</w:t>
      </w:r>
      <w:r w:rsidR="00242BCC" w:rsidRPr="00171757">
        <w:t>]</w:t>
      </w:r>
      <w:r w:rsidR="00C94929" w:rsidRPr="00171757">
        <w:t>.</w:t>
      </w:r>
      <w:r w:rsidR="00A526F2" w:rsidRPr="00171757">
        <w:t xml:space="preserve"> </w:t>
      </w:r>
    </w:p>
    <w:p w14:paraId="49BC67B7" w14:textId="53ED4624" w:rsidR="00EB5948" w:rsidRPr="00171757" w:rsidRDefault="00764660" w:rsidP="00DC742E">
      <w:pPr>
        <w:pStyle w:val="Heading3"/>
        <w:spacing w:line="480" w:lineRule="auto"/>
        <w:jc w:val="both"/>
      </w:pPr>
      <w:r>
        <w:t xml:space="preserve">1.4.3 </w:t>
      </w:r>
      <w:r w:rsidR="00EB5948" w:rsidRPr="00171757">
        <w:t>Soluble adhesion molecule expression</w:t>
      </w:r>
    </w:p>
    <w:p w14:paraId="72327826" w14:textId="1F951D1F" w:rsidR="008962B4" w:rsidRPr="00171757" w:rsidRDefault="008962B4" w:rsidP="004D0D7D">
      <w:pPr>
        <w:spacing w:line="480" w:lineRule="auto"/>
        <w:ind w:firstLine="720"/>
        <w:jc w:val="both"/>
      </w:pPr>
      <w:r w:rsidRPr="00171757">
        <w:t xml:space="preserve">Soluble adhesion molecules (sAM) in serum and plasma are </w:t>
      </w:r>
      <w:r w:rsidR="00804E3B" w:rsidRPr="00171757">
        <w:t>suggest</w:t>
      </w:r>
      <w:r w:rsidRPr="00171757">
        <w:t>ed to be the result of endothelium shedding or endothelial damage</w:t>
      </w:r>
      <w:r w:rsidR="00D15841" w:rsidRPr="00171757">
        <w:t xml:space="preserve">. </w:t>
      </w:r>
      <w:r w:rsidRPr="00171757">
        <w:t>Plasma levels of soluble ICAM-1 and VCAM-1, but not E-selectin, were significantly higher in older Caucasian individuals</w:t>
      </w:r>
      <w:r w:rsidR="00242BCC" w:rsidRPr="00171757">
        <w:t xml:space="preserve"> [</w:t>
      </w:r>
      <w:r w:rsidR="00E31ED9">
        <w:t>58</w:t>
      </w:r>
      <w:r w:rsidR="00242BCC" w:rsidRPr="00171757">
        <w:t>]</w:t>
      </w:r>
      <w:r w:rsidRPr="00171757">
        <w:t xml:space="preserve">. Conversely, age </w:t>
      </w:r>
      <w:r w:rsidR="00077973" w:rsidRPr="00171757">
        <w:t>is</w:t>
      </w:r>
      <w:r w:rsidRPr="00171757">
        <w:t xml:space="preserve"> positively correlated with soluble VCAM-1 expression, but not soluble ICAM-1</w:t>
      </w:r>
      <w:r w:rsidR="001F151B" w:rsidRPr="00171757">
        <w:t xml:space="preserve"> or E-selectin</w:t>
      </w:r>
      <w:r w:rsidR="0095638D" w:rsidRPr="00171757">
        <w:t xml:space="preserve">, in healthy </w:t>
      </w:r>
      <w:r w:rsidR="001F151B" w:rsidRPr="00171757">
        <w:t xml:space="preserve">older </w:t>
      </w:r>
      <w:r w:rsidR="00F22B04" w:rsidRPr="00171757">
        <w:t>adults</w:t>
      </w:r>
      <w:r w:rsidR="00C94929" w:rsidRPr="00171757">
        <w:t xml:space="preserve"> </w:t>
      </w:r>
      <w:r w:rsidR="00E46D32" w:rsidRPr="00171757">
        <w:t>[4</w:t>
      </w:r>
      <w:r w:rsidR="00E31ED9">
        <w:t>7</w:t>
      </w:r>
      <w:r w:rsidR="00E46D32" w:rsidRPr="00171757">
        <w:t xml:space="preserve">, </w:t>
      </w:r>
      <w:r w:rsidR="00E31ED9">
        <w:t>59</w:t>
      </w:r>
      <w:r w:rsidR="00E46D32" w:rsidRPr="00171757">
        <w:t>-6</w:t>
      </w:r>
      <w:r w:rsidR="00E31ED9">
        <w:t>1</w:t>
      </w:r>
      <w:r w:rsidR="00E46D32" w:rsidRPr="00171757">
        <w:t>]</w:t>
      </w:r>
      <w:r w:rsidR="00BC5DB1" w:rsidRPr="00171757">
        <w:t xml:space="preserve">. </w:t>
      </w:r>
      <w:r w:rsidRPr="00171757">
        <w:t xml:space="preserve">In contrast, Nash </w:t>
      </w:r>
      <w:r w:rsidR="00B016C2" w:rsidRPr="00171757">
        <w:rPr>
          <w:i/>
        </w:rPr>
        <w:t>et al.</w:t>
      </w:r>
      <w:r w:rsidRPr="00171757">
        <w:t xml:space="preserve"> reported a significant decrease in soluble E-selectin, ICAM-1 and VCAM-1 with age through </w:t>
      </w:r>
      <w:r w:rsidRPr="00171757">
        <w:lastRenderedPageBreak/>
        <w:t xml:space="preserve">comparing </w:t>
      </w:r>
      <w:r w:rsidR="000F3C3E" w:rsidRPr="00171757">
        <w:t>juvenile (&lt;</w:t>
      </w:r>
      <w:r w:rsidRPr="00171757">
        <w:t>16</w:t>
      </w:r>
      <w:r w:rsidR="000F3C3E" w:rsidRPr="00171757">
        <w:t xml:space="preserve"> </w:t>
      </w:r>
      <w:r w:rsidRPr="00171757">
        <w:t>years</w:t>
      </w:r>
      <w:r w:rsidR="000F3C3E" w:rsidRPr="00171757">
        <w:t xml:space="preserve"> old</w:t>
      </w:r>
      <w:r w:rsidRPr="00171757">
        <w:t>) and adult (21-47</w:t>
      </w:r>
      <w:r w:rsidR="000F3C3E" w:rsidRPr="00171757">
        <w:t xml:space="preserve"> </w:t>
      </w:r>
      <w:r w:rsidRPr="00171757">
        <w:t>years</w:t>
      </w:r>
      <w:r w:rsidR="000F3C3E" w:rsidRPr="00171757">
        <w:t xml:space="preserve"> old</w:t>
      </w:r>
      <w:r w:rsidRPr="00171757">
        <w:t>) serum</w:t>
      </w:r>
      <w:r w:rsidR="00E46D32" w:rsidRPr="00171757">
        <w:t xml:space="preserve"> [6</w:t>
      </w:r>
      <w:r w:rsidR="00E31ED9">
        <w:t>2</w:t>
      </w:r>
      <w:r w:rsidR="00E46D32" w:rsidRPr="00171757">
        <w:t>, 6</w:t>
      </w:r>
      <w:r w:rsidR="00E31ED9">
        <w:t>3</w:t>
      </w:r>
      <w:r w:rsidR="00E46D32" w:rsidRPr="00171757">
        <w:t>]</w:t>
      </w:r>
      <w:r w:rsidR="00BC5DB1" w:rsidRPr="00171757">
        <w:t xml:space="preserve">. </w:t>
      </w:r>
      <w:r w:rsidR="00B016C2" w:rsidRPr="00171757">
        <w:t>However</w:t>
      </w:r>
      <w:r w:rsidR="00D65656" w:rsidRPr="00171757">
        <w:t>,</w:t>
      </w:r>
      <w:r w:rsidRPr="00171757">
        <w:t xml:space="preserve"> </w:t>
      </w:r>
      <w:r w:rsidR="00264993" w:rsidRPr="00171757">
        <w:t>an older study</w:t>
      </w:r>
      <w:r w:rsidR="00B016C2" w:rsidRPr="00171757">
        <w:t xml:space="preserve"> did not find</w:t>
      </w:r>
      <w:r w:rsidR="001F151B" w:rsidRPr="00171757">
        <w:t xml:space="preserve"> a</w:t>
      </w:r>
      <w:r w:rsidR="00B016C2" w:rsidRPr="00171757">
        <w:t xml:space="preserve"> difference in </w:t>
      </w:r>
      <w:r w:rsidR="00B372D1" w:rsidRPr="00171757">
        <w:t xml:space="preserve">serum levels of VCAM-1 </w:t>
      </w:r>
      <w:r w:rsidRPr="00171757">
        <w:t xml:space="preserve">of 155 healthy </w:t>
      </w:r>
      <w:r w:rsidR="00A9170A" w:rsidRPr="00171757">
        <w:t>adults</w:t>
      </w:r>
      <w:r w:rsidRPr="00171757">
        <w:t xml:space="preserve"> </w:t>
      </w:r>
      <w:r w:rsidR="00A9170A" w:rsidRPr="00171757">
        <w:t>aged between 20 and 65 years old</w:t>
      </w:r>
      <w:r w:rsidR="00E46D32" w:rsidRPr="00171757">
        <w:t xml:space="preserve"> [</w:t>
      </w:r>
      <w:r w:rsidR="00E31ED9">
        <w:t>64</w:t>
      </w:r>
      <w:r w:rsidR="00E46D32" w:rsidRPr="00171757">
        <w:t>]</w:t>
      </w:r>
      <w:r w:rsidRPr="00171757">
        <w:t>. Whether advancing age has a direct impact on circulating sAM levels, and whether this a</w:t>
      </w:r>
      <w:r w:rsidR="00F22B04" w:rsidRPr="00171757">
        <w:t>ffects leukocyte trafficking,</w:t>
      </w:r>
      <w:r w:rsidRPr="00171757">
        <w:t xml:space="preserve"> therefore </w:t>
      </w:r>
      <w:r w:rsidR="00F22B04" w:rsidRPr="00171757">
        <w:t xml:space="preserve">remains </w:t>
      </w:r>
      <w:r w:rsidRPr="00171757">
        <w:t>unclear</w:t>
      </w:r>
      <w:r w:rsidR="00D15841" w:rsidRPr="00171757">
        <w:t xml:space="preserve"> and may depend on the </w:t>
      </w:r>
      <w:r w:rsidR="00913983" w:rsidRPr="00171757">
        <w:t xml:space="preserve">heterogeneity of the </w:t>
      </w:r>
      <w:r w:rsidR="00D15841" w:rsidRPr="00171757">
        <w:t>population considered</w:t>
      </w:r>
      <w:r w:rsidRPr="00171757">
        <w:t>.</w:t>
      </w:r>
    </w:p>
    <w:p w14:paraId="4C17FD0A" w14:textId="5B095E6E" w:rsidR="009231CD" w:rsidRPr="00171757" w:rsidRDefault="00764660" w:rsidP="00DC742E">
      <w:pPr>
        <w:pStyle w:val="Heading3"/>
        <w:spacing w:line="480" w:lineRule="auto"/>
        <w:jc w:val="both"/>
      </w:pPr>
      <w:r>
        <w:t xml:space="preserve">1.4.4 </w:t>
      </w:r>
      <w:r w:rsidR="009231CD" w:rsidRPr="00171757">
        <w:t>Endothelial-activating cytokines in age-related diseases</w:t>
      </w:r>
    </w:p>
    <w:p w14:paraId="4F534D30" w14:textId="66246E63" w:rsidR="009231CD" w:rsidRPr="00171757" w:rsidRDefault="009231CD" w:rsidP="00DC742E">
      <w:pPr>
        <w:spacing w:line="480" w:lineRule="auto"/>
        <w:ind w:firstLine="720"/>
        <w:jc w:val="both"/>
      </w:pPr>
      <w:r w:rsidRPr="00171757">
        <w:t>The circulating levels of TNFα and IL-6 increase with age, and their biological functions have been implicated in the pathogenesis of many inflammat</w:t>
      </w:r>
      <w:r w:rsidR="004D0D7D" w:rsidRPr="00171757">
        <w:t xml:space="preserve">ory </w:t>
      </w:r>
      <w:r w:rsidRPr="00171757">
        <w:t xml:space="preserve">diseases </w:t>
      </w:r>
      <w:r w:rsidR="000E4E7C" w:rsidRPr="00171757">
        <w:t>such as rheumatoid arthritis (RA) and Crohn’s disease (CD)</w:t>
      </w:r>
      <w:r w:rsidR="00E46D32" w:rsidRPr="00171757">
        <w:t xml:space="preserve"> [6</w:t>
      </w:r>
      <w:r w:rsidR="00E31ED9">
        <w:t>5</w:t>
      </w:r>
      <w:r w:rsidR="00E46D32" w:rsidRPr="00171757">
        <w:t>-</w:t>
      </w:r>
      <w:r w:rsidR="00E31ED9">
        <w:t>68</w:t>
      </w:r>
      <w:r w:rsidR="00E46D32" w:rsidRPr="00171757">
        <w:t>]</w:t>
      </w:r>
      <w:r w:rsidRPr="00171757">
        <w:t>. TNFα</w:t>
      </w:r>
      <w:r w:rsidR="00620EB3" w:rsidRPr="00171757">
        <w:t xml:space="preserve"> is a </w:t>
      </w:r>
      <w:r w:rsidRPr="00171757">
        <w:t>potent activator of endothelial cells</w:t>
      </w:r>
      <w:r w:rsidR="00620EB3" w:rsidRPr="00171757">
        <w:t xml:space="preserve"> by</w:t>
      </w:r>
      <w:r w:rsidRPr="00171757">
        <w:t xml:space="preserve"> </w:t>
      </w:r>
      <w:r w:rsidR="00620EB3" w:rsidRPr="00171757">
        <w:t xml:space="preserve">inducing </w:t>
      </w:r>
      <w:r w:rsidRPr="00171757">
        <w:t xml:space="preserve">the expression of ICAM-1, VCAM-1, E- and P-selectin on </w:t>
      </w:r>
      <w:r w:rsidR="00620EB3" w:rsidRPr="00171757">
        <w:t xml:space="preserve">endothelial cells </w:t>
      </w:r>
      <w:r w:rsidRPr="00171757">
        <w:rPr>
          <w:i/>
        </w:rPr>
        <w:t>in vitro</w:t>
      </w:r>
      <w:r w:rsidR="00620EB3" w:rsidRPr="00171757">
        <w:rPr>
          <w:i/>
        </w:rPr>
        <w:t xml:space="preserve"> </w:t>
      </w:r>
      <w:r w:rsidR="00620EB3" w:rsidRPr="00171757">
        <w:rPr>
          <w:iCs/>
        </w:rPr>
        <w:t>and</w:t>
      </w:r>
      <w:r w:rsidR="00620EB3" w:rsidRPr="00171757">
        <w:rPr>
          <w:i/>
        </w:rPr>
        <w:t xml:space="preserve"> in vivo</w:t>
      </w:r>
      <w:r w:rsidRPr="00171757">
        <w:t>, and promote</w:t>
      </w:r>
      <w:r w:rsidR="00834992" w:rsidRPr="00171757">
        <w:t>s</w:t>
      </w:r>
      <w:r w:rsidRPr="00171757">
        <w:t xml:space="preserve"> the recruitment and migration of neutrophils, monocytes and </w:t>
      </w:r>
      <w:r w:rsidR="004D0D7D" w:rsidRPr="00171757">
        <w:t>lymphocytes</w:t>
      </w:r>
      <w:r w:rsidR="00E46D32" w:rsidRPr="00171757">
        <w:t xml:space="preserve"> [</w:t>
      </w:r>
      <w:r w:rsidR="00E31ED9">
        <w:t>69</w:t>
      </w:r>
      <w:r w:rsidR="00E46D32" w:rsidRPr="00171757">
        <w:t>-7</w:t>
      </w:r>
      <w:r w:rsidR="00E31ED9">
        <w:t>4</w:t>
      </w:r>
      <w:r w:rsidR="00E46D32" w:rsidRPr="00171757">
        <w:t>]</w:t>
      </w:r>
      <w:r w:rsidRPr="00171757">
        <w:t xml:space="preserve">. IL-6, a </w:t>
      </w:r>
      <w:r w:rsidR="00CB35B0" w:rsidRPr="00171757">
        <w:t>pleiotropic</w:t>
      </w:r>
      <w:r w:rsidR="00620EB3" w:rsidRPr="00171757">
        <w:t xml:space="preserve"> </w:t>
      </w:r>
      <w:r w:rsidR="00CB35B0" w:rsidRPr="00171757">
        <w:t>cytokine,</w:t>
      </w:r>
      <w:r w:rsidR="00620EB3" w:rsidRPr="00171757">
        <w:t xml:space="preserve"> can also</w:t>
      </w:r>
      <w:r w:rsidRPr="00171757">
        <w:t xml:space="preserve"> induce</w:t>
      </w:r>
      <w:r w:rsidR="00CB35B0" w:rsidRPr="00171757">
        <w:t xml:space="preserve"> the</w:t>
      </w:r>
      <w:r w:rsidRPr="00171757">
        <w:t xml:space="preserve"> upregulation of ICAM-1, VCAM-1, and E-selectin on </w:t>
      </w:r>
      <w:r w:rsidR="00620EB3" w:rsidRPr="00171757">
        <w:t>endothelial cells</w:t>
      </w:r>
      <w:r w:rsidR="00CB35B0" w:rsidRPr="00171757">
        <w:t xml:space="preserve"> </w:t>
      </w:r>
      <w:r w:rsidR="00CB35B0" w:rsidRPr="00171757">
        <w:rPr>
          <w:i/>
        </w:rPr>
        <w:t>in vitro</w:t>
      </w:r>
      <w:r w:rsidRPr="00171757">
        <w:t xml:space="preserve">, and </w:t>
      </w:r>
      <w:r w:rsidR="001127B1" w:rsidRPr="00171757">
        <w:t>promote</w:t>
      </w:r>
      <w:r w:rsidR="00834992" w:rsidRPr="00171757">
        <w:t>s</w:t>
      </w:r>
      <w:r w:rsidR="001127B1" w:rsidRPr="00171757">
        <w:t xml:space="preserve"> </w:t>
      </w:r>
      <w:r w:rsidRPr="00171757">
        <w:t xml:space="preserve">the adhesion of lymphocytes, but not polymorphonuclear cells, to </w:t>
      </w:r>
      <w:r w:rsidR="00620EB3" w:rsidRPr="00171757">
        <w:t xml:space="preserve">the </w:t>
      </w:r>
      <w:r w:rsidRPr="00171757">
        <w:t xml:space="preserve">endothelium </w:t>
      </w:r>
      <w:r w:rsidRPr="00171757">
        <w:rPr>
          <w:i/>
        </w:rPr>
        <w:t>in vitro</w:t>
      </w:r>
      <w:r w:rsidR="00E46D32" w:rsidRPr="00171757">
        <w:t xml:space="preserve"> [7</w:t>
      </w:r>
      <w:r w:rsidR="00E31ED9">
        <w:t>5</w:t>
      </w:r>
      <w:r w:rsidR="00E46D32" w:rsidRPr="00171757">
        <w:t>, 7</w:t>
      </w:r>
      <w:r w:rsidR="00E31ED9">
        <w:t>6</w:t>
      </w:r>
      <w:r w:rsidR="00E46D32" w:rsidRPr="00171757">
        <w:t>]</w:t>
      </w:r>
      <w:r w:rsidRPr="00171757">
        <w:t>.</w:t>
      </w:r>
      <w:r w:rsidR="001127B1" w:rsidRPr="00171757">
        <w:t xml:space="preserve"> </w:t>
      </w:r>
      <w:r w:rsidR="00834992" w:rsidRPr="00171757">
        <w:t>Additionally</w:t>
      </w:r>
      <w:r w:rsidR="001127B1" w:rsidRPr="00171757">
        <w:t xml:space="preserve">, IL-6 deficient mice </w:t>
      </w:r>
      <w:r w:rsidR="001127B1" w:rsidRPr="00171757">
        <w:lastRenderedPageBreak/>
        <w:t xml:space="preserve">exhibit </w:t>
      </w:r>
      <w:r w:rsidR="009943DF" w:rsidRPr="00171757">
        <w:t xml:space="preserve">defective </w:t>
      </w:r>
      <w:r w:rsidR="00834992" w:rsidRPr="00171757">
        <w:t xml:space="preserve">leukocyte </w:t>
      </w:r>
      <w:r w:rsidR="001127B1" w:rsidRPr="00171757">
        <w:t>recruitment to air pouches in response to various stimuli, including IL-1β and carrageenan, compared to wild type mice</w:t>
      </w:r>
      <w:r w:rsidR="00E46D32" w:rsidRPr="00171757">
        <w:t xml:space="preserve"> [7</w:t>
      </w:r>
      <w:r w:rsidR="00E31ED9">
        <w:t>7</w:t>
      </w:r>
      <w:r w:rsidR="00E46D32" w:rsidRPr="00171757">
        <w:t>]</w:t>
      </w:r>
      <w:r w:rsidR="001127B1" w:rsidRPr="00171757">
        <w:t>.</w:t>
      </w:r>
      <w:r w:rsidRPr="00171757">
        <w:t xml:space="preserve"> IL-1 and IL-17 have been linked to the pathology of </w:t>
      </w:r>
      <w:r w:rsidR="009943DF" w:rsidRPr="00171757">
        <w:t xml:space="preserve">several </w:t>
      </w:r>
      <w:r w:rsidRPr="00171757">
        <w:t xml:space="preserve">autoimmune diseases, </w:t>
      </w:r>
      <w:r w:rsidR="00FE70EF" w:rsidRPr="00171757">
        <w:t>which</w:t>
      </w:r>
      <w:r w:rsidRPr="00171757">
        <w:t xml:space="preserve"> are increasingly prevalent amongst older adults</w:t>
      </w:r>
      <w:r w:rsidR="00E46D32" w:rsidRPr="00171757">
        <w:t xml:space="preserve"> [</w:t>
      </w:r>
      <w:r w:rsidR="00E31ED9">
        <w:t>78</w:t>
      </w:r>
      <w:r w:rsidR="00E46D32" w:rsidRPr="00171757">
        <w:t>-8</w:t>
      </w:r>
      <w:r w:rsidR="00E31ED9">
        <w:t>2</w:t>
      </w:r>
      <w:r w:rsidR="00E46D32" w:rsidRPr="00171757">
        <w:t>]</w:t>
      </w:r>
      <w:r w:rsidR="00C94929" w:rsidRPr="00171757">
        <w:t xml:space="preserve">. </w:t>
      </w:r>
      <w:r w:rsidRPr="00171757">
        <w:t>IL-1 is one of the key drive</w:t>
      </w:r>
      <w:r w:rsidR="00FE70EF" w:rsidRPr="00171757">
        <w:t>rs</w:t>
      </w:r>
      <w:r w:rsidRPr="00171757">
        <w:t xml:space="preserve"> of IL-17−producing Th17 cell differentiation, a T-cell subset involved in the pathogenesis of </w:t>
      </w:r>
      <w:r w:rsidR="00DC742E" w:rsidRPr="00171757">
        <w:t>RA</w:t>
      </w:r>
      <w:r w:rsidRPr="00171757">
        <w:t>, systemic lupus and psoriasis</w:t>
      </w:r>
      <w:r w:rsidR="00E46D32" w:rsidRPr="00171757">
        <w:t xml:space="preserve"> [</w:t>
      </w:r>
      <w:r w:rsidR="00E31ED9">
        <w:t>79</w:t>
      </w:r>
      <w:r w:rsidR="00E46D32" w:rsidRPr="00171757">
        <w:t>, 8</w:t>
      </w:r>
      <w:r w:rsidR="00E31ED9">
        <w:t>3</w:t>
      </w:r>
      <w:r w:rsidR="00E46D32" w:rsidRPr="00171757">
        <w:t>, 8</w:t>
      </w:r>
      <w:r w:rsidR="00E31ED9">
        <w:t>4</w:t>
      </w:r>
      <w:r w:rsidR="00E46D32" w:rsidRPr="00171757">
        <w:t>]</w:t>
      </w:r>
      <w:r w:rsidR="00C94929" w:rsidRPr="00171757">
        <w:t xml:space="preserve">. </w:t>
      </w:r>
      <w:r w:rsidRPr="00171757">
        <w:t xml:space="preserve">Importantly, IL-17 is able to directly modify surface expression of VCAM-1, as well as transcript levels of ICAM-1 and </w:t>
      </w:r>
      <w:r w:rsidR="009943DF" w:rsidRPr="00171757">
        <w:t>platelet and endothelial cell adhesion molecule 1</w:t>
      </w:r>
      <w:r w:rsidR="00834992" w:rsidRPr="00171757">
        <w:t>,</w:t>
      </w:r>
      <w:r w:rsidRPr="00171757">
        <w:t xml:space="preserve"> on endothelial cells </w:t>
      </w:r>
      <w:r w:rsidRPr="00171757">
        <w:rPr>
          <w:i/>
        </w:rPr>
        <w:t>in vitro</w:t>
      </w:r>
      <w:r w:rsidR="00E46D32" w:rsidRPr="00171757">
        <w:t xml:space="preserve"> [8</w:t>
      </w:r>
      <w:r w:rsidR="00E31ED9">
        <w:t>5</w:t>
      </w:r>
      <w:r w:rsidR="00E46D32" w:rsidRPr="00171757">
        <w:t>, 8</w:t>
      </w:r>
      <w:r w:rsidR="00E31ED9">
        <w:t>6</w:t>
      </w:r>
      <w:r w:rsidR="00E46D32" w:rsidRPr="00171757">
        <w:t>]</w:t>
      </w:r>
      <w:r w:rsidRPr="00171757">
        <w:t>. The interplay between pro-inflammatory cytokines, such as TNF</w:t>
      </w:r>
      <w:r w:rsidR="002D10AB" w:rsidRPr="00171757">
        <w:t>α,</w:t>
      </w:r>
      <w:r w:rsidRPr="00171757">
        <w:t xml:space="preserve"> IL-1, IL-6 and IL-17, contribute to the chronic inflammation that underlies several age-related diseases partly through their endothelial activating </w:t>
      </w:r>
      <w:r w:rsidR="00834992" w:rsidRPr="00171757">
        <w:t>properties</w:t>
      </w:r>
      <w:r w:rsidRPr="00171757">
        <w:t xml:space="preserve"> and subsequent impact on leukocyte trafficking. Importantly, blocking the functions of pro-inflammatory cytokines through the use of biologics (e.g. anti-TNF and anti-IL-17, IL-1 and IL-6 receptor antagonists) are major tools in the treatment of many inflammatory diseases</w:t>
      </w:r>
      <w:r w:rsidR="00E46D32" w:rsidRPr="00171757">
        <w:t xml:space="preserve"> [8</w:t>
      </w:r>
      <w:r w:rsidR="00E31ED9">
        <w:t>7</w:t>
      </w:r>
      <w:r w:rsidR="00E46D32" w:rsidRPr="00171757">
        <w:t>-9</w:t>
      </w:r>
      <w:r w:rsidR="00E31ED9">
        <w:t>0</w:t>
      </w:r>
      <w:r w:rsidR="00E46D32" w:rsidRPr="00171757">
        <w:t>]</w:t>
      </w:r>
      <w:r w:rsidR="001F7B25" w:rsidRPr="00171757">
        <w:t>.</w:t>
      </w:r>
    </w:p>
    <w:p w14:paraId="6C9112B7" w14:textId="67AD23DE" w:rsidR="00EB5948" w:rsidRPr="00171757" w:rsidRDefault="00764660" w:rsidP="00DC742E">
      <w:pPr>
        <w:pStyle w:val="Heading3"/>
        <w:spacing w:line="480" w:lineRule="auto"/>
        <w:jc w:val="both"/>
      </w:pPr>
      <w:r>
        <w:lastRenderedPageBreak/>
        <w:t xml:space="preserve">1.4.5 </w:t>
      </w:r>
      <w:r w:rsidR="00EB5948" w:rsidRPr="00171757">
        <w:t>Adhesion molecule expression on leukocytes</w:t>
      </w:r>
    </w:p>
    <w:p w14:paraId="1ACD83F2" w14:textId="49A8809A" w:rsidR="00485EE4" w:rsidRPr="00171757" w:rsidRDefault="00485EE4" w:rsidP="004D0D7D">
      <w:pPr>
        <w:spacing w:line="480" w:lineRule="auto"/>
        <w:ind w:firstLine="720"/>
        <w:jc w:val="both"/>
      </w:pPr>
      <w:r w:rsidRPr="00171757">
        <w:t>Ageing is also associated with modified adhesion molecule expression on leukocytes. In mice, the expression of the integrins lymphocyte function-associated antigen 1 (LFA-1) and very late antigen 4 (VLA-4) is increased on circulating CD8</w:t>
      </w:r>
      <w:r w:rsidRPr="00171757">
        <w:rPr>
          <w:vertAlign w:val="superscript"/>
        </w:rPr>
        <w:t>+</w:t>
      </w:r>
      <w:r w:rsidRPr="00171757">
        <w:t xml:space="preserve"> T-cells derived from aged mice (&gt;18 month</w:t>
      </w:r>
      <w:r w:rsidR="00A11572" w:rsidRPr="00171757">
        <w:t>s</w:t>
      </w:r>
      <w:r w:rsidRPr="00171757">
        <w:t>) compared to younger mice</w:t>
      </w:r>
      <w:r w:rsidR="001F151B" w:rsidRPr="00171757">
        <w:t xml:space="preserve"> </w:t>
      </w:r>
      <w:r w:rsidRPr="00171757">
        <w:t>(&lt;3 month</w:t>
      </w:r>
      <w:r w:rsidR="00A11572" w:rsidRPr="00171757">
        <w:t>s</w:t>
      </w:r>
      <w:r w:rsidRPr="00171757">
        <w:t>)</w:t>
      </w:r>
      <w:r w:rsidR="00E46D32" w:rsidRPr="00171757">
        <w:t xml:space="preserve"> [</w:t>
      </w:r>
      <w:r w:rsidR="00E31ED9">
        <w:t>39</w:t>
      </w:r>
      <w:r w:rsidR="00E46D32" w:rsidRPr="00171757">
        <w:t>]</w:t>
      </w:r>
      <w:r w:rsidRPr="00171757">
        <w:t xml:space="preserve">. This increase in integrin expression permitted higher incidence of </w:t>
      </w:r>
      <w:r w:rsidR="00E262CD" w:rsidRPr="00171757">
        <w:t>CD8</w:t>
      </w:r>
      <w:r w:rsidR="00E262CD" w:rsidRPr="00171757">
        <w:rPr>
          <w:vertAlign w:val="superscript"/>
        </w:rPr>
        <w:t>+</w:t>
      </w:r>
      <w:r w:rsidR="00E262CD" w:rsidRPr="00171757">
        <w:t xml:space="preserve"> T-cell </w:t>
      </w:r>
      <w:r w:rsidRPr="00171757">
        <w:t xml:space="preserve">recruitment </w:t>
      </w:r>
      <w:r w:rsidR="00E262CD" w:rsidRPr="00171757">
        <w:t>to</w:t>
      </w:r>
      <w:r w:rsidRPr="00171757">
        <w:t xml:space="preserve"> peripheral tissues such as the brain</w:t>
      </w:r>
      <w:r w:rsidR="00E46D32" w:rsidRPr="00171757">
        <w:t xml:space="preserve"> [</w:t>
      </w:r>
      <w:r w:rsidR="00E31ED9">
        <w:t>39</w:t>
      </w:r>
      <w:r w:rsidR="00E46D32" w:rsidRPr="00171757">
        <w:t>]</w:t>
      </w:r>
      <w:r w:rsidRPr="00171757">
        <w:t xml:space="preserve">. In a murine model of mousepox, </w:t>
      </w:r>
      <w:r w:rsidR="00764660">
        <w:t xml:space="preserve">reduced </w:t>
      </w:r>
      <w:r w:rsidR="006C76D8" w:rsidRPr="00171757">
        <w:t>migration of aged</w:t>
      </w:r>
      <w:r w:rsidRPr="00171757">
        <w:t xml:space="preserve"> NK</w:t>
      </w:r>
      <w:r w:rsidR="006C76D8" w:rsidRPr="00171757">
        <w:t>-cells</w:t>
      </w:r>
      <w:r w:rsidRPr="00171757">
        <w:t xml:space="preserve"> to dLN </w:t>
      </w:r>
      <w:r w:rsidR="00764660" w:rsidRPr="00171757">
        <w:t>occurred</w:t>
      </w:r>
      <w:r w:rsidRPr="00171757">
        <w:t>, therefore hindering the control of viral spread in aged animals</w:t>
      </w:r>
      <w:r w:rsidR="00E46D32" w:rsidRPr="00171757">
        <w:t xml:space="preserve"> [9</w:t>
      </w:r>
      <w:r w:rsidR="00E31ED9">
        <w:t>1</w:t>
      </w:r>
      <w:r w:rsidR="00E46D32" w:rsidRPr="00171757">
        <w:t>]</w:t>
      </w:r>
      <w:r w:rsidRPr="00171757">
        <w:t xml:space="preserve">. Reduced </w:t>
      </w:r>
      <w:r w:rsidR="006C76D8" w:rsidRPr="00171757">
        <w:t xml:space="preserve">migration of aged </w:t>
      </w:r>
      <w:r w:rsidRPr="00171757">
        <w:t>NK</w:t>
      </w:r>
      <w:r w:rsidR="006C76D8" w:rsidRPr="00171757">
        <w:t>-cell</w:t>
      </w:r>
      <w:r w:rsidRPr="00171757">
        <w:t xml:space="preserve"> to dLN was attributed to reduced surface expression of L-selectin, which facilitates lymphocyte homing to secondary lymphoid tissue. Ageing therefore profoundly affects the expression of integrins and selectins on lymphocytes, modulating their trafficking under inflammatory and homeostatic conditions. </w:t>
      </w:r>
      <w:r w:rsidR="00A320D8" w:rsidRPr="00171757">
        <w:t xml:space="preserve">However, there is a clear lack of understanding on whether ageing is able to influence the capacity of integrins to change </w:t>
      </w:r>
      <w:r w:rsidR="007F26B0" w:rsidRPr="00171757">
        <w:t xml:space="preserve">their </w:t>
      </w:r>
      <w:r w:rsidR="00A320D8" w:rsidRPr="00171757">
        <w:t>affinity in response to activating chemokine receptor signal</w:t>
      </w:r>
      <w:r w:rsidR="007F26B0" w:rsidRPr="00171757">
        <w:t>l</w:t>
      </w:r>
      <w:r w:rsidR="00A320D8" w:rsidRPr="00171757">
        <w:t xml:space="preserve">ing. </w:t>
      </w:r>
    </w:p>
    <w:p w14:paraId="253C8629" w14:textId="215F7EC5" w:rsidR="00E17544" w:rsidRPr="00171757" w:rsidRDefault="00764660" w:rsidP="00620EB3">
      <w:pPr>
        <w:pStyle w:val="Heading2"/>
        <w:spacing w:line="480" w:lineRule="auto"/>
        <w:rPr>
          <w:rFonts w:ascii="Times New Roman" w:hAnsi="Times New Roman" w:cs="Times New Roman"/>
        </w:rPr>
      </w:pPr>
      <w:r>
        <w:rPr>
          <w:rFonts w:ascii="Times New Roman" w:hAnsi="Times New Roman" w:cs="Times New Roman"/>
        </w:rPr>
        <w:lastRenderedPageBreak/>
        <w:t xml:space="preserve">1.5 </w:t>
      </w:r>
      <w:r w:rsidR="00D212CD" w:rsidRPr="00171757">
        <w:rPr>
          <w:rFonts w:ascii="Times New Roman" w:hAnsi="Times New Roman" w:cs="Times New Roman"/>
        </w:rPr>
        <w:t xml:space="preserve">Expression of </w:t>
      </w:r>
      <w:r w:rsidR="00ED1B07" w:rsidRPr="00171757">
        <w:rPr>
          <w:rFonts w:ascii="Times New Roman" w:hAnsi="Times New Roman" w:cs="Times New Roman"/>
        </w:rPr>
        <w:t>c</w:t>
      </w:r>
      <w:r w:rsidR="0091364D" w:rsidRPr="00171757">
        <w:rPr>
          <w:rFonts w:ascii="Times New Roman" w:hAnsi="Times New Roman" w:cs="Times New Roman"/>
        </w:rPr>
        <w:t>hemokine</w:t>
      </w:r>
      <w:r w:rsidR="00E17544" w:rsidRPr="00171757">
        <w:rPr>
          <w:rFonts w:ascii="Times New Roman" w:hAnsi="Times New Roman" w:cs="Times New Roman"/>
        </w:rPr>
        <w:t xml:space="preserve"> </w:t>
      </w:r>
      <w:r w:rsidR="00ED1B07" w:rsidRPr="00171757">
        <w:rPr>
          <w:rFonts w:ascii="Times New Roman" w:hAnsi="Times New Roman" w:cs="Times New Roman"/>
        </w:rPr>
        <w:t>r</w:t>
      </w:r>
      <w:r w:rsidR="0091364D" w:rsidRPr="00171757">
        <w:rPr>
          <w:rFonts w:ascii="Times New Roman" w:hAnsi="Times New Roman" w:cs="Times New Roman"/>
        </w:rPr>
        <w:t>eceptor</w:t>
      </w:r>
      <w:r w:rsidR="00D212CD" w:rsidRPr="00171757">
        <w:rPr>
          <w:rFonts w:ascii="Times New Roman" w:hAnsi="Times New Roman" w:cs="Times New Roman"/>
        </w:rPr>
        <w:t>s</w:t>
      </w:r>
      <w:r w:rsidR="003C32FE" w:rsidRPr="00171757">
        <w:rPr>
          <w:rFonts w:ascii="Times New Roman" w:hAnsi="Times New Roman" w:cs="Times New Roman"/>
        </w:rPr>
        <w:t xml:space="preserve"> in </w:t>
      </w:r>
      <w:r w:rsidR="00ED1B07" w:rsidRPr="00171757">
        <w:rPr>
          <w:rFonts w:ascii="Times New Roman" w:hAnsi="Times New Roman" w:cs="Times New Roman"/>
        </w:rPr>
        <w:t>a</w:t>
      </w:r>
      <w:r w:rsidR="003C32FE" w:rsidRPr="00171757">
        <w:rPr>
          <w:rFonts w:ascii="Times New Roman" w:hAnsi="Times New Roman" w:cs="Times New Roman"/>
        </w:rPr>
        <w:t>geing</w:t>
      </w:r>
    </w:p>
    <w:p w14:paraId="440BA08C" w14:textId="29274204" w:rsidR="009231CD" w:rsidRPr="00171757" w:rsidRDefault="003C32FE" w:rsidP="00620EB3">
      <w:pPr>
        <w:tabs>
          <w:tab w:val="left" w:pos="7230"/>
        </w:tabs>
        <w:spacing w:line="480" w:lineRule="auto"/>
        <w:ind w:firstLine="720"/>
        <w:jc w:val="both"/>
      </w:pPr>
      <w:r w:rsidRPr="00171757">
        <w:t>Many studies have shown that a</w:t>
      </w:r>
      <w:r w:rsidR="0091364D" w:rsidRPr="00171757">
        <w:t xml:space="preserve">dvancing age affects </w:t>
      </w:r>
      <w:r w:rsidRPr="00171757">
        <w:t xml:space="preserve">the </w:t>
      </w:r>
      <w:r w:rsidR="004770B7" w:rsidRPr="00171757">
        <w:t xml:space="preserve">surface expression </w:t>
      </w:r>
      <w:r w:rsidR="00CF3B25" w:rsidRPr="00171757">
        <w:t xml:space="preserve">of </w:t>
      </w:r>
      <w:r w:rsidR="008A070F" w:rsidRPr="00171757">
        <w:t>chemokine receptor</w:t>
      </w:r>
      <w:r w:rsidR="00764660">
        <w:t>s</w:t>
      </w:r>
      <w:r w:rsidR="008A070F" w:rsidRPr="00171757">
        <w:t xml:space="preserve"> </w:t>
      </w:r>
      <w:r w:rsidR="0091364D" w:rsidRPr="00171757">
        <w:t>o</w:t>
      </w:r>
      <w:r w:rsidR="004770B7" w:rsidRPr="00171757">
        <w:t>n</w:t>
      </w:r>
      <w:r w:rsidR="0091364D" w:rsidRPr="00171757">
        <w:t xml:space="preserve"> </w:t>
      </w:r>
      <w:r w:rsidR="00CF3B25" w:rsidRPr="00171757">
        <w:t>T-cells</w:t>
      </w:r>
      <w:r w:rsidR="0091364D" w:rsidRPr="00171757">
        <w:t xml:space="preserve">. </w:t>
      </w:r>
      <w:r w:rsidR="00CF3B25" w:rsidRPr="00171757">
        <w:t xml:space="preserve">However, it is important to note that the pattern of chemokine receptors expressed on a given T-cell is unique to a particular T-cell subset, and so any age-related changes observed in overall chemokine receptor expression within pools of T-cells may just reflect age-related changes in the proportion of T-cell subsets. </w:t>
      </w:r>
      <w:r w:rsidR="0091364D" w:rsidRPr="00171757">
        <w:t>CD4</w:t>
      </w:r>
      <w:r w:rsidR="0091364D" w:rsidRPr="00171757">
        <w:rPr>
          <w:vertAlign w:val="superscript"/>
        </w:rPr>
        <w:t>+</w:t>
      </w:r>
      <w:r w:rsidR="0091364D" w:rsidRPr="00171757">
        <w:t xml:space="preserve"> T-cells from aged mice</w:t>
      </w:r>
      <w:r w:rsidR="008D04EF" w:rsidRPr="00171757">
        <w:t xml:space="preserve"> </w:t>
      </w:r>
      <w:r w:rsidR="00B0088C" w:rsidRPr="00171757">
        <w:t>(&gt;20 month</w:t>
      </w:r>
      <w:r w:rsidR="00A11572" w:rsidRPr="00171757">
        <w:t>s</w:t>
      </w:r>
      <w:r w:rsidR="00B0088C" w:rsidRPr="00171757">
        <w:t xml:space="preserve">) </w:t>
      </w:r>
      <w:r w:rsidR="00CF3B25" w:rsidRPr="00171757">
        <w:t>exhibit</w:t>
      </w:r>
      <w:r w:rsidR="0091364D" w:rsidRPr="00171757">
        <w:t xml:space="preserve"> higher </w:t>
      </w:r>
      <w:r w:rsidR="00634DB6" w:rsidRPr="00171757">
        <w:t>levels of gene and protein expression</w:t>
      </w:r>
      <w:r w:rsidR="0091364D" w:rsidRPr="00171757">
        <w:t xml:space="preserve"> of CCR1, 2, 4, 5, 6, 8 and CXCR2</w:t>
      </w:r>
      <w:r w:rsidR="004B177C" w:rsidRPr="00171757">
        <w:t>-</w:t>
      </w:r>
      <w:r w:rsidR="0091364D" w:rsidRPr="00171757">
        <w:t>5, and lower levels of CCR7 and 9 compared to their younger counterparts</w:t>
      </w:r>
      <w:r w:rsidR="008D04EF" w:rsidRPr="00171757">
        <w:t xml:space="preserve"> </w:t>
      </w:r>
      <w:r w:rsidR="00B0088C" w:rsidRPr="00171757">
        <w:t>(&lt;4 month</w:t>
      </w:r>
      <w:r w:rsidR="00A11572" w:rsidRPr="00171757">
        <w:t>s</w:t>
      </w:r>
      <w:r w:rsidR="00B0088C" w:rsidRPr="00171757">
        <w:t>)</w:t>
      </w:r>
      <w:r w:rsidR="00634DB6" w:rsidRPr="00171757">
        <w:t>, as determined by Western blot analysis</w:t>
      </w:r>
      <w:r w:rsidR="00E46D32" w:rsidRPr="00171757">
        <w:t xml:space="preserve"> [9</w:t>
      </w:r>
      <w:r w:rsidR="00E31ED9">
        <w:t>2</w:t>
      </w:r>
      <w:r w:rsidR="00E46D32" w:rsidRPr="00171757">
        <w:t>]</w:t>
      </w:r>
      <w:r w:rsidR="0091364D" w:rsidRPr="00171757">
        <w:t xml:space="preserve">. </w:t>
      </w:r>
      <w:r w:rsidR="00634DB6" w:rsidRPr="00171757">
        <w:t xml:space="preserve">However, it is not clear </w:t>
      </w:r>
      <w:r w:rsidR="00CF3B25" w:rsidRPr="00171757">
        <w:t>whether these differences arise</w:t>
      </w:r>
      <w:r w:rsidR="00634DB6" w:rsidRPr="00171757">
        <w:t xml:space="preserve"> from age-related changes in the number of </w:t>
      </w:r>
      <w:r w:rsidR="00CF3B25" w:rsidRPr="00171757">
        <w:t>CD4</w:t>
      </w:r>
      <w:r w:rsidR="00CF3B25" w:rsidRPr="00171757">
        <w:rPr>
          <w:vertAlign w:val="superscript"/>
        </w:rPr>
        <w:t>+</w:t>
      </w:r>
      <w:r w:rsidR="00CF3B25" w:rsidRPr="00171757">
        <w:t xml:space="preserve"> T-cells </w:t>
      </w:r>
      <w:r w:rsidR="00634DB6" w:rsidRPr="00171757">
        <w:t xml:space="preserve">expressing a particular chemokine receptor, or </w:t>
      </w:r>
      <w:r w:rsidR="00CF3B25" w:rsidRPr="00171757">
        <w:t>whether age affects</w:t>
      </w:r>
      <w:r w:rsidR="00634DB6" w:rsidRPr="00171757">
        <w:t xml:space="preserve"> chemokine receptor expression </w:t>
      </w:r>
      <w:r w:rsidR="00CF3B25" w:rsidRPr="00171757">
        <w:t>on a cell by cell basis in similarly sized populations of</w:t>
      </w:r>
      <w:r w:rsidR="00634DB6" w:rsidRPr="00171757">
        <w:t xml:space="preserve"> CD4</w:t>
      </w:r>
      <w:r w:rsidR="00634DB6" w:rsidRPr="00171757">
        <w:rPr>
          <w:vertAlign w:val="superscript"/>
        </w:rPr>
        <w:t>+</w:t>
      </w:r>
      <w:r w:rsidR="00634DB6" w:rsidRPr="00171757">
        <w:t xml:space="preserve"> T-cell</w:t>
      </w:r>
      <w:r w:rsidR="00CF3B25" w:rsidRPr="00171757">
        <w:t>s</w:t>
      </w:r>
      <w:r w:rsidR="00634DB6" w:rsidRPr="00171757">
        <w:t xml:space="preserve">. </w:t>
      </w:r>
      <w:r w:rsidR="00CF3B25" w:rsidRPr="00171757">
        <w:t xml:space="preserve">Importantly, </w:t>
      </w:r>
      <w:r w:rsidR="00F31669" w:rsidRPr="00171757">
        <w:t xml:space="preserve">differential chemokine receptor expression is </w:t>
      </w:r>
      <w:r w:rsidR="0091364D" w:rsidRPr="00171757">
        <w:t>functionally relevant, as CD4</w:t>
      </w:r>
      <w:r w:rsidR="0091364D" w:rsidRPr="00171757">
        <w:rPr>
          <w:vertAlign w:val="superscript"/>
        </w:rPr>
        <w:t>+</w:t>
      </w:r>
      <w:r w:rsidR="0091364D" w:rsidRPr="00171757">
        <w:t xml:space="preserve"> T-cells isolated from aged mice demonstrated </w:t>
      </w:r>
      <w:r w:rsidR="004B177C" w:rsidRPr="00171757">
        <w:t xml:space="preserve">increased </w:t>
      </w:r>
      <w:r w:rsidR="0091364D" w:rsidRPr="00171757">
        <w:t xml:space="preserve">chemotactic responses to </w:t>
      </w:r>
      <w:r w:rsidR="004B177C" w:rsidRPr="00171757">
        <w:t>CXCL12</w:t>
      </w:r>
      <w:r w:rsidR="0091364D" w:rsidRPr="00171757">
        <w:t xml:space="preserve"> and </w:t>
      </w:r>
      <w:r w:rsidR="004B177C" w:rsidRPr="00171757">
        <w:t xml:space="preserve">CCL3 </w:t>
      </w:r>
      <w:r w:rsidR="00DD7242" w:rsidRPr="00171757">
        <w:rPr>
          <w:i/>
        </w:rPr>
        <w:t>in vitro</w:t>
      </w:r>
      <w:r w:rsidR="00DD7242" w:rsidRPr="00171757">
        <w:t xml:space="preserve"> </w:t>
      </w:r>
      <w:r w:rsidR="0091364D" w:rsidRPr="00171757">
        <w:t>compared to those isolated from young</w:t>
      </w:r>
      <w:r w:rsidR="004B177C" w:rsidRPr="00171757">
        <w:t>er</w:t>
      </w:r>
      <w:r w:rsidR="0091364D" w:rsidRPr="00171757">
        <w:t xml:space="preserve"> mice</w:t>
      </w:r>
      <w:r w:rsidR="00E46D32" w:rsidRPr="00171757">
        <w:t xml:space="preserve"> [9</w:t>
      </w:r>
      <w:r w:rsidR="002A7623">
        <w:t>2</w:t>
      </w:r>
      <w:r w:rsidR="00E46D32" w:rsidRPr="00171757">
        <w:t>]</w:t>
      </w:r>
      <w:r w:rsidR="00D72D8D" w:rsidRPr="00171757">
        <w:t>.</w:t>
      </w:r>
      <w:r w:rsidR="009231CD" w:rsidRPr="00171757">
        <w:t xml:space="preserve"> </w:t>
      </w:r>
      <w:r w:rsidR="00D72D8D" w:rsidRPr="00171757">
        <w:t xml:space="preserve">In humans, </w:t>
      </w:r>
      <w:r w:rsidR="00DD7242" w:rsidRPr="00171757">
        <w:t>circulating</w:t>
      </w:r>
      <w:r w:rsidR="00D72D8D" w:rsidRPr="00171757">
        <w:t xml:space="preserve"> CD4</w:t>
      </w:r>
      <w:r w:rsidR="00D72D8D" w:rsidRPr="00171757">
        <w:rPr>
          <w:vertAlign w:val="superscript"/>
        </w:rPr>
        <w:t>+</w:t>
      </w:r>
      <w:r w:rsidR="00D72D8D" w:rsidRPr="00171757">
        <w:t xml:space="preserve"> T</w:t>
      </w:r>
      <w:r w:rsidR="00AA4700" w:rsidRPr="00171757">
        <w:t>-</w:t>
      </w:r>
      <w:r w:rsidR="00D72D8D" w:rsidRPr="00171757">
        <w:t xml:space="preserve">cells isolated from </w:t>
      </w:r>
      <w:r w:rsidR="0066792E" w:rsidRPr="00171757">
        <w:t xml:space="preserve">older </w:t>
      </w:r>
      <w:r w:rsidR="00D72D8D" w:rsidRPr="00171757">
        <w:t>donors</w:t>
      </w:r>
      <w:r w:rsidR="008D04EF" w:rsidRPr="00171757">
        <w:t xml:space="preserve"> </w:t>
      </w:r>
      <w:r w:rsidR="00B0088C" w:rsidRPr="00171757">
        <w:t xml:space="preserve">(&gt;65 years old) </w:t>
      </w:r>
      <w:r w:rsidR="00D72D8D" w:rsidRPr="00171757">
        <w:t>exhibit</w:t>
      </w:r>
      <w:r w:rsidR="009B3522" w:rsidRPr="00171757">
        <w:t>ed</w:t>
      </w:r>
      <w:r w:rsidR="00D72D8D" w:rsidRPr="00171757">
        <w:t xml:space="preserve"> enhanced chemotactic responses to </w:t>
      </w:r>
      <w:r w:rsidR="00D72D8D" w:rsidRPr="00171757">
        <w:lastRenderedPageBreak/>
        <w:t>CXCL12 compared to T</w:t>
      </w:r>
      <w:r w:rsidR="009B3522" w:rsidRPr="00171757">
        <w:t>-</w:t>
      </w:r>
      <w:r w:rsidR="00D72D8D" w:rsidRPr="00171757">
        <w:t>cells derived from younger donors</w:t>
      </w:r>
      <w:r w:rsidR="00B0088C" w:rsidRPr="00171757">
        <w:t xml:space="preserve"> (&lt;30 years old)</w:t>
      </w:r>
      <w:r w:rsidR="00613311" w:rsidRPr="00171757">
        <w:t>, facilitated by increased surface expression of CXCR4</w:t>
      </w:r>
      <w:r w:rsidR="00E46D32" w:rsidRPr="00171757">
        <w:t xml:space="preserve"> [9</w:t>
      </w:r>
      <w:r w:rsidR="002A7623">
        <w:t>3</w:t>
      </w:r>
      <w:r w:rsidR="00E46D32" w:rsidRPr="00171757">
        <w:t>, 9</w:t>
      </w:r>
      <w:r w:rsidR="002A7623">
        <w:t>4</w:t>
      </w:r>
      <w:r w:rsidR="00E46D32" w:rsidRPr="00171757">
        <w:t>]</w:t>
      </w:r>
      <w:r w:rsidR="00083CB8" w:rsidRPr="00171757">
        <w:t xml:space="preserve">. </w:t>
      </w:r>
      <w:r w:rsidR="00AA4700" w:rsidRPr="00171757">
        <w:t xml:space="preserve">Increased CXCR4 expression was attributed to </w:t>
      </w:r>
      <w:r w:rsidR="00613311" w:rsidRPr="00171757">
        <w:t xml:space="preserve">differential ubiquitination patterns, and thus </w:t>
      </w:r>
      <w:r w:rsidR="00280BFF" w:rsidRPr="00171757">
        <w:t xml:space="preserve">reduced </w:t>
      </w:r>
      <w:r w:rsidR="00613311" w:rsidRPr="00171757">
        <w:t xml:space="preserve">degradation of the chemokine receptor </w:t>
      </w:r>
      <w:r w:rsidR="00AA4700" w:rsidRPr="00171757">
        <w:t xml:space="preserve">in </w:t>
      </w:r>
      <w:r w:rsidR="004770B7" w:rsidRPr="00171757">
        <w:t xml:space="preserve">aged </w:t>
      </w:r>
      <w:r w:rsidR="00AA4700" w:rsidRPr="00171757">
        <w:t>CD4</w:t>
      </w:r>
      <w:r w:rsidR="00AA4700" w:rsidRPr="00171757">
        <w:rPr>
          <w:vertAlign w:val="superscript"/>
        </w:rPr>
        <w:t>+</w:t>
      </w:r>
      <w:r w:rsidR="00AA4700" w:rsidRPr="00171757">
        <w:t xml:space="preserve"> T-cells</w:t>
      </w:r>
      <w:r w:rsidR="004770B7" w:rsidRPr="00171757">
        <w:t>.</w:t>
      </w:r>
    </w:p>
    <w:p w14:paraId="67D6E94E" w14:textId="2BEBFB4B" w:rsidR="0091364D" w:rsidRPr="00171757" w:rsidRDefault="005E1213" w:rsidP="00620EB3">
      <w:pPr>
        <w:tabs>
          <w:tab w:val="left" w:pos="7230"/>
        </w:tabs>
        <w:spacing w:line="480" w:lineRule="auto"/>
        <w:ind w:firstLine="720"/>
        <w:jc w:val="both"/>
      </w:pPr>
      <w:r w:rsidRPr="00171757">
        <w:t>Changes in t</w:t>
      </w:r>
      <w:r w:rsidR="009231CD" w:rsidRPr="00171757">
        <w:t>he expression o</w:t>
      </w:r>
      <w:r w:rsidR="0093695B" w:rsidRPr="00171757">
        <w:t>f chemokine receptors on both innate and adaptive immune cells have been reported with ageing</w:t>
      </w:r>
      <w:r w:rsidR="00E46D32" w:rsidRPr="00171757">
        <w:t xml:space="preserve"> [24, 27, 28, 34]</w:t>
      </w:r>
      <w:r w:rsidR="0093695B" w:rsidRPr="00171757">
        <w:t>.</w:t>
      </w:r>
      <w:r w:rsidR="0010494C" w:rsidRPr="00171757">
        <w:t xml:space="preserve"> </w:t>
      </w:r>
      <w:r w:rsidR="0071731F" w:rsidRPr="00171757">
        <w:t xml:space="preserve">However, whether </w:t>
      </w:r>
      <w:r w:rsidR="008407E4" w:rsidRPr="00171757">
        <w:t>age</w:t>
      </w:r>
      <w:r w:rsidR="00012EFF" w:rsidRPr="00171757">
        <w:t>-</w:t>
      </w:r>
      <w:r w:rsidR="008407E4" w:rsidRPr="00171757">
        <w:t>related changes</w:t>
      </w:r>
      <w:r w:rsidR="00012EFF" w:rsidRPr="00171757">
        <w:t xml:space="preserve"> to chemokine receptor expression</w:t>
      </w:r>
      <w:r w:rsidR="008407E4" w:rsidRPr="00171757">
        <w:t xml:space="preserve"> on specific leukocyte subsets is</w:t>
      </w:r>
      <w:r w:rsidR="00012EFF" w:rsidRPr="00171757">
        <w:t xml:space="preserve"> context-dependent is</w:t>
      </w:r>
      <w:r w:rsidR="008407E4" w:rsidRPr="00171757">
        <w:t xml:space="preserve"> unclear, as </w:t>
      </w:r>
      <w:r w:rsidR="009E1974" w:rsidRPr="00171757">
        <w:t xml:space="preserve">the expression of </w:t>
      </w:r>
      <w:r w:rsidR="008407E4" w:rsidRPr="00171757">
        <w:t>CCR7 on DC has been reported to</w:t>
      </w:r>
      <w:r w:rsidR="00012EFF" w:rsidRPr="00171757">
        <w:t xml:space="preserve"> decrease with age in mice infected with respiratory viruses</w:t>
      </w:r>
      <w:r w:rsidR="00E46D32" w:rsidRPr="00171757">
        <w:t xml:space="preserve"> [24]</w:t>
      </w:r>
      <w:r w:rsidR="009E1974" w:rsidRPr="00171757">
        <w:t xml:space="preserve">, but </w:t>
      </w:r>
      <w:r w:rsidR="00F31669" w:rsidRPr="00171757">
        <w:t xml:space="preserve">is </w:t>
      </w:r>
      <w:r w:rsidR="009E1974" w:rsidRPr="00171757">
        <w:t>reportedly unchanged in older mice under homeostatic conditions</w:t>
      </w:r>
      <w:r w:rsidR="00E46D32" w:rsidRPr="00171757">
        <w:t xml:space="preserve"> [27]</w:t>
      </w:r>
      <w:r w:rsidR="009E1974" w:rsidRPr="00171757">
        <w:t xml:space="preserve">. </w:t>
      </w:r>
      <w:r w:rsidR="00235C03" w:rsidRPr="00171757">
        <w:t>Despite many insights showing the functional relevance of age-related changes in surface chemokine receptor expression on leukocyte migration, a</w:t>
      </w:r>
      <w:r w:rsidR="0091364D" w:rsidRPr="00171757">
        <w:t xml:space="preserve">dditional research is required to establish the molecular events </w:t>
      </w:r>
      <w:r w:rsidR="00136AC9" w:rsidRPr="00171757">
        <w:t>that</w:t>
      </w:r>
      <w:r w:rsidR="0091364D" w:rsidRPr="00171757">
        <w:t xml:space="preserve"> contribute to the age-related modulation of surface receptors</w:t>
      </w:r>
      <w:r w:rsidR="00235C03" w:rsidRPr="00171757">
        <w:t xml:space="preserve"> and how this affects leukocyte migration under homeostatic and inflammatory conditions </w:t>
      </w:r>
      <w:r w:rsidR="00235C03" w:rsidRPr="00171757">
        <w:rPr>
          <w:i/>
        </w:rPr>
        <w:t>in vivo</w:t>
      </w:r>
      <w:r w:rsidR="0091364D" w:rsidRPr="00171757">
        <w:t>.</w:t>
      </w:r>
      <w:r w:rsidR="008A070F" w:rsidRPr="00171757">
        <w:t xml:space="preserve"> </w:t>
      </w:r>
    </w:p>
    <w:p w14:paraId="5F0AC884" w14:textId="72C43521" w:rsidR="00360D48" w:rsidRPr="00171757" w:rsidRDefault="00741A25" w:rsidP="00360D48">
      <w:pPr>
        <w:tabs>
          <w:tab w:val="left" w:pos="7230"/>
        </w:tabs>
        <w:spacing w:line="480" w:lineRule="auto"/>
        <w:jc w:val="both"/>
      </w:pPr>
      <w:r w:rsidRPr="00171757">
        <w:rPr>
          <w:noProof/>
          <w:lang w:eastAsia="en-GB"/>
        </w:rPr>
        <w:lastRenderedPageBreak/>
        <w:drawing>
          <wp:inline distT="0" distB="0" distL="0" distR="0" wp14:anchorId="141718BA" wp14:editId="3DBC1025">
            <wp:extent cx="5262880" cy="3949700"/>
            <wp:effectExtent l="0" t="0" r="0" b="12700"/>
            <wp:docPr id="7" name="Picture 4" descr="Macintosh HD:Users:apple:Desktop:Documents:Ageing and Leukocyte Trafficking Review:Figures:Slide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pple:Desktop:Documents:Ageing and Leukocyte Trafficking Review:Figures:Slide2.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2880" cy="3949700"/>
                    </a:xfrm>
                    <a:prstGeom prst="rect">
                      <a:avLst/>
                    </a:prstGeom>
                    <a:noFill/>
                    <a:ln>
                      <a:noFill/>
                    </a:ln>
                  </pic:spPr>
                </pic:pic>
              </a:graphicData>
            </a:graphic>
          </wp:inline>
        </w:drawing>
      </w:r>
    </w:p>
    <w:p w14:paraId="6332EED0" w14:textId="37A3EAAA" w:rsidR="00360D48" w:rsidRPr="00171757" w:rsidRDefault="00360D48" w:rsidP="00360D48">
      <w:pPr>
        <w:spacing w:line="480" w:lineRule="auto"/>
        <w:jc w:val="both"/>
        <w:rPr>
          <w:sz w:val="20"/>
          <w:szCs w:val="20"/>
        </w:rPr>
      </w:pPr>
      <w:r w:rsidRPr="00171757">
        <w:rPr>
          <w:b/>
          <w:bCs/>
          <w:sz w:val="20"/>
          <w:szCs w:val="20"/>
        </w:rPr>
        <w:t xml:space="preserve">Figure 1: Age-related changes modulating leukocyte trafficking. </w:t>
      </w:r>
      <w:r w:rsidRPr="00171757">
        <w:rPr>
          <w:sz w:val="20"/>
          <w:szCs w:val="20"/>
        </w:rPr>
        <w:t>The trafficking of leukocytes, such as monocytes, neutrophils and lymphocytes, into and out of tissues is modulated with ageing under homeostatic and inflammatory conditions. Direct consequences of ageing, depicted by bold black arrows (</w:t>
      </w:r>
      <w:r w:rsidRPr="00171757">
        <w:rPr>
          <w:color w:val="000000" w:themeColor="text1"/>
          <w:sz w:val="20"/>
          <w:szCs w:val="20"/>
        </w:rPr>
        <w:sym w:font="Wingdings" w:char="00E9"/>
      </w:r>
      <w:r w:rsidRPr="00171757">
        <w:rPr>
          <w:color w:val="000000" w:themeColor="text1"/>
          <w:sz w:val="20"/>
          <w:szCs w:val="20"/>
        </w:rPr>
        <w:t>/</w:t>
      </w:r>
      <w:r w:rsidRPr="00171757">
        <w:rPr>
          <w:color w:val="000000" w:themeColor="text1"/>
          <w:sz w:val="20"/>
          <w:szCs w:val="20"/>
        </w:rPr>
        <w:sym w:font="Wingdings" w:char="00EA"/>
      </w:r>
      <w:r w:rsidRPr="00171757">
        <w:rPr>
          <w:color w:val="000000" w:themeColor="text1"/>
          <w:sz w:val="20"/>
          <w:szCs w:val="20"/>
        </w:rPr>
        <w:t>)</w:t>
      </w:r>
      <w:r w:rsidRPr="00171757">
        <w:rPr>
          <w:sz w:val="20"/>
          <w:szCs w:val="20"/>
        </w:rPr>
        <w:t>, on leukocyte trafficking include: changes</w:t>
      </w:r>
      <w:r w:rsidRPr="00171757">
        <w:rPr>
          <w:color w:val="000000" w:themeColor="text1"/>
          <w:sz w:val="20"/>
          <w:szCs w:val="20"/>
        </w:rPr>
        <w:t xml:space="preserve"> </w:t>
      </w:r>
      <w:r w:rsidRPr="00171757">
        <w:rPr>
          <w:sz w:val="20"/>
          <w:szCs w:val="20"/>
        </w:rPr>
        <w:t xml:space="preserve">to </w:t>
      </w:r>
      <w:r w:rsidR="00171757">
        <w:rPr>
          <w:sz w:val="20"/>
          <w:szCs w:val="20"/>
        </w:rPr>
        <w:t xml:space="preserve">the </w:t>
      </w:r>
      <w:r w:rsidRPr="00171757">
        <w:rPr>
          <w:sz w:val="20"/>
          <w:szCs w:val="20"/>
        </w:rPr>
        <w:t xml:space="preserve">expression of adhesion molecules on the endothelium, changes to </w:t>
      </w:r>
      <w:r w:rsidR="00171757">
        <w:rPr>
          <w:sz w:val="20"/>
          <w:szCs w:val="20"/>
        </w:rPr>
        <w:t xml:space="preserve">the </w:t>
      </w:r>
      <w:r w:rsidRPr="00171757">
        <w:rPr>
          <w:sz w:val="20"/>
          <w:szCs w:val="20"/>
        </w:rPr>
        <w:t>expression of adhesion molecules and chemokine receptors on circulating leukocytes, reduced expression of junctional molecules between endothelial cells, and increased production of lipid mediators and chemokines within tissue. Together, these changes facilitate and drive leukocyte trafficking from the circulation into peripheral tissues. The indirect consequences of ageing which influence leukocyte trafficking are mediated through an accumulation of senescent cells within tissue and their downstream effects are depicted by bold blue arrows (</w:t>
      </w:r>
      <w:r w:rsidRPr="00171757">
        <w:rPr>
          <w:color w:val="0000FF"/>
          <w:sz w:val="20"/>
          <w:szCs w:val="20"/>
        </w:rPr>
        <w:sym w:font="Wingdings" w:char="00E9"/>
      </w:r>
      <w:r w:rsidRPr="00171757">
        <w:rPr>
          <w:sz w:val="20"/>
          <w:szCs w:val="20"/>
        </w:rPr>
        <w:t>/</w:t>
      </w:r>
      <w:r w:rsidRPr="00171757">
        <w:rPr>
          <w:color w:val="0000FF"/>
          <w:sz w:val="20"/>
          <w:szCs w:val="20"/>
        </w:rPr>
        <w:sym w:font="Wingdings" w:char="00EA"/>
      </w:r>
      <w:r w:rsidRPr="00171757">
        <w:rPr>
          <w:sz w:val="20"/>
          <w:szCs w:val="20"/>
        </w:rPr>
        <w:t xml:space="preserve">). The age-related dysregulation of leukocyte trafficking is therefore multifactorial and a direct, as well as indirect, consequence of ageing. </w:t>
      </w:r>
    </w:p>
    <w:p w14:paraId="3A768338" w14:textId="2AF5AE13" w:rsidR="00482017" w:rsidRPr="00171757" w:rsidRDefault="00764660" w:rsidP="00620EB3">
      <w:pPr>
        <w:pStyle w:val="Heading2"/>
        <w:spacing w:line="480" w:lineRule="auto"/>
        <w:rPr>
          <w:rFonts w:ascii="Times New Roman" w:hAnsi="Times New Roman" w:cs="Times New Roman"/>
        </w:rPr>
      </w:pPr>
      <w:r>
        <w:rPr>
          <w:rFonts w:ascii="Times New Roman" w:hAnsi="Times New Roman" w:cs="Times New Roman"/>
        </w:rPr>
        <w:lastRenderedPageBreak/>
        <w:t xml:space="preserve">1.6 </w:t>
      </w:r>
      <w:r w:rsidR="00482017" w:rsidRPr="00171757">
        <w:rPr>
          <w:rFonts w:ascii="Times New Roman" w:hAnsi="Times New Roman" w:cs="Times New Roman"/>
        </w:rPr>
        <w:t xml:space="preserve">Immunosenescence, </w:t>
      </w:r>
      <w:r>
        <w:rPr>
          <w:rFonts w:ascii="Times New Roman" w:hAnsi="Times New Roman" w:cs="Times New Roman"/>
        </w:rPr>
        <w:t>i</w:t>
      </w:r>
      <w:r w:rsidR="00482017" w:rsidRPr="00171757">
        <w:rPr>
          <w:rFonts w:ascii="Times New Roman" w:hAnsi="Times New Roman" w:cs="Times New Roman"/>
        </w:rPr>
        <w:t xml:space="preserve">nflammageing and </w:t>
      </w:r>
      <w:r>
        <w:rPr>
          <w:rFonts w:ascii="Times New Roman" w:hAnsi="Times New Roman" w:cs="Times New Roman"/>
        </w:rPr>
        <w:t>l</w:t>
      </w:r>
      <w:r w:rsidR="00482017" w:rsidRPr="00171757">
        <w:rPr>
          <w:rFonts w:ascii="Times New Roman" w:hAnsi="Times New Roman" w:cs="Times New Roman"/>
        </w:rPr>
        <w:t xml:space="preserve">eukocyte </w:t>
      </w:r>
      <w:r>
        <w:rPr>
          <w:rFonts w:ascii="Times New Roman" w:hAnsi="Times New Roman" w:cs="Times New Roman"/>
        </w:rPr>
        <w:t>t</w:t>
      </w:r>
      <w:r w:rsidR="00482017" w:rsidRPr="00171757">
        <w:rPr>
          <w:rFonts w:ascii="Times New Roman" w:hAnsi="Times New Roman" w:cs="Times New Roman"/>
        </w:rPr>
        <w:t>rafficking</w:t>
      </w:r>
    </w:p>
    <w:p w14:paraId="527D188D" w14:textId="326BAD65" w:rsidR="00221BEC" w:rsidRPr="00171757" w:rsidRDefault="00B54633" w:rsidP="000E4E7C">
      <w:pPr>
        <w:spacing w:line="480" w:lineRule="auto"/>
        <w:ind w:firstLine="720"/>
        <w:jc w:val="both"/>
      </w:pPr>
      <w:r w:rsidRPr="00171757">
        <w:t>Cellular senescence is one of the major hallmarks of the ageing process</w:t>
      </w:r>
      <w:r w:rsidR="00E46D32" w:rsidRPr="00171757">
        <w:t xml:space="preserve"> [5]</w:t>
      </w:r>
      <w:r w:rsidRPr="00171757">
        <w:t>.</w:t>
      </w:r>
      <w:r w:rsidR="00614E3C" w:rsidRPr="00171757">
        <w:t xml:space="preserve"> Senescent cells are</w:t>
      </w:r>
      <w:r w:rsidRPr="00171757">
        <w:t xml:space="preserve"> </w:t>
      </w:r>
      <w:r w:rsidR="00804E3B" w:rsidRPr="00171757">
        <w:t xml:space="preserve">quiescent but metabolically highly active, secreting an influential mix of pro-inflammatory cytokines, </w:t>
      </w:r>
      <w:r w:rsidR="000D7D54" w:rsidRPr="00171757">
        <w:t>matrix metallopeptidases</w:t>
      </w:r>
      <w:r w:rsidR="00F31669" w:rsidRPr="00171757">
        <w:t xml:space="preserve"> and growth factors termed the senescence a</w:t>
      </w:r>
      <w:r w:rsidR="00804E3B" w:rsidRPr="00171757">
        <w:t>ssocia</w:t>
      </w:r>
      <w:r w:rsidR="00F31669" w:rsidRPr="00171757">
        <w:t>ted s</w:t>
      </w:r>
      <w:r w:rsidR="00804E3B" w:rsidRPr="00171757">
        <w:t xml:space="preserve">ecretory </w:t>
      </w:r>
      <w:r w:rsidR="00F31669" w:rsidRPr="00171757">
        <w:t>p</w:t>
      </w:r>
      <w:r w:rsidR="00804E3B" w:rsidRPr="00171757">
        <w:t xml:space="preserve">henotype </w:t>
      </w:r>
      <w:r w:rsidR="00967C97" w:rsidRPr="00171757">
        <w:t>(SASP</w:t>
      </w:r>
      <w:r w:rsidR="00F31669" w:rsidRPr="00171757">
        <w:t>), which</w:t>
      </w:r>
      <w:r w:rsidR="007C4865" w:rsidRPr="00171757">
        <w:t xml:space="preserve"> </w:t>
      </w:r>
      <w:r w:rsidR="00614E3C" w:rsidRPr="00171757">
        <w:t>contribute</w:t>
      </w:r>
      <w:r w:rsidR="007C4865" w:rsidRPr="00171757">
        <w:t>s</w:t>
      </w:r>
      <w:r w:rsidR="00614E3C" w:rsidRPr="00171757">
        <w:t xml:space="preserve"> to the d</w:t>
      </w:r>
      <w:r w:rsidR="009C0AB8" w:rsidRPr="00171757">
        <w:t>evelopment of inflammageing</w:t>
      </w:r>
      <w:r w:rsidR="00E46D32" w:rsidRPr="00171757">
        <w:t xml:space="preserve"> [5, 9</w:t>
      </w:r>
      <w:r w:rsidR="002A7623">
        <w:t>5</w:t>
      </w:r>
      <w:r w:rsidR="00E46D32" w:rsidRPr="00171757">
        <w:t>, 9</w:t>
      </w:r>
      <w:r w:rsidR="002A7623">
        <w:t>6</w:t>
      </w:r>
      <w:r w:rsidR="00E46D32" w:rsidRPr="00171757">
        <w:t>]</w:t>
      </w:r>
      <w:r w:rsidR="00832E4C" w:rsidRPr="00171757">
        <w:t xml:space="preserve">. </w:t>
      </w:r>
      <w:r w:rsidR="009114D0" w:rsidRPr="00171757">
        <w:rPr>
          <w:color w:val="000000" w:themeColor="text1"/>
        </w:rPr>
        <w:t>T</w:t>
      </w:r>
      <w:r w:rsidR="009068DA" w:rsidRPr="00171757">
        <w:rPr>
          <w:color w:val="000000" w:themeColor="text1"/>
        </w:rPr>
        <w:t>NFα</w:t>
      </w:r>
      <w:r w:rsidR="00F6627A" w:rsidRPr="00171757">
        <w:rPr>
          <w:color w:val="000000" w:themeColor="text1"/>
        </w:rPr>
        <w:t xml:space="preserve"> and IL-6</w:t>
      </w:r>
      <w:r w:rsidR="009068DA" w:rsidRPr="00171757">
        <w:rPr>
          <w:color w:val="000000" w:themeColor="text1"/>
        </w:rPr>
        <w:t xml:space="preserve">, </w:t>
      </w:r>
      <w:r w:rsidR="00F6627A" w:rsidRPr="00171757">
        <w:rPr>
          <w:color w:val="000000" w:themeColor="text1"/>
        </w:rPr>
        <w:t xml:space="preserve">two of the </w:t>
      </w:r>
      <w:r w:rsidR="00934314" w:rsidRPr="00171757">
        <w:rPr>
          <w:color w:val="000000" w:themeColor="text1"/>
        </w:rPr>
        <w:t xml:space="preserve">most extensively studied </w:t>
      </w:r>
      <w:r w:rsidR="00F6627A" w:rsidRPr="00171757">
        <w:rPr>
          <w:color w:val="000000" w:themeColor="text1"/>
        </w:rPr>
        <w:t xml:space="preserve">cytokines </w:t>
      </w:r>
      <w:r w:rsidR="00660294" w:rsidRPr="00171757">
        <w:rPr>
          <w:color w:val="000000" w:themeColor="text1"/>
        </w:rPr>
        <w:t>released as part of the</w:t>
      </w:r>
      <w:r w:rsidR="009068DA" w:rsidRPr="00171757">
        <w:rPr>
          <w:color w:val="000000" w:themeColor="text1"/>
        </w:rPr>
        <w:t xml:space="preserve"> SASP, </w:t>
      </w:r>
      <w:r w:rsidR="00F6627A" w:rsidRPr="00171757">
        <w:rPr>
          <w:color w:val="000000" w:themeColor="text1"/>
        </w:rPr>
        <w:t>are</w:t>
      </w:r>
      <w:r w:rsidR="00455750" w:rsidRPr="00171757">
        <w:rPr>
          <w:color w:val="000000" w:themeColor="text1"/>
        </w:rPr>
        <w:t xml:space="preserve">, as previously mentioned, </w:t>
      </w:r>
      <w:r w:rsidR="004A085B" w:rsidRPr="00171757">
        <w:rPr>
          <w:color w:val="000000" w:themeColor="text1"/>
        </w:rPr>
        <w:t xml:space="preserve">increased in the serum of </w:t>
      </w:r>
      <w:r w:rsidR="0066792E" w:rsidRPr="00171757">
        <w:rPr>
          <w:color w:val="000000" w:themeColor="text1"/>
        </w:rPr>
        <w:t xml:space="preserve">older </w:t>
      </w:r>
      <w:r w:rsidR="00357C92" w:rsidRPr="00171757">
        <w:rPr>
          <w:color w:val="000000" w:themeColor="text1"/>
        </w:rPr>
        <w:t>adults</w:t>
      </w:r>
      <w:r w:rsidR="00934314" w:rsidRPr="00171757">
        <w:rPr>
          <w:color w:val="000000" w:themeColor="text1"/>
        </w:rPr>
        <w:t xml:space="preserve"> and are able to modulate the expression of adhesion molecules on endothelial cells</w:t>
      </w:r>
      <w:r w:rsidR="00C905C5" w:rsidRPr="00171757">
        <w:rPr>
          <w:color w:val="000000" w:themeColor="text1"/>
        </w:rPr>
        <w:t xml:space="preserve"> </w:t>
      </w:r>
      <w:r w:rsidR="00E46D32" w:rsidRPr="00171757">
        <w:rPr>
          <w:color w:val="000000" w:themeColor="text1"/>
        </w:rPr>
        <w:t>[6</w:t>
      </w:r>
      <w:r w:rsidR="002A7623">
        <w:rPr>
          <w:color w:val="000000" w:themeColor="text1"/>
        </w:rPr>
        <w:t>5</w:t>
      </w:r>
      <w:r w:rsidR="00E46D32" w:rsidRPr="00171757">
        <w:rPr>
          <w:color w:val="000000" w:themeColor="text1"/>
        </w:rPr>
        <w:t>, 6</w:t>
      </w:r>
      <w:r w:rsidR="002A7623">
        <w:rPr>
          <w:color w:val="000000" w:themeColor="text1"/>
        </w:rPr>
        <w:t>6</w:t>
      </w:r>
      <w:r w:rsidR="00E46D32" w:rsidRPr="00171757">
        <w:rPr>
          <w:color w:val="000000" w:themeColor="text1"/>
        </w:rPr>
        <w:t xml:space="preserve">, </w:t>
      </w:r>
      <w:r w:rsidR="002A7623">
        <w:rPr>
          <w:color w:val="000000" w:themeColor="text1"/>
        </w:rPr>
        <w:t>69</w:t>
      </w:r>
      <w:r w:rsidR="00E46D32" w:rsidRPr="00171757">
        <w:rPr>
          <w:color w:val="000000" w:themeColor="text1"/>
        </w:rPr>
        <w:t>-7</w:t>
      </w:r>
      <w:r w:rsidR="002A7623">
        <w:rPr>
          <w:color w:val="000000" w:themeColor="text1"/>
        </w:rPr>
        <w:t>1</w:t>
      </w:r>
      <w:r w:rsidR="00E46D32" w:rsidRPr="00171757">
        <w:rPr>
          <w:color w:val="000000" w:themeColor="text1"/>
        </w:rPr>
        <w:t>, 7</w:t>
      </w:r>
      <w:r w:rsidR="002A7623">
        <w:rPr>
          <w:color w:val="000000" w:themeColor="text1"/>
        </w:rPr>
        <w:t>5</w:t>
      </w:r>
      <w:r w:rsidR="00E46D32" w:rsidRPr="00171757">
        <w:rPr>
          <w:color w:val="000000" w:themeColor="text1"/>
        </w:rPr>
        <w:t>]</w:t>
      </w:r>
      <w:r w:rsidR="00660294" w:rsidRPr="00171757">
        <w:rPr>
          <w:color w:val="000000" w:themeColor="text1"/>
        </w:rPr>
        <w:t>.</w:t>
      </w:r>
      <w:r w:rsidR="00660294" w:rsidRPr="00171757">
        <w:rPr>
          <w:color w:val="0000FF"/>
        </w:rPr>
        <w:t xml:space="preserve"> </w:t>
      </w:r>
      <w:r w:rsidR="00357C92" w:rsidRPr="00171757">
        <w:t xml:space="preserve">Secretion of </w:t>
      </w:r>
      <w:r w:rsidR="00C23E9C" w:rsidRPr="00171757">
        <w:t xml:space="preserve">TNFα by senescent cells can induce senescence in </w:t>
      </w:r>
      <w:r w:rsidR="00DC5F6D" w:rsidRPr="00171757">
        <w:t>neighbo</w:t>
      </w:r>
      <w:r w:rsidR="007C4865" w:rsidRPr="00171757">
        <w:t>u</w:t>
      </w:r>
      <w:r w:rsidR="00DC5F6D" w:rsidRPr="00171757">
        <w:t>ring</w:t>
      </w:r>
      <w:r w:rsidR="00C23E9C" w:rsidRPr="00171757">
        <w:t xml:space="preserve"> cells</w:t>
      </w:r>
      <w:r w:rsidR="00430EDD" w:rsidRPr="00171757">
        <w:t>, therefore propagating a positive feedback loop of cellular senescence induction</w:t>
      </w:r>
      <w:r w:rsidR="00E46D32" w:rsidRPr="00171757">
        <w:t xml:space="preserve"> [9</w:t>
      </w:r>
      <w:r w:rsidR="002A7623">
        <w:t>7</w:t>
      </w:r>
      <w:r w:rsidR="00E46D32" w:rsidRPr="00171757">
        <w:t>]</w:t>
      </w:r>
      <w:r w:rsidR="00430EDD" w:rsidRPr="00171757">
        <w:t>. SASP</w:t>
      </w:r>
      <w:r w:rsidR="00950A9E" w:rsidRPr="00171757">
        <w:t>-derived cytokines</w:t>
      </w:r>
      <w:r w:rsidR="00430EDD" w:rsidRPr="00171757">
        <w:t xml:space="preserve">, such as TNFα and IL-6, </w:t>
      </w:r>
      <w:r w:rsidR="0089681C" w:rsidRPr="00171757">
        <w:t xml:space="preserve">therefore </w:t>
      </w:r>
      <w:r w:rsidR="00430EDD" w:rsidRPr="00171757">
        <w:t>modulate leukocyte trafficking by increasing expression of adhesion molecules on endothelial cells</w:t>
      </w:r>
      <w:r w:rsidR="007847CD" w:rsidRPr="00171757">
        <w:t xml:space="preserve"> and induce senescence in bystander cells</w:t>
      </w:r>
      <w:r w:rsidR="001331E3" w:rsidRPr="00171757">
        <w:t xml:space="preserve"> (</w:t>
      </w:r>
      <w:r w:rsidR="001331E3" w:rsidRPr="00171757">
        <w:rPr>
          <w:b/>
          <w:bCs/>
        </w:rPr>
        <w:t>Figure 2</w:t>
      </w:r>
      <w:r w:rsidR="001331E3" w:rsidRPr="00171757">
        <w:t>)</w:t>
      </w:r>
      <w:r w:rsidR="00430EDD" w:rsidRPr="00171757">
        <w:t xml:space="preserve">. Importantly, </w:t>
      </w:r>
      <w:r w:rsidR="00950A9E" w:rsidRPr="00171757">
        <w:t xml:space="preserve">those cytokines </w:t>
      </w:r>
      <w:r w:rsidR="00430EDD" w:rsidRPr="00171757">
        <w:t>are able to act locally as well as systemically</w:t>
      </w:r>
      <w:r w:rsidR="00E46D32" w:rsidRPr="00171757">
        <w:t xml:space="preserve"> [</w:t>
      </w:r>
      <w:r w:rsidR="002A7623">
        <w:t>98</w:t>
      </w:r>
      <w:r w:rsidR="00E46D32" w:rsidRPr="00171757">
        <w:t>]</w:t>
      </w:r>
      <w:r w:rsidR="008212C1" w:rsidRPr="00171757">
        <w:t>.</w:t>
      </w:r>
      <w:r w:rsidR="00430EDD" w:rsidRPr="00171757">
        <w:t xml:space="preserve"> </w:t>
      </w:r>
    </w:p>
    <w:p w14:paraId="50EECF3D" w14:textId="79E3C932" w:rsidR="00F024C2" w:rsidRPr="00171757" w:rsidRDefault="00764660" w:rsidP="009E1974">
      <w:pPr>
        <w:pStyle w:val="Heading3"/>
        <w:spacing w:line="480" w:lineRule="auto"/>
        <w:jc w:val="both"/>
      </w:pPr>
      <w:r>
        <w:lastRenderedPageBreak/>
        <w:t xml:space="preserve">1.6.1 </w:t>
      </w:r>
      <w:r w:rsidR="00F024C2" w:rsidRPr="00171757">
        <w:t>Chemokines</w:t>
      </w:r>
    </w:p>
    <w:p w14:paraId="61F1FDD7" w14:textId="7103E4B3" w:rsidR="000C543F" w:rsidRPr="00171757" w:rsidRDefault="00C23E9C" w:rsidP="004D0D7D">
      <w:pPr>
        <w:spacing w:line="480" w:lineRule="auto"/>
        <w:ind w:firstLine="720"/>
        <w:jc w:val="both"/>
      </w:pPr>
      <w:r w:rsidRPr="00171757">
        <w:t xml:space="preserve">Chemokines are also </w:t>
      </w:r>
      <w:r w:rsidR="00B91DE7" w:rsidRPr="00171757">
        <w:t>part of the SASP</w:t>
      </w:r>
      <w:r w:rsidRPr="00171757">
        <w:t>,</w:t>
      </w:r>
      <w:r w:rsidR="00FF61C6" w:rsidRPr="00171757">
        <w:t xml:space="preserve"> </w:t>
      </w:r>
      <w:r w:rsidRPr="00171757">
        <w:t>attracting leukocytes to peripheral tissues</w:t>
      </w:r>
      <w:r w:rsidR="00E46D32" w:rsidRPr="00171757">
        <w:t xml:space="preserve"> [5]</w:t>
      </w:r>
      <w:r w:rsidRPr="00171757">
        <w:t>.</w:t>
      </w:r>
      <w:r w:rsidR="00363850" w:rsidRPr="00171757">
        <w:t xml:space="preserve"> Senescent human fibr</w:t>
      </w:r>
      <w:r w:rsidR="001D1B9F" w:rsidRPr="00171757">
        <w:t>oblasts secrete high levels of CCL5 and CXCL</w:t>
      </w:r>
      <w:r w:rsidR="008212C1" w:rsidRPr="00171757">
        <w:t>12</w:t>
      </w:r>
      <w:r w:rsidR="001D1B9F" w:rsidRPr="00171757">
        <w:t>,</w:t>
      </w:r>
      <w:r w:rsidR="000D1859" w:rsidRPr="00171757">
        <w:t xml:space="preserve"> which</w:t>
      </w:r>
      <w:r w:rsidR="001D1B9F" w:rsidRPr="00171757">
        <w:t xml:space="preserve"> promot</w:t>
      </w:r>
      <w:r w:rsidR="000D1859" w:rsidRPr="00171757">
        <w:t>e the</w:t>
      </w:r>
      <w:r w:rsidR="001D1B9F" w:rsidRPr="00171757">
        <w:t xml:space="preserve"> recruitment of both innate and adaptive leukocytes</w:t>
      </w:r>
      <w:r w:rsidR="00344B7D" w:rsidRPr="00171757">
        <w:t xml:space="preserve">, to facilitate the removal of </w:t>
      </w:r>
      <w:r w:rsidR="00E46D32" w:rsidRPr="00171757">
        <w:t>senescent</w:t>
      </w:r>
      <w:r w:rsidR="00344B7D" w:rsidRPr="00171757">
        <w:t xml:space="preserve"> cells</w:t>
      </w:r>
      <w:r w:rsidR="00E46D32" w:rsidRPr="00171757">
        <w:t xml:space="preserve"> [</w:t>
      </w:r>
      <w:r w:rsidR="002A7623">
        <w:t>99</w:t>
      </w:r>
      <w:r w:rsidR="00E46D32" w:rsidRPr="00171757">
        <w:t>-10</w:t>
      </w:r>
      <w:r w:rsidR="002A7623">
        <w:t>2</w:t>
      </w:r>
      <w:r w:rsidR="00E46D32" w:rsidRPr="00171757">
        <w:t>]</w:t>
      </w:r>
      <w:r w:rsidR="001D1B9F" w:rsidRPr="00171757">
        <w:t xml:space="preserve">. </w:t>
      </w:r>
      <w:r w:rsidR="00BB5AF9" w:rsidRPr="00171757">
        <w:t>In human</w:t>
      </w:r>
      <w:r w:rsidR="00D51EBA" w:rsidRPr="00171757">
        <w:t xml:space="preserve"> primary biliary cirrhosis</w:t>
      </w:r>
      <w:r w:rsidR="00845035" w:rsidRPr="00171757">
        <w:t xml:space="preserve"> (PBC)</w:t>
      </w:r>
      <w:r w:rsidR="007D4EC6" w:rsidRPr="00171757">
        <w:t xml:space="preserve">, </w:t>
      </w:r>
      <w:r w:rsidR="00823926" w:rsidRPr="00171757">
        <w:t>infiltration of CCR2- and CX3</w:t>
      </w:r>
      <w:r w:rsidR="0025734F" w:rsidRPr="00171757">
        <w:t>CR1-positive mononuclear cells</w:t>
      </w:r>
      <w:r w:rsidR="00823926" w:rsidRPr="00171757">
        <w:t xml:space="preserve"> </w:t>
      </w:r>
      <w:r w:rsidR="00D51EBA" w:rsidRPr="00171757">
        <w:t>into the bile duct</w:t>
      </w:r>
      <w:r w:rsidR="0025734F" w:rsidRPr="00171757">
        <w:t>, which drive</w:t>
      </w:r>
      <w:r w:rsidR="00660BDB" w:rsidRPr="00171757">
        <w:t>s</w:t>
      </w:r>
      <w:r w:rsidR="0025734F" w:rsidRPr="00171757">
        <w:t xml:space="preserve"> PBC pathology,</w:t>
      </w:r>
      <w:r w:rsidR="00845035" w:rsidRPr="00171757">
        <w:t xml:space="preserve"> </w:t>
      </w:r>
      <w:r w:rsidR="0025734F" w:rsidRPr="00171757">
        <w:t xml:space="preserve">was </w:t>
      </w:r>
      <w:r w:rsidR="00660BDB" w:rsidRPr="00171757">
        <w:t>linked</w:t>
      </w:r>
      <w:r w:rsidR="00BB5AF9" w:rsidRPr="00171757">
        <w:t xml:space="preserve"> to the production of CCL2 and CX3CL1 by senescent biliary epithelial cells </w:t>
      </w:r>
      <w:r w:rsidR="00BB5AF9" w:rsidRPr="00171757">
        <w:rPr>
          <w:i/>
        </w:rPr>
        <w:t>in vivo</w:t>
      </w:r>
      <w:r w:rsidR="00E46D32" w:rsidRPr="00171757">
        <w:t xml:space="preserve"> [10</w:t>
      </w:r>
      <w:r w:rsidR="002A7623">
        <w:t>3</w:t>
      </w:r>
      <w:r w:rsidR="00E46D32" w:rsidRPr="00171757">
        <w:t>]</w:t>
      </w:r>
      <w:r w:rsidR="008212C1" w:rsidRPr="00171757">
        <w:t>.</w:t>
      </w:r>
      <w:r w:rsidR="00BB5AF9" w:rsidRPr="00171757">
        <w:t xml:space="preserve"> However, this study </w:t>
      </w:r>
      <w:r w:rsidR="00CA20F9" w:rsidRPr="00171757">
        <w:t>utilised</w:t>
      </w:r>
      <w:r w:rsidR="00BB5AF9" w:rsidRPr="00171757">
        <w:t xml:space="preserve"> immunohistochemistry techniques to investigate the </w:t>
      </w:r>
      <w:r w:rsidR="00CA20F9" w:rsidRPr="00171757">
        <w:t>presence of CCR2- and CX3CR1-positive cells in PBC liver sections, without determining the presence of senescent biliary epithelial cells</w:t>
      </w:r>
      <w:r w:rsidR="00764660">
        <w:t>,</w:t>
      </w:r>
      <w:r w:rsidR="00CA20F9" w:rsidRPr="00171757">
        <w:t xml:space="preserve"> or confirming whether they were indeed the source of CCL2 and CX</w:t>
      </w:r>
      <w:r w:rsidR="00344B7D" w:rsidRPr="00171757">
        <w:t>3</w:t>
      </w:r>
      <w:r w:rsidR="00CA20F9" w:rsidRPr="00171757">
        <w:t>CL1 production</w:t>
      </w:r>
      <w:r w:rsidR="0025734F" w:rsidRPr="00171757">
        <w:t xml:space="preserve"> </w:t>
      </w:r>
      <w:r w:rsidR="0025734F" w:rsidRPr="00171757">
        <w:rPr>
          <w:i/>
        </w:rPr>
        <w:t>in vivo</w:t>
      </w:r>
      <w:r w:rsidR="00CA20F9" w:rsidRPr="00171757">
        <w:t>. Instead, the authors extrapolated back to a previous</w:t>
      </w:r>
      <w:r w:rsidR="00344B7D" w:rsidRPr="00171757">
        <w:t xml:space="preserve"> study</w:t>
      </w:r>
      <w:r w:rsidR="00CA20F9" w:rsidRPr="00171757">
        <w:t>, where they observed CCL2 and CX</w:t>
      </w:r>
      <w:r w:rsidR="00344B7D" w:rsidRPr="00171757">
        <w:t>3</w:t>
      </w:r>
      <w:r w:rsidR="00CA20F9" w:rsidRPr="00171757">
        <w:t xml:space="preserve">CL1 production by senescent biliary epithelial cells </w:t>
      </w:r>
      <w:r w:rsidR="0025734F" w:rsidRPr="00171757">
        <w:rPr>
          <w:i/>
        </w:rPr>
        <w:t>in vitr</w:t>
      </w:r>
      <w:r w:rsidR="00CA20F9" w:rsidRPr="00171757">
        <w:rPr>
          <w:i/>
        </w:rPr>
        <w:t>o</w:t>
      </w:r>
      <w:r w:rsidR="00E46D32" w:rsidRPr="00171757">
        <w:t xml:space="preserve"> [10</w:t>
      </w:r>
      <w:r w:rsidR="002A7623">
        <w:t>4</w:t>
      </w:r>
      <w:r w:rsidR="00E46D32" w:rsidRPr="00171757">
        <w:t>]</w:t>
      </w:r>
      <w:r w:rsidR="00CA20F9" w:rsidRPr="00171757">
        <w:t>.</w:t>
      </w:r>
      <w:r w:rsidR="0025734F" w:rsidRPr="00171757">
        <w:t xml:space="preserve"> </w:t>
      </w:r>
      <w:r w:rsidR="00CA20F9" w:rsidRPr="00171757">
        <w:t xml:space="preserve">Whether the generation of SASP-derived chemokines play a role in PBC requires robust investigation. </w:t>
      </w:r>
      <w:r w:rsidR="000C543F" w:rsidRPr="00171757">
        <w:t xml:space="preserve">In a murine model of liver carcinoma, senescent </w:t>
      </w:r>
      <w:r w:rsidR="00344B7D" w:rsidRPr="00171757">
        <w:t>tumour</w:t>
      </w:r>
      <w:r w:rsidR="000C543F" w:rsidRPr="00171757">
        <w:t xml:space="preserve"> cells</w:t>
      </w:r>
      <w:r w:rsidR="005C6CAB" w:rsidRPr="00171757">
        <w:t xml:space="preserve"> secreted </w:t>
      </w:r>
      <w:r w:rsidR="000226F0" w:rsidRPr="00171757">
        <w:t xml:space="preserve">high levels of </w:t>
      </w:r>
      <w:r w:rsidR="005C6CAB" w:rsidRPr="00171757">
        <w:t>macrophage (</w:t>
      </w:r>
      <w:r w:rsidR="00806337" w:rsidRPr="00171757">
        <w:t xml:space="preserve">colony-stimulating factor </w:t>
      </w:r>
      <w:r w:rsidR="005C6CAB" w:rsidRPr="00171757">
        <w:t xml:space="preserve">1, </w:t>
      </w:r>
      <w:r w:rsidR="00806337" w:rsidRPr="00171757">
        <w:t>CCL2</w:t>
      </w:r>
      <w:r w:rsidR="005C6CAB" w:rsidRPr="00171757">
        <w:t>), neutrophil (</w:t>
      </w:r>
      <w:r w:rsidR="00353793" w:rsidRPr="00171757">
        <w:t>CXCL</w:t>
      </w:r>
      <w:r w:rsidR="005C6CAB" w:rsidRPr="00171757">
        <w:t>1) and NK</w:t>
      </w:r>
      <w:r w:rsidR="00660BDB" w:rsidRPr="00171757">
        <w:t>-cell</w:t>
      </w:r>
      <w:r w:rsidR="005C6CAB" w:rsidRPr="00171757">
        <w:t xml:space="preserve"> (IL-15) </w:t>
      </w:r>
      <w:r w:rsidR="005C6CAB" w:rsidRPr="00171757">
        <w:lastRenderedPageBreak/>
        <w:t>chemoattractants</w:t>
      </w:r>
      <w:r w:rsidR="000226F0" w:rsidRPr="00171757">
        <w:t xml:space="preserve">, </w:t>
      </w:r>
      <w:r w:rsidR="00A75367" w:rsidRPr="00171757">
        <w:t>which promote</w:t>
      </w:r>
      <w:r w:rsidR="000D1859" w:rsidRPr="00171757">
        <w:t>d</w:t>
      </w:r>
      <w:r w:rsidR="00A75367" w:rsidRPr="00171757">
        <w:t xml:space="preserve"> </w:t>
      </w:r>
      <w:r w:rsidR="00660BDB" w:rsidRPr="00171757">
        <w:t xml:space="preserve">their </w:t>
      </w:r>
      <w:r w:rsidR="000226F0" w:rsidRPr="00171757">
        <w:t>recruitment and subsequent antitumour immunity</w:t>
      </w:r>
      <w:r w:rsidR="00E46D32" w:rsidRPr="00171757">
        <w:t xml:space="preserve"> [10</w:t>
      </w:r>
      <w:r w:rsidR="002A7623">
        <w:t>5</w:t>
      </w:r>
      <w:r w:rsidR="00E46D32" w:rsidRPr="00171757">
        <w:t>]</w:t>
      </w:r>
      <w:r w:rsidR="008212C1" w:rsidRPr="00171757">
        <w:t xml:space="preserve">. </w:t>
      </w:r>
      <w:r w:rsidR="0007738F" w:rsidRPr="00171757">
        <w:t xml:space="preserve">Importantly, </w:t>
      </w:r>
      <w:r w:rsidR="0080158E" w:rsidRPr="00171757">
        <w:t xml:space="preserve">autocrine or paracrine stimulation of CXCR2 by </w:t>
      </w:r>
      <w:r w:rsidR="0007738F" w:rsidRPr="00171757">
        <w:t>chemokines</w:t>
      </w:r>
      <w:r w:rsidR="00AD3F09" w:rsidRPr="00171757">
        <w:t xml:space="preserve"> such as CXCL8</w:t>
      </w:r>
      <w:r w:rsidR="001A2322" w:rsidRPr="00171757">
        <w:t xml:space="preserve"> and </w:t>
      </w:r>
      <w:r w:rsidR="00F024C2" w:rsidRPr="00171757">
        <w:t>CXCL1 that are secreted as part of the SASP</w:t>
      </w:r>
      <w:r w:rsidR="0080158E" w:rsidRPr="00171757">
        <w:t xml:space="preserve"> reinforces </w:t>
      </w:r>
      <w:r w:rsidR="0007738F" w:rsidRPr="00171757">
        <w:t xml:space="preserve">replicative and oncogene-induced senescence </w:t>
      </w:r>
      <w:r w:rsidR="0080158E" w:rsidRPr="00171757">
        <w:t>in senescent primary human fibroblasts</w:t>
      </w:r>
      <w:r w:rsidR="00E46D32" w:rsidRPr="00171757">
        <w:t xml:space="preserve"> [10</w:t>
      </w:r>
      <w:r w:rsidR="002A7623">
        <w:t>6</w:t>
      </w:r>
      <w:r w:rsidR="00E46D32" w:rsidRPr="00171757">
        <w:t>]</w:t>
      </w:r>
      <w:r w:rsidR="0007738F" w:rsidRPr="00171757">
        <w:t xml:space="preserve">. </w:t>
      </w:r>
      <w:r w:rsidR="000226F0" w:rsidRPr="00171757">
        <w:t>Chemoattractant secretion by senescent cells under homeostatic and inflammatory conditions therefore</w:t>
      </w:r>
      <w:r w:rsidR="001A2322" w:rsidRPr="00171757">
        <w:t xml:space="preserve"> </w:t>
      </w:r>
      <w:r w:rsidR="000226F0" w:rsidRPr="00171757">
        <w:t xml:space="preserve">influences leukocyte trafficking, </w:t>
      </w:r>
      <w:r w:rsidR="001A2322" w:rsidRPr="00171757">
        <w:t xml:space="preserve">although </w:t>
      </w:r>
      <w:r w:rsidR="000226F0" w:rsidRPr="00171757">
        <w:t>whether this is beneficial or detrimental appears to be context-dependent.</w:t>
      </w:r>
    </w:p>
    <w:p w14:paraId="688FAEF6" w14:textId="47930C5E" w:rsidR="00F024C2" w:rsidRPr="00171757" w:rsidRDefault="00764660" w:rsidP="009E1974">
      <w:pPr>
        <w:pStyle w:val="Heading3"/>
        <w:spacing w:line="480" w:lineRule="auto"/>
        <w:jc w:val="both"/>
      </w:pPr>
      <w:r>
        <w:t xml:space="preserve">1.6.2 </w:t>
      </w:r>
      <w:r w:rsidR="00A401ED" w:rsidRPr="00171757">
        <w:t>Senescent T- and B</w:t>
      </w:r>
      <w:r w:rsidR="00F024C2" w:rsidRPr="00171757">
        <w:t>-cells</w:t>
      </w:r>
    </w:p>
    <w:p w14:paraId="2AD9A938" w14:textId="0B82CE55" w:rsidR="0089681C" w:rsidRPr="00171757" w:rsidRDefault="00511BA1" w:rsidP="004D0D7D">
      <w:pPr>
        <w:spacing w:line="480" w:lineRule="auto"/>
        <w:ind w:firstLine="720"/>
        <w:jc w:val="both"/>
      </w:pPr>
      <w:r w:rsidRPr="00171757">
        <w:t>Lymphocytes also undergo cellular senescence</w:t>
      </w:r>
      <w:r w:rsidR="00892910" w:rsidRPr="00171757">
        <w:t xml:space="preserve"> and </w:t>
      </w:r>
      <w:r w:rsidR="00F024C2" w:rsidRPr="00171757">
        <w:t>the number</w:t>
      </w:r>
      <w:r w:rsidRPr="00171757">
        <w:t xml:space="preserve"> </w:t>
      </w:r>
      <w:r w:rsidR="00FF32D2" w:rsidRPr="00171757">
        <w:t xml:space="preserve">of senescent </w:t>
      </w:r>
      <w:r w:rsidR="00A401ED" w:rsidRPr="00171757">
        <w:t>T- and B</w:t>
      </w:r>
      <w:r w:rsidR="0082078F" w:rsidRPr="00171757">
        <w:t>-cells</w:t>
      </w:r>
      <w:r w:rsidR="00FF32D2" w:rsidRPr="00171757">
        <w:t xml:space="preserve"> </w:t>
      </w:r>
      <w:r w:rsidRPr="00171757">
        <w:t>increase</w:t>
      </w:r>
      <w:r w:rsidR="00F024C2" w:rsidRPr="00171757">
        <w:t>s</w:t>
      </w:r>
      <w:r w:rsidRPr="00171757">
        <w:t xml:space="preserve"> with age</w:t>
      </w:r>
      <w:r w:rsidR="00E46D32" w:rsidRPr="00171757">
        <w:t xml:space="preserve"> [9</w:t>
      </w:r>
      <w:r w:rsidR="002A7623">
        <w:t>6</w:t>
      </w:r>
      <w:r w:rsidR="00E46D32" w:rsidRPr="00171757">
        <w:t>, 10</w:t>
      </w:r>
      <w:r w:rsidR="002A7623">
        <w:t>7</w:t>
      </w:r>
      <w:r w:rsidR="00E46D32" w:rsidRPr="00171757">
        <w:t>]</w:t>
      </w:r>
      <w:r w:rsidR="00EA538C" w:rsidRPr="00171757">
        <w:t xml:space="preserve">. </w:t>
      </w:r>
      <w:r w:rsidR="00274CD3" w:rsidRPr="00171757">
        <w:rPr>
          <w:color w:val="000000"/>
        </w:rPr>
        <w:t>In humans, an accumulation of pro-inflammatory replicativ</w:t>
      </w:r>
      <w:r w:rsidR="007C4865" w:rsidRPr="00171757">
        <w:rPr>
          <w:color w:val="000000"/>
        </w:rPr>
        <w:t>e</w:t>
      </w:r>
      <w:r w:rsidR="00274CD3" w:rsidRPr="00171757">
        <w:rPr>
          <w:color w:val="000000"/>
        </w:rPr>
        <w:t>ly-senescent</w:t>
      </w:r>
      <w:r w:rsidR="00605C5D" w:rsidRPr="00171757">
        <w:rPr>
          <w:color w:val="000000"/>
        </w:rPr>
        <w:t xml:space="preserve"> IgD</w:t>
      </w:r>
      <w:r w:rsidR="00605C5D" w:rsidRPr="00171757">
        <w:rPr>
          <w:color w:val="000000"/>
          <w:vertAlign w:val="superscript"/>
        </w:rPr>
        <w:t>-</w:t>
      </w:r>
      <w:r w:rsidR="00605C5D" w:rsidRPr="00171757">
        <w:rPr>
          <w:color w:val="000000"/>
        </w:rPr>
        <w:t>CD27</w:t>
      </w:r>
      <w:r w:rsidR="00605C5D" w:rsidRPr="00171757">
        <w:rPr>
          <w:color w:val="000000"/>
          <w:vertAlign w:val="superscript"/>
        </w:rPr>
        <w:t>-</w:t>
      </w:r>
      <w:r w:rsidR="00274CD3" w:rsidRPr="00171757">
        <w:rPr>
          <w:color w:val="000000"/>
        </w:rPr>
        <w:t xml:space="preserve"> B-c</w:t>
      </w:r>
      <w:r w:rsidR="008212C1" w:rsidRPr="00171757">
        <w:rPr>
          <w:color w:val="000000"/>
        </w:rPr>
        <w:t>el</w:t>
      </w:r>
      <w:r w:rsidR="003656D7" w:rsidRPr="00171757">
        <w:rPr>
          <w:color w:val="000000"/>
        </w:rPr>
        <w:t>ls is associated with ageing</w:t>
      </w:r>
      <w:r w:rsidR="00E46D32" w:rsidRPr="00171757">
        <w:rPr>
          <w:color w:val="000000"/>
        </w:rPr>
        <w:t xml:space="preserve"> [10</w:t>
      </w:r>
      <w:r w:rsidR="002A7623">
        <w:rPr>
          <w:color w:val="000000"/>
        </w:rPr>
        <w:t>7</w:t>
      </w:r>
      <w:r w:rsidR="00E46D32" w:rsidRPr="00171757">
        <w:rPr>
          <w:color w:val="000000"/>
        </w:rPr>
        <w:t>]</w:t>
      </w:r>
      <w:r w:rsidR="00274CD3" w:rsidRPr="00171757">
        <w:rPr>
          <w:color w:val="000000"/>
        </w:rPr>
        <w:t>. Senescent B-cells derived from older individuals express modulated levels of chemokine receptors, such as increased CCR7 and CCR6, decreased CXCR3, and more adhesion molecules, such as L-selectin, compared to younger individuals, modifying their migratory behaviour</w:t>
      </w:r>
      <w:r w:rsidR="00E46D32" w:rsidRPr="00171757">
        <w:rPr>
          <w:color w:val="000000"/>
        </w:rPr>
        <w:t xml:space="preserve"> [</w:t>
      </w:r>
      <w:r w:rsidR="002A7623">
        <w:rPr>
          <w:color w:val="000000"/>
        </w:rPr>
        <w:t>108</w:t>
      </w:r>
      <w:r w:rsidR="00E46D32" w:rsidRPr="00171757">
        <w:rPr>
          <w:color w:val="000000"/>
        </w:rPr>
        <w:t>]</w:t>
      </w:r>
      <w:r w:rsidR="00274CD3" w:rsidRPr="00171757">
        <w:rPr>
          <w:color w:val="000000"/>
        </w:rPr>
        <w:t xml:space="preserve">. </w:t>
      </w:r>
      <w:r w:rsidR="00EA538C" w:rsidRPr="00171757">
        <w:t>Senescent CD28</w:t>
      </w:r>
      <w:r w:rsidR="00EA538C" w:rsidRPr="00171757">
        <w:rPr>
          <w:vertAlign w:val="superscript"/>
        </w:rPr>
        <w:t>-</w:t>
      </w:r>
      <w:r w:rsidR="00EA538C" w:rsidRPr="00171757">
        <w:t>CD8</w:t>
      </w:r>
      <w:r w:rsidR="00EA538C" w:rsidRPr="00171757">
        <w:rPr>
          <w:vertAlign w:val="superscript"/>
        </w:rPr>
        <w:t>+</w:t>
      </w:r>
      <w:r w:rsidR="00EA538C" w:rsidRPr="00171757">
        <w:t xml:space="preserve"> T-cells exhibit modified </w:t>
      </w:r>
      <w:r w:rsidR="00985BF6" w:rsidRPr="00171757">
        <w:t xml:space="preserve">gene </w:t>
      </w:r>
      <w:r w:rsidR="00EA538C" w:rsidRPr="00171757">
        <w:t>expression of chemokine</w:t>
      </w:r>
      <w:r w:rsidR="00985BF6" w:rsidRPr="00171757">
        <w:t>s and their</w:t>
      </w:r>
      <w:r w:rsidR="00EA538C" w:rsidRPr="00171757">
        <w:t xml:space="preserve"> receptor</w:t>
      </w:r>
      <w:r w:rsidR="00985BF6" w:rsidRPr="00171757">
        <w:t>s</w:t>
      </w:r>
      <w:r w:rsidR="00EA538C" w:rsidRPr="00171757">
        <w:t xml:space="preserve"> </w:t>
      </w:r>
      <w:r w:rsidR="00AA2AD9" w:rsidRPr="00171757">
        <w:t>compared to non-senescent T-cells</w:t>
      </w:r>
      <w:r w:rsidR="00EA538C" w:rsidRPr="00171757">
        <w:t xml:space="preserve">, </w:t>
      </w:r>
      <w:r w:rsidR="00517895" w:rsidRPr="00171757">
        <w:t xml:space="preserve">including increased </w:t>
      </w:r>
      <w:r w:rsidR="00B96EC4" w:rsidRPr="00171757">
        <w:t xml:space="preserve">transcription of </w:t>
      </w:r>
      <w:r w:rsidR="007D4EC6" w:rsidRPr="00171757">
        <w:t xml:space="preserve">CCL4 </w:t>
      </w:r>
      <w:r w:rsidR="007D4EC6" w:rsidRPr="00171757">
        <w:lastRenderedPageBreak/>
        <w:t>and CX</w:t>
      </w:r>
      <w:r w:rsidR="00517895" w:rsidRPr="00171757">
        <w:t xml:space="preserve">3CR1 and </w:t>
      </w:r>
      <w:r w:rsidR="00B96EC4" w:rsidRPr="00171757">
        <w:t>reduced transcription of CCR6 and CCR7</w:t>
      </w:r>
      <w:r w:rsidR="00E46D32" w:rsidRPr="00171757">
        <w:t xml:space="preserve"> [1</w:t>
      </w:r>
      <w:r w:rsidR="002A7623">
        <w:t>09</w:t>
      </w:r>
      <w:r w:rsidR="00E46D32" w:rsidRPr="00171757">
        <w:t>]</w:t>
      </w:r>
      <w:r w:rsidR="00EA538C" w:rsidRPr="00171757">
        <w:t>. Indeed, CD27</w:t>
      </w:r>
      <w:r w:rsidR="00EA538C" w:rsidRPr="00171757">
        <w:rPr>
          <w:vertAlign w:val="superscript"/>
        </w:rPr>
        <w:t>-</w:t>
      </w:r>
      <w:r w:rsidR="00A401ED" w:rsidRPr="00171757">
        <w:t>CD8</w:t>
      </w:r>
      <w:r w:rsidR="00A401ED" w:rsidRPr="00171757">
        <w:rPr>
          <w:vertAlign w:val="superscript"/>
        </w:rPr>
        <w:t>+</w:t>
      </w:r>
      <w:r w:rsidR="00A401ED" w:rsidRPr="00171757">
        <w:t xml:space="preserve"> </w:t>
      </w:r>
      <w:r w:rsidR="00896DEF" w:rsidRPr="00171757">
        <w:t xml:space="preserve">effector memory CD45RA re-expressing (EMRA) </w:t>
      </w:r>
      <w:r w:rsidR="00EA538C" w:rsidRPr="00171757">
        <w:t>T-cells, which exhibit traits of senescence such as defective proliferation and loss of CD27 expression, display</w:t>
      </w:r>
      <w:r w:rsidR="00EA538C" w:rsidRPr="00171757">
        <w:rPr>
          <w:vertAlign w:val="superscript"/>
        </w:rPr>
        <w:t xml:space="preserve"> </w:t>
      </w:r>
      <w:r w:rsidR="00EA538C" w:rsidRPr="00171757">
        <w:t xml:space="preserve">impaired chemotaxis towards autologous serum </w:t>
      </w:r>
      <w:r w:rsidR="00A401ED" w:rsidRPr="00171757">
        <w:rPr>
          <w:i/>
        </w:rPr>
        <w:t>in vitro</w:t>
      </w:r>
      <w:r w:rsidR="00A401ED" w:rsidRPr="00171757">
        <w:t xml:space="preserve"> </w:t>
      </w:r>
      <w:r w:rsidR="00EA538C" w:rsidRPr="00171757">
        <w:t>compared to CD27</w:t>
      </w:r>
      <w:r w:rsidR="00EA538C" w:rsidRPr="00171757">
        <w:rPr>
          <w:vertAlign w:val="superscript"/>
        </w:rPr>
        <w:t>-</w:t>
      </w:r>
      <w:r w:rsidR="00A401ED" w:rsidRPr="00171757">
        <w:t>CD4</w:t>
      </w:r>
      <w:r w:rsidR="00A401ED" w:rsidRPr="00171757">
        <w:rPr>
          <w:vertAlign w:val="superscript"/>
        </w:rPr>
        <w:t>+</w:t>
      </w:r>
      <w:r w:rsidR="00896DEF" w:rsidRPr="00171757">
        <w:t xml:space="preserve"> EMRA</w:t>
      </w:r>
      <w:r w:rsidR="00EA538C" w:rsidRPr="00171757">
        <w:t xml:space="preserve"> T-cells</w:t>
      </w:r>
      <w:r w:rsidR="00E46D32" w:rsidRPr="00171757">
        <w:t xml:space="preserve"> [11</w:t>
      </w:r>
      <w:r w:rsidR="002A7623">
        <w:t>0</w:t>
      </w:r>
      <w:r w:rsidR="00E46D32" w:rsidRPr="00171757">
        <w:t>]</w:t>
      </w:r>
      <w:r w:rsidR="007F7958" w:rsidRPr="00171757">
        <w:t xml:space="preserve">. </w:t>
      </w:r>
      <w:r w:rsidR="00EA538C" w:rsidRPr="00171757">
        <w:t xml:space="preserve">This impaired migratory behaviour was attributed to mitochondrial dysfunction, </w:t>
      </w:r>
      <w:r w:rsidR="00A401ED" w:rsidRPr="00171757">
        <w:t>which hinders the ability of CD8</w:t>
      </w:r>
      <w:r w:rsidR="00A401ED" w:rsidRPr="00171757">
        <w:rPr>
          <w:vertAlign w:val="superscript"/>
        </w:rPr>
        <w:t>+</w:t>
      </w:r>
      <w:r w:rsidR="00EA538C" w:rsidRPr="00171757">
        <w:t>CD27</w:t>
      </w:r>
      <w:r w:rsidR="00EA538C" w:rsidRPr="00171757">
        <w:rPr>
          <w:vertAlign w:val="superscript"/>
        </w:rPr>
        <w:t>-</w:t>
      </w:r>
      <w:r w:rsidR="00896DEF" w:rsidRPr="00171757">
        <w:t xml:space="preserve"> EMRA</w:t>
      </w:r>
      <w:r w:rsidR="00EA538C" w:rsidRPr="00171757">
        <w:t xml:space="preserve"> T-cells to </w:t>
      </w:r>
      <w:r w:rsidR="004A6A28" w:rsidRPr="00171757">
        <w:t xml:space="preserve">generate ATP and </w:t>
      </w:r>
      <w:r w:rsidR="00EA538C" w:rsidRPr="00171757">
        <w:t xml:space="preserve">meet the energy requirements necessary for migration. </w:t>
      </w:r>
      <w:r w:rsidR="00896DEF" w:rsidRPr="00171757">
        <w:t>Older adults (&gt;55 years old) with type 2 diabetes mellitus</w:t>
      </w:r>
      <w:r w:rsidR="006A594B" w:rsidRPr="00171757">
        <w:t xml:space="preserve"> (T2DM)</w:t>
      </w:r>
      <w:r w:rsidR="00896DEF" w:rsidRPr="00171757">
        <w:t xml:space="preserve"> had increased</w:t>
      </w:r>
      <w:r w:rsidR="009526EB" w:rsidRPr="00171757">
        <w:t xml:space="preserve"> numbers of circulating</w:t>
      </w:r>
      <w:r w:rsidR="00896DEF" w:rsidRPr="00171757">
        <w:t xml:space="preserve"> </w:t>
      </w:r>
      <w:r w:rsidR="009A46B4" w:rsidRPr="00171757">
        <w:t>CD4</w:t>
      </w:r>
      <w:r w:rsidR="009A46B4" w:rsidRPr="00171757">
        <w:rPr>
          <w:vertAlign w:val="superscript"/>
        </w:rPr>
        <w:t>+</w:t>
      </w:r>
      <w:r w:rsidR="009A46B4" w:rsidRPr="00171757">
        <w:t xml:space="preserve"> and CD8</w:t>
      </w:r>
      <w:r w:rsidR="009A46B4" w:rsidRPr="00171757">
        <w:rPr>
          <w:vertAlign w:val="superscript"/>
        </w:rPr>
        <w:t>+</w:t>
      </w:r>
      <w:r w:rsidR="009A46B4" w:rsidRPr="00171757">
        <w:t xml:space="preserve"> EMRA</w:t>
      </w:r>
      <w:r w:rsidR="009526EB" w:rsidRPr="00171757">
        <w:t xml:space="preserve"> T-cells </w:t>
      </w:r>
      <w:r w:rsidR="00896DEF" w:rsidRPr="00171757">
        <w:t>c</w:t>
      </w:r>
      <w:r w:rsidR="009526EB" w:rsidRPr="00171757">
        <w:t>ompared to healthy older adults, along with i</w:t>
      </w:r>
      <w:r w:rsidR="00896DEF" w:rsidRPr="00171757">
        <w:t>ncr</w:t>
      </w:r>
      <w:r w:rsidR="005A6850" w:rsidRPr="00171757">
        <w:t xml:space="preserve">eased </w:t>
      </w:r>
      <w:r w:rsidR="00896DEF" w:rsidRPr="00171757">
        <w:t>surface expression of CXCR2</w:t>
      </w:r>
      <w:r w:rsidR="005A6850" w:rsidRPr="00171757">
        <w:t xml:space="preserve"> and CX3CR1</w:t>
      </w:r>
      <w:r w:rsidR="009526EB" w:rsidRPr="00171757">
        <w:t xml:space="preserve"> </w:t>
      </w:r>
      <w:r w:rsidR="00E46D32" w:rsidRPr="00171757">
        <w:t>[11</w:t>
      </w:r>
      <w:r w:rsidR="002A7623">
        <w:t>1</w:t>
      </w:r>
      <w:r w:rsidR="00E46D32" w:rsidRPr="00171757">
        <w:t>]</w:t>
      </w:r>
      <w:r w:rsidR="009526EB" w:rsidRPr="00171757">
        <w:t xml:space="preserve">. </w:t>
      </w:r>
      <w:r w:rsidR="00896DEF" w:rsidRPr="00171757">
        <w:t>However</w:t>
      </w:r>
      <w:r w:rsidR="009526EB" w:rsidRPr="00171757">
        <w:t>,</w:t>
      </w:r>
      <w:r w:rsidR="00896DEF" w:rsidRPr="00171757">
        <w:t xml:space="preserve"> </w:t>
      </w:r>
      <w:r w:rsidR="009E6939" w:rsidRPr="00171757">
        <w:t xml:space="preserve">both </w:t>
      </w:r>
      <w:r w:rsidR="005A6850" w:rsidRPr="00171757">
        <w:t>CD4</w:t>
      </w:r>
      <w:r w:rsidR="005A6850" w:rsidRPr="00171757">
        <w:rPr>
          <w:vertAlign w:val="superscript"/>
        </w:rPr>
        <w:t>+</w:t>
      </w:r>
      <w:r w:rsidR="005A6850" w:rsidRPr="00171757">
        <w:t xml:space="preserve"> and CD8</w:t>
      </w:r>
      <w:r w:rsidR="005A6850" w:rsidRPr="00171757">
        <w:rPr>
          <w:vertAlign w:val="superscript"/>
        </w:rPr>
        <w:t>+</w:t>
      </w:r>
      <w:r w:rsidR="005A6850" w:rsidRPr="00171757">
        <w:t xml:space="preserve"> EMRA T-cells</w:t>
      </w:r>
      <w:r w:rsidR="009526EB" w:rsidRPr="00171757">
        <w:t xml:space="preserve"> derived from older adults with T2DM</w:t>
      </w:r>
      <w:r w:rsidR="005A6850" w:rsidRPr="00171757">
        <w:t xml:space="preserve"> exhibited impaired chemotactic responses to autologous sera </w:t>
      </w:r>
      <w:r w:rsidR="005A6850" w:rsidRPr="00171757">
        <w:rPr>
          <w:i/>
        </w:rPr>
        <w:t>in vitro</w:t>
      </w:r>
      <w:r w:rsidR="009526EB" w:rsidRPr="00171757">
        <w:rPr>
          <w:i/>
        </w:rPr>
        <w:t xml:space="preserve"> </w:t>
      </w:r>
      <w:r w:rsidR="009526EB" w:rsidRPr="00171757">
        <w:t xml:space="preserve">compared to healthy older adults. This is surprising, </w:t>
      </w:r>
      <w:r w:rsidR="00F024C2" w:rsidRPr="00171757">
        <w:t xml:space="preserve">as </w:t>
      </w:r>
      <w:r w:rsidR="009526EB" w:rsidRPr="00171757">
        <w:t>CD4</w:t>
      </w:r>
      <w:r w:rsidR="009526EB" w:rsidRPr="00171757">
        <w:rPr>
          <w:vertAlign w:val="superscript"/>
        </w:rPr>
        <w:t>+</w:t>
      </w:r>
      <w:r w:rsidR="009526EB" w:rsidRPr="00171757">
        <w:t xml:space="preserve"> and CD8</w:t>
      </w:r>
      <w:r w:rsidR="009526EB" w:rsidRPr="00171757">
        <w:rPr>
          <w:vertAlign w:val="superscript"/>
        </w:rPr>
        <w:t>+</w:t>
      </w:r>
      <w:r w:rsidR="009526EB" w:rsidRPr="00171757">
        <w:t xml:space="preserve"> EMRA T-cells from individuals with T2DM had increased </w:t>
      </w:r>
      <w:r w:rsidR="00F024C2" w:rsidRPr="00171757">
        <w:t xml:space="preserve">surface </w:t>
      </w:r>
      <w:r w:rsidR="009526EB" w:rsidRPr="00171757">
        <w:t>expression of chemokine receptors</w:t>
      </w:r>
      <w:r w:rsidR="00F024C2" w:rsidRPr="00171757">
        <w:t>,</w:t>
      </w:r>
      <w:r w:rsidR="009526EB" w:rsidRPr="00171757">
        <w:t xml:space="preserve"> and serum from old</w:t>
      </w:r>
      <w:r w:rsidR="00A401ED" w:rsidRPr="00171757">
        <w:t>er adults with T2DM had</w:t>
      </w:r>
      <w:r w:rsidR="009526EB" w:rsidRPr="00171757">
        <w:t xml:space="preserve"> a higher concentration of chemokines than serum from healthy individuals</w:t>
      </w:r>
      <w:r w:rsidR="00E46D32" w:rsidRPr="00171757">
        <w:t xml:space="preserve"> [11</w:t>
      </w:r>
      <w:r w:rsidR="002A7623">
        <w:t>1</w:t>
      </w:r>
      <w:r w:rsidR="00E46D32" w:rsidRPr="00171757">
        <w:t>]</w:t>
      </w:r>
      <w:r w:rsidR="009526EB" w:rsidRPr="00171757">
        <w:t>. Impaired</w:t>
      </w:r>
      <w:r w:rsidR="009526EB" w:rsidRPr="00171757">
        <w:rPr>
          <w:i/>
        </w:rPr>
        <w:t xml:space="preserve"> </w:t>
      </w:r>
      <w:r w:rsidR="009526EB" w:rsidRPr="00171757">
        <w:t>CD4</w:t>
      </w:r>
      <w:r w:rsidR="009526EB" w:rsidRPr="00171757">
        <w:rPr>
          <w:vertAlign w:val="superscript"/>
        </w:rPr>
        <w:t>+</w:t>
      </w:r>
      <w:r w:rsidR="009526EB" w:rsidRPr="00171757">
        <w:t xml:space="preserve"> and CD8</w:t>
      </w:r>
      <w:r w:rsidR="009526EB" w:rsidRPr="00171757">
        <w:rPr>
          <w:vertAlign w:val="superscript"/>
        </w:rPr>
        <w:t>+</w:t>
      </w:r>
      <w:r w:rsidR="009526EB" w:rsidRPr="00171757">
        <w:t xml:space="preserve"> EMRA T-cell migration was instead attributed </w:t>
      </w:r>
      <w:r w:rsidR="005A6850" w:rsidRPr="00171757">
        <w:t xml:space="preserve">to </w:t>
      </w:r>
      <w:r w:rsidR="00896DEF" w:rsidRPr="00171757">
        <w:t>impaired glucose uptake</w:t>
      </w:r>
      <w:r w:rsidR="009526EB" w:rsidRPr="00171757">
        <w:t>,</w:t>
      </w:r>
      <w:r w:rsidR="00896DEF" w:rsidRPr="00171757">
        <w:t xml:space="preserve"> preventing these cells from </w:t>
      </w:r>
      <w:r w:rsidR="005A6850" w:rsidRPr="00171757">
        <w:t>meeting</w:t>
      </w:r>
      <w:r w:rsidR="00896DEF" w:rsidRPr="00171757">
        <w:t xml:space="preserve"> the energy requiremen</w:t>
      </w:r>
      <w:r w:rsidR="009D61BA" w:rsidRPr="00171757">
        <w:t xml:space="preserve">ts </w:t>
      </w:r>
      <w:r w:rsidR="009D61BA" w:rsidRPr="00171757">
        <w:lastRenderedPageBreak/>
        <w:t>necessary for transendotheli</w:t>
      </w:r>
      <w:r w:rsidR="00896DEF" w:rsidRPr="00171757">
        <w:t>al migration</w:t>
      </w:r>
      <w:r w:rsidR="00E46D32" w:rsidRPr="00171757">
        <w:t xml:space="preserve"> [11</w:t>
      </w:r>
      <w:r w:rsidR="002A7623">
        <w:t>1</w:t>
      </w:r>
      <w:r w:rsidR="00E46D32" w:rsidRPr="00171757">
        <w:t>]</w:t>
      </w:r>
      <w:r w:rsidR="00896DEF" w:rsidRPr="00171757">
        <w:t xml:space="preserve">. </w:t>
      </w:r>
      <w:r w:rsidR="00F61AF4" w:rsidRPr="00171757">
        <w:t xml:space="preserve">Although senescent leukocytes accumulate with age, only a handful of studies have investigated their migratory capabilities. It is clear that increased chemokine </w:t>
      </w:r>
      <w:r w:rsidR="00A401ED" w:rsidRPr="00171757">
        <w:t xml:space="preserve">receptor </w:t>
      </w:r>
      <w:r w:rsidR="00F61AF4" w:rsidRPr="00171757">
        <w:t xml:space="preserve">expression within senescent leukocyte subsets may not equate to increased </w:t>
      </w:r>
      <w:r w:rsidR="00495BAF" w:rsidRPr="00171757">
        <w:t>chemotactic responses</w:t>
      </w:r>
      <w:r w:rsidR="00F61AF4" w:rsidRPr="00171757">
        <w:t>, as metabolic dysfunction plays a vital role in the</w:t>
      </w:r>
      <w:r w:rsidR="00A401ED" w:rsidRPr="00171757">
        <w:t>ir migratory</w:t>
      </w:r>
      <w:r w:rsidR="00F61AF4" w:rsidRPr="00171757">
        <w:t xml:space="preserve"> </w:t>
      </w:r>
      <w:r w:rsidR="00A401ED" w:rsidRPr="00171757">
        <w:t>cap</w:t>
      </w:r>
      <w:r w:rsidR="00F61AF4" w:rsidRPr="00171757">
        <w:t>ab</w:t>
      </w:r>
      <w:r w:rsidR="00A401ED" w:rsidRPr="00171757">
        <w:t>ilities</w:t>
      </w:r>
      <w:r w:rsidR="00F61AF4" w:rsidRPr="00171757">
        <w:t>.</w:t>
      </w:r>
      <w:r w:rsidR="009526EB" w:rsidRPr="00171757">
        <w:t xml:space="preserve">  </w:t>
      </w:r>
    </w:p>
    <w:p w14:paraId="2E6FFFD3" w14:textId="41D914E1" w:rsidR="0024337A" w:rsidRPr="00171757" w:rsidRDefault="00741A25" w:rsidP="00620EB3">
      <w:pPr>
        <w:pStyle w:val="Heading2"/>
        <w:spacing w:line="480" w:lineRule="auto"/>
        <w:rPr>
          <w:rFonts w:ascii="Times New Roman" w:hAnsi="Times New Roman" w:cs="Times New Roman"/>
        </w:rPr>
      </w:pPr>
      <w:r w:rsidRPr="00171757">
        <w:rPr>
          <w:rFonts w:ascii="Times New Roman" w:hAnsi="Times New Roman" w:cs="Times New Roman"/>
          <w:noProof/>
          <w:lang w:val="en-GB" w:eastAsia="en-GB"/>
        </w:rPr>
        <w:drawing>
          <wp:inline distT="0" distB="0" distL="0" distR="0" wp14:anchorId="7872222D" wp14:editId="4618D611">
            <wp:extent cx="5262880" cy="3949700"/>
            <wp:effectExtent l="0" t="0" r="0" b="12700"/>
            <wp:docPr id="8" name="Picture 5" descr="Macintosh HD:Users:apple:Desktop:Documents:Ageing and Leukocyte Trafficking Review:Figures:Slide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pple:Desktop:Documents:Ageing and Leukocyte Trafficking Review:Figures:Slide3.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2880" cy="3949700"/>
                    </a:xfrm>
                    <a:prstGeom prst="rect">
                      <a:avLst/>
                    </a:prstGeom>
                    <a:noFill/>
                    <a:ln>
                      <a:noFill/>
                    </a:ln>
                  </pic:spPr>
                </pic:pic>
              </a:graphicData>
            </a:graphic>
          </wp:inline>
        </w:drawing>
      </w:r>
    </w:p>
    <w:p w14:paraId="7E706EFD" w14:textId="47B0D300" w:rsidR="0024337A" w:rsidRPr="00171757" w:rsidRDefault="0024337A" w:rsidP="0024337A">
      <w:pPr>
        <w:spacing w:line="480" w:lineRule="auto"/>
        <w:jc w:val="both"/>
        <w:rPr>
          <w:rFonts w:eastAsiaTheme="majorEastAsia"/>
          <w:sz w:val="20"/>
          <w:szCs w:val="20"/>
        </w:rPr>
      </w:pPr>
      <w:r w:rsidRPr="00171757">
        <w:rPr>
          <w:rFonts w:eastAsiaTheme="majorEastAsia"/>
          <w:b/>
          <w:sz w:val="20"/>
          <w:szCs w:val="20"/>
        </w:rPr>
        <w:t>Figure 2: Cellular senescence drives modulated leukocyte trafficking in ageing.</w:t>
      </w:r>
      <w:r w:rsidR="007C6E1F" w:rsidRPr="00171757">
        <w:rPr>
          <w:rFonts w:eastAsiaTheme="majorEastAsia"/>
          <w:sz w:val="20"/>
          <w:szCs w:val="20"/>
        </w:rPr>
        <w:t xml:space="preserve"> S</w:t>
      </w:r>
      <w:r w:rsidRPr="00171757">
        <w:rPr>
          <w:rFonts w:eastAsiaTheme="majorEastAsia"/>
          <w:sz w:val="20"/>
          <w:szCs w:val="20"/>
        </w:rPr>
        <w:t xml:space="preserve">enescent cells accumulate </w:t>
      </w:r>
      <w:r w:rsidR="007C6E1F" w:rsidRPr="00171757">
        <w:rPr>
          <w:rFonts w:eastAsiaTheme="majorEastAsia"/>
          <w:sz w:val="20"/>
          <w:szCs w:val="20"/>
        </w:rPr>
        <w:t>within tissues in</w:t>
      </w:r>
      <w:r w:rsidRPr="00171757">
        <w:rPr>
          <w:rFonts w:eastAsiaTheme="majorEastAsia"/>
          <w:sz w:val="20"/>
          <w:szCs w:val="20"/>
        </w:rPr>
        <w:t xml:space="preserve"> age</w:t>
      </w:r>
      <w:r w:rsidR="007C6E1F" w:rsidRPr="00171757">
        <w:rPr>
          <w:rFonts w:eastAsiaTheme="majorEastAsia"/>
          <w:sz w:val="20"/>
          <w:szCs w:val="20"/>
        </w:rPr>
        <w:t xml:space="preserve">ing, where they </w:t>
      </w:r>
      <w:r w:rsidRPr="00171757">
        <w:rPr>
          <w:rFonts w:eastAsiaTheme="majorEastAsia"/>
          <w:sz w:val="20"/>
          <w:szCs w:val="20"/>
        </w:rPr>
        <w:t xml:space="preserve">release pro-inflammatory mediators (senescence-associated secretory phenotype; SASP), </w:t>
      </w:r>
      <w:r w:rsidR="007C6E1F" w:rsidRPr="00171757">
        <w:rPr>
          <w:rFonts w:eastAsiaTheme="majorEastAsia"/>
          <w:sz w:val="20"/>
          <w:szCs w:val="20"/>
        </w:rPr>
        <w:t>such as</w:t>
      </w:r>
      <w:r w:rsidRPr="00171757">
        <w:rPr>
          <w:rFonts w:eastAsiaTheme="majorEastAsia"/>
          <w:sz w:val="20"/>
          <w:szCs w:val="20"/>
        </w:rPr>
        <w:t xml:space="preserve"> TNFα, IL-6 and chemokines. SASP mediators TNFα and IL-6 can activate endothelial cells, upregulating endothelial expression of ICAM-1, VCAM-1, P- and E-selectins. Together, endothelial activation and chemokine production promote the recruitment of leukocytes, such as lymphocytes, neutrophils and macrophages to tissue. Importantly, TNFα can induce senescence in neighboring cells, therefore propagating a positive feedback look of cellular senescence.</w:t>
      </w:r>
    </w:p>
    <w:p w14:paraId="1B62B8A6" w14:textId="3789409D" w:rsidR="00796ED9" w:rsidRPr="00171757" w:rsidRDefault="00764660" w:rsidP="00620EB3">
      <w:pPr>
        <w:pStyle w:val="Heading2"/>
        <w:spacing w:line="480" w:lineRule="auto"/>
        <w:rPr>
          <w:rFonts w:ascii="Times New Roman" w:hAnsi="Times New Roman" w:cs="Times New Roman"/>
        </w:rPr>
      </w:pPr>
      <w:r>
        <w:rPr>
          <w:rFonts w:ascii="Times New Roman" w:hAnsi="Times New Roman" w:cs="Times New Roman"/>
        </w:rPr>
        <w:lastRenderedPageBreak/>
        <w:t xml:space="preserve">1.7 </w:t>
      </w:r>
      <w:r w:rsidR="00796ED9" w:rsidRPr="00171757">
        <w:rPr>
          <w:rFonts w:ascii="Times New Roman" w:hAnsi="Times New Roman" w:cs="Times New Roman"/>
        </w:rPr>
        <w:t xml:space="preserve">Therapeutic </w:t>
      </w:r>
      <w:r w:rsidR="00D95852" w:rsidRPr="00171757">
        <w:rPr>
          <w:rFonts w:ascii="Times New Roman" w:hAnsi="Times New Roman" w:cs="Times New Roman"/>
        </w:rPr>
        <w:t>t</w:t>
      </w:r>
      <w:r w:rsidR="00796ED9" w:rsidRPr="00171757">
        <w:rPr>
          <w:rFonts w:ascii="Times New Roman" w:hAnsi="Times New Roman" w:cs="Times New Roman"/>
        </w:rPr>
        <w:t xml:space="preserve">argeting of </w:t>
      </w:r>
      <w:r w:rsidR="00D95852" w:rsidRPr="00171757">
        <w:rPr>
          <w:rFonts w:ascii="Times New Roman" w:hAnsi="Times New Roman" w:cs="Times New Roman"/>
        </w:rPr>
        <w:t>l</w:t>
      </w:r>
      <w:r w:rsidR="00796ED9" w:rsidRPr="00171757">
        <w:rPr>
          <w:rFonts w:ascii="Times New Roman" w:hAnsi="Times New Roman" w:cs="Times New Roman"/>
        </w:rPr>
        <w:t xml:space="preserve">eukocyte </w:t>
      </w:r>
      <w:r w:rsidR="00D95852" w:rsidRPr="00171757">
        <w:rPr>
          <w:rFonts w:ascii="Times New Roman" w:hAnsi="Times New Roman" w:cs="Times New Roman"/>
        </w:rPr>
        <w:t>t</w:t>
      </w:r>
      <w:r w:rsidR="00796ED9" w:rsidRPr="00171757">
        <w:rPr>
          <w:rFonts w:ascii="Times New Roman" w:hAnsi="Times New Roman" w:cs="Times New Roman"/>
        </w:rPr>
        <w:t xml:space="preserve">rafficking in </w:t>
      </w:r>
      <w:r w:rsidR="00D95852" w:rsidRPr="00171757">
        <w:rPr>
          <w:rFonts w:ascii="Times New Roman" w:hAnsi="Times New Roman" w:cs="Times New Roman"/>
        </w:rPr>
        <w:t>a</w:t>
      </w:r>
      <w:r w:rsidR="00796ED9" w:rsidRPr="00171757">
        <w:rPr>
          <w:rFonts w:ascii="Times New Roman" w:hAnsi="Times New Roman" w:cs="Times New Roman"/>
        </w:rPr>
        <w:t>geing</w:t>
      </w:r>
    </w:p>
    <w:p w14:paraId="6265887B" w14:textId="53DF3ACA" w:rsidR="0096552B" w:rsidRPr="00171757" w:rsidRDefault="0090433F" w:rsidP="009E1974">
      <w:pPr>
        <w:spacing w:line="480" w:lineRule="auto"/>
        <w:ind w:firstLine="720"/>
        <w:jc w:val="both"/>
      </w:pPr>
      <w:r w:rsidRPr="00171757">
        <w:t>Inflammation-driven diseases such as Alzheimer’s d</w:t>
      </w:r>
      <w:r w:rsidR="00931BCF" w:rsidRPr="00171757">
        <w:t>isease, T2DM</w:t>
      </w:r>
      <w:r w:rsidRPr="00171757">
        <w:t xml:space="preserve"> and atherosclerosis are increasingly prevalent amongst older adults</w:t>
      </w:r>
      <w:r w:rsidR="00E46D32" w:rsidRPr="00171757">
        <w:t xml:space="preserve"> [11</w:t>
      </w:r>
      <w:r w:rsidR="002A7623">
        <w:t>2</w:t>
      </w:r>
      <w:r w:rsidR="00E46D32" w:rsidRPr="00171757">
        <w:t>]</w:t>
      </w:r>
      <w:r w:rsidRPr="00171757">
        <w:t xml:space="preserve">. These chronic inflammatory diseases are primarily driven by age-related changes to the immune system. These changes range from </w:t>
      </w:r>
      <w:r w:rsidR="00DE574A" w:rsidRPr="00171757">
        <w:t>increased</w:t>
      </w:r>
      <w:r w:rsidRPr="00171757">
        <w:t xml:space="preserve"> </w:t>
      </w:r>
      <w:r w:rsidR="00DE574A" w:rsidRPr="00171757">
        <w:t xml:space="preserve">production of </w:t>
      </w:r>
      <w:r w:rsidRPr="00171757">
        <w:t xml:space="preserve">pro-inflammatory </w:t>
      </w:r>
      <w:r w:rsidR="00DE574A" w:rsidRPr="00171757">
        <w:t>cytokines</w:t>
      </w:r>
      <w:r w:rsidRPr="00171757">
        <w:t>, to changes in immune cell function</w:t>
      </w:r>
      <w:r w:rsidR="00C33649" w:rsidRPr="00171757">
        <w:t>,</w:t>
      </w:r>
      <w:r w:rsidR="0031685D" w:rsidRPr="00171757">
        <w:t xml:space="preserve"> </w:t>
      </w:r>
      <w:r w:rsidRPr="00171757">
        <w:t xml:space="preserve">to the accumulation of senescent cells </w:t>
      </w:r>
      <w:r w:rsidR="00DE574A" w:rsidRPr="00171757">
        <w:t>in tissue</w:t>
      </w:r>
      <w:r w:rsidR="0031685D" w:rsidRPr="00171757">
        <w:t>s</w:t>
      </w:r>
      <w:r w:rsidR="00E46D32" w:rsidRPr="00171757">
        <w:t xml:space="preserve"> [11</w:t>
      </w:r>
      <w:r w:rsidR="002A7623">
        <w:t>3</w:t>
      </w:r>
      <w:r w:rsidR="00E46D32" w:rsidRPr="00171757">
        <w:t>]</w:t>
      </w:r>
      <w:r w:rsidRPr="00171757">
        <w:t>. These age-related changes do not behave independently, but comprise intertwined mechanisms that ultimately drive the progression of both immunesenescence and inflammageing. It is therefore feasible that dysregulated leukocyte trafficking, as a consequence of immune ageing, could serve as a potential therapeutic target to attenuate the establishment of age-associated inflammatory disease in older adults. Here we review approved and novel therapeutics that</w:t>
      </w:r>
      <w:r w:rsidR="00DA4AE2" w:rsidRPr="00171757">
        <w:t xml:space="preserve"> target</w:t>
      </w:r>
      <w:r w:rsidRPr="00171757">
        <w:t xml:space="preserve"> leukocyte trafficking</w:t>
      </w:r>
      <w:r w:rsidR="00DA4AE2" w:rsidRPr="00171757">
        <w:t xml:space="preserve"> processes</w:t>
      </w:r>
      <w:r w:rsidR="00AD75B5" w:rsidRPr="00171757">
        <w:t xml:space="preserve"> [11</w:t>
      </w:r>
      <w:r w:rsidR="002A7623">
        <w:t>4</w:t>
      </w:r>
      <w:r w:rsidR="00AD75B5" w:rsidRPr="00171757">
        <w:t>-11</w:t>
      </w:r>
      <w:r w:rsidR="002A7623">
        <w:t>6</w:t>
      </w:r>
      <w:r w:rsidR="00AD75B5" w:rsidRPr="00171757">
        <w:t>]</w:t>
      </w:r>
      <w:r w:rsidR="00643207" w:rsidRPr="00171757">
        <w:t>.</w:t>
      </w:r>
      <w:r w:rsidR="00796ED9" w:rsidRPr="00171757">
        <w:t xml:space="preserve"> </w:t>
      </w:r>
    </w:p>
    <w:p w14:paraId="0417F880" w14:textId="15BE1398" w:rsidR="0056150E" w:rsidRPr="00171757" w:rsidRDefault="00764660" w:rsidP="009E1974">
      <w:pPr>
        <w:pStyle w:val="Heading3"/>
        <w:spacing w:line="480" w:lineRule="auto"/>
        <w:jc w:val="both"/>
      </w:pPr>
      <w:r>
        <w:t xml:space="preserve">1.7.1 </w:t>
      </w:r>
      <w:r w:rsidR="0056150E" w:rsidRPr="00171757">
        <w:t>Anti-integrin therapies</w:t>
      </w:r>
    </w:p>
    <w:p w14:paraId="1C9952E1" w14:textId="288059B1" w:rsidR="004D1C5F" w:rsidRPr="00171757" w:rsidRDefault="0056150E" w:rsidP="004D0D7D">
      <w:pPr>
        <w:tabs>
          <w:tab w:val="left" w:pos="993"/>
        </w:tabs>
        <w:spacing w:line="480" w:lineRule="auto"/>
        <w:jc w:val="both"/>
      </w:pPr>
      <w:r w:rsidRPr="00171757">
        <w:tab/>
      </w:r>
      <w:r w:rsidR="00796ED9" w:rsidRPr="00171757">
        <w:t>Anti-</w:t>
      </w:r>
      <w:r w:rsidR="00C0038F" w:rsidRPr="00171757">
        <w:t>integrin</w:t>
      </w:r>
      <w:r w:rsidR="00796ED9" w:rsidRPr="00171757">
        <w:t xml:space="preserve"> therapies target interactions between leukocytes and adhesion molecules, ultimately mod</w:t>
      </w:r>
      <w:r w:rsidR="00DB1036" w:rsidRPr="00171757">
        <w:t>ulating leukocyte trafficking. N</w:t>
      </w:r>
      <w:r w:rsidR="00796ED9" w:rsidRPr="00171757">
        <w:t>atalizumab</w:t>
      </w:r>
      <w:r w:rsidR="0090732B" w:rsidRPr="00171757">
        <w:t>,</w:t>
      </w:r>
      <w:r w:rsidR="00796ED9" w:rsidRPr="00171757">
        <w:t xml:space="preserve"> a humanised monoclonal </w:t>
      </w:r>
      <w:r w:rsidR="00796ED9" w:rsidRPr="00171757">
        <w:lastRenderedPageBreak/>
        <w:t xml:space="preserve">antibody </w:t>
      </w:r>
      <w:r w:rsidR="0090732B" w:rsidRPr="00171757">
        <w:t>that inhibits</w:t>
      </w:r>
      <w:r w:rsidR="00796ED9" w:rsidRPr="00171757">
        <w:t xml:space="preserve"> </w:t>
      </w:r>
      <w:r w:rsidR="00FB2C6C" w:rsidRPr="00171757">
        <w:t>VLA-4</w:t>
      </w:r>
      <w:r w:rsidR="0090732B" w:rsidRPr="00171757">
        <w:t xml:space="preserve">−VCAM-1 </w:t>
      </w:r>
      <w:r w:rsidR="006444DC" w:rsidRPr="00171757">
        <w:t>and LPAM-1</w:t>
      </w:r>
      <w:r w:rsidR="0090732B" w:rsidRPr="00171757">
        <w:t xml:space="preserve">−MadCAM-1 interactions, </w:t>
      </w:r>
      <w:r w:rsidR="006444DC" w:rsidRPr="00171757">
        <w:t xml:space="preserve">is an approved treatment for </w:t>
      </w:r>
      <w:r w:rsidR="00D02C94" w:rsidRPr="00171757">
        <w:t>CD</w:t>
      </w:r>
      <w:r w:rsidR="00AD75B5" w:rsidRPr="00171757">
        <w:t xml:space="preserve"> [11</w:t>
      </w:r>
      <w:r w:rsidR="002A7623">
        <w:t>7</w:t>
      </w:r>
      <w:r w:rsidR="00AD75B5" w:rsidRPr="00171757">
        <w:t>]</w:t>
      </w:r>
      <w:r w:rsidR="0090732B" w:rsidRPr="00171757">
        <w:t>. After 2 weeks of treatment, Natalizumab</w:t>
      </w:r>
      <w:r w:rsidR="00454EA6" w:rsidRPr="00171757">
        <w:t xml:space="preserve"> disrupted</w:t>
      </w:r>
      <w:r w:rsidR="0090732B" w:rsidRPr="00171757">
        <w:t xml:space="preserve"> the </w:t>
      </w:r>
      <w:r w:rsidR="00454EA6" w:rsidRPr="00171757">
        <w:t>extravasation of</w:t>
      </w:r>
      <w:r w:rsidR="0090732B" w:rsidRPr="00171757">
        <w:t xml:space="preserve"> </w:t>
      </w:r>
      <w:r w:rsidR="00805724" w:rsidRPr="00171757">
        <w:t>B-cell</w:t>
      </w:r>
      <w:r w:rsidR="00764660">
        <w:t>s</w:t>
      </w:r>
      <w:r w:rsidR="00805724" w:rsidRPr="00171757">
        <w:t xml:space="preserve"> and T-cell</w:t>
      </w:r>
      <w:r w:rsidR="00764660">
        <w:t>s</w:t>
      </w:r>
      <w:r w:rsidR="00805724" w:rsidRPr="00171757">
        <w:t xml:space="preserve"> </w:t>
      </w:r>
      <w:r w:rsidR="00454EA6" w:rsidRPr="00171757">
        <w:t xml:space="preserve">from </w:t>
      </w:r>
      <w:r w:rsidR="00966694" w:rsidRPr="00171757">
        <w:t xml:space="preserve">the </w:t>
      </w:r>
      <w:r w:rsidR="00454EA6" w:rsidRPr="00171757">
        <w:t>circulation</w:t>
      </w:r>
      <w:r w:rsidR="0090732B" w:rsidRPr="00171757">
        <w:t xml:space="preserve">, </w:t>
      </w:r>
      <w:r w:rsidR="00454EA6" w:rsidRPr="00171757">
        <w:t>and reduced</w:t>
      </w:r>
      <w:r w:rsidR="0090732B" w:rsidRPr="00171757">
        <w:t xml:space="preserve"> </w:t>
      </w:r>
      <w:r w:rsidR="00D02C94" w:rsidRPr="00171757">
        <w:t>CD</w:t>
      </w:r>
      <w:r w:rsidR="00805724" w:rsidRPr="00171757">
        <w:t xml:space="preserve"> activity</w:t>
      </w:r>
      <w:r w:rsidR="00AD75B5" w:rsidRPr="00171757">
        <w:t xml:space="preserve"> [1</w:t>
      </w:r>
      <w:r w:rsidR="002A7623">
        <w:t>18</w:t>
      </w:r>
      <w:r w:rsidR="00AD75B5" w:rsidRPr="00171757">
        <w:t>]</w:t>
      </w:r>
      <w:r w:rsidR="00805724" w:rsidRPr="00171757">
        <w:t xml:space="preserve">. However, </w:t>
      </w:r>
      <w:r w:rsidR="000B384F" w:rsidRPr="00171757">
        <w:t>treatment with N</w:t>
      </w:r>
      <w:r w:rsidR="00805724" w:rsidRPr="00171757">
        <w:t xml:space="preserve">atalizumab </w:t>
      </w:r>
      <w:r w:rsidR="008E32F3" w:rsidRPr="00171757">
        <w:t>had</w:t>
      </w:r>
      <w:r w:rsidR="00D907AF" w:rsidRPr="00171757">
        <w:t xml:space="preserve"> profound </w:t>
      </w:r>
      <w:r w:rsidR="00966694" w:rsidRPr="00171757">
        <w:t xml:space="preserve">side </w:t>
      </w:r>
      <w:r w:rsidR="00D907AF" w:rsidRPr="00171757">
        <w:t xml:space="preserve">effects on T-cells in the cerebrospinal fluid of young patients with multiple sclerosis, including </w:t>
      </w:r>
      <w:r w:rsidR="00805724" w:rsidRPr="00171757">
        <w:t xml:space="preserve">restriction </w:t>
      </w:r>
      <w:r w:rsidR="000B384F" w:rsidRPr="00171757">
        <w:t xml:space="preserve">in </w:t>
      </w:r>
      <w:r w:rsidR="00805724" w:rsidRPr="00171757">
        <w:t>the TCR repertoire</w:t>
      </w:r>
      <w:r w:rsidR="00D907AF" w:rsidRPr="00171757">
        <w:t xml:space="preserve"> and delaying the expansion of antigen-specific T-cells</w:t>
      </w:r>
      <w:r w:rsidR="00AD75B5" w:rsidRPr="00171757">
        <w:t xml:space="preserve"> [1</w:t>
      </w:r>
      <w:r w:rsidR="002A7623">
        <w:t>19</w:t>
      </w:r>
      <w:r w:rsidR="00AD75B5" w:rsidRPr="00171757">
        <w:t>]</w:t>
      </w:r>
      <w:r w:rsidR="008E32F3" w:rsidRPr="00171757">
        <w:t>. Importantly, long-term treatment of Natalizumab is associated with an</w:t>
      </w:r>
      <w:r w:rsidR="00805724" w:rsidRPr="00171757">
        <w:t xml:space="preserve"> increased risk of developing natalizumab-related progressive multifocal leukoencephalopathy</w:t>
      </w:r>
      <w:r w:rsidR="008E32F3" w:rsidRPr="00171757">
        <w:t xml:space="preserve"> (nrPML), a demyelinating </w:t>
      </w:r>
      <w:r w:rsidR="005C4A53" w:rsidRPr="00171757">
        <w:t>disease</w:t>
      </w:r>
      <w:r w:rsidR="008E32F3" w:rsidRPr="00171757">
        <w:t xml:space="preserve"> of the central nervous system caused by the John Cunningham virus (JCV)</w:t>
      </w:r>
      <w:r w:rsidR="004D1C5F" w:rsidRPr="00171757">
        <w:t>, particularly in older adults</w:t>
      </w:r>
      <w:r w:rsidR="00AD75B5" w:rsidRPr="00171757">
        <w:t xml:space="preserve"> [12</w:t>
      </w:r>
      <w:r w:rsidR="002A7623">
        <w:t>0</w:t>
      </w:r>
      <w:r w:rsidR="00AD75B5" w:rsidRPr="00171757">
        <w:t>]</w:t>
      </w:r>
      <w:r w:rsidR="008E32F3" w:rsidRPr="00171757">
        <w:t>.</w:t>
      </w:r>
      <w:r w:rsidR="004D1C5F" w:rsidRPr="00171757">
        <w:t xml:space="preserve"> </w:t>
      </w:r>
      <w:r w:rsidR="008E32F3" w:rsidRPr="00171757">
        <w:t xml:space="preserve">Natalizumab </w:t>
      </w:r>
      <w:r w:rsidR="004D1C5F" w:rsidRPr="00171757">
        <w:t>treatment</w:t>
      </w:r>
      <w:r w:rsidR="008E32F3" w:rsidRPr="00171757">
        <w:t xml:space="preserve"> is believed to </w:t>
      </w:r>
      <w:r w:rsidR="008C427B" w:rsidRPr="00171757">
        <w:t>in</w:t>
      </w:r>
      <w:r w:rsidR="008E32F3" w:rsidRPr="00171757">
        <w:t xml:space="preserve">crease the risk of nrPML through preventing JCV-specific T-cells </w:t>
      </w:r>
      <w:r w:rsidR="004D1C5F" w:rsidRPr="00171757">
        <w:t>trafficking into</w:t>
      </w:r>
      <w:r w:rsidR="008E32F3" w:rsidRPr="00171757">
        <w:t xml:space="preserve"> the brain, preventing lymphocyte retention in the BM (site of JCV latency) and by inducing </w:t>
      </w:r>
      <w:r w:rsidR="004D1C5F" w:rsidRPr="00171757">
        <w:t>expression of the Spi-B, the transcription factor that increases JCV transcription, in B-cells</w:t>
      </w:r>
      <w:r w:rsidR="00AD75B5" w:rsidRPr="00171757">
        <w:t xml:space="preserve"> [12</w:t>
      </w:r>
      <w:r w:rsidR="002A7623">
        <w:t>1</w:t>
      </w:r>
      <w:r w:rsidR="00AD75B5" w:rsidRPr="00171757">
        <w:t>]</w:t>
      </w:r>
      <w:r w:rsidR="004D1C5F" w:rsidRPr="00171757">
        <w:t>.</w:t>
      </w:r>
      <w:r w:rsidR="008C427B" w:rsidRPr="00171757">
        <w:t xml:space="preserve"> </w:t>
      </w:r>
    </w:p>
    <w:p w14:paraId="73A85961" w14:textId="26B956EB" w:rsidR="00152528" w:rsidRPr="00171757" w:rsidRDefault="004D1C5F" w:rsidP="004D0D7D">
      <w:pPr>
        <w:tabs>
          <w:tab w:val="left" w:pos="993"/>
        </w:tabs>
        <w:spacing w:line="480" w:lineRule="auto"/>
        <w:jc w:val="both"/>
      </w:pPr>
      <w:r w:rsidRPr="00171757">
        <w:tab/>
      </w:r>
      <w:r w:rsidR="00B866E2" w:rsidRPr="00171757">
        <w:t>Vedolizumab</w:t>
      </w:r>
      <w:r w:rsidR="00254085" w:rsidRPr="00171757">
        <w:t xml:space="preserve"> is</w:t>
      </w:r>
      <w:r w:rsidR="00B866E2" w:rsidRPr="00171757">
        <w:t xml:space="preserve"> a humanized monoclonal antibody directed against </w:t>
      </w:r>
      <w:r w:rsidR="00EE25BE" w:rsidRPr="00171757">
        <w:t>LPAM-1</w:t>
      </w:r>
      <w:r w:rsidR="0091538E" w:rsidRPr="00171757">
        <w:t xml:space="preserve">, </w:t>
      </w:r>
      <w:r w:rsidR="00C37275" w:rsidRPr="00171757">
        <w:t xml:space="preserve">blocking </w:t>
      </w:r>
      <w:r w:rsidR="00EE25BE" w:rsidRPr="00171757">
        <w:t>its interaction with MadCAM-1 on activated endothelial cells</w:t>
      </w:r>
      <w:r w:rsidR="00C37275" w:rsidRPr="00171757">
        <w:t xml:space="preserve">, and is an approved therapeutic for the treatment of inflammatory bowel diseases </w:t>
      </w:r>
      <w:r w:rsidR="00C37275" w:rsidRPr="00171757">
        <w:lastRenderedPageBreak/>
        <w:t xml:space="preserve">such as </w:t>
      </w:r>
      <w:r w:rsidR="00D02C94" w:rsidRPr="00171757">
        <w:t>CD</w:t>
      </w:r>
      <w:r w:rsidR="00C37275" w:rsidRPr="00171757">
        <w:t xml:space="preserve"> and ulcerative colitis</w:t>
      </w:r>
      <w:r w:rsidR="00AD75B5" w:rsidRPr="00171757">
        <w:t xml:space="preserve"> [12</w:t>
      </w:r>
      <w:r w:rsidR="002A7623">
        <w:t>2</w:t>
      </w:r>
      <w:r w:rsidR="00AD75B5" w:rsidRPr="00171757">
        <w:t>]</w:t>
      </w:r>
      <w:r w:rsidR="00EE25BE" w:rsidRPr="00171757">
        <w:t xml:space="preserve">. </w:t>
      </w:r>
      <w:r w:rsidR="001761D9" w:rsidRPr="00171757">
        <w:t xml:space="preserve">In </w:t>
      </w:r>
      <w:r w:rsidR="00C37275" w:rsidRPr="00171757">
        <w:t>cotton-top tamarins with chronic colitis</w:t>
      </w:r>
      <w:r w:rsidR="001761D9" w:rsidRPr="00171757">
        <w:t xml:space="preserve">, Vedolizumab treatment </w:t>
      </w:r>
      <w:r w:rsidR="00C37275" w:rsidRPr="00171757">
        <w:t>disrupted</w:t>
      </w:r>
      <w:r w:rsidR="0037230B" w:rsidRPr="00171757">
        <w:t xml:space="preserve"> the trafficking of T-cells, neutrophils and macrophages to mucosal sites</w:t>
      </w:r>
      <w:r w:rsidR="00C37275" w:rsidRPr="00171757">
        <w:t xml:space="preserve"> and reduced the colonic inflammatory activity score</w:t>
      </w:r>
      <w:r w:rsidR="00AD75B5" w:rsidRPr="00171757">
        <w:t xml:space="preserve"> [12</w:t>
      </w:r>
      <w:r w:rsidR="002A7623">
        <w:t>3</w:t>
      </w:r>
      <w:r w:rsidR="00AD75B5" w:rsidRPr="00171757">
        <w:t>]</w:t>
      </w:r>
      <w:r w:rsidR="0037230B" w:rsidRPr="00171757">
        <w:t>.</w:t>
      </w:r>
      <w:r w:rsidR="00C91EAF" w:rsidRPr="00171757">
        <w:t xml:space="preserve"> </w:t>
      </w:r>
      <w:r w:rsidR="00C37275" w:rsidRPr="00171757">
        <w:t xml:space="preserve">Importantly, Vedolizumab treatment increased the rate of mucosal healing in older patients with </w:t>
      </w:r>
      <w:r w:rsidR="00D02C94" w:rsidRPr="00171757">
        <w:t xml:space="preserve">CD </w:t>
      </w:r>
      <w:r w:rsidR="00C37275" w:rsidRPr="00171757">
        <w:t>and ulcerative colitis</w:t>
      </w:r>
      <w:r w:rsidR="00C91EAF" w:rsidRPr="00171757">
        <w:t>,</w:t>
      </w:r>
      <w:r w:rsidR="00C37275" w:rsidRPr="00171757">
        <w:t xml:space="preserve"> with only a low incidence of mild side effects such as dyspnea, rashes and arthralgia</w:t>
      </w:r>
      <w:r w:rsidR="00AD75B5" w:rsidRPr="00171757">
        <w:t xml:space="preserve"> [12</w:t>
      </w:r>
      <w:r w:rsidR="002A7623">
        <w:t>4</w:t>
      </w:r>
      <w:r w:rsidR="00AD75B5" w:rsidRPr="00171757">
        <w:t>]</w:t>
      </w:r>
      <w:r w:rsidR="00C37275" w:rsidRPr="00171757">
        <w:t>.</w:t>
      </w:r>
      <w:r w:rsidR="00C91EAF" w:rsidRPr="00171757">
        <w:t xml:space="preserve"> </w:t>
      </w:r>
      <w:r w:rsidR="00C37275" w:rsidRPr="00171757">
        <w:t>L</w:t>
      </w:r>
      <w:r w:rsidR="00C91EAF" w:rsidRPr="00171757">
        <w:t xml:space="preserve">ong-term </w:t>
      </w:r>
      <w:r w:rsidR="00C37275" w:rsidRPr="00171757">
        <w:t xml:space="preserve">treatment of older adults with Vedolizumab therefore appears to be </w:t>
      </w:r>
      <w:r w:rsidR="00C91EAF" w:rsidRPr="00171757">
        <w:t>effective and saf</w:t>
      </w:r>
      <w:r w:rsidR="00C37275" w:rsidRPr="00171757">
        <w:t>e.</w:t>
      </w:r>
      <w:r w:rsidR="00C91EAF" w:rsidRPr="00171757">
        <w:t xml:space="preserve"> </w:t>
      </w:r>
    </w:p>
    <w:p w14:paraId="3129C2E0" w14:textId="41066518" w:rsidR="00152528" w:rsidRPr="00171757" w:rsidRDefault="00152528" w:rsidP="005F2C03">
      <w:pPr>
        <w:spacing w:line="480" w:lineRule="auto"/>
        <w:jc w:val="both"/>
      </w:pPr>
      <w:r w:rsidRPr="00171757">
        <w:tab/>
        <w:t>Integrins have also been explored as therapeutic targets of dermatological inflammation</w:t>
      </w:r>
      <w:r w:rsidR="000E4A96" w:rsidRPr="00171757">
        <w:t>, such as psoriasis</w:t>
      </w:r>
      <w:r w:rsidRPr="00171757">
        <w:t>, albeit not to the same extent as inflammatory bowel diseases</w:t>
      </w:r>
      <w:r w:rsidR="00AD75B5" w:rsidRPr="00171757">
        <w:t xml:space="preserve"> [12</w:t>
      </w:r>
      <w:r w:rsidR="002A7623">
        <w:t>5</w:t>
      </w:r>
      <w:r w:rsidR="00AD75B5" w:rsidRPr="00171757">
        <w:t>, 12</w:t>
      </w:r>
      <w:r w:rsidR="002A7623">
        <w:t>6</w:t>
      </w:r>
      <w:r w:rsidR="00AD75B5" w:rsidRPr="00171757">
        <w:t>]</w:t>
      </w:r>
      <w:r w:rsidRPr="00171757">
        <w:t>. In a murine model of dinitrofluorobenzene (DNFB)-induced contact hypersensitivity, β7</w:t>
      </w:r>
      <w:r w:rsidRPr="00171757">
        <w:rPr>
          <w:vertAlign w:val="superscript"/>
        </w:rPr>
        <w:t>-/-</w:t>
      </w:r>
      <w:r w:rsidRPr="00171757">
        <w:t xml:space="preserve"> mice exhibited blunted contact hypersensitivity responses and reduced cutaneous inflammation compared to </w:t>
      </w:r>
      <w:r w:rsidR="001B265B" w:rsidRPr="00171757">
        <w:t>wild type C57B</w:t>
      </w:r>
      <w:r w:rsidR="000F21BA" w:rsidRPr="00171757">
        <w:t>L/</w:t>
      </w:r>
      <w:r w:rsidR="001B265B" w:rsidRPr="00171757">
        <w:t>6</w:t>
      </w:r>
      <w:r w:rsidRPr="00171757">
        <w:t xml:space="preserve"> mice</w:t>
      </w:r>
      <w:r w:rsidR="001B265B" w:rsidRPr="00171757">
        <w:t>, attributed to the impaired trafficking of sensitised</w:t>
      </w:r>
      <w:r w:rsidRPr="00171757">
        <w:t xml:space="preserve"> </w:t>
      </w:r>
      <w:r w:rsidR="001B265B" w:rsidRPr="00171757">
        <w:t>β7</w:t>
      </w:r>
      <w:r w:rsidR="001B265B" w:rsidRPr="00171757">
        <w:rPr>
          <w:vertAlign w:val="superscript"/>
        </w:rPr>
        <w:t>-/-</w:t>
      </w:r>
      <w:r w:rsidR="001B265B" w:rsidRPr="00171757">
        <w:t xml:space="preserve"> T-cells into the skin</w:t>
      </w:r>
      <w:r w:rsidR="00AD75B5" w:rsidRPr="00171757">
        <w:t xml:space="preserve"> [12</w:t>
      </w:r>
      <w:r w:rsidR="002A7623">
        <w:t>6</w:t>
      </w:r>
      <w:r w:rsidR="00AD75B5" w:rsidRPr="00171757">
        <w:t>]</w:t>
      </w:r>
      <w:r w:rsidRPr="00171757">
        <w:t xml:space="preserve">. </w:t>
      </w:r>
      <w:r w:rsidR="001B265B" w:rsidRPr="00171757">
        <w:t>Importantly, t</w:t>
      </w:r>
      <w:r w:rsidR="004E0474" w:rsidRPr="00171757">
        <w:t>he</w:t>
      </w:r>
      <w:r w:rsidRPr="00171757">
        <w:t xml:space="preserve"> effects</w:t>
      </w:r>
      <w:r w:rsidR="001B265B" w:rsidRPr="00171757">
        <w:t xml:space="preserve"> of β7 depletion on cutaneous inflammation during contact hypersensitivity</w:t>
      </w:r>
      <w:r w:rsidRPr="00171757">
        <w:t xml:space="preserve"> were mimicked by </w:t>
      </w:r>
      <w:r w:rsidR="001B265B" w:rsidRPr="00171757">
        <w:t xml:space="preserve">the </w:t>
      </w:r>
      <w:r w:rsidR="004B7298" w:rsidRPr="00171757">
        <w:t xml:space="preserve">intraperitoneal </w:t>
      </w:r>
      <w:r w:rsidRPr="00171757">
        <w:t xml:space="preserve">administration of anti-LPAM into DNFB-sensitised </w:t>
      </w:r>
      <w:r w:rsidR="004B7298" w:rsidRPr="00171757">
        <w:t>C57B</w:t>
      </w:r>
      <w:r w:rsidR="000F21BA" w:rsidRPr="00171757">
        <w:t>L/</w:t>
      </w:r>
      <w:r w:rsidR="004B7298" w:rsidRPr="00171757">
        <w:t xml:space="preserve">6 </w:t>
      </w:r>
      <w:r w:rsidRPr="00171757">
        <w:t xml:space="preserve">mice. </w:t>
      </w:r>
      <w:r w:rsidR="001B265B" w:rsidRPr="00171757">
        <w:t>There is obvious interest in the use of anti-integrin therapies in various inflammation-driven disease</w:t>
      </w:r>
      <w:r w:rsidR="000E4A96" w:rsidRPr="00171757">
        <w:t xml:space="preserve">s, including inflammatory bowel </w:t>
      </w:r>
      <w:r w:rsidR="000E4A96" w:rsidRPr="00171757">
        <w:lastRenderedPageBreak/>
        <w:t>diseases and psoriasis, however, whether anti-integrin therapies will play a role in regulating leukocyte trafficking in older adults</w:t>
      </w:r>
      <w:r w:rsidR="00F84282" w:rsidRPr="00171757">
        <w:t xml:space="preserve"> and reduce </w:t>
      </w:r>
      <w:r w:rsidR="00764660">
        <w:t xml:space="preserve">the </w:t>
      </w:r>
      <w:r w:rsidR="00F84282" w:rsidRPr="00171757">
        <w:t>incidence of age-associated inflammatory diseases</w:t>
      </w:r>
      <w:r w:rsidR="000E4A96" w:rsidRPr="00171757">
        <w:t xml:space="preserve"> is currently unknown.</w:t>
      </w:r>
    </w:p>
    <w:p w14:paraId="699107C7" w14:textId="13C47EE0" w:rsidR="0056150E" w:rsidRPr="00171757" w:rsidRDefault="00764660" w:rsidP="005F2C03">
      <w:pPr>
        <w:pStyle w:val="Heading3"/>
        <w:spacing w:line="480" w:lineRule="auto"/>
        <w:jc w:val="both"/>
      </w:pPr>
      <w:r>
        <w:t xml:space="preserve">1.7.2 </w:t>
      </w:r>
      <w:r w:rsidR="0056150E" w:rsidRPr="00171757">
        <w:t xml:space="preserve">Anti-chemokine </w:t>
      </w:r>
      <w:r>
        <w:t>t</w:t>
      </w:r>
      <w:r w:rsidR="0056150E" w:rsidRPr="00171757">
        <w:t>herapies</w:t>
      </w:r>
    </w:p>
    <w:p w14:paraId="4482A1E4" w14:textId="2B4F1D86" w:rsidR="00D15F07" w:rsidRPr="00171757" w:rsidRDefault="00D15F07" w:rsidP="005F2C03">
      <w:pPr>
        <w:spacing w:line="480" w:lineRule="auto"/>
        <w:ind w:firstLine="720"/>
        <w:jc w:val="both"/>
      </w:pPr>
      <w:r w:rsidRPr="00171757">
        <w:t>Anti-chemokine therapies target chemokine-chemokine receptor interactions to disrupt the trafficking of leukocytes in the context of inflammatory disease</w:t>
      </w:r>
      <w:r w:rsidR="00734213" w:rsidRPr="00171757">
        <w:t>s</w:t>
      </w:r>
      <w:r w:rsidR="00AD75B5" w:rsidRPr="00171757">
        <w:t xml:space="preserve"> [12</w:t>
      </w:r>
      <w:r w:rsidR="002A7623">
        <w:t>7</w:t>
      </w:r>
      <w:r w:rsidR="00AD75B5" w:rsidRPr="00171757">
        <w:t>, 1</w:t>
      </w:r>
      <w:r w:rsidR="002A7623">
        <w:t>28</w:t>
      </w:r>
      <w:r w:rsidR="00AD75B5" w:rsidRPr="00171757">
        <w:t>]</w:t>
      </w:r>
      <w:r w:rsidR="000A3BDF" w:rsidRPr="00171757">
        <w:t>.</w:t>
      </w:r>
      <w:r w:rsidRPr="00171757">
        <w:t xml:space="preserve"> Such therapies include neutralizing antibodies and small molecule inhibitors, which target chemokine receptors. CCX282-B, a small molecule inhibitor of CCR9, has shown great promise in the context </w:t>
      </w:r>
      <w:r w:rsidR="0087405E" w:rsidRPr="00171757">
        <w:t xml:space="preserve">of </w:t>
      </w:r>
      <w:r w:rsidR="00D02C94" w:rsidRPr="00171757">
        <w:t>CD</w:t>
      </w:r>
      <w:r w:rsidRPr="00171757">
        <w:t xml:space="preserve"> treatment. In a preclinical study, CCX282-B was shown to prevent the development of spontaneous ileitis in TNF</w:t>
      </w:r>
      <w:r w:rsidRPr="00171757">
        <w:rPr>
          <w:color w:val="000000"/>
          <w:shd w:val="clear" w:color="auto" w:fill="FFFFFF"/>
          <w:vertAlign w:val="superscript"/>
        </w:rPr>
        <w:t>ΔARE</w:t>
      </w:r>
      <w:r w:rsidR="004E0474" w:rsidRPr="00171757">
        <w:t xml:space="preserve"> mice, and</w:t>
      </w:r>
      <w:r w:rsidRPr="00171757">
        <w:t xml:space="preserve"> inhibit the CCR9-directed chemotaxis of human T-cells </w:t>
      </w:r>
      <w:r w:rsidRPr="00171757">
        <w:rPr>
          <w:i/>
        </w:rPr>
        <w:t>in vitro</w:t>
      </w:r>
      <w:r w:rsidR="00AD75B5" w:rsidRPr="00171757">
        <w:t xml:space="preserve"> [1</w:t>
      </w:r>
      <w:r w:rsidR="002A7623">
        <w:t>29</w:t>
      </w:r>
      <w:r w:rsidR="00AD75B5" w:rsidRPr="00171757">
        <w:t>]</w:t>
      </w:r>
      <w:r w:rsidRPr="00171757">
        <w:t>. CCX282-B appeared effective at treating CD in a phase II clinical trial, as CD activity index was severely reduced in patients who received 500mg CCX282-B once daily for 12-weeks compared to the placebo group</w:t>
      </w:r>
      <w:r w:rsidR="00AD75B5" w:rsidRPr="00171757">
        <w:t xml:space="preserve"> [13</w:t>
      </w:r>
      <w:r w:rsidR="002A7623">
        <w:t>0</w:t>
      </w:r>
      <w:r w:rsidR="00AD75B5" w:rsidRPr="00171757">
        <w:t>]</w:t>
      </w:r>
      <w:r w:rsidRPr="00171757">
        <w:t>. However, CCX282-B failed to show any therapeutic benefit in the context of CD in a phase III trial, although the reasons remain unclear</w:t>
      </w:r>
      <w:r w:rsidR="00AD75B5" w:rsidRPr="00171757">
        <w:t xml:space="preserve"> [13</w:t>
      </w:r>
      <w:r w:rsidR="002A7623">
        <w:t>0</w:t>
      </w:r>
      <w:r w:rsidR="00AD75B5" w:rsidRPr="00171757">
        <w:t>]</w:t>
      </w:r>
      <w:r w:rsidR="000A3BDF" w:rsidRPr="00171757">
        <w:t>.</w:t>
      </w:r>
      <w:r w:rsidRPr="00171757">
        <w:t xml:space="preserve"> The development of anti-chemokine therapies remains an attractive </w:t>
      </w:r>
      <w:r w:rsidR="004E0474" w:rsidRPr="00171757">
        <w:t>strategy</w:t>
      </w:r>
      <w:r w:rsidRPr="00171757">
        <w:t xml:space="preserve"> to treat inflammatory diseases </w:t>
      </w:r>
      <w:r w:rsidRPr="00171757">
        <w:lastRenderedPageBreak/>
        <w:t>through disrupting leukocyte trafficking. However, the field has had very little success in this area, potentially due to the redundancy in the chemokine system.</w:t>
      </w:r>
    </w:p>
    <w:p w14:paraId="2F39B472" w14:textId="45FE37DF" w:rsidR="0056150E" w:rsidRPr="00171757" w:rsidRDefault="00764660" w:rsidP="005F2C03">
      <w:pPr>
        <w:pStyle w:val="Heading3"/>
        <w:spacing w:line="480" w:lineRule="auto"/>
        <w:jc w:val="both"/>
        <w:rPr>
          <w:shd w:val="clear" w:color="auto" w:fill="FFFFFF"/>
        </w:rPr>
      </w:pPr>
      <w:r>
        <w:rPr>
          <w:shd w:val="clear" w:color="auto" w:fill="FFFFFF"/>
        </w:rPr>
        <w:t xml:space="preserve">1.7.3 </w:t>
      </w:r>
      <w:r w:rsidR="0056150E" w:rsidRPr="00171757">
        <w:rPr>
          <w:shd w:val="clear" w:color="auto" w:fill="FFFFFF"/>
        </w:rPr>
        <w:t>Statins</w:t>
      </w:r>
    </w:p>
    <w:p w14:paraId="410EB40E" w14:textId="521BA7F6" w:rsidR="00FC3A4E" w:rsidRPr="00171757" w:rsidRDefault="00F432D3" w:rsidP="005F2C03">
      <w:pPr>
        <w:spacing w:line="480" w:lineRule="auto"/>
        <w:ind w:firstLine="720"/>
        <w:jc w:val="both"/>
        <w:rPr>
          <w:szCs w:val="20"/>
        </w:rPr>
      </w:pPr>
      <w:r w:rsidRPr="00171757">
        <w:rPr>
          <w:color w:val="000000"/>
          <w:szCs w:val="20"/>
          <w:shd w:val="clear" w:color="auto" w:fill="FFFFFF"/>
        </w:rPr>
        <w:t>3-Hydroxy-3-methylglutaryl coenzyme A reductase inhibitors (statins)</w:t>
      </w:r>
      <w:r w:rsidR="00C4008E" w:rsidRPr="00171757">
        <w:rPr>
          <w:color w:val="000000"/>
          <w:szCs w:val="20"/>
          <w:shd w:val="clear" w:color="auto" w:fill="FFFFFF"/>
        </w:rPr>
        <w:t xml:space="preserve"> </w:t>
      </w:r>
      <w:r w:rsidRPr="00171757">
        <w:rPr>
          <w:color w:val="000000"/>
          <w:szCs w:val="20"/>
          <w:shd w:val="clear" w:color="auto" w:fill="FFFFFF"/>
        </w:rPr>
        <w:t>are used to treat a range of cardiovascular diseases</w:t>
      </w:r>
      <w:r w:rsidR="00932910" w:rsidRPr="00171757">
        <w:rPr>
          <w:color w:val="000000"/>
          <w:szCs w:val="20"/>
          <w:shd w:val="clear" w:color="auto" w:fill="FFFFFF"/>
        </w:rPr>
        <w:t xml:space="preserve"> through lowering circulating cholesterol levels and preventing atheroma</w:t>
      </w:r>
      <w:r w:rsidR="00AD75B5" w:rsidRPr="00171757">
        <w:rPr>
          <w:color w:val="000000"/>
          <w:szCs w:val="20"/>
          <w:shd w:val="clear" w:color="auto" w:fill="FFFFFF"/>
        </w:rPr>
        <w:t xml:space="preserve"> [13</w:t>
      </w:r>
      <w:r w:rsidR="002A7623">
        <w:rPr>
          <w:color w:val="000000"/>
          <w:szCs w:val="20"/>
          <w:shd w:val="clear" w:color="auto" w:fill="FFFFFF"/>
        </w:rPr>
        <w:t>1</w:t>
      </w:r>
      <w:r w:rsidR="00AD75B5" w:rsidRPr="00171757">
        <w:rPr>
          <w:color w:val="000000"/>
          <w:szCs w:val="20"/>
          <w:shd w:val="clear" w:color="auto" w:fill="FFFFFF"/>
        </w:rPr>
        <w:t>]</w:t>
      </w:r>
      <w:r w:rsidR="00932910" w:rsidRPr="00171757">
        <w:rPr>
          <w:color w:val="000000"/>
          <w:szCs w:val="20"/>
          <w:shd w:val="clear" w:color="auto" w:fill="FFFFFF"/>
        </w:rPr>
        <w:t>. H</w:t>
      </w:r>
      <w:r w:rsidRPr="00171757">
        <w:rPr>
          <w:color w:val="000000"/>
          <w:szCs w:val="20"/>
          <w:shd w:val="clear" w:color="auto" w:fill="FFFFFF"/>
        </w:rPr>
        <w:t xml:space="preserve">owever, </w:t>
      </w:r>
      <w:r w:rsidR="00932910" w:rsidRPr="00171757">
        <w:rPr>
          <w:color w:val="000000"/>
          <w:szCs w:val="20"/>
          <w:shd w:val="clear" w:color="auto" w:fill="FFFFFF"/>
        </w:rPr>
        <w:t>statins also</w:t>
      </w:r>
      <w:r w:rsidRPr="00171757">
        <w:rPr>
          <w:color w:val="000000"/>
          <w:szCs w:val="20"/>
          <w:shd w:val="clear" w:color="auto" w:fill="FFFFFF"/>
        </w:rPr>
        <w:t xml:space="preserve"> modulate </w:t>
      </w:r>
      <w:r w:rsidR="00932910" w:rsidRPr="00171757">
        <w:rPr>
          <w:color w:val="000000"/>
          <w:szCs w:val="20"/>
          <w:shd w:val="clear" w:color="auto" w:fill="FFFFFF"/>
        </w:rPr>
        <w:t>the migration of leukocytes</w:t>
      </w:r>
      <w:r w:rsidR="00AD75B5" w:rsidRPr="00171757">
        <w:rPr>
          <w:color w:val="000000"/>
          <w:szCs w:val="20"/>
          <w:shd w:val="clear" w:color="auto" w:fill="FFFFFF"/>
        </w:rPr>
        <w:t xml:space="preserve"> [13</w:t>
      </w:r>
      <w:r w:rsidR="002A7623">
        <w:rPr>
          <w:color w:val="000000"/>
          <w:szCs w:val="20"/>
          <w:shd w:val="clear" w:color="auto" w:fill="FFFFFF"/>
        </w:rPr>
        <w:t>2</w:t>
      </w:r>
      <w:r w:rsidR="00AD75B5" w:rsidRPr="00171757">
        <w:rPr>
          <w:color w:val="000000"/>
          <w:szCs w:val="20"/>
          <w:shd w:val="clear" w:color="auto" w:fill="FFFFFF"/>
        </w:rPr>
        <w:t>, 13</w:t>
      </w:r>
      <w:r w:rsidR="002A7623">
        <w:rPr>
          <w:color w:val="000000"/>
          <w:szCs w:val="20"/>
          <w:shd w:val="clear" w:color="auto" w:fill="FFFFFF"/>
        </w:rPr>
        <w:t>3</w:t>
      </w:r>
      <w:r w:rsidR="00AD75B5" w:rsidRPr="00171757">
        <w:rPr>
          <w:color w:val="000000"/>
          <w:szCs w:val="20"/>
          <w:shd w:val="clear" w:color="auto" w:fill="FFFFFF"/>
        </w:rPr>
        <w:t>]</w:t>
      </w:r>
      <w:r w:rsidR="00932910" w:rsidRPr="00171757">
        <w:rPr>
          <w:color w:val="000000"/>
          <w:szCs w:val="20"/>
          <w:shd w:val="clear" w:color="auto" w:fill="FFFFFF"/>
        </w:rPr>
        <w:t>. Statins inhibit</w:t>
      </w:r>
      <w:r w:rsidR="001D1E03" w:rsidRPr="00171757">
        <w:rPr>
          <w:color w:val="000000"/>
          <w:szCs w:val="20"/>
          <w:shd w:val="clear" w:color="auto" w:fill="FFFFFF"/>
        </w:rPr>
        <w:t>ed</w:t>
      </w:r>
      <w:r w:rsidR="00932910" w:rsidRPr="00171757">
        <w:rPr>
          <w:color w:val="000000"/>
          <w:szCs w:val="20"/>
          <w:shd w:val="clear" w:color="auto" w:fill="FFFFFF"/>
        </w:rPr>
        <w:t xml:space="preserve"> the secretion of CCL2 and CXCL8 and modulate</w:t>
      </w:r>
      <w:r w:rsidR="001D1E03" w:rsidRPr="00171757">
        <w:rPr>
          <w:color w:val="000000"/>
          <w:szCs w:val="20"/>
          <w:shd w:val="clear" w:color="auto" w:fill="FFFFFF"/>
        </w:rPr>
        <w:t>d</w:t>
      </w:r>
      <w:r w:rsidR="00932910" w:rsidRPr="00171757">
        <w:rPr>
          <w:color w:val="000000"/>
          <w:szCs w:val="20"/>
          <w:shd w:val="clear" w:color="auto" w:fill="FFFFFF"/>
        </w:rPr>
        <w:t xml:space="preserve"> the expression of ICAM-1, VCAM-1 and E-selectin on HUVEC </w:t>
      </w:r>
      <w:r w:rsidR="00932910" w:rsidRPr="00171757">
        <w:rPr>
          <w:i/>
          <w:color w:val="000000"/>
          <w:szCs w:val="20"/>
          <w:shd w:val="clear" w:color="auto" w:fill="FFFFFF"/>
        </w:rPr>
        <w:t>in vitro</w:t>
      </w:r>
      <w:r w:rsidR="001D1E03" w:rsidRPr="00171757">
        <w:rPr>
          <w:color w:val="000000"/>
          <w:szCs w:val="20"/>
          <w:shd w:val="clear" w:color="auto" w:fill="FFFFFF"/>
        </w:rPr>
        <w:t>.</w:t>
      </w:r>
      <w:r w:rsidR="00932910" w:rsidRPr="00171757">
        <w:rPr>
          <w:color w:val="000000"/>
          <w:szCs w:val="20"/>
          <w:shd w:val="clear" w:color="auto" w:fill="FFFFFF"/>
        </w:rPr>
        <w:t xml:space="preserve"> </w:t>
      </w:r>
      <w:r w:rsidR="001D1E03" w:rsidRPr="00171757">
        <w:rPr>
          <w:color w:val="000000"/>
          <w:szCs w:val="20"/>
          <w:shd w:val="clear" w:color="auto" w:fill="FFFFFF"/>
        </w:rPr>
        <w:t>However, w</w:t>
      </w:r>
      <w:r w:rsidR="00932910" w:rsidRPr="00171757">
        <w:rPr>
          <w:color w:val="000000"/>
          <w:szCs w:val="20"/>
          <w:shd w:val="clear" w:color="auto" w:fill="FFFFFF"/>
        </w:rPr>
        <w:t xml:space="preserve">hether statins increase or decrease the expression of adhesion molecules on activated endothelial cells is dependent on the type of statin and inflammatory stimulus </w:t>
      </w:r>
      <w:r w:rsidR="00AD75B5" w:rsidRPr="00171757">
        <w:rPr>
          <w:color w:val="000000"/>
          <w:szCs w:val="20"/>
          <w:shd w:val="clear" w:color="auto" w:fill="FFFFFF"/>
        </w:rPr>
        <w:t>[13</w:t>
      </w:r>
      <w:r w:rsidR="002A7623">
        <w:rPr>
          <w:color w:val="000000"/>
          <w:szCs w:val="20"/>
          <w:shd w:val="clear" w:color="auto" w:fill="FFFFFF"/>
        </w:rPr>
        <w:t>2</w:t>
      </w:r>
      <w:r w:rsidR="00AD75B5" w:rsidRPr="00171757">
        <w:rPr>
          <w:color w:val="000000"/>
          <w:szCs w:val="20"/>
          <w:shd w:val="clear" w:color="auto" w:fill="FFFFFF"/>
        </w:rPr>
        <w:t>, 13</w:t>
      </w:r>
      <w:r w:rsidR="002A7623">
        <w:rPr>
          <w:color w:val="000000"/>
          <w:szCs w:val="20"/>
          <w:shd w:val="clear" w:color="auto" w:fill="FFFFFF"/>
        </w:rPr>
        <w:t>4</w:t>
      </w:r>
      <w:r w:rsidR="00AD75B5" w:rsidRPr="00171757">
        <w:rPr>
          <w:color w:val="000000"/>
          <w:szCs w:val="20"/>
          <w:shd w:val="clear" w:color="auto" w:fill="FFFFFF"/>
        </w:rPr>
        <w:t>-13</w:t>
      </w:r>
      <w:r w:rsidR="002A7623">
        <w:rPr>
          <w:color w:val="000000"/>
          <w:szCs w:val="20"/>
          <w:shd w:val="clear" w:color="auto" w:fill="FFFFFF"/>
        </w:rPr>
        <w:t>6</w:t>
      </w:r>
      <w:r w:rsidR="00AD75B5" w:rsidRPr="00171757">
        <w:rPr>
          <w:color w:val="000000"/>
          <w:szCs w:val="20"/>
          <w:shd w:val="clear" w:color="auto" w:fill="FFFFFF"/>
        </w:rPr>
        <w:t>]</w:t>
      </w:r>
      <w:r w:rsidR="00932910" w:rsidRPr="00171757">
        <w:rPr>
          <w:color w:val="000000"/>
          <w:szCs w:val="20"/>
          <w:shd w:val="clear" w:color="auto" w:fill="FFFFFF"/>
        </w:rPr>
        <w:t xml:space="preserve">. </w:t>
      </w:r>
      <w:r w:rsidR="00C33F9B" w:rsidRPr="00171757">
        <w:rPr>
          <w:color w:val="000000"/>
          <w:szCs w:val="20"/>
          <w:shd w:val="clear" w:color="auto" w:fill="FFFFFF"/>
        </w:rPr>
        <w:t>S</w:t>
      </w:r>
      <w:r w:rsidR="00EC39BE" w:rsidRPr="00171757">
        <w:rPr>
          <w:color w:val="000000"/>
          <w:szCs w:val="20"/>
          <w:shd w:val="clear" w:color="auto" w:fill="FFFFFF"/>
        </w:rPr>
        <w:t>imvastatin</w:t>
      </w:r>
      <w:r w:rsidR="00C33F9B" w:rsidRPr="00171757">
        <w:rPr>
          <w:color w:val="000000"/>
          <w:szCs w:val="20"/>
          <w:shd w:val="clear" w:color="auto" w:fill="FFFFFF"/>
        </w:rPr>
        <w:t xml:space="preserve"> treatment improved the chemotactic responses of</w:t>
      </w:r>
      <w:r w:rsidR="00EC39BE" w:rsidRPr="00171757">
        <w:rPr>
          <w:color w:val="000000"/>
          <w:szCs w:val="20"/>
          <w:shd w:val="clear" w:color="auto" w:fill="FFFFFF"/>
        </w:rPr>
        <w:t xml:space="preserve"> </w:t>
      </w:r>
      <w:r w:rsidR="00C33F9B" w:rsidRPr="00171757">
        <w:rPr>
          <w:color w:val="000000"/>
          <w:szCs w:val="20"/>
          <w:shd w:val="clear" w:color="auto" w:fill="FFFFFF"/>
        </w:rPr>
        <w:t>n</w:t>
      </w:r>
      <w:r w:rsidR="00EC39BE" w:rsidRPr="00171757">
        <w:rPr>
          <w:color w:val="000000"/>
          <w:szCs w:val="20"/>
          <w:shd w:val="clear" w:color="auto" w:fill="FFFFFF"/>
        </w:rPr>
        <w:t>eutrophils</w:t>
      </w:r>
      <w:r w:rsidR="005821AF" w:rsidRPr="00171757">
        <w:rPr>
          <w:color w:val="000000"/>
          <w:szCs w:val="20"/>
          <w:shd w:val="clear" w:color="auto" w:fill="FFFFFF"/>
        </w:rPr>
        <w:t xml:space="preserve">, </w:t>
      </w:r>
      <w:r w:rsidR="00EC39BE" w:rsidRPr="00171757">
        <w:rPr>
          <w:color w:val="000000"/>
          <w:szCs w:val="20"/>
          <w:shd w:val="clear" w:color="auto" w:fill="FFFFFF"/>
        </w:rPr>
        <w:t xml:space="preserve">isolated from </w:t>
      </w:r>
      <w:r w:rsidR="005821AF" w:rsidRPr="00171757">
        <w:rPr>
          <w:color w:val="000000"/>
          <w:szCs w:val="20"/>
          <w:shd w:val="clear" w:color="auto" w:fill="FFFFFF"/>
        </w:rPr>
        <w:t xml:space="preserve">healthy </w:t>
      </w:r>
      <w:r w:rsidR="0066792E" w:rsidRPr="00171757">
        <w:rPr>
          <w:color w:val="000000"/>
          <w:szCs w:val="20"/>
          <w:shd w:val="clear" w:color="auto" w:fill="FFFFFF"/>
        </w:rPr>
        <w:t>older</w:t>
      </w:r>
      <w:r w:rsidR="00EA0B19" w:rsidRPr="00171757">
        <w:rPr>
          <w:color w:val="000000"/>
          <w:szCs w:val="20"/>
          <w:shd w:val="clear" w:color="auto" w:fill="FFFFFF"/>
        </w:rPr>
        <w:t xml:space="preserve"> </w:t>
      </w:r>
      <w:r w:rsidR="0066792E" w:rsidRPr="00171757">
        <w:rPr>
          <w:color w:val="000000"/>
          <w:szCs w:val="20"/>
          <w:shd w:val="clear" w:color="auto" w:fill="FFFFFF"/>
        </w:rPr>
        <w:t>adults</w:t>
      </w:r>
      <w:r w:rsidR="00EC39BE" w:rsidRPr="00171757">
        <w:rPr>
          <w:color w:val="000000"/>
          <w:szCs w:val="20"/>
          <w:shd w:val="clear" w:color="auto" w:fill="FFFFFF"/>
        </w:rPr>
        <w:t xml:space="preserve"> </w:t>
      </w:r>
      <w:r w:rsidR="005821AF" w:rsidRPr="00171757">
        <w:rPr>
          <w:color w:val="000000"/>
          <w:szCs w:val="20"/>
          <w:shd w:val="clear" w:color="auto" w:fill="FFFFFF"/>
        </w:rPr>
        <w:t xml:space="preserve">(&gt;60 years old) </w:t>
      </w:r>
      <w:r w:rsidR="00EC39BE" w:rsidRPr="00171757">
        <w:rPr>
          <w:color w:val="000000"/>
          <w:szCs w:val="20"/>
          <w:shd w:val="clear" w:color="auto" w:fill="FFFFFF"/>
        </w:rPr>
        <w:t>and</w:t>
      </w:r>
      <w:r w:rsidR="00EA0B19" w:rsidRPr="00171757">
        <w:rPr>
          <w:color w:val="000000"/>
          <w:szCs w:val="20"/>
          <w:shd w:val="clear" w:color="auto" w:fill="FFFFFF"/>
        </w:rPr>
        <w:t xml:space="preserve"> </w:t>
      </w:r>
      <w:r w:rsidR="0066792E" w:rsidRPr="00171757">
        <w:rPr>
          <w:color w:val="000000"/>
          <w:szCs w:val="20"/>
          <w:shd w:val="clear" w:color="auto" w:fill="FFFFFF"/>
        </w:rPr>
        <w:t>older</w:t>
      </w:r>
      <w:r w:rsidR="00EA0B19" w:rsidRPr="00171757">
        <w:rPr>
          <w:color w:val="000000"/>
          <w:szCs w:val="20"/>
          <w:shd w:val="clear" w:color="auto" w:fill="FFFFFF"/>
        </w:rPr>
        <w:t xml:space="preserve"> patients with mild-to-moderate community-acquired pneumonia</w:t>
      </w:r>
      <w:r w:rsidR="00214735" w:rsidRPr="00171757">
        <w:rPr>
          <w:color w:val="000000"/>
          <w:szCs w:val="20"/>
          <w:shd w:val="clear" w:color="auto" w:fill="FFFFFF"/>
        </w:rPr>
        <w:t>,</w:t>
      </w:r>
      <w:r w:rsidR="00C33F9B" w:rsidRPr="00171757">
        <w:rPr>
          <w:color w:val="000000"/>
          <w:szCs w:val="20"/>
          <w:shd w:val="clear" w:color="auto" w:fill="FFFFFF"/>
        </w:rPr>
        <w:t xml:space="preserve"> towards CXCL8 </w:t>
      </w:r>
      <w:r w:rsidR="00C33F9B" w:rsidRPr="00171757">
        <w:rPr>
          <w:i/>
          <w:color w:val="000000"/>
          <w:szCs w:val="20"/>
          <w:shd w:val="clear" w:color="auto" w:fill="FFFFFF"/>
        </w:rPr>
        <w:t>in vitro</w:t>
      </w:r>
      <w:r w:rsidR="008641CA" w:rsidRPr="00171757">
        <w:rPr>
          <w:color w:val="000000"/>
          <w:szCs w:val="20"/>
          <w:shd w:val="clear" w:color="auto" w:fill="FFFFFF"/>
        </w:rPr>
        <w:t>,</w:t>
      </w:r>
      <w:r w:rsidR="00EA0B19" w:rsidRPr="00171757">
        <w:rPr>
          <w:color w:val="000000"/>
          <w:szCs w:val="20"/>
          <w:shd w:val="clear" w:color="auto" w:fill="FFFFFF"/>
        </w:rPr>
        <w:t xml:space="preserve"> </w:t>
      </w:r>
      <w:r w:rsidR="00214735" w:rsidRPr="00171757">
        <w:rPr>
          <w:color w:val="000000"/>
          <w:szCs w:val="20"/>
          <w:shd w:val="clear" w:color="auto" w:fill="FFFFFF"/>
        </w:rPr>
        <w:t>by</w:t>
      </w:r>
      <w:r w:rsidR="008641CA" w:rsidRPr="00171757">
        <w:rPr>
          <w:color w:val="000000"/>
          <w:szCs w:val="20"/>
          <w:shd w:val="clear" w:color="auto" w:fill="FFFFFF"/>
        </w:rPr>
        <w:t xml:space="preserve"> </w:t>
      </w:r>
      <w:r w:rsidR="00C33F9B" w:rsidRPr="00171757">
        <w:rPr>
          <w:color w:val="000000"/>
          <w:szCs w:val="20"/>
          <w:shd w:val="clear" w:color="auto" w:fill="FFFFFF"/>
        </w:rPr>
        <w:t>reducing the surface expression</w:t>
      </w:r>
      <w:r w:rsidR="008641CA" w:rsidRPr="00171757">
        <w:rPr>
          <w:color w:val="000000"/>
          <w:szCs w:val="20"/>
          <w:shd w:val="clear" w:color="auto" w:fill="FFFFFF"/>
        </w:rPr>
        <w:t xml:space="preserve"> of</w:t>
      </w:r>
      <w:r w:rsidR="00C33F9B" w:rsidRPr="00171757">
        <w:rPr>
          <w:color w:val="000000"/>
          <w:szCs w:val="20"/>
          <w:shd w:val="clear" w:color="auto" w:fill="FFFFFF"/>
        </w:rPr>
        <w:t xml:space="preserve"> LFA-1</w:t>
      </w:r>
      <w:r w:rsidR="00AD75B5" w:rsidRPr="00171757">
        <w:rPr>
          <w:color w:val="000000"/>
          <w:szCs w:val="20"/>
          <w:shd w:val="clear" w:color="auto" w:fill="FFFFFF"/>
        </w:rPr>
        <w:t xml:space="preserve"> [13</w:t>
      </w:r>
      <w:r w:rsidR="002A7623">
        <w:rPr>
          <w:color w:val="000000"/>
          <w:szCs w:val="20"/>
          <w:shd w:val="clear" w:color="auto" w:fill="FFFFFF"/>
        </w:rPr>
        <w:t>7</w:t>
      </w:r>
      <w:r w:rsidR="00AD75B5" w:rsidRPr="00171757">
        <w:rPr>
          <w:color w:val="000000"/>
          <w:szCs w:val="20"/>
          <w:shd w:val="clear" w:color="auto" w:fill="FFFFFF"/>
        </w:rPr>
        <w:t>]</w:t>
      </w:r>
      <w:r w:rsidR="00EA0B19" w:rsidRPr="00171757">
        <w:rPr>
          <w:color w:val="000000"/>
          <w:szCs w:val="20"/>
          <w:shd w:val="clear" w:color="auto" w:fill="FFFFFF"/>
        </w:rPr>
        <w:t>.</w:t>
      </w:r>
      <w:r w:rsidR="00C33F9B" w:rsidRPr="00171757">
        <w:rPr>
          <w:color w:val="000000"/>
          <w:szCs w:val="20"/>
          <w:shd w:val="clear" w:color="auto" w:fill="FFFFFF"/>
        </w:rPr>
        <w:t xml:space="preserve"> </w:t>
      </w:r>
      <w:r w:rsidR="000A6577" w:rsidRPr="00171757">
        <w:rPr>
          <w:color w:val="000000"/>
          <w:szCs w:val="20"/>
          <w:shd w:val="clear" w:color="auto" w:fill="FFFFFF"/>
        </w:rPr>
        <w:t>With statins being more commonly prescribed to older adults for the prevention of cardiovascular disease in recent years</w:t>
      </w:r>
      <w:r w:rsidR="00AD75B5" w:rsidRPr="00171757">
        <w:rPr>
          <w:color w:val="000000"/>
          <w:szCs w:val="20"/>
          <w:shd w:val="clear" w:color="auto" w:fill="FFFFFF"/>
        </w:rPr>
        <w:t xml:space="preserve"> </w:t>
      </w:r>
      <w:r w:rsidR="00AD75B5" w:rsidRPr="00171757">
        <w:rPr>
          <w:color w:val="000000"/>
          <w:szCs w:val="20"/>
          <w:shd w:val="clear" w:color="auto" w:fill="FFFFFF"/>
        </w:rPr>
        <w:lastRenderedPageBreak/>
        <w:t>[1</w:t>
      </w:r>
      <w:r w:rsidR="002A7623">
        <w:rPr>
          <w:color w:val="000000"/>
          <w:szCs w:val="20"/>
          <w:shd w:val="clear" w:color="auto" w:fill="FFFFFF"/>
        </w:rPr>
        <w:t>38</w:t>
      </w:r>
      <w:r w:rsidR="00AD75B5" w:rsidRPr="00171757">
        <w:rPr>
          <w:color w:val="000000"/>
          <w:szCs w:val="20"/>
          <w:shd w:val="clear" w:color="auto" w:fill="FFFFFF"/>
        </w:rPr>
        <w:t>]</w:t>
      </w:r>
      <w:r w:rsidR="000A6577" w:rsidRPr="00171757">
        <w:rPr>
          <w:color w:val="000000"/>
          <w:szCs w:val="20"/>
          <w:shd w:val="clear" w:color="auto" w:fill="FFFFFF"/>
        </w:rPr>
        <w:t xml:space="preserve">, the impact of statins on inflammageing and the </w:t>
      </w:r>
      <w:r w:rsidR="00B40582" w:rsidRPr="00171757">
        <w:rPr>
          <w:color w:val="000000"/>
          <w:szCs w:val="20"/>
          <w:shd w:val="clear" w:color="auto" w:fill="FFFFFF"/>
        </w:rPr>
        <w:t xml:space="preserve">homeostatic </w:t>
      </w:r>
      <w:r w:rsidR="000A6577" w:rsidRPr="00171757">
        <w:rPr>
          <w:color w:val="000000"/>
          <w:szCs w:val="20"/>
          <w:shd w:val="clear" w:color="auto" w:fill="FFFFFF"/>
        </w:rPr>
        <w:t xml:space="preserve">trafficking of leukocytes </w:t>
      </w:r>
      <w:r w:rsidR="00FF0BB1" w:rsidRPr="00171757">
        <w:rPr>
          <w:color w:val="000000"/>
          <w:szCs w:val="20"/>
          <w:shd w:val="clear" w:color="auto" w:fill="FFFFFF"/>
        </w:rPr>
        <w:t>requires</w:t>
      </w:r>
      <w:r w:rsidR="00214735" w:rsidRPr="00171757">
        <w:rPr>
          <w:color w:val="000000"/>
          <w:szCs w:val="20"/>
          <w:shd w:val="clear" w:color="auto" w:fill="FFFFFF"/>
        </w:rPr>
        <w:t xml:space="preserve"> further investigation</w:t>
      </w:r>
      <w:r w:rsidR="00B40582" w:rsidRPr="00171757">
        <w:rPr>
          <w:color w:val="000000"/>
          <w:szCs w:val="20"/>
          <w:shd w:val="clear" w:color="auto" w:fill="FFFFFF"/>
        </w:rPr>
        <w:t>.</w:t>
      </w:r>
      <w:r w:rsidR="00DA4FEE" w:rsidRPr="00171757">
        <w:t xml:space="preserve"> </w:t>
      </w:r>
    </w:p>
    <w:p w14:paraId="24989B9E" w14:textId="02E0CBED" w:rsidR="0056150E" w:rsidRPr="00171757" w:rsidRDefault="004E5573" w:rsidP="005F2C03">
      <w:pPr>
        <w:pStyle w:val="Heading3"/>
        <w:spacing w:line="480" w:lineRule="auto"/>
        <w:jc w:val="both"/>
      </w:pPr>
      <w:r>
        <w:t xml:space="preserve">1.7.4 </w:t>
      </w:r>
      <w:r w:rsidR="0056150E" w:rsidRPr="00171757">
        <w:t>Senolytics/Senostatics</w:t>
      </w:r>
    </w:p>
    <w:p w14:paraId="4437FE26" w14:textId="34CE719B" w:rsidR="00103106" w:rsidRPr="00171757" w:rsidRDefault="00B805A0" w:rsidP="004D0D7D">
      <w:pPr>
        <w:tabs>
          <w:tab w:val="left" w:pos="5103"/>
        </w:tabs>
        <w:spacing w:line="480" w:lineRule="auto"/>
        <w:ind w:firstLine="720"/>
        <w:jc w:val="both"/>
      </w:pPr>
      <w:r w:rsidRPr="00171757">
        <w:t xml:space="preserve">Although </w:t>
      </w:r>
      <w:r w:rsidR="00DC344E" w:rsidRPr="00171757">
        <w:t xml:space="preserve">therapeutics have </w:t>
      </w:r>
      <w:r w:rsidR="00DC50D8" w:rsidRPr="00171757">
        <w:t xml:space="preserve">not </w:t>
      </w:r>
      <w:r w:rsidR="00DC344E" w:rsidRPr="00171757">
        <w:t xml:space="preserve">been developed to specifically target age-related changes to leukocyte trafficking in health and disease, novel therapeutics are currently being developed to target </w:t>
      </w:r>
      <w:r w:rsidR="00DC50D8" w:rsidRPr="00171757">
        <w:t xml:space="preserve">sources of </w:t>
      </w:r>
      <w:r w:rsidR="00DC344E" w:rsidRPr="00171757">
        <w:t>inflammageing</w:t>
      </w:r>
      <w:r w:rsidR="00AD75B5" w:rsidRPr="00171757">
        <w:t xml:space="preserve"> [1</w:t>
      </w:r>
      <w:r w:rsidR="002A7623">
        <w:t>39</w:t>
      </w:r>
      <w:r w:rsidR="00AD75B5" w:rsidRPr="00171757">
        <w:t>, 14</w:t>
      </w:r>
      <w:r w:rsidR="002A7623">
        <w:t>0</w:t>
      </w:r>
      <w:r w:rsidR="00AD75B5" w:rsidRPr="00171757">
        <w:t>]</w:t>
      </w:r>
      <w:r w:rsidR="00DC344E" w:rsidRPr="00171757">
        <w:t>.</w:t>
      </w:r>
      <w:r w:rsidR="00DC50D8" w:rsidRPr="00171757">
        <w:t xml:space="preserve"> </w:t>
      </w:r>
      <w:r w:rsidR="00DC344E" w:rsidRPr="00171757">
        <w:t>Senolytics</w:t>
      </w:r>
      <w:r w:rsidR="00C135BA" w:rsidRPr="00171757">
        <w:t xml:space="preserve"> and senostatics</w:t>
      </w:r>
      <w:r w:rsidR="00DC344E" w:rsidRPr="00171757">
        <w:t xml:space="preserve"> are a novel line of therapeutics, which eliminate</w:t>
      </w:r>
      <w:r w:rsidR="00C135BA" w:rsidRPr="00171757">
        <w:t xml:space="preserve"> or suppress the SASP of</w:t>
      </w:r>
      <w:r w:rsidR="00DC344E" w:rsidRPr="00171757">
        <w:t xml:space="preserve"> senescent cells</w:t>
      </w:r>
      <w:r w:rsidR="00310D09" w:rsidRPr="00171757">
        <w:t>,</w:t>
      </w:r>
      <w:r w:rsidR="00C135BA" w:rsidRPr="00171757">
        <w:t xml:space="preserve"> respectively</w:t>
      </w:r>
      <w:r w:rsidR="00DC344E" w:rsidRPr="00171757">
        <w:t>. Here, we focus on the use of senolytics</w:t>
      </w:r>
      <w:r w:rsidR="00C135BA" w:rsidRPr="00171757">
        <w:t>/senostatics</w:t>
      </w:r>
      <w:r w:rsidR="00DC344E" w:rsidRPr="00171757">
        <w:t xml:space="preserve"> to limit age-associated</w:t>
      </w:r>
      <w:r w:rsidR="00412886" w:rsidRPr="00171757">
        <w:t xml:space="preserve"> changes to leukocyte migration as</w:t>
      </w:r>
      <w:r w:rsidR="00DC344E" w:rsidRPr="00171757">
        <w:t xml:space="preserve"> the</w:t>
      </w:r>
      <w:r w:rsidR="00C135BA" w:rsidRPr="00171757">
        <w:t>ir role in</w:t>
      </w:r>
      <w:r w:rsidR="00DC344E" w:rsidRPr="00171757">
        <w:t xml:space="preserve"> treat</w:t>
      </w:r>
      <w:r w:rsidR="00C135BA" w:rsidRPr="00171757">
        <w:t>ing</w:t>
      </w:r>
      <w:r w:rsidR="00DC344E" w:rsidRPr="00171757">
        <w:t xml:space="preserve"> age-associated diseases has been reviewed elsewhere</w:t>
      </w:r>
      <w:r w:rsidR="00AD75B5" w:rsidRPr="00171757">
        <w:t xml:space="preserve"> [11</w:t>
      </w:r>
      <w:r w:rsidR="002A7623">
        <w:t>6</w:t>
      </w:r>
      <w:r w:rsidR="00AD75B5" w:rsidRPr="00171757">
        <w:t>]</w:t>
      </w:r>
      <w:r w:rsidR="002C512F" w:rsidRPr="00171757">
        <w:t xml:space="preserve">. </w:t>
      </w:r>
      <w:r w:rsidR="00103106" w:rsidRPr="00171757">
        <w:rPr>
          <w:color w:val="000000"/>
        </w:rPr>
        <w:t>Mammalian target of rapamycin (mTOR) is a key regulator of intracellular growth and nutrient-sensing pathways</w:t>
      </w:r>
      <w:r w:rsidR="00AD75B5" w:rsidRPr="00171757">
        <w:rPr>
          <w:color w:val="000000"/>
        </w:rPr>
        <w:t xml:space="preserve"> [14</w:t>
      </w:r>
      <w:r w:rsidR="002A7623">
        <w:rPr>
          <w:color w:val="000000"/>
        </w:rPr>
        <w:t>1</w:t>
      </w:r>
      <w:r w:rsidR="00AD75B5" w:rsidRPr="00171757">
        <w:rPr>
          <w:color w:val="000000"/>
        </w:rPr>
        <w:t>]</w:t>
      </w:r>
      <w:r w:rsidR="00103106" w:rsidRPr="00171757">
        <w:rPr>
          <w:color w:val="000000"/>
        </w:rPr>
        <w:t>. mTOR inhibitors such as rapamycin have long been associated with promoting longevity, and so interest in developing these inhibitors as anti-ageing drugs has grown</w:t>
      </w:r>
      <w:r w:rsidR="00AD75B5" w:rsidRPr="00171757">
        <w:rPr>
          <w:color w:val="000000"/>
        </w:rPr>
        <w:t xml:space="preserve"> [14</w:t>
      </w:r>
      <w:r w:rsidR="002A7623">
        <w:rPr>
          <w:color w:val="000000"/>
        </w:rPr>
        <w:t>2</w:t>
      </w:r>
      <w:r w:rsidR="00AD75B5" w:rsidRPr="00171757">
        <w:rPr>
          <w:color w:val="000000"/>
        </w:rPr>
        <w:t>-14</w:t>
      </w:r>
      <w:r w:rsidR="002A7623">
        <w:rPr>
          <w:color w:val="000000"/>
        </w:rPr>
        <w:t>4</w:t>
      </w:r>
      <w:r w:rsidR="00AD75B5" w:rsidRPr="00171757">
        <w:rPr>
          <w:color w:val="000000"/>
        </w:rPr>
        <w:t>]</w:t>
      </w:r>
      <w:r w:rsidR="00103106" w:rsidRPr="00171757">
        <w:rPr>
          <w:color w:val="000000"/>
        </w:rPr>
        <w:t xml:space="preserve">. </w:t>
      </w:r>
      <w:r w:rsidR="00337F6F" w:rsidRPr="00171757">
        <w:t>Rapamycin is</w:t>
      </w:r>
      <w:r w:rsidR="00DC344E" w:rsidRPr="00171757">
        <w:t xml:space="preserve"> a macrolide that targets the </w:t>
      </w:r>
      <w:r w:rsidR="00A52F34" w:rsidRPr="00171757">
        <w:t>mTOR</w:t>
      </w:r>
      <w:r w:rsidR="00337F6F" w:rsidRPr="00171757">
        <w:t xml:space="preserve"> complex, and is</w:t>
      </w:r>
      <w:r w:rsidR="00DC344E" w:rsidRPr="00171757">
        <w:t xml:space="preserve"> an approved immunosuppressant used to treat malignancy, transplant rejection and autoimmune diseases</w:t>
      </w:r>
      <w:r w:rsidR="00AD75B5" w:rsidRPr="00171757">
        <w:t xml:space="preserve"> [14</w:t>
      </w:r>
      <w:r w:rsidR="002A7623">
        <w:t>5</w:t>
      </w:r>
      <w:r w:rsidR="00AD75B5" w:rsidRPr="00171757">
        <w:t>]</w:t>
      </w:r>
      <w:r w:rsidR="00DC344E" w:rsidRPr="00171757">
        <w:t xml:space="preserve">.  </w:t>
      </w:r>
      <w:r w:rsidR="00175F66" w:rsidRPr="00171757">
        <w:t>As S</w:t>
      </w:r>
      <w:r w:rsidR="00A52F34" w:rsidRPr="00171757">
        <w:t xml:space="preserve">ASP induction is partially </w:t>
      </w:r>
      <w:r w:rsidR="00A52F34" w:rsidRPr="00171757">
        <w:lastRenderedPageBreak/>
        <w:t xml:space="preserve">regulated by mTOR signalling in humans, </w:t>
      </w:r>
      <w:r w:rsidR="00175F66" w:rsidRPr="00171757">
        <w:t>rapamycin can alleviate aspects of inflammageing through suppressing the secretion of pro-inflammatory mediators releas</w:t>
      </w:r>
      <w:r w:rsidR="00C135BA" w:rsidRPr="00171757">
        <w:t>ed</w:t>
      </w:r>
      <w:r w:rsidR="00175F66" w:rsidRPr="00171757">
        <w:t xml:space="preserve"> as part of the SASP</w:t>
      </w:r>
      <w:r w:rsidR="00AD75B5" w:rsidRPr="00171757">
        <w:t xml:space="preserve"> [14</w:t>
      </w:r>
      <w:r w:rsidR="002A7623">
        <w:t>6</w:t>
      </w:r>
      <w:r w:rsidR="00AD75B5" w:rsidRPr="00171757">
        <w:t>, 14</w:t>
      </w:r>
      <w:r w:rsidR="002A7623">
        <w:t>7</w:t>
      </w:r>
      <w:r w:rsidR="00AD75B5" w:rsidRPr="00171757">
        <w:t>]</w:t>
      </w:r>
      <w:r w:rsidR="002B721B" w:rsidRPr="00171757">
        <w:t xml:space="preserve">. Inhibiting </w:t>
      </w:r>
      <w:r w:rsidR="00175F66" w:rsidRPr="00171757">
        <w:t xml:space="preserve">the </w:t>
      </w:r>
      <w:r w:rsidR="002B721B" w:rsidRPr="00171757">
        <w:t xml:space="preserve">pro-inflammatory actions mediated by senescent cells could result in reduced leukocyte migration. </w:t>
      </w:r>
      <w:r w:rsidR="00DC344E" w:rsidRPr="00171757">
        <w:t xml:space="preserve"> </w:t>
      </w:r>
      <w:r w:rsidR="002120BA" w:rsidRPr="00171757">
        <w:t xml:space="preserve">In a </w:t>
      </w:r>
      <w:r w:rsidR="000B47AB" w:rsidRPr="00171757">
        <w:t>murine</w:t>
      </w:r>
      <w:r w:rsidR="002120BA" w:rsidRPr="00171757">
        <w:t xml:space="preserve"> model of experimental cerebral malaria, r</w:t>
      </w:r>
      <w:r w:rsidR="00DC344E" w:rsidRPr="00171757">
        <w:t>apamycin treatment inhib</w:t>
      </w:r>
      <w:r w:rsidR="002120BA" w:rsidRPr="00171757">
        <w:t>ited</w:t>
      </w:r>
      <w:r w:rsidR="00DC344E" w:rsidRPr="00171757">
        <w:t xml:space="preserve"> </w:t>
      </w:r>
      <w:r w:rsidR="002120BA" w:rsidRPr="00171757">
        <w:t>the</w:t>
      </w:r>
      <w:r w:rsidR="00DC344E" w:rsidRPr="00171757">
        <w:t xml:space="preserve"> trafficking </w:t>
      </w:r>
      <w:r w:rsidR="002120BA" w:rsidRPr="00171757">
        <w:t>of CD4</w:t>
      </w:r>
      <w:r w:rsidR="002120BA" w:rsidRPr="00171757">
        <w:rPr>
          <w:vertAlign w:val="superscript"/>
        </w:rPr>
        <w:t>+</w:t>
      </w:r>
      <w:r w:rsidR="002120BA" w:rsidRPr="00171757">
        <w:t xml:space="preserve"> and CD8</w:t>
      </w:r>
      <w:r w:rsidR="002120BA" w:rsidRPr="00171757">
        <w:rPr>
          <w:vertAlign w:val="superscript"/>
        </w:rPr>
        <w:t>+</w:t>
      </w:r>
      <w:r w:rsidR="002120BA" w:rsidRPr="00171757">
        <w:t xml:space="preserve"> T-cells into the brain, reduced brain </w:t>
      </w:r>
      <w:r w:rsidR="006F3FD4" w:rsidRPr="00171757">
        <w:t>haemorrhaging</w:t>
      </w:r>
      <w:r w:rsidR="002120BA" w:rsidRPr="00171757">
        <w:t xml:space="preserve"> and enhanced survival rates</w:t>
      </w:r>
      <w:r w:rsidR="00177C05" w:rsidRPr="00171757">
        <w:t xml:space="preserve"> </w:t>
      </w:r>
      <w:r w:rsidR="001F7674" w:rsidRPr="00171757">
        <w:t>of mice</w:t>
      </w:r>
      <w:r w:rsidR="00AD75B5" w:rsidRPr="00171757">
        <w:t xml:space="preserve"> [1</w:t>
      </w:r>
      <w:r w:rsidR="002A7623">
        <w:t>48</w:t>
      </w:r>
      <w:r w:rsidR="00AD75B5" w:rsidRPr="00171757">
        <w:t>]</w:t>
      </w:r>
      <w:r w:rsidR="002C512F" w:rsidRPr="00171757">
        <w:t xml:space="preserve">. </w:t>
      </w:r>
      <w:r w:rsidR="00177C05" w:rsidRPr="00171757">
        <w:t>Reduced T-cell trafficking was a result of transcriptional changes</w:t>
      </w:r>
      <w:r w:rsidR="002120BA" w:rsidRPr="00171757">
        <w:t xml:space="preserve"> </w:t>
      </w:r>
      <w:r w:rsidR="00DC344E" w:rsidRPr="00171757">
        <w:t>in</w:t>
      </w:r>
      <w:r w:rsidR="000B47AB" w:rsidRPr="00171757">
        <w:t xml:space="preserve"> brain tissue, including repressed transcription of genes involved in leukocyte recruitment such as C</w:t>
      </w:r>
      <w:r w:rsidR="0042592C" w:rsidRPr="00171757">
        <w:t>CL</w:t>
      </w:r>
      <w:r w:rsidR="00310D09" w:rsidRPr="00171757">
        <w:t>7. Rapamycin treatment of BALB</w:t>
      </w:r>
      <w:r w:rsidR="000B47AB" w:rsidRPr="00171757">
        <w:t xml:space="preserve">/c mice with </w:t>
      </w:r>
      <w:r w:rsidR="00A540A3" w:rsidRPr="00171757">
        <w:t>dextran sodium sulfate-induced chronic colitis led to decreased</w:t>
      </w:r>
      <w:r w:rsidR="000B47AB" w:rsidRPr="00171757">
        <w:t xml:space="preserve"> trafficking</w:t>
      </w:r>
      <w:r w:rsidR="00A540A3" w:rsidRPr="00171757">
        <w:t xml:space="preserve"> of leukocytes</w:t>
      </w:r>
      <w:r w:rsidR="000B47AB" w:rsidRPr="00171757">
        <w:t xml:space="preserve"> into submucosal </w:t>
      </w:r>
      <w:r w:rsidR="00A540A3" w:rsidRPr="00171757">
        <w:t>postcapillary venules, and reduced the histological inflammation score</w:t>
      </w:r>
      <w:r w:rsidR="000B47AB" w:rsidRPr="00171757">
        <w:t xml:space="preserve"> </w:t>
      </w:r>
      <w:r w:rsidR="00A540A3" w:rsidRPr="00171757">
        <w:t>of the colon</w:t>
      </w:r>
      <w:r w:rsidR="00AD75B5" w:rsidRPr="00171757">
        <w:t xml:space="preserve"> [1</w:t>
      </w:r>
      <w:r w:rsidR="002A7623">
        <w:t>49</w:t>
      </w:r>
      <w:r w:rsidR="00AD75B5" w:rsidRPr="00171757">
        <w:t>]</w:t>
      </w:r>
      <w:r w:rsidR="00A540A3" w:rsidRPr="00171757">
        <w:t xml:space="preserve">. </w:t>
      </w:r>
      <w:r w:rsidR="00975A7D" w:rsidRPr="00171757">
        <w:t xml:space="preserve">Furthermore, </w:t>
      </w:r>
      <w:r w:rsidR="00883102" w:rsidRPr="00171757">
        <w:t>rapamycin inhibits the PI3K−</w:t>
      </w:r>
      <w:r w:rsidR="00975A7D" w:rsidRPr="00171757">
        <w:t>mTOR</w:t>
      </w:r>
      <w:r w:rsidR="00883102" w:rsidRPr="00171757">
        <w:t>-mediated</w:t>
      </w:r>
      <w:r w:rsidR="00975A7D" w:rsidRPr="00171757">
        <w:t xml:space="preserve"> </w:t>
      </w:r>
      <w:r w:rsidR="00883102" w:rsidRPr="00171757">
        <w:t>upregulation of</w:t>
      </w:r>
      <w:r w:rsidR="00975A7D" w:rsidRPr="00171757">
        <w:t xml:space="preserve"> L-selectin and CCR7 </w:t>
      </w:r>
      <w:r w:rsidR="00883102" w:rsidRPr="00171757">
        <w:t xml:space="preserve">expression </w:t>
      </w:r>
      <w:r w:rsidR="00975A7D" w:rsidRPr="00171757">
        <w:t xml:space="preserve">on </w:t>
      </w:r>
      <w:r w:rsidR="00883102" w:rsidRPr="00171757">
        <w:t xml:space="preserve">activated </w:t>
      </w:r>
      <w:r w:rsidR="00975A7D" w:rsidRPr="00171757">
        <w:t xml:space="preserve">T-cells in </w:t>
      </w:r>
      <w:r w:rsidR="00CB53A9" w:rsidRPr="00171757">
        <w:t>C57B</w:t>
      </w:r>
      <w:r w:rsidR="009A1E70" w:rsidRPr="00171757">
        <w:t>L/</w:t>
      </w:r>
      <w:r w:rsidR="00CB53A9" w:rsidRPr="00171757">
        <w:t xml:space="preserve">6 </w:t>
      </w:r>
      <w:r w:rsidR="00975A7D" w:rsidRPr="00171757">
        <w:t xml:space="preserve">mice, </w:t>
      </w:r>
      <w:r w:rsidR="00883102" w:rsidRPr="00171757">
        <w:t>redirecting</w:t>
      </w:r>
      <w:r w:rsidR="00975A7D" w:rsidRPr="00171757">
        <w:t xml:space="preserve"> T-cells from the circulation to secondary lymphoid organs such as LN and the spleen</w:t>
      </w:r>
      <w:r w:rsidR="00AD75B5" w:rsidRPr="00171757">
        <w:t xml:space="preserve"> [1</w:t>
      </w:r>
      <w:r w:rsidR="002A7623">
        <w:t>50</w:t>
      </w:r>
      <w:r w:rsidR="00AD75B5" w:rsidRPr="00171757">
        <w:t>]</w:t>
      </w:r>
      <w:r w:rsidR="00975A7D" w:rsidRPr="00171757">
        <w:t xml:space="preserve">. </w:t>
      </w:r>
      <w:r w:rsidR="00DC344E" w:rsidRPr="00171757">
        <w:t>However, rapamycin treatment is associated with toxic side effects</w:t>
      </w:r>
      <w:r w:rsidR="00F813C7" w:rsidRPr="00171757">
        <w:t xml:space="preserve"> such as hyperglycaemia and immunosuppression</w:t>
      </w:r>
      <w:r w:rsidR="0046222C" w:rsidRPr="00171757">
        <w:t xml:space="preserve"> in humans</w:t>
      </w:r>
      <w:r w:rsidR="00AD75B5" w:rsidRPr="00171757">
        <w:t xml:space="preserve"> [15</w:t>
      </w:r>
      <w:r w:rsidR="002A7623">
        <w:t>1</w:t>
      </w:r>
      <w:r w:rsidR="00AD75B5" w:rsidRPr="00171757">
        <w:t>]</w:t>
      </w:r>
      <w:r w:rsidR="00732F8F" w:rsidRPr="00171757">
        <w:t>,</w:t>
      </w:r>
      <w:r w:rsidR="00C135BA" w:rsidRPr="00171757">
        <w:t xml:space="preserve"> and most </w:t>
      </w:r>
      <w:r w:rsidR="0053732C" w:rsidRPr="00171757">
        <w:t xml:space="preserve">who </w:t>
      </w:r>
      <w:r w:rsidR="007F2369" w:rsidRPr="00171757">
        <w:t>endeavour in this are</w:t>
      </w:r>
      <w:r w:rsidR="00C135BA" w:rsidRPr="00171757">
        <w:t xml:space="preserve"> focussed on novel rapamycin analogs</w:t>
      </w:r>
      <w:r w:rsidR="006F1578" w:rsidRPr="00171757">
        <w:t>/</w:t>
      </w:r>
      <w:r w:rsidR="00C135BA" w:rsidRPr="00171757">
        <w:t>rapalogs</w:t>
      </w:r>
      <w:r w:rsidR="00DC344E" w:rsidRPr="00171757">
        <w:t>.</w:t>
      </w:r>
    </w:p>
    <w:p w14:paraId="605E9AA1" w14:textId="4AA80E51" w:rsidR="00004253" w:rsidRPr="00171757" w:rsidRDefault="00DC344E" w:rsidP="004D0D7D">
      <w:pPr>
        <w:tabs>
          <w:tab w:val="left" w:pos="7938"/>
        </w:tabs>
        <w:spacing w:line="480" w:lineRule="auto"/>
        <w:ind w:firstLine="720"/>
        <w:jc w:val="both"/>
      </w:pPr>
      <w:r w:rsidRPr="00171757">
        <w:lastRenderedPageBreak/>
        <w:t>Dasatinib and quercetin are novel senolytic agents that target senescent adipose cells and endothelial cells, respectively, through disrupting anti-apoptotic pathways</w:t>
      </w:r>
      <w:r w:rsidR="00AD75B5" w:rsidRPr="00171757">
        <w:t xml:space="preserve"> [15</w:t>
      </w:r>
      <w:r w:rsidR="002A7623">
        <w:t>2</w:t>
      </w:r>
      <w:r w:rsidR="00AD75B5" w:rsidRPr="00171757">
        <w:t>]</w:t>
      </w:r>
      <w:r w:rsidRPr="00171757">
        <w:t>. In a phase 1 pilot study, co-</w:t>
      </w:r>
      <w:r w:rsidR="00C256F6" w:rsidRPr="00171757">
        <w:t>administration</w:t>
      </w:r>
      <w:r w:rsidRPr="00171757">
        <w:t xml:space="preserve"> of these sen</w:t>
      </w:r>
      <w:r w:rsidR="00C135BA" w:rsidRPr="00171757">
        <w:t>o</w:t>
      </w:r>
      <w:r w:rsidRPr="00171757">
        <w:t>l</w:t>
      </w:r>
      <w:r w:rsidR="00C135BA" w:rsidRPr="00171757">
        <w:t>y</w:t>
      </w:r>
      <w:r w:rsidRPr="00171757">
        <w:t xml:space="preserve">tics promoted clearance of senescent cells in adipose tissue, and inhibited macrophage trafficking to adipose tissue in older </w:t>
      </w:r>
      <w:r w:rsidR="00103106" w:rsidRPr="00171757">
        <w:t>adults</w:t>
      </w:r>
      <w:r w:rsidRPr="00171757">
        <w:t xml:space="preserve"> with diabetic kidney disease</w:t>
      </w:r>
      <w:r w:rsidR="00AD75B5" w:rsidRPr="00171757">
        <w:t xml:space="preserve"> [15</w:t>
      </w:r>
      <w:r w:rsidR="002A7623">
        <w:t>3</w:t>
      </w:r>
      <w:r w:rsidR="00AD75B5" w:rsidRPr="00171757">
        <w:t>]</w:t>
      </w:r>
      <w:r w:rsidRPr="00171757">
        <w:t>. Importantly, short-term intermittent treatment was sufficient to reduce adipose tissue inflammation, therefore limiting side effects. Infrequent treatment with senolytics may therefore offer a more plausible, yet effective, avenue to treat symptoms of inflammageing, including modified leukocyte trafficking, but also to suppress the establishment of age-associated disease.</w:t>
      </w:r>
      <w:r w:rsidR="00004253" w:rsidRPr="00171757">
        <w:t xml:space="preserve"> </w:t>
      </w:r>
    </w:p>
    <w:p w14:paraId="78890300" w14:textId="5F6F4C96" w:rsidR="0056150E" w:rsidRPr="00171757" w:rsidRDefault="004E5573" w:rsidP="005F2C03">
      <w:pPr>
        <w:pStyle w:val="Heading3"/>
        <w:spacing w:line="480" w:lineRule="auto"/>
        <w:jc w:val="both"/>
      </w:pPr>
      <w:r>
        <w:t xml:space="preserve">1.7.5 </w:t>
      </w:r>
      <w:r w:rsidR="0056150E" w:rsidRPr="00171757">
        <w:t xml:space="preserve">Peptide </w:t>
      </w:r>
      <w:r w:rsidR="00764660">
        <w:t>i</w:t>
      </w:r>
      <w:r w:rsidR="0056150E" w:rsidRPr="00171757">
        <w:t xml:space="preserve">nhibitor of </w:t>
      </w:r>
      <w:r w:rsidR="00764660">
        <w:t>t</w:t>
      </w:r>
      <w:r w:rsidR="0056150E" w:rsidRPr="00171757">
        <w:t>rans</w:t>
      </w:r>
      <w:r w:rsidR="00764660">
        <w:t>e</w:t>
      </w:r>
      <w:r w:rsidR="0056150E" w:rsidRPr="00171757">
        <w:t>ndot</w:t>
      </w:r>
      <w:r w:rsidR="00732F8F" w:rsidRPr="00171757">
        <w:t>h</w:t>
      </w:r>
      <w:r w:rsidR="0056150E" w:rsidRPr="00171757">
        <w:t xml:space="preserve">elial </w:t>
      </w:r>
      <w:r w:rsidR="00764660">
        <w:t>m</w:t>
      </w:r>
      <w:r w:rsidR="0056150E" w:rsidRPr="00171757">
        <w:t>igration (PEPITEM)</w:t>
      </w:r>
    </w:p>
    <w:p w14:paraId="371F289A" w14:textId="2FBEFE74" w:rsidR="00DC50D8" w:rsidRPr="00171757" w:rsidRDefault="0056150E" w:rsidP="004D0D7D">
      <w:pPr>
        <w:spacing w:line="480" w:lineRule="auto"/>
        <w:ind w:firstLine="720"/>
        <w:jc w:val="both"/>
      </w:pPr>
      <w:r w:rsidRPr="00171757">
        <w:t>PEPITEM</w:t>
      </w:r>
      <w:r w:rsidR="00DC50D8" w:rsidRPr="00171757">
        <w:t xml:space="preserve"> is a small peptide secreted by B-cells</w:t>
      </w:r>
      <w:r w:rsidR="00B10BE6" w:rsidRPr="00171757">
        <w:t>, which</w:t>
      </w:r>
      <w:r w:rsidR="00DC50D8" w:rsidRPr="00171757">
        <w:t xml:space="preserve"> imposes a tonic brake on T-cell trafficking across vascular endothelium </w:t>
      </w:r>
      <w:r w:rsidR="00F24FF5" w:rsidRPr="00171757">
        <w:t>during inflammation</w:t>
      </w:r>
      <w:r w:rsidR="00AD75B5" w:rsidRPr="00171757">
        <w:t xml:space="preserve"> [15</w:t>
      </w:r>
      <w:r w:rsidR="002A7623">
        <w:t>4</w:t>
      </w:r>
      <w:r w:rsidR="00AD75B5" w:rsidRPr="00171757">
        <w:t>]</w:t>
      </w:r>
      <w:r w:rsidR="00DC50D8" w:rsidRPr="00171757">
        <w:t>.</w:t>
      </w:r>
      <w:r w:rsidR="00E40BE6" w:rsidRPr="00171757">
        <w:t xml:space="preserve"> The pathway involves circulating adiponectin </w:t>
      </w:r>
      <w:r w:rsidR="001D7F47" w:rsidRPr="00171757">
        <w:t>binding adiponectin receptors (AdipoR</w:t>
      </w:r>
      <w:r w:rsidR="00E0322C" w:rsidRPr="00171757">
        <w:t>s</w:t>
      </w:r>
      <w:r w:rsidR="001D7F47" w:rsidRPr="00171757">
        <w:t xml:space="preserve">) </w:t>
      </w:r>
      <w:r w:rsidR="003A54E6" w:rsidRPr="00171757">
        <w:t>on peripheral blood B-cell</w:t>
      </w:r>
      <w:r w:rsidR="006B06E0" w:rsidRPr="00171757">
        <w:t>s</w:t>
      </w:r>
      <w:r w:rsidR="003A54E6" w:rsidRPr="00171757">
        <w:t xml:space="preserve">, </w:t>
      </w:r>
      <w:r w:rsidR="00B35D3A" w:rsidRPr="00171757">
        <w:t>stimulating the secretion of</w:t>
      </w:r>
      <w:r w:rsidR="00E40BE6" w:rsidRPr="00171757">
        <w:t xml:space="preserve"> PEPITEM. PEPITEM </w:t>
      </w:r>
      <w:r w:rsidR="00B35D3A" w:rsidRPr="00171757">
        <w:t xml:space="preserve">induces the release of </w:t>
      </w:r>
      <w:r w:rsidR="00E40BE6" w:rsidRPr="00171757">
        <w:t>sphingosine-1-phosphate (S1P)</w:t>
      </w:r>
      <w:r w:rsidR="00B35D3A" w:rsidRPr="00171757">
        <w:t xml:space="preserve"> from vascular endothelia, which interacts with S1P receptors (S1PR) on recruited T-</w:t>
      </w:r>
      <w:r w:rsidR="00B35D3A" w:rsidRPr="00171757">
        <w:lastRenderedPageBreak/>
        <w:t>cells.</w:t>
      </w:r>
      <w:r w:rsidR="00E40BE6" w:rsidRPr="00171757">
        <w:t xml:space="preserve"> S1P</w:t>
      </w:r>
      <w:r w:rsidR="00B35D3A" w:rsidRPr="00171757">
        <w:t xml:space="preserve">-S1PR interactions </w:t>
      </w:r>
      <w:r w:rsidR="00F24FF5" w:rsidRPr="00171757">
        <w:t>inhibit the activation</w:t>
      </w:r>
      <w:r w:rsidR="00B35D3A" w:rsidRPr="00171757">
        <w:t xml:space="preserve"> of LFA-1, </w:t>
      </w:r>
      <w:r w:rsidR="00F24FF5" w:rsidRPr="00171757">
        <w:t>which results in</w:t>
      </w:r>
      <w:r w:rsidR="00764660">
        <w:t xml:space="preserve"> the</w:t>
      </w:r>
      <w:r w:rsidR="00F24FF5" w:rsidRPr="00171757">
        <w:t xml:space="preserve"> </w:t>
      </w:r>
      <w:r w:rsidR="00B35D3A" w:rsidRPr="00171757">
        <w:t>inhibiti</w:t>
      </w:r>
      <w:r w:rsidR="00F24FF5" w:rsidRPr="00171757">
        <w:t>on of</w:t>
      </w:r>
      <w:r w:rsidR="00B35D3A" w:rsidRPr="00171757">
        <w:t xml:space="preserve"> T-cell transendothelial migration. The PEPITEM pathway is impaired in age-associated diseases such as </w:t>
      </w:r>
      <w:r w:rsidR="00B0168B" w:rsidRPr="00171757">
        <w:t>RA</w:t>
      </w:r>
      <w:r w:rsidR="003A54E6" w:rsidRPr="00171757">
        <w:t xml:space="preserve">, as the expression of </w:t>
      </w:r>
      <w:r w:rsidR="001D7F47" w:rsidRPr="00171757">
        <w:t xml:space="preserve">AdipoR </w:t>
      </w:r>
      <w:r w:rsidR="003A54E6" w:rsidRPr="00171757">
        <w:t xml:space="preserve">on circulating B-cells </w:t>
      </w:r>
      <w:r w:rsidR="00B911D4" w:rsidRPr="00171757">
        <w:t>derived from RA patients is</w:t>
      </w:r>
      <w:r w:rsidR="003A54E6" w:rsidRPr="00171757">
        <w:t xml:space="preserve"> reduced in</w:t>
      </w:r>
      <w:r w:rsidR="00B911D4" w:rsidRPr="00171757">
        <w:t xml:space="preserve"> comparison to B-cells derived</w:t>
      </w:r>
      <w:r w:rsidR="003A54E6" w:rsidRPr="00171757">
        <w:t xml:space="preserve"> </w:t>
      </w:r>
      <w:r w:rsidR="00B911D4" w:rsidRPr="00171757">
        <w:t xml:space="preserve">from </w:t>
      </w:r>
      <w:r w:rsidR="00AA3381" w:rsidRPr="00171757">
        <w:t>healthy individuals</w:t>
      </w:r>
      <w:r w:rsidR="00AD75B5" w:rsidRPr="00171757">
        <w:t xml:space="preserve"> [15</w:t>
      </w:r>
      <w:r w:rsidR="002A7623">
        <w:t>4</w:t>
      </w:r>
      <w:r w:rsidR="00AD75B5" w:rsidRPr="00171757">
        <w:t>]</w:t>
      </w:r>
      <w:r w:rsidR="00B911D4" w:rsidRPr="00171757">
        <w:t xml:space="preserve">. Consequently, the ability of adiponectin to inhibit the transmigration of peripheral blood lymphocytes across </w:t>
      </w:r>
      <w:r w:rsidR="003A54E6" w:rsidRPr="00171757">
        <w:t>TNF</w:t>
      </w:r>
      <w:r w:rsidR="00AA3381" w:rsidRPr="00171757">
        <w:t>α/IFN-γ</w:t>
      </w:r>
      <w:r w:rsidR="003A54E6" w:rsidRPr="00171757">
        <w:t xml:space="preserve"> activated </w:t>
      </w:r>
      <w:r w:rsidR="00AA3381" w:rsidRPr="00171757">
        <w:t xml:space="preserve">human dermal blood endothelial cells </w:t>
      </w:r>
      <w:r w:rsidR="00B911D4" w:rsidRPr="00171757">
        <w:rPr>
          <w:i/>
        </w:rPr>
        <w:t xml:space="preserve">in vitro </w:t>
      </w:r>
      <w:r w:rsidR="00B911D4" w:rsidRPr="00171757">
        <w:t xml:space="preserve">is lost in RA patients. </w:t>
      </w:r>
      <w:r w:rsidR="00AA3381" w:rsidRPr="00171757">
        <w:t xml:space="preserve"> </w:t>
      </w:r>
      <w:r w:rsidR="001D7F47" w:rsidRPr="00171757">
        <w:t>Importantly, the expression of AdipoR</w:t>
      </w:r>
      <w:r w:rsidR="00E0322C" w:rsidRPr="00171757">
        <w:t>s</w:t>
      </w:r>
      <w:r w:rsidR="001D7F47" w:rsidRPr="00171757">
        <w:t xml:space="preserve"> on peripheral blood B-cells</w:t>
      </w:r>
      <w:r w:rsidR="003A54E6" w:rsidRPr="00171757">
        <w:t xml:space="preserve"> </w:t>
      </w:r>
      <w:r w:rsidR="001D7F47" w:rsidRPr="00171757">
        <w:t>is reduced in healthy older adults, which may contribute to dysregulated T-cell trafficking in ageing</w:t>
      </w:r>
      <w:r w:rsidR="00AD75B5" w:rsidRPr="00171757">
        <w:t xml:space="preserve"> [15</w:t>
      </w:r>
      <w:r w:rsidR="002A7623">
        <w:t>4</w:t>
      </w:r>
      <w:r w:rsidR="00AD75B5" w:rsidRPr="00171757">
        <w:t>]</w:t>
      </w:r>
      <w:r w:rsidR="001D7F47" w:rsidRPr="00171757">
        <w:t>. Restoration of the PEPITEM pathway in older adults through administration of PEPITEM may therefore offer a potential avenue to</w:t>
      </w:r>
      <w:r w:rsidR="00DC50D8" w:rsidRPr="00171757">
        <w:t xml:space="preserve"> re-establish regulated T-cell trafficking in </w:t>
      </w:r>
      <w:r w:rsidR="001D7F47" w:rsidRPr="00171757">
        <w:t>ageing</w:t>
      </w:r>
      <w:r w:rsidR="00DC50D8" w:rsidRPr="00171757">
        <w:t xml:space="preserve">. </w:t>
      </w:r>
    </w:p>
    <w:p w14:paraId="3A98E6F8" w14:textId="36A71BE2" w:rsidR="0069474D" w:rsidRPr="00171757" w:rsidRDefault="0069474D" w:rsidP="006F3FD4">
      <w:pPr>
        <w:spacing w:line="480" w:lineRule="auto"/>
        <w:ind w:firstLine="720"/>
        <w:jc w:val="both"/>
      </w:pPr>
      <w:r w:rsidRPr="00171757">
        <w:t xml:space="preserve">Targeting the regulation of leukocyte trafficking rather than aspects of inflammageing in older adults is an appealing therapeutic strategy in the prevention of age-related inflammatory disease progression for two major reasons. Firstly, leukocyte </w:t>
      </w:r>
      <w:r w:rsidR="00C44EAF" w:rsidRPr="00171757">
        <w:t>trafficking</w:t>
      </w:r>
      <w:r w:rsidRPr="00171757">
        <w:t xml:space="preserve">-modifying treatments such as statins are already widely prescribed amongst older </w:t>
      </w:r>
      <w:r w:rsidR="00EE7D15" w:rsidRPr="00171757">
        <w:t>adults</w:t>
      </w:r>
      <w:r w:rsidRPr="00171757">
        <w:t xml:space="preserve"> to prevent the incidence of cardiovascular disease without adverse reactions or long-term </w:t>
      </w:r>
      <w:r w:rsidR="004E0474" w:rsidRPr="00171757">
        <w:t>repercussions</w:t>
      </w:r>
      <w:r w:rsidRPr="00171757">
        <w:t xml:space="preserve"> </w:t>
      </w:r>
      <w:r w:rsidR="00AD75B5" w:rsidRPr="00171757">
        <w:t>[1</w:t>
      </w:r>
      <w:r w:rsidR="002A7623">
        <w:t>38</w:t>
      </w:r>
      <w:r w:rsidR="00AD75B5" w:rsidRPr="00171757">
        <w:t>, 15</w:t>
      </w:r>
      <w:r w:rsidR="002A7623">
        <w:t>5</w:t>
      </w:r>
      <w:r w:rsidR="00AD75B5" w:rsidRPr="00171757">
        <w:t>]</w:t>
      </w:r>
      <w:r w:rsidR="00732F8F" w:rsidRPr="00171757">
        <w:t>.</w:t>
      </w:r>
      <w:r w:rsidRPr="00171757">
        <w:t xml:space="preserve"> On the </w:t>
      </w:r>
      <w:r w:rsidRPr="00171757">
        <w:lastRenderedPageBreak/>
        <w:t>other hand, treatments specifically aimed at alleviating asp</w:t>
      </w:r>
      <w:r w:rsidR="004E0474" w:rsidRPr="00171757">
        <w:t>ects of inflammageing</w:t>
      </w:r>
      <w:r w:rsidR="00EE7D15" w:rsidRPr="00171757">
        <w:t>,</w:t>
      </w:r>
      <w:r w:rsidR="004E0474" w:rsidRPr="00171757">
        <w:t xml:space="preserve"> such as se</w:t>
      </w:r>
      <w:r w:rsidRPr="00171757">
        <w:t>nolytics</w:t>
      </w:r>
      <w:r w:rsidR="00EE7D15" w:rsidRPr="00171757">
        <w:t>,</w:t>
      </w:r>
      <w:r w:rsidRPr="00171757">
        <w:t xml:space="preserve"> are only in their early developmental stages</w:t>
      </w:r>
      <w:r w:rsidR="00AD75B5" w:rsidRPr="00171757">
        <w:t xml:space="preserve"> [15</w:t>
      </w:r>
      <w:r w:rsidR="002A7623">
        <w:t>6</w:t>
      </w:r>
      <w:r w:rsidR="00AD75B5" w:rsidRPr="00171757">
        <w:t>]</w:t>
      </w:r>
      <w:r w:rsidR="00732F8F" w:rsidRPr="00171757">
        <w:t>.</w:t>
      </w:r>
      <w:r w:rsidRPr="00171757">
        <w:t xml:space="preserve"> Secondly,</w:t>
      </w:r>
      <w:r w:rsidR="004E0474" w:rsidRPr="00171757">
        <w:t xml:space="preserve"> the</w:t>
      </w:r>
      <w:r w:rsidRPr="00171757">
        <w:t xml:space="preserve"> factors </w:t>
      </w:r>
      <w:r w:rsidR="004E0474" w:rsidRPr="00171757">
        <w:t>that drive inflammageing are</w:t>
      </w:r>
      <w:r w:rsidRPr="00171757">
        <w:t xml:space="preserve"> broad and multi-factorial</w:t>
      </w:r>
      <w:r w:rsidR="00AD75B5" w:rsidRPr="00171757">
        <w:t xml:space="preserve"> [1</w:t>
      </w:r>
      <w:r w:rsidR="002A7623">
        <w:t>39</w:t>
      </w:r>
      <w:r w:rsidR="00AD75B5" w:rsidRPr="00171757">
        <w:t>]</w:t>
      </w:r>
      <w:r w:rsidR="00732F8F" w:rsidRPr="00171757">
        <w:t xml:space="preserve">, </w:t>
      </w:r>
      <w:r w:rsidRPr="00171757">
        <w:t>and so targeting the trafficking of leukocytes offers a more specific therapeutic target. However, the use of approved drugs and novel therapeutics to modulate leukocyte trafficking in older adults is accompanied by ethical concerns. The question must be raised: is it ethical to medicate otherwise-healthy older adults in an attempt to prevent the deve</w:t>
      </w:r>
      <w:r w:rsidR="004E0474" w:rsidRPr="00171757">
        <w:t>lopment of age-related diseases,</w:t>
      </w:r>
      <w:r w:rsidRPr="00171757">
        <w:t xml:space="preserve"> </w:t>
      </w:r>
      <w:r w:rsidR="004E0474" w:rsidRPr="00171757">
        <w:t xml:space="preserve">considering </w:t>
      </w:r>
      <w:r w:rsidRPr="00171757">
        <w:t>not all older adults</w:t>
      </w:r>
      <w:r w:rsidR="004E0474" w:rsidRPr="00171757">
        <w:t xml:space="preserve"> go on to develop said diseases?</w:t>
      </w:r>
      <w:r w:rsidRPr="00171757">
        <w:t xml:space="preserve"> </w:t>
      </w:r>
      <w:r w:rsidR="00C44EAF" w:rsidRPr="00171757">
        <w:t>S</w:t>
      </w:r>
      <w:r w:rsidRPr="00171757">
        <w:t>ome individuals termed “centenarians” and “supercentenarians”</w:t>
      </w:r>
      <w:r w:rsidR="00C44EAF" w:rsidRPr="00171757">
        <w:t xml:space="preserve"> experience “successful” ageing, a term that relates to the healthspan and lifespan of an organism, as they go on </w:t>
      </w:r>
      <w:r w:rsidRPr="00171757">
        <w:t>to live long lives with a low incidence of age-related disease</w:t>
      </w:r>
      <w:r w:rsidR="00F64246" w:rsidRPr="00171757">
        <w:t xml:space="preserve"> [15</w:t>
      </w:r>
      <w:r w:rsidR="009A4543">
        <w:t>7</w:t>
      </w:r>
      <w:r w:rsidR="00F64246" w:rsidRPr="00171757">
        <w:t>]</w:t>
      </w:r>
      <w:r w:rsidRPr="00171757">
        <w:t xml:space="preserve">. To that end, should the </w:t>
      </w:r>
      <w:r w:rsidR="00C44EAF" w:rsidRPr="00171757">
        <w:t>preventative leukocyte trafficking</w:t>
      </w:r>
      <w:r w:rsidRPr="00171757">
        <w:t xml:space="preserve">-modifying treatments only be administered to older adults experiencing “unsuccessful” ageing? </w:t>
      </w:r>
      <w:r w:rsidR="004E0474" w:rsidRPr="00171757">
        <w:t>If so</w:t>
      </w:r>
      <w:r w:rsidRPr="00171757">
        <w:t xml:space="preserve">, </w:t>
      </w:r>
      <w:r w:rsidR="00EE7D15" w:rsidRPr="00171757">
        <w:t>how would we identify these individuals?</w:t>
      </w:r>
      <w:r w:rsidRPr="00171757">
        <w:t xml:space="preserve"> Furthermore, the use of life-long treatments </w:t>
      </w:r>
      <w:r w:rsidR="00C256F6" w:rsidRPr="00171757">
        <w:t>to modulate</w:t>
      </w:r>
      <w:r w:rsidRPr="00171757">
        <w:t xml:space="preserve"> leukocyte trafficking could impede immunity in the context of infection</w:t>
      </w:r>
      <w:r w:rsidR="00C256F6" w:rsidRPr="00171757">
        <w:t>, in a similar manner to</w:t>
      </w:r>
      <w:r w:rsidRPr="00171757">
        <w:t xml:space="preserve"> immune-modulating biologics that are used to treat active inflammatory disease</w:t>
      </w:r>
      <w:r w:rsidR="00F64246" w:rsidRPr="00171757">
        <w:t xml:space="preserve"> </w:t>
      </w:r>
      <w:r w:rsidR="00F64246" w:rsidRPr="00171757">
        <w:lastRenderedPageBreak/>
        <w:t>[1</w:t>
      </w:r>
      <w:r w:rsidR="009A4543">
        <w:t>58</w:t>
      </w:r>
      <w:r w:rsidR="00F64246" w:rsidRPr="00171757">
        <w:t>, 1</w:t>
      </w:r>
      <w:r w:rsidR="009A4543">
        <w:t>59</w:t>
      </w:r>
      <w:r w:rsidR="00F64246" w:rsidRPr="00171757">
        <w:t>]</w:t>
      </w:r>
      <w:r w:rsidR="00700943" w:rsidRPr="00171757">
        <w:t>.</w:t>
      </w:r>
      <w:r w:rsidR="005F2C03" w:rsidRPr="00171757">
        <w:t xml:space="preserve"> </w:t>
      </w:r>
      <w:r w:rsidRPr="00171757">
        <w:t xml:space="preserve">The use of leukocyte trafficking-modifying therapeutics is also faced with medical challenges, including uncertainty over whether these therapeutics are effective at preventing inflammatory diseases in older adults, whether these therapeutics interact or interfere with any other medications that may be prescribed to older individuals, and how to </w:t>
      </w:r>
      <w:r w:rsidR="00C44EAF" w:rsidRPr="00171757">
        <w:t>determine</w:t>
      </w:r>
      <w:r w:rsidRPr="00171757">
        <w:t xml:space="preserve"> an appropriate age to begin treatment. Nevertheless, the prospect of pre-emptively manipulating homeostatic leukocyte trafficking in an attempt to prevent, or at least delay, the onset of age-related diseases remains a </w:t>
      </w:r>
      <w:r w:rsidR="005F2C03" w:rsidRPr="00171757">
        <w:t>promising</w:t>
      </w:r>
      <w:r w:rsidR="004F0A9C" w:rsidRPr="00171757">
        <w:t xml:space="preserve"> </w:t>
      </w:r>
      <w:r w:rsidRPr="00171757">
        <w:t xml:space="preserve">concept. There is great need for studies aimed at investigating and deciphering the age-related changes to homeostatic </w:t>
      </w:r>
      <w:r w:rsidR="00C44EAF" w:rsidRPr="00171757">
        <w:t>leukocyte</w:t>
      </w:r>
      <w:r w:rsidRPr="00171757">
        <w:t xml:space="preserve"> trafficking </w:t>
      </w:r>
      <w:r w:rsidRPr="00171757">
        <w:rPr>
          <w:i/>
        </w:rPr>
        <w:t>in vivo</w:t>
      </w:r>
      <w:r w:rsidRPr="00171757">
        <w:t xml:space="preserve">, and whether therapeutic intervention would be effective in the prevention of age-related diseases. </w:t>
      </w:r>
    </w:p>
    <w:p w14:paraId="4586480B" w14:textId="492C2CE8" w:rsidR="00182ACE" w:rsidRPr="00171757" w:rsidRDefault="00D7469B" w:rsidP="00E36ED8">
      <w:pPr>
        <w:spacing w:line="480" w:lineRule="auto"/>
        <w:ind w:firstLine="720"/>
        <w:jc w:val="both"/>
      </w:pPr>
      <w:r w:rsidRPr="00171757">
        <w:t xml:space="preserve">In this review, we have </w:t>
      </w:r>
      <w:r w:rsidR="002F7B57" w:rsidRPr="00171757">
        <w:t xml:space="preserve">described </w:t>
      </w:r>
      <w:r w:rsidRPr="00171757">
        <w:t>the limited number of studies that have investigated age-related changes in the migratory capacity of innate and adaptive immune cells. However, the majority of these studies were foc</w:t>
      </w:r>
      <w:r w:rsidR="00166E92" w:rsidRPr="00171757">
        <w:t>used on leukocyte trafficking under</w:t>
      </w:r>
      <w:r w:rsidRPr="00171757">
        <w:t xml:space="preserve"> inflammatory </w:t>
      </w:r>
      <w:r w:rsidR="00B20E77" w:rsidRPr="00171757">
        <w:t>conditions,</w:t>
      </w:r>
      <w:r w:rsidRPr="00171757">
        <w:t xml:space="preserve"> and so the impact of ageing on </w:t>
      </w:r>
      <w:r w:rsidR="002F7B57" w:rsidRPr="00171757">
        <w:t>homeostatic</w:t>
      </w:r>
      <w:r w:rsidRPr="00171757">
        <w:t xml:space="preserve"> leukocyte trafficking has been largely overlooked. Furthermore, the extent to which </w:t>
      </w:r>
      <w:r w:rsidR="00F17C2D" w:rsidRPr="00171757">
        <w:t>indirect consequences of ageing,</w:t>
      </w:r>
      <w:r w:rsidRPr="00171757">
        <w:t xml:space="preserve"> such as </w:t>
      </w:r>
      <w:r w:rsidR="00163B3C" w:rsidRPr="00171757">
        <w:t>immunesenescence</w:t>
      </w:r>
      <w:r w:rsidR="00F17C2D" w:rsidRPr="00171757">
        <w:t>,</w:t>
      </w:r>
      <w:r w:rsidRPr="00171757">
        <w:t xml:space="preserve"> drive age-related changes </w:t>
      </w:r>
      <w:r w:rsidR="00B20E77" w:rsidRPr="00171757">
        <w:t xml:space="preserve">in </w:t>
      </w:r>
      <w:r w:rsidRPr="00171757">
        <w:t xml:space="preserve">leukocyte trafficking has not </w:t>
      </w:r>
      <w:r w:rsidRPr="00171757">
        <w:lastRenderedPageBreak/>
        <w:t xml:space="preserve">been addressed. </w:t>
      </w:r>
      <w:r w:rsidR="00B20E77" w:rsidRPr="00171757">
        <w:t xml:space="preserve">Overall, </w:t>
      </w:r>
      <w:r w:rsidR="0070376C" w:rsidRPr="00171757">
        <w:t>little</w:t>
      </w:r>
      <w:r w:rsidR="00163B3C" w:rsidRPr="00171757">
        <w:t xml:space="preserve"> progress has been made to</w:t>
      </w:r>
      <w:r w:rsidRPr="00171757">
        <w:t xml:space="preserve"> elucidat</w:t>
      </w:r>
      <w:r w:rsidR="00163B3C" w:rsidRPr="00171757">
        <w:t>e</w:t>
      </w:r>
      <w:r w:rsidRPr="00171757">
        <w:t xml:space="preserve"> the underlying mechanisms driving </w:t>
      </w:r>
      <w:r w:rsidR="00B20E77" w:rsidRPr="00171757">
        <w:t>changes in leukocyte trafficking in agein</w:t>
      </w:r>
      <w:r w:rsidR="001124B1" w:rsidRPr="00171757">
        <w:t>g</w:t>
      </w:r>
      <w:r w:rsidR="00F17C2D" w:rsidRPr="00171757">
        <w:t>,</w:t>
      </w:r>
      <w:r w:rsidR="001124B1" w:rsidRPr="00171757">
        <w:t xml:space="preserve"> and </w:t>
      </w:r>
      <w:r w:rsidR="00F17C2D" w:rsidRPr="00171757">
        <w:t xml:space="preserve">to </w:t>
      </w:r>
      <w:r w:rsidR="001124B1" w:rsidRPr="00171757">
        <w:t xml:space="preserve">determine whether </w:t>
      </w:r>
      <w:r w:rsidRPr="00171757">
        <w:t xml:space="preserve">targeting dysregulated leukocyte trafficking </w:t>
      </w:r>
      <w:r w:rsidR="001124B1" w:rsidRPr="00171757">
        <w:t xml:space="preserve">has therapeutic potential in </w:t>
      </w:r>
      <w:r w:rsidR="00F17C2D" w:rsidRPr="00171757">
        <w:t xml:space="preserve">the prevention of </w:t>
      </w:r>
      <w:r w:rsidR="001124B1" w:rsidRPr="00171757">
        <w:t>inflammatory disease</w:t>
      </w:r>
      <w:r w:rsidR="00F17C2D" w:rsidRPr="00171757">
        <w:t xml:space="preserve"> development</w:t>
      </w:r>
      <w:r w:rsidR="001124B1" w:rsidRPr="00171757">
        <w:t xml:space="preserve"> in older adults. </w:t>
      </w:r>
    </w:p>
    <w:p w14:paraId="16AE26ED" w14:textId="652DC52B" w:rsidR="0090653A" w:rsidRPr="00171757" w:rsidRDefault="0090653A" w:rsidP="004D0D7D">
      <w:pPr>
        <w:pStyle w:val="Heading1"/>
        <w:spacing w:line="480" w:lineRule="auto"/>
        <w:rPr>
          <w:rFonts w:ascii="Times New Roman" w:hAnsi="Times New Roman" w:cs="Times New Roman"/>
          <w:color w:val="4F81BD" w:themeColor="accent1"/>
          <w:sz w:val="28"/>
          <w:szCs w:val="28"/>
        </w:rPr>
      </w:pPr>
      <w:r w:rsidRPr="00171757">
        <w:rPr>
          <w:rFonts w:ascii="Times New Roman" w:hAnsi="Times New Roman" w:cs="Times New Roman"/>
          <w:color w:val="4F81BD" w:themeColor="accent1"/>
          <w:sz w:val="28"/>
          <w:szCs w:val="28"/>
        </w:rPr>
        <w:t>Contributions</w:t>
      </w:r>
    </w:p>
    <w:p w14:paraId="79E0F823" w14:textId="5678AC29" w:rsidR="0090653A" w:rsidRPr="00171757" w:rsidRDefault="00645B1E" w:rsidP="00620EB3">
      <w:pPr>
        <w:spacing w:line="480" w:lineRule="auto"/>
        <w:jc w:val="both"/>
      </w:pPr>
      <w:r w:rsidRPr="00171757">
        <w:rPr>
          <w:color w:val="3E3D40"/>
          <w:shd w:val="clear" w:color="auto" w:fill="FFFFFF"/>
        </w:rPr>
        <w:tab/>
      </w:r>
      <w:r w:rsidR="0090653A" w:rsidRPr="00171757">
        <w:rPr>
          <w:color w:val="3E3D40"/>
          <w:shd w:val="clear" w:color="auto" w:fill="FFFFFF"/>
        </w:rPr>
        <w:t>S</w:t>
      </w:r>
      <w:r w:rsidR="00264254" w:rsidRPr="00171757">
        <w:rPr>
          <w:color w:val="3E3D40"/>
          <w:shd w:val="clear" w:color="auto" w:fill="FFFFFF"/>
        </w:rPr>
        <w:t>J</w:t>
      </w:r>
      <w:r w:rsidR="0090653A" w:rsidRPr="00171757">
        <w:rPr>
          <w:color w:val="3E3D40"/>
          <w:shd w:val="clear" w:color="auto" w:fill="FFFFFF"/>
        </w:rPr>
        <w:t>H wrote the first draft of the manuscript. MC and J</w:t>
      </w:r>
      <w:r w:rsidR="00883A16" w:rsidRPr="00171757">
        <w:rPr>
          <w:color w:val="3E3D40"/>
          <w:shd w:val="clear" w:color="auto" w:fill="FFFFFF"/>
        </w:rPr>
        <w:t>M</w:t>
      </w:r>
      <w:r w:rsidR="0090653A" w:rsidRPr="00171757">
        <w:rPr>
          <w:color w:val="3E3D40"/>
          <w:shd w:val="clear" w:color="auto" w:fill="FFFFFF"/>
        </w:rPr>
        <w:t>L contributed to manuscript revision, read and approved the submitted version.</w:t>
      </w:r>
    </w:p>
    <w:p w14:paraId="37ACD719" w14:textId="77777777" w:rsidR="00DF3A3F" w:rsidRPr="00171757" w:rsidRDefault="0090653A" w:rsidP="00620EB3">
      <w:pPr>
        <w:pStyle w:val="Heading1"/>
        <w:spacing w:line="480" w:lineRule="auto"/>
        <w:rPr>
          <w:rFonts w:ascii="Times New Roman" w:hAnsi="Times New Roman" w:cs="Times New Roman"/>
          <w:color w:val="4F81BD" w:themeColor="accent1"/>
          <w:sz w:val="28"/>
          <w:szCs w:val="28"/>
        </w:rPr>
      </w:pPr>
      <w:r w:rsidRPr="00171757">
        <w:rPr>
          <w:rFonts w:ascii="Times New Roman" w:hAnsi="Times New Roman" w:cs="Times New Roman"/>
          <w:color w:val="4F81BD" w:themeColor="accent1"/>
          <w:sz w:val="28"/>
          <w:szCs w:val="28"/>
        </w:rPr>
        <w:lastRenderedPageBreak/>
        <w:t>Acknowledgments</w:t>
      </w:r>
    </w:p>
    <w:p w14:paraId="1C1A29A2" w14:textId="2F90B97F" w:rsidR="00DF3A3F" w:rsidRPr="00171757" w:rsidRDefault="00645B1E" w:rsidP="000E4E7C">
      <w:pPr>
        <w:pStyle w:val="Heading4"/>
        <w:spacing w:line="480" w:lineRule="auto"/>
        <w:jc w:val="both"/>
        <w:rPr>
          <w:rFonts w:ascii="Times New Roman" w:hAnsi="Times New Roman" w:cs="Times New Roman"/>
          <w:lang w:val="en-US"/>
        </w:rPr>
      </w:pPr>
      <w:r w:rsidRPr="00171757">
        <w:rPr>
          <w:rFonts w:ascii="Times New Roman" w:hAnsi="Times New Roman" w:cs="Times New Roman"/>
          <w:color w:val="3E3D40"/>
          <w:shd w:val="clear" w:color="auto" w:fill="FFFFFF"/>
        </w:rPr>
        <w:tab/>
      </w:r>
      <w:r w:rsidR="0090653A" w:rsidRPr="00171757">
        <w:rPr>
          <w:rFonts w:ascii="Times New Roman" w:hAnsi="Times New Roman" w:cs="Times New Roman"/>
          <w:color w:val="3E3D40"/>
          <w:shd w:val="clear" w:color="auto" w:fill="FFFFFF"/>
        </w:rPr>
        <w:t>S</w:t>
      </w:r>
      <w:r w:rsidR="00264254" w:rsidRPr="00171757">
        <w:rPr>
          <w:rFonts w:ascii="Times New Roman" w:hAnsi="Times New Roman" w:cs="Times New Roman"/>
          <w:color w:val="3E3D40"/>
          <w:shd w:val="clear" w:color="auto" w:fill="FFFFFF"/>
        </w:rPr>
        <w:t>J</w:t>
      </w:r>
      <w:r w:rsidR="0090653A" w:rsidRPr="00171757">
        <w:rPr>
          <w:rFonts w:ascii="Times New Roman" w:hAnsi="Times New Roman" w:cs="Times New Roman"/>
          <w:color w:val="3E3D40"/>
          <w:shd w:val="clear" w:color="auto" w:fill="FFFFFF"/>
        </w:rPr>
        <w:t>H was supported by a Royal Society grant (</w:t>
      </w:r>
      <w:r w:rsidR="0090653A" w:rsidRPr="00171757">
        <w:rPr>
          <w:rFonts w:ascii="Times New Roman" w:hAnsi="Times New Roman" w:cs="Times New Roman"/>
          <w:i w:val="0"/>
          <w:iCs w:val="0"/>
          <w:color w:val="3E3D40"/>
        </w:rPr>
        <w:t>RGF</w:t>
      </w:r>
      <w:r w:rsidR="0090653A" w:rsidRPr="00171757">
        <w:rPr>
          <w:rFonts w:ascii="Cambria" w:hAnsi="Cambria" w:cs="Cambria"/>
          <w:i w:val="0"/>
          <w:iCs w:val="0"/>
          <w:color w:val="3E3D40"/>
        </w:rPr>
        <w:t>∖</w:t>
      </w:r>
      <w:r w:rsidR="0090653A" w:rsidRPr="00171757">
        <w:rPr>
          <w:rFonts w:ascii="Times New Roman" w:hAnsi="Times New Roman" w:cs="Times New Roman"/>
          <w:i w:val="0"/>
          <w:iCs w:val="0"/>
          <w:color w:val="3E3D40"/>
        </w:rPr>
        <w:t>R1</w:t>
      </w:r>
      <w:r w:rsidR="0090653A" w:rsidRPr="00171757">
        <w:rPr>
          <w:rFonts w:ascii="Cambria" w:hAnsi="Cambria" w:cs="Cambria"/>
          <w:i w:val="0"/>
          <w:iCs w:val="0"/>
          <w:color w:val="3E3D40"/>
        </w:rPr>
        <w:t>∖</w:t>
      </w:r>
      <w:r w:rsidR="0090653A" w:rsidRPr="00171757">
        <w:rPr>
          <w:rFonts w:ascii="Times New Roman" w:hAnsi="Times New Roman" w:cs="Times New Roman"/>
          <w:i w:val="0"/>
          <w:iCs w:val="0"/>
          <w:color w:val="3E3D40"/>
        </w:rPr>
        <w:t>180008</w:t>
      </w:r>
      <w:r w:rsidR="0090653A" w:rsidRPr="00171757">
        <w:rPr>
          <w:rFonts w:ascii="Times New Roman" w:hAnsi="Times New Roman" w:cs="Times New Roman"/>
          <w:color w:val="3E3D40"/>
          <w:shd w:val="clear" w:color="auto" w:fill="FFFFFF"/>
        </w:rPr>
        <w:t>) and MC was supported by a Royal Society Dorothy Hodgkin Research fellowship</w:t>
      </w:r>
      <w:r w:rsidR="0090653A" w:rsidRPr="00171757">
        <w:rPr>
          <w:rStyle w:val="apple-converted-space"/>
          <w:rFonts w:ascii="Times New Roman" w:hAnsi="Times New Roman" w:cs="Times New Roman"/>
          <w:color w:val="3E3D40"/>
          <w:shd w:val="clear" w:color="auto" w:fill="FFFFFF"/>
        </w:rPr>
        <w:t> </w:t>
      </w:r>
      <w:r w:rsidR="0090653A" w:rsidRPr="00171757">
        <w:rPr>
          <w:rFonts w:ascii="Times New Roman" w:hAnsi="Times New Roman" w:cs="Times New Roman"/>
          <w:i w:val="0"/>
          <w:iCs w:val="0"/>
          <w:color w:val="3E3D40"/>
        </w:rPr>
        <w:t xml:space="preserve">(DH160044). </w:t>
      </w:r>
      <w:r w:rsidR="00883A16" w:rsidRPr="00171757">
        <w:rPr>
          <w:rFonts w:ascii="Times New Roman" w:hAnsi="Times New Roman" w:cs="Times New Roman"/>
          <w:iCs w:val="0"/>
          <w:color w:val="3E3D40"/>
        </w:rPr>
        <w:t xml:space="preserve">JML is supported by the NIHR Birmingham Biomedical Research Centre. </w:t>
      </w:r>
      <w:r w:rsidR="00883A16" w:rsidRPr="00171757">
        <w:rPr>
          <w:rFonts w:ascii="Times New Roman" w:hAnsi="Times New Roman" w:cs="Times New Roman"/>
          <w:i w:val="0"/>
          <w:iCs w:val="0"/>
          <w:color w:val="212121"/>
          <w:shd w:val="clear" w:color="auto" w:fill="FFFFFF"/>
        </w:rPr>
        <w:t>The views expressed are those of the author(s) and not necessarily those of the NIHR or the Department of Health and Social Care</w:t>
      </w:r>
      <w:r w:rsidR="00883A16" w:rsidRPr="00171757">
        <w:rPr>
          <w:rFonts w:ascii="Times New Roman" w:hAnsi="Times New Roman" w:cs="Times New Roman"/>
          <w:i w:val="0"/>
          <w:color w:val="212121"/>
          <w:shd w:val="clear" w:color="auto" w:fill="FFFFFF"/>
        </w:rPr>
        <w:t>.</w:t>
      </w:r>
    </w:p>
    <w:p w14:paraId="42948CF7" w14:textId="499C0F07" w:rsidR="00D70C7E" w:rsidRPr="00171757" w:rsidRDefault="00D70C7E" w:rsidP="002F7B57">
      <w:pPr>
        <w:pStyle w:val="Heading1"/>
        <w:spacing w:line="480" w:lineRule="auto"/>
        <w:rPr>
          <w:rFonts w:ascii="Times New Roman" w:hAnsi="Times New Roman" w:cs="Times New Roman"/>
          <w:color w:val="4F81BD" w:themeColor="accent1"/>
          <w:sz w:val="28"/>
          <w:szCs w:val="28"/>
        </w:rPr>
      </w:pPr>
      <w:r w:rsidRPr="00171757">
        <w:rPr>
          <w:rFonts w:ascii="Times New Roman" w:hAnsi="Times New Roman" w:cs="Times New Roman"/>
          <w:color w:val="4F81BD" w:themeColor="accent1"/>
          <w:sz w:val="28"/>
          <w:szCs w:val="28"/>
        </w:rPr>
        <w:t>Conflict of interest</w:t>
      </w:r>
    </w:p>
    <w:p w14:paraId="23B6C66D" w14:textId="1B2453F3" w:rsidR="00E76E64" w:rsidRPr="00171757" w:rsidRDefault="00645B1E" w:rsidP="001975E9">
      <w:pPr>
        <w:spacing w:line="480" w:lineRule="auto"/>
        <w:jc w:val="both"/>
        <w:rPr>
          <w:color w:val="3E3D40"/>
          <w:shd w:val="clear" w:color="auto" w:fill="FFFFFF"/>
        </w:rPr>
      </w:pPr>
      <w:r w:rsidRPr="00171757">
        <w:rPr>
          <w:color w:val="3E3D40"/>
          <w:shd w:val="clear" w:color="auto" w:fill="FFFFFF"/>
        </w:rPr>
        <w:tab/>
      </w:r>
      <w:r w:rsidR="00D70C7E" w:rsidRPr="00171757">
        <w:rPr>
          <w:color w:val="3E3D40"/>
          <w:shd w:val="clear" w:color="auto" w:fill="FFFFFF"/>
        </w:rPr>
        <w:t>The authors declare that the research was conducted in the absence of any commercial or financial relationships that could be construed as a potential conflict of interest.</w:t>
      </w:r>
    </w:p>
    <w:p w14:paraId="2DB1185F" w14:textId="0D223E4E" w:rsidR="009601F7" w:rsidRPr="00171757" w:rsidRDefault="005E5C43" w:rsidP="00C22314">
      <w:pPr>
        <w:pStyle w:val="Heading2"/>
        <w:spacing w:line="480" w:lineRule="auto"/>
        <w:rPr>
          <w:rFonts w:ascii="Times New Roman" w:hAnsi="Times New Roman" w:cs="Times New Roman"/>
        </w:rPr>
      </w:pPr>
      <w:r w:rsidRPr="00171757">
        <w:rPr>
          <w:rFonts w:ascii="Times New Roman" w:hAnsi="Times New Roman" w:cs="Times New Roman"/>
        </w:rPr>
        <w:t>References</w:t>
      </w:r>
    </w:p>
    <w:p w14:paraId="1620BB5C" w14:textId="77777777" w:rsidR="004663AB" w:rsidRPr="00013844" w:rsidRDefault="004663AB" w:rsidP="004663AB">
      <w:pPr>
        <w:pStyle w:val="EndNoteBibliography"/>
        <w:ind w:left="720" w:hanging="720"/>
      </w:pPr>
      <w:r w:rsidRPr="00013844">
        <w:t>[1.]</w:t>
      </w:r>
      <w:r w:rsidRPr="00013844">
        <w:tab/>
        <w:t>K. Ley, C. Laudanna, M.I. Cybulsky, S. Nourshargh, Getting to the site of inflammation: the leukocyte adhesion cascade updated</w:t>
      </w:r>
      <w:r w:rsidRPr="00013844">
        <w:rPr>
          <w:i/>
        </w:rPr>
        <w:t>,</w:t>
      </w:r>
      <w:r w:rsidRPr="00013844">
        <w:t xml:space="preserve"> Nat Rev Immunol,  </w:t>
      </w:r>
      <w:r w:rsidRPr="00013844">
        <w:rPr>
          <w:b/>
        </w:rPr>
        <w:t>7</w:t>
      </w:r>
      <w:r w:rsidRPr="00013844">
        <w:t xml:space="preserve">:9 (2007)  678-89. </w:t>
      </w:r>
      <w:hyperlink r:id="rId11" w:history="1">
        <w:r w:rsidRPr="00013844">
          <w:rPr>
            <w:rStyle w:val="Hyperlink"/>
          </w:rPr>
          <w:t>https://doi.org/10.1038/nri2156</w:t>
        </w:r>
      </w:hyperlink>
    </w:p>
    <w:p w14:paraId="00C065E8" w14:textId="77777777" w:rsidR="004663AB" w:rsidRPr="00013844" w:rsidRDefault="004663AB" w:rsidP="004663AB">
      <w:pPr>
        <w:pStyle w:val="EndNoteBibliography"/>
        <w:ind w:left="720" w:hanging="720"/>
      </w:pPr>
      <w:r w:rsidRPr="00013844">
        <w:t>[2.]</w:t>
      </w:r>
      <w:r w:rsidRPr="00013844">
        <w:tab/>
        <w:t>C. Franceschi, M. Bonafè, S. Valensin, F. Olivieri, M. De Luca, E. Ottaviani, G. De Benedictis, Inflamm-aging. An evolutionary perspective on immunosenescence</w:t>
      </w:r>
      <w:r w:rsidRPr="00013844">
        <w:rPr>
          <w:i/>
        </w:rPr>
        <w:t>,</w:t>
      </w:r>
      <w:r w:rsidRPr="00013844">
        <w:t xml:space="preserve"> Ann N Y Acad Sci,  </w:t>
      </w:r>
      <w:r w:rsidRPr="00013844">
        <w:rPr>
          <w:b/>
        </w:rPr>
        <w:t>908</w:t>
      </w:r>
      <w:r w:rsidRPr="00013844">
        <w:t xml:space="preserve">:(2000)  244-54. </w:t>
      </w:r>
      <w:hyperlink r:id="rId12" w:history="1">
        <w:r w:rsidRPr="00013844">
          <w:rPr>
            <w:rStyle w:val="Hyperlink"/>
          </w:rPr>
          <w:t>https://doi.org/10.1111/j.1749-6632.2000.tb06651.x</w:t>
        </w:r>
      </w:hyperlink>
    </w:p>
    <w:p w14:paraId="70123292" w14:textId="77777777" w:rsidR="004663AB" w:rsidRPr="00013844" w:rsidRDefault="004663AB" w:rsidP="004663AB">
      <w:pPr>
        <w:pStyle w:val="EndNoteBibliography"/>
        <w:ind w:left="720" w:hanging="720"/>
      </w:pPr>
      <w:r w:rsidRPr="00013844">
        <w:t>[3.]</w:t>
      </w:r>
      <w:r w:rsidRPr="00013844">
        <w:tab/>
        <w:t>C. Franceschi and J. Campisi, Chronic inflammation (inflammaging) and its potential contribution to age-associated diseases</w:t>
      </w:r>
      <w:r w:rsidRPr="00013844">
        <w:rPr>
          <w:i/>
        </w:rPr>
        <w:t>,</w:t>
      </w:r>
      <w:r w:rsidRPr="00013844">
        <w:t xml:space="preserve"> J Gerontol A Biol Sci Med Sci,  </w:t>
      </w:r>
      <w:r w:rsidRPr="00013844">
        <w:rPr>
          <w:b/>
        </w:rPr>
        <w:t>69 Suppl 1</w:t>
      </w:r>
      <w:r w:rsidRPr="00013844">
        <w:t xml:space="preserve">:(2014)  S4-9. </w:t>
      </w:r>
      <w:hyperlink r:id="rId13" w:history="1">
        <w:r w:rsidRPr="00013844">
          <w:rPr>
            <w:rStyle w:val="Hyperlink"/>
          </w:rPr>
          <w:t>https://doi.org/10.1093/gerona/glu057</w:t>
        </w:r>
      </w:hyperlink>
    </w:p>
    <w:p w14:paraId="052AFB36" w14:textId="77777777" w:rsidR="004663AB" w:rsidRPr="00013844" w:rsidRDefault="004663AB" w:rsidP="004663AB">
      <w:pPr>
        <w:pStyle w:val="EndNoteBibliography"/>
        <w:ind w:left="720" w:hanging="720"/>
      </w:pPr>
      <w:r w:rsidRPr="00013844">
        <w:t>[4.]</w:t>
      </w:r>
      <w:r w:rsidRPr="00013844">
        <w:tab/>
        <w:t xml:space="preserve">C.M. Weyand and J.J. Goronzy, Aging of the Immune System. Mechanisms and Therapeutic </w:t>
      </w:r>
      <w:r w:rsidRPr="00013844">
        <w:lastRenderedPageBreak/>
        <w:t>Targets</w:t>
      </w:r>
      <w:r w:rsidRPr="00013844">
        <w:rPr>
          <w:i/>
        </w:rPr>
        <w:t>,</w:t>
      </w:r>
      <w:r w:rsidRPr="00013844">
        <w:t xml:space="preserve"> Ann Am Thorac Soc,  </w:t>
      </w:r>
      <w:r w:rsidRPr="00013844">
        <w:rPr>
          <w:b/>
        </w:rPr>
        <w:t>13 Suppl 5</w:t>
      </w:r>
      <w:r w:rsidRPr="00013844">
        <w:t xml:space="preserve">:(2016)  S422-S428. </w:t>
      </w:r>
      <w:hyperlink r:id="rId14" w:history="1">
        <w:r w:rsidRPr="00013844">
          <w:rPr>
            <w:rStyle w:val="Hyperlink"/>
          </w:rPr>
          <w:t>https://doi.org/10.1513/AnnalsATS.201602-095AW</w:t>
        </w:r>
      </w:hyperlink>
    </w:p>
    <w:p w14:paraId="5CF4027C" w14:textId="77777777" w:rsidR="004663AB" w:rsidRPr="00013844" w:rsidRDefault="004663AB" w:rsidP="004663AB">
      <w:pPr>
        <w:pStyle w:val="EndNoteBibliography"/>
        <w:ind w:left="720" w:hanging="720"/>
      </w:pPr>
      <w:r w:rsidRPr="00013844">
        <w:t>[5.]</w:t>
      </w:r>
      <w:r w:rsidRPr="00013844">
        <w:tab/>
        <w:t>C. Lopez-Otin, M.A. Blasco, L. Partridge, M. Serrano, G. Kroemer, The hallmarks of aging</w:t>
      </w:r>
      <w:r w:rsidRPr="00013844">
        <w:rPr>
          <w:i/>
        </w:rPr>
        <w:t>,</w:t>
      </w:r>
      <w:r w:rsidRPr="00013844">
        <w:t xml:space="preserve"> Cell,  </w:t>
      </w:r>
      <w:r w:rsidRPr="00013844">
        <w:rPr>
          <w:b/>
        </w:rPr>
        <w:t>153</w:t>
      </w:r>
      <w:r w:rsidRPr="00013844">
        <w:t xml:space="preserve">:6 (2013)  1194-217. </w:t>
      </w:r>
      <w:hyperlink r:id="rId15" w:history="1">
        <w:r w:rsidRPr="00013844">
          <w:rPr>
            <w:rStyle w:val="Hyperlink"/>
          </w:rPr>
          <w:t>https://doi.org/10.1016/j.cell.2013.05.039</w:t>
        </w:r>
      </w:hyperlink>
    </w:p>
    <w:p w14:paraId="18102DE9" w14:textId="77777777" w:rsidR="004663AB" w:rsidRPr="00013844" w:rsidRDefault="004663AB" w:rsidP="004663AB">
      <w:pPr>
        <w:pStyle w:val="EndNoteBibliography"/>
        <w:ind w:left="720" w:hanging="720"/>
      </w:pPr>
      <w:r w:rsidRPr="00013844">
        <w:t>[6.]</w:t>
      </w:r>
      <w:r w:rsidRPr="00013844">
        <w:tab/>
        <w:t>C.J. Kenyon, The genetics of ageing</w:t>
      </w:r>
      <w:r w:rsidRPr="00013844">
        <w:rPr>
          <w:i/>
        </w:rPr>
        <w:t>,</w:t>
      </w:r>
      <w:r w:rsidRPr="00013844">
        <w:t xml:space="preserve"> Nature,  </w:t>
      </w:r>
      <w:r w:rsidRPr="00013844">
        <w:rPr>
          <w:b/>
        </w:rPr>
        <w:t>464</w:t>
      </w:r>
      <w:r w:rsidRPr="00013844">
        <w:t xml:space="preserve">:7288 (2010)  504-12. </w:t>
      </w:r>
      <w:hyperlink r:id="rId16" w:history="1">
        <w:r w:rsidRPr="00013844">
          <w:rPr>
            <w:rStyle w:val="Hyperlink"/>
          </w:rPr>
          <w:t>https://doi.org/10.1038/nature08980</w:t>
        </w:r>
      </w:hyperlink>
    </w:p>
    <w:p w14:paraId="3FBDF579" w14:textId="77777777" w:rsidR="004663AB" w:rsidRPr="00013844" w:rsidRDefault="004663AB" w:rsidP="004663AB">
      <w:pPr>
        <w:pStyle w:val="EndNoteBibliography"/>
        <w:ind w:left="720" w:hanging="720"/>
      </w:pPr>
      <w:r w:rsidRPr="00013844">
        <w:t>[7.]</w:t>
      </w:r>
      <w:r w:rsidRPr="00013844">
        <w:tab/>
        <w:t>J. Zhang, P. Alcaide, L. Liu, J. Sun, A. He, F.W. Luscinskas, G.P. Shi, Regulation of endothelial cell adhesion molecule expression by mast cells, macrophages, and neutrophils</w:t>
      </w:r>
      <w:r w:rsidRPr="00013844">
        <w:rPr>
          <w:i/>
        </w:rPr>
        <w:t>,</w:t>
      </w:r>
      <w:r w:rsidRPr="00013844">
        <w:t xml:space="preserve"> PLoS One,  </w:t>
      </w:r>
      <w:r w:rsidRPr="00013844">
        <w:rPr>
          <w:b/>
        </w:rPr>
        <w:t>6</w:t>
      </w:r>
      <w:r w:rsidRPr="00013844">
        <w:t xml:space="preserve">:1 (2011)  e14525. </w:t>
      </w:r>
      <w:hyperlink r:id="rId17" w:history="1">
        <w:r w:rsidRPr="00013844">
          <w:rPr>
            <w:rStyle w:val="Hyperlink"/>
          </w:rPr>
          <w:t>https://doi.org/10.1371/journal.pone.0014525</w:t>
        </w:r>
      </w:hyperlink>
    </w:p>
    <w:p w14:paraId="757EF4C7" w14:textId="77777777" w:rsidR="004663AB" w:rsidRPr="00013844" w:rsidRDefault="004663AB" w:rsidP="004663AB">
      <w:pPr>
        <w:pStyle w:val="EndNoteBibliography"/>
        <w:ind w:left="720" w:hanging="720"/>
      </w:pPr>
      <w:r w:rsidRPr="00013844">
        <w:t>[8.]</w:t>
      </w:r>
      <w:r w:rsidRPr="00013844">
        <w:tab/>
        <w:t>G.S. Kansas, Selectins and their ligands: current concepts and controversies</w:t>
      </w:r>
      <w:r w:rsidRPr="00013844">
        <w:rPr>
          <w:i/>
        </w:rPr>
        <w:t>,</w:t>
      </w:r>
      <w:r w:rsidRPr="00013844">
        <w:t xml:space="preserve"> Blood,  </w:t>
      </w:r>
      <w:r w:rsidRPr="00013844">
        <w:rPr>
          <w:b/>
        </w:rPr>
        <w:t>88</w:t>
      </w:r>
      <w:r w:rsidRPr="00013844">
        <w:t xml:space="preserve">:9 (1996)  3259-87. </w:t>
      </w:r>
      <w:hyperlink r:id="rId18" w:history="1">
        <w:r w:rsidRPr="00013844">
          <w:rPr>
            <w:rStyle w:val="Hyperlink"/>
          </w:rPr>
          <w:t>https://doi.org/10.1182/blood.V88.9.3259.bloodjournal8893259</w:t>
        </w:r>
      </w:hyperlink>
    </w:p>
    <w:p w14:paraId="22815D9F" w14:textId="77777777" w:rsidR="004663AB" w:rsidRPr="00013844" w:rsidRDefault="004663AB" w:rsidP="004663AB">
      <w:pPr>
        <w:pStyle w:val="EndNoteBibliography"/>
        <w:ind w:left="720" w:hanging="720"/>
      </w:pPr>
      <w:r w:rsidRPr="00013844">
        <w:t>[9.]</w:t>
      </w:r>
      <w:r w:rsidRPr="00013844">
        <w:tab/>
        <w:t>H. Harjunpää, M. Llort Asens, C. Guenther, S.C. Fagerholm, Cell adhesion molecules and their roles and regulation in the immune and tumor microenvironment</w:t>
      </w:r>
      <w:r w:rsidRPr="00013844">
        <w:rPr>
          <w:i/>
        </w:rPr>
        <w:t>,</w:t>
      </w:r>
      <w:r w:rsidRPr="00013844">
        <w:t xml:space="preserve"> Front Immunol,  </w:t>
      </w:r>
      <w:r w:rsidRPr="00013844">
        <w:rPr>
          <w:b/>
        </w:rPr>
        <w:t>10</w:t>
      </w:r>
      <w:r w:rsidRPr="00013844">
        <w:t xml:space="preserve">:(2019)  1078. </w:t>
      </w:r>
      <w:hyperlink r:id="rId19" w:history="1">
        <w:r w:rsidRPr="00013844">
          <w:rPr>
            <w:rStyle w:val="Hyperlink"/>
          </w:rPr>
          <w:t>https://doi.org/10.3389/fimmu.2019.01078</w:t>
        </w:r>
      </w:hyperlink>
    </w:p>
    <w:p w14:paraId="57F162D2" w14:textId="77777777" w:rsidR="004663AB" w:rsidRPr="00013844" w:rsidRDefault="004663AB" w:rsidP="004663AB">
      <w:pPr>
        <w:pStyle w:val="EndNoteBibliography"/>
        <w:ind w:left="720" w:hanging="720"/>
      </w:pPr>
      <w:r w:rsidRPr="00013844">
        <w:t>[10.]</w:t>
      </w:r>
      <w:r w:rsidRPr="00013844">
        <w:tab/>
        <w:t>C. Giagulli, E. Scarpini, L. Ottoboni, S. Narumiya, E.C. Butcher, G. Constantin, C. Laudanna, RhoA and zeta PKC control distinct modalities of LFA-1 activation by chemokines: critical role of LFA-1 affinity triggering in lymphocyte in vivo homing</w:t>
      </w:r>
      <w:r w:rsidRPr="00013844">
        <w:rPr>
          <w:i/>
        </w:rPr>
        <w:t>,</w:t>
      </w:r>
      <w:r w:rsidRPr="00013844">
        <w:t xml:space="preserve"> Immunity,  </w:t>
      </w:r>
      <w:r w:rsidRPr="00013844">
        <w:rPr>
          <w:b/>
        </w:rPr>
        <w:t>20</w:t>
      </w:r>
      <w:r w:rsidRPr="00013844">
        <w:t xml:space="preserve">:1 (2004)  25-35. </w:t>
      </w:r>
      <w:hyperlink r:id="rId20" w:history="1">
        <w:r w:rsidRPr="00013844">
          <w:rPr>
            <w:rStyle w:val="Hyperlink"/>
          </w:rPr>
          <w:t>https://doi.org/10.1016/s1074-7613(03)00350-9</w:t>
        </w:r>
      </w:hyperlink>
    </w:p>
    <w:p w14:paraId="6268E5C2" w14:textId="77777777" w:rsidR="004663AB" w:rsidRPr="00013844" w:rsidRDefault="004663AB" w:rsidP="004663AB">
      <w:pPr>
        <w:pStyle w:val="EndNoteBibliography"/>
        <w:ind w:left="720" w:hanging="720"/>
      </w:pPr>
      <w:r w:rsidRPr="00013844">
        <w:t>[11.]</w:t>
      </w:r>
      <w:r w:rsidRPr="00013844">
        <w:tab/>
        <w:t>S. Tadokoro, S.J. Shattil, K. Eto, V. Tai, R.C. Liddington, J.M. de Pereda, M.H. Ginsberg, D.A. Calderwood, Talin binding to integrin beta tails: a final common step in integrin activation</w:t>
      </w:r>
      <w:r w:rsidRPr="00013844">
        <w:rPr>
          <w:i/>
        </w:rPr>
        <w:t>,</w:t>
      </w:r>
      <w:r w:rsidRPr="00013844">
        <w:t xml:space="preserve"> Science,  </w:t>
      </w:r>
      <w:r w:rsidRPr="00013844">
        <w:rPr>
          <w:b/>
        </w:rPr>
        <w:t>302</w:t>
      </w:r>
      <w:r w:rsidRPr="00013844">
        <w:t xml:space="preserve">:5642 (2003)  103-6. </w:t>
      </w:r>
      <w:hyperlink r:id="rId21" w:history="1">
        <w:r w:rsidRPr="00013844">
          <w:rPr>
            <w:rStyle w:val="Hyperlink"/>
          </w:rPr>
          <w:t>https://doi.org/10.1126/science.1086652</w:t>
        </w:r>
      </w:hyperlink>
    </w:p>
    <w:p w14:paraId="6D432AA6" w14:textId="77777777" w:rsidR="004663AB" w:rsidRPr="00013844" w:rsidRDefault="004663AB" w:rsidP="004663AB">
      <w:pPr>
        <w:pStyle w:val="EndNoteBibliography"/>
        <w:ind w:left="720" w:hanging="720"/>
      </w:pPr>
      <w:r w:rsidRPr="00013844">
        <w:t>[12.]</w:t>
      </w:r>
      <w:r w:rsidRPr="00013844">
        <w:tab/>
        <w:t>D. Kummer and K. Ebnet, Junctional Adhesion Molecules (JAMs): The JAM-Integrin Connection</w:t>
      </w:r>
      <w:r w:rsidRPr="00013844">
        <w:rPr>
          <w:i/>
        </w:rPr>
        <w:t>,</w:t>
      </w:r>
      <w:r w:rsidRPr="00013844">
        <w:t xml:space="preserve"> Cells,  </w:t>
      </w:r>
      <w:r w:rsidRPr="00013844">
        <w:rPr>
          <w:b/>
        </w:rPr>
        <w:t>7</w:t>
      </w:r>
      <w:r w:rsidRPr="00013844">
        <w:t xml:space="preserve">:4 (2018). </w:t>
      </w:r>
      <w:hyperlink r:id="rId22" w:history="1">
        <w:r w:rsidRPr="00013844">
          <w:rPr>
            <w:rStyle w:val="Hyperlink"/>
          </w:rPr>
          <w:t>https://doi.org/10.3390/cells7040025</w:t>
        </w:r>
      </w:hyperlink>
    </w:p>
    <w:p w14:paraId="44C82714" w14:textId="77777777" w:rsidR="004663AB" w:rsidRPr="00013844" w:rsidRDefault="004663AB" w:rsidP="004663AB">
      <w:pPr>
        <w:pStyle w:val="EndNoteBibliography"/>
        <w:ind w:left="720" w:hanging="720"/>
      </w:pPr>
      <w:r w:rsidRPr="00013844">
        <w:t>[13.]</w:t>
      </w:r>
      <w:r w:rsidRPr="00013844">
        <w:tab/>
        <w:t>A. Gaylo, D.C. Schrock, N.R. Fernandes, D.J. Fowell, T Cell Interstitial Migration: Motility Cues from the Inflamed Tissue for Micro- and Macro-</w:t>
      </w:r>
      <w:r w:rsidRPr="00013844">
        <w:lastRenderedPageBreak/>
        <w:t>Positioning</w:t>
      </w:r>
      <w:r w:rsidRPr="00013844">
        <w:rPr>
          <w:i/>
        </w:rPr>
        <w:t>,</w:t>
      </w:r>
      <w:r w:rsidRPr="00013844">
        <w:t xml:space="preserve"> Front Immunol,  </w:t>
      </w:r>
      <w:r w:rsidRPr="00013844">
        <w:rPr>
          <w:b/>
        </w:rPr>
        <w:t>7</w:t>
      </w:r>
      <w:r w:rsidRPr="00013844">
        <w:t xml:space="preserve">:(2016)  428. </w:t>
      </w:r>
      <w:hyperlink r:id="rId23" w:history="1">
        <w:r w:rsidRPr="00013844">
          <w:rPr>
            <w:rStyle w:val="Hyperlink"/>
          </w:rPr>
          <w:t>https://doi.org/10.3389/fimmu.2016.00428</w:t>
        </w:r>
      </w:hyperlink>
    </w:p>
    <w:p w14:paraId="4D8FFF02" w14:textId="77777777" w:rsidR="004663AB" w:rsidRPr="00013844" w:rsidRDefault="004663AB" w:rsidP="004663AB">
      <w:pPr>
        <w:pStyle w:val="EndNoteBibliography"/>
        <w:ind w:left="720" w:hanging="720"/>
      </w:pPr>
      <w:r w:rsidRPr="00013844">
        <w:t>[14.]</w:t>
      </w:r>
      <w:r w:rsidRPr="00013844">
        <w:tab/>
        <w:t>S. Nourshargh and R. Alon, Leukocyte migration into inflamed tissues</w:t>
      </w:r>
      <w:r w:rsidRPr="00013844">
        <w:rPr>
          <w:i/>
        </w:rPr>
        <w:t>,</w:t>
      </w:r>
      <w:r w:rsidRPr="00013844">
        <w:t xml:space="preserve"> Immunity,  </w:t>
      </w:r>
      <w:r w:rsidRPr="00013844">
        <w:rPr>
          <w:b/>
        </w:rPr>
        <w:t>41</w:t>
      </w:r>
      <w:r w:rsidRPr="00013844">
        <w:t xml:space="preserve">:5 (2014)  694-707. </w:t>
      </w:r>
      <w:hyperlink r:id="rId24" w:history="1">
        <w:r w:rsidRPr="00013844">
          <w:rPr>
            <w:rStyle w:val="Hyperlink"/>
          </w:rPr>
          <w:t>https://doi.org/10.1016/j.immuni.2014.10.008</w:t>
        </w:r>
      </w:hyperlink>
    </w:p>
    <w:p w14:paraId="2836DA47" w14:textId="77777777" w:rsidR="004663AB" w:rsidRPr="00013844" w:rsidRDefault="004663AB" w:rsidP="004663AB">
      <w:pPr>
        <w:pStyle w:val="EndNoteBibliography"/>
        <w:ind w:left="720" w:hanging="720"/>
      </w:pPr>
      <w:r w:rsidRPr="00013844">
        <w:t>[15.]</w:t>
      </w:r>
      <w:r w:rsidRPr="00013844">
        <w:tab/>
        <w:t>N. Reglero-Real, L. Rolas, S. Nourshargh, Leukocyte Trafficking: Time to Take Time Seriously</w:t>
      </w:r>
      <w:r w:rsidRPr="00013844">
        <w:rPr>
          <w:i/>
        </w:rPr>
        <w:t>,</w:t>
      </w:r>
      <w:r w:rsidRPr="00013844">
        <w:t xml:space="preserve"> Immunity,  </w:t>
      </w:r>
      <w:r w:rsidRPr="00013844">
        <w:rPr>
          <w:b/>
        </w:rPr>
        <w:t>50</w:t>
      </w:r>
      <w:r w:rsidRPr="00013844">
        <w:t xml:space="preserve">:2 (2019)  273-275. </w:t>
      </w:r>
      <w:hyperlink r:id="rId25" w:history="1">
        <w:r w:rsidRPr="00013844">
          <w:rPr>
            <w:rStyle w:val="Hyperlink"/>
          </w:rPr>
          <w:t>https://doi.org/10.1016/j.immuni.2019.01.013</w:t>
        </w:r>
      </w:hyperlink>
    </w:p>
    <w:p w14:paraId="5B609482" w14:textId="77777777" w:rsidR="004663AB" w:rsidRPr="00013844" w:rsidRDefault="004663AB" w:rsidP="004663AB">
      <w:pPr>
        <w:pStyle w:val="EndNoteBibliography"/>
        <w:ind w:left="720" w:hanging="720"/>
      </w:pPr>
      <w:r w:rsidRPr="00013844">
        <w:t>[16.]</w:t>
      </w:r>
      <w:r w:rsidRPr="00013844">
        <w:tab/>
        <w:t>A. Bertoni, O. Alabiso, A.S. Galetto, G. Baldanzi, Integrins in T Cell Physiology</w:t>
      </w:r>
      <w:r w:rsidRPr="00013844">
        <w:rPr>
          <w:i/>
        </w:rPr>
        <w:t>,</w:t>
      </w:r>
      <w:r w:rsidRPr="00013844">
        <w:t xml:space="preserve"> Int J Mol Sci,  </w:t>
      </w:r>
      <w:r w:rsidRPr="00013844">
        <w:rPr>
          <w:b/>
        </w:rPr>
        <w:t>19</w:t>
      </w:r>
      <w:r w:rsidRPr="00013844">
        <w:t xml:space="preserve">:2 (2018). </w:t>
      </w:r>
      <w:hyperlink r:id="rId26" w:history="1">
        <w:r w:rsidRPr="00013844">
          <w:rPr>
            <w:rStyle w:val="Hyperlink"/>
          </w:rPr>
          <w:t>https://doi.org/10.3390/ijms19020485</w:t>
        </w:r>
      </w:hyperlink>
    </w:p>
    <w:p w14:paraId="232E1A57" w14:textId="77777777" w:rsidR="004663AB" w:rsidRPr="00013844" w:rsidRDefault="004663AB" w:rsidP="004663AB">
      <w:pPr>
        <w:pStyle w:val="EndNoteBibliography"/>
        <w:ind w:left="720" w:hanging="720"/>
      </w:pPr>
      <w:r w:rsidRPr="00013844">
        <w:t>[17.]</w:t>
      </w:r>
      <w:r w:rsidRPr="00013844">
        <w:tab/>
        <w:t>M. Casanova-Acebes, C. Pitaval, L.A. Weiss, C. Nombela-Arrieta, R. Chèvre, A.G. N, Y. Kunisaki, D. Zhang, N. van Rooijen, L.E. Silberstein, C. Weber, T. Nagasawa, P.S. Frenette, A. Castrillo, A. Hidalgo, Rhythmic modulation of the hematopoietic niche through neutrophil clearance</w:t>
      </w:r>
      <w:r w:rsidRPr="00013844">
        <w:rPr>
          <w:i/>
        </w:rPr>
        <w:t>,</w:t>
      </w:r>
      <w:r w:rsidRPr="00013844">
        <w:t xml:space="preserve"> Cell,  </w:t>
      </w:r>
      <w:r w:rsidRPr="00013844">
        <w:rPr>
          <w:b/>
        </w:rPr>
        <w:t>153</w:t>
      </w:r>
      <w:r w:rsidRPr="00013844">
        <w:t xml:space="preserve">:5 (2013)  1025-35. </w:t>
      </w:r>
      <w:hyperlink r:id="rId27" w:history="1">
        <w:r w:rsidRPr="00013844">
          <w:rPr>
            <w:rStyle w:val="Hyperlink"/>
          </w:rPr>
          <w:t>https://doi.org/10.1016/j.cell.2013.04.040</w:t>
        </w:r>
      </w:hyperlink>
    </w:p>
    <w:p w14:paraId="3AB550A6" w14:textId="77777777" w:rsidR="004663AB" w:rsidRPr="00013844" w:rsidRDefault="004663AB" w:rsidP="004663AB">
      <w:pPr>
        <w:pStyle w:val="EndNoteBibliography"/>
        <w:ind w:left="720" w:hanging="720"/>
      </w:pPr>
      <w:r w:rsidRPr="00013844">
        <w:t>[18.]</w:t>
      </w:r>
      <w:r w:rsidRPr="00013844">
        <w:tab/>
        <w:t>C. Scheiermann, Y. Kunisaki, P.S. Frenette, Circadian control of the immune system</w:t>
      </w:r>
      <w:r w:rsidRPr="00013844">
        <w:rPr>
          <w:i/>
        </w:rPr>
        <w:t>,</w:t>
      </w:r>
      <w:r w:rsidRPr="00013844">
        <w:t xml:space="preserve"> Nat Rev Immunol,  </w:t>
      </w:r>
      <w:r w:rsidRPr="00013844">
        <w:rPr>
          <w:b/>
        </w:rPr>
        <w:t>13</w:t>
      </w:r>
      <w:r w:rsidRPr="00013844">
        <w:t xml:space="preserve">:3 (2013)  190-8. </w:t>
      </w:r>
      <w:hyperlink r:id="rId28" w:history="1">
        <w:r w:rsidRPr="00013844">
          <w:rPr>
            <w:rStyle w:val="Hyperlink"/>
          </w:rPr>
          <w:t>https://doi.org/10.1038/nri3386</w:t>
        </w:r>
      </w:hyperlink>
    </w:p>
    <w:p w14:paraId="58E3D05D" w14:textId="77777777" w:rsidR="004663AB" w:rsidRPr="00013844" w:rsidRDefault="004663AB" w:rsidP="004663AB">
      <w:pPr>
        <w:pStyle w:val="EndNoteBibliography"/>
        <w:ind w:left="720" w:hanging="720"/>
      </w:pPr>
      <w:r w:rsidRPr="00013844">
        <w:t>[19.]</w:t>
      </w:r>
      <w:r w:rsidRPr="00013844">
        <w:tab/>
        <w:t>W. He, S. Holtkamp, S.M. Hergenhan, K. Kraus, A. de Juan, J. Weber, P. Bradfield, J.M.P. Grenier, J. Pelletier, D. Druzd, C.S. Chen, L.M. Ince, S. Bierschenk, R. Pick, M. Sperandio, M. Aurrand-Lions, C. Scheiermann, Circadian Expression of Migratory Factors Establishes Lineage-Specific Signatures that Guide the Homing of Leukocyte Subsets to Tissues</w:t>
      </w:r>
      <w:r w:rsidRPr="00013844">
        <w:rPr>
          <w:i/>
        </w:rPr>
        <w:t>,</w:t>
      </w:r>
      <w:r w:rsidRPr="00013844">
        <w:t xml:space="preserve"> Immunity,  </w:t>
      </w:r>
      <w:r w:rsidRPr="00013844">
        <w:rPr>
          <w:b/>
        </w:rPr>
        <w:t>49</w:t>
      </w:r>
      <w:r w:rsidRPr="00013844">
        <w:t xml:space="preserve">:6 (2018)  1175-1190.e7. </w:t>
      </w:r>
      <w:hyperlink r:id="rId29" w:history="1">
        <w:r w:rsidRPr="00013844">
          <w:rPr>
            <w:rStyle w:val="Hyperlink"/>
          </w:rPr>
          <w:t>https://doi.org/10.1016/j.immuni.2018.10.007</w:t>
        </w:r>
      </w:hyperlink>
    </w:p>
    <w:p w14:paraId="36BD5461" w14:textId="77777777" w:rsidR="004663AB" w:rsidRPr="00013844" w:rsidRDefault="004663AB" w:rsidP="004663AB">
      <w:pPr>
        <w:pStyle w:val="EndNoteBibliography"/>
        <w:ind w:left="720" w:hanging="720"/>
      </w:pPr>
      <w:r w:rsidRPr="00013844">
        <w:t>[20.]</w:t>
      </w:r>
      <w:r w:rsidRPr="00013844">
        <w:tab/>
        <w:t>D.G. Jackson, Leucocyte Trafficking via the Lymphatic Vasculature- Mechanisms and Consequences</w:t>
      </w:r>
      <w:r w:rsidRPr="00013844">
        <w:rPr>
          <w:i/>
        </w:rPr>
        <w:t>,</w:t>
      </w:r>
      <w:r w:rsidRPr="00013844">
        <w:t xml:space="preserve"> Front Immunol,  </w:t>
      </w:r>
      <w:r w:rsidRPr="00013844">
        <w:rPr>
          <w:b/>
        </w:rPr>
        <w:t>10</w:t>
      </w:r>
      <w:r w:rsidRPr="00013844">
        <w:t xml:space="preserve">:(2019)  471. </w:t>
      </w:r>
      <w:hyperlink r:id="rId30" w:history="1">
        <w:r w:rsidRPr="00013844">
          <w:rPr>
            <w:rStyle w:val="Hyperlink"/>
          </w:rPr>
          <w:t>https://doi.org/10.3389/fimmu.2019.00471</w:t>
        </w:r>
      </w:hyperlink>
    </w:p>
    <w:p w14:paraId="185AE9DA" w14:textId="77777777" w:rsidR="004663AB" w:rsidRPr="00013844" w:rsidRDefault="004663AB" w:rsidP="004663AB">
      <w:pPr>
        <w:pStyle w:val="EndNoteBibliography"/>
        <w:ind w:left="720" w:hanging="720"/>
      </w:pPr>
      <w:r w:rsidRPr="00013844">
        <w:t>[21.]</w:t>
      </w:r>
      <w:r w:rsidRPr="00013844">
        <w:tab/>
        <w:t>H.R. Hampton and T. Chtanova, Lymphatic Migration of Immune Cells</w:t>
      </w:r>
      <w:r w:rsidRPr="00013844">
        <w:rPr>
          <w:i/>
        </w:rPr>
        <w:t>,</w:t>
      </w:r>
      <w:r w:rsidRPr="00013844">
        <w:t xml:space="preserve"> Front Immunol,  </w:t>
      </w:r>
      <w:r w:rsidRPr="00013844">
        <w:rPr>
          <w:b/>
        </w:rPr>
        <w:t>10</w:t>
      </w:r>
      <w:r w:rsidRPr="00013844">
        <w:t xml:space="preserve">:(2019)  1168. </w:t>
      </w:r>
      <w:hyperlink r:id="rId31" w:history="1">
        <w:r w:rsidRPr="00013844">
          <w:rPr>
            <w:rStyle w:val="Hyperlink"/>
          </w:rPr>
          <w:t>https://doi.org/10.3389/fimmu.2019.01168</w:t>
        </w:r>
      </w:hyperlink>
    </w:p>
    <w:p w14:paraId="72CA1726" w14:textId="77777777" w:rsidR="004663AB" w:rsidRPr="00013844" w:rsidRDefault="004663AB" w:rsidP="004663AB">
      <w:pPr>
        <w:pStyle w:val="EndNoteBibliography"/>
        <w:ind w:left="720" w:hanging="720"/>
      </w:pPr>
      <w:r w:rsidRPr="00013844">
        <w:t>[22.]</w:t>
      </w:r>
      <w:r w:rsidRPr="00013844">
        <w:tab/>
        <w:t>P.T. Sage and C.V. Carman, Settings and mechanisms for trans-cellular diapedesis</w:t>
      </w:r>
      <w:r w:rsidRPr="00013844">
        <w:rPr>
          <w:i/>
        </w:rPr>
        <w:t>,</w:t>
      </w:r>
      <w:r w:rsidRPr="00013844">
        <w:t xml:space="preserve"> Front Biosci (Landmark Ed),  </w:t>
      </w:r>
      <w:r w:rsidRPr="00013844">
        <w:rPr>
          <w:b/>
        </w:rPr>
        <w:t>14</w:t>
      </w:r>
      <w:r w:rsidRPr="00013844">
        <w:t xml:space="preserve">:(2009)  5066-83. </w:t>
      </w:r>
      <w:hyperlink r:id="rId32" w:history="1">
        <w:r w:rsidRPr="00013844">
          <w:rPr>
            <w:rStyle w:val="Hyperlink"/>
          </w:rPr>
          <w:t>https://doi.org/10.2741/3587</w:t>
        </w:r>
      </w:hyperlink>
    </w:p>
    <w:p w14:paraId="4DE70D88" w14:textId="77777777" w:rsidR="004663AB" w:rsidRPr="00013844" w:rsidRDefault="004663AB" w:rsidP="004663AB">
      <w:pPr>
        <w:pStyle w:val="EndNoteBibliography"/>
        <w:ind w:left="720" w:hanging="720"/>
      </w:pPr>
      <w:r w:rsidRPr="00013844">
        <w:t>[23.]</w:t>
      </w:r>
      <w:r w:rsidRPr="00013844">
        <w:tab/>
        <w:t>T.M. Consortium, A single-cell transcriptomic atlas characterizes ageing tissues in the mouse</w:t>
      </w:r>
      <w:r w:rsidRPr="00013844">
        <w:rPr>
          <w:i/>
        </w:rPr>
        <w:t>,</w:t>
      </w:r>
      <w:r w:rsidRPr="00013844">
        <w:t xml:space="preserve"> Nature,  </w:t>
      </w:r>
      <w:r w:rsidRPr="00013844">
        <w:rPr>
          <w:b/>
        </w:rPr>
        <w:lastRenderedPageBreak/>
        <w:t>583</w:t>
      </w:r>
      <w:r w:rsidRPr="00013844">
        <w:t xml:space="preserve">:7817 (2020)  590-595. </w:t>
      </w:r>
      <w:hyperlink r:id="rId33" w:history="1">
        <w:r w:rsidRPr="00013844">
          <w:rPr>
            <w:rStyle w:val="Hyperlink"/>
          </w:rPr>
          <w:t>https://doi.org/10.1038/s41586-020-2496-1</w:t>
        </w:r>
      </w:hyperlink>
    </w:p>
    <w:p w14:paraId="33FEF6A5" w14:textId="77777777" w:rsidR="004663AB" w:rsidRPr="00013844" w:rsidRDefault="004663AB" w:rsidP="004663AB">
      <w:pPr>
        <w:pStyle w:val="EndNoteBibliography"/>
        <w:ind w:left="720" w:hanging="720"/>
      </w:pPr>
      <w:r w:rsidRPr="00013844">
        <w:t>[24.]</w:t>
      </w:r>
      <w:r w:rsidRPr="00013844">
        <w:tab/>
        <w:t>J. Zhao, J. Zhao, K. Legge, S. Perlman, Age-related increases in PGD(2) expression impair respiratory DC migration, resulting in diminished T cell responses upon respiratory virus infection in mice</w:t>
      </w:r>
      <w:r w:rsidRPr="00013844">
        <w:rPr>
          <w:i/>
        </w:rPr>
        <w:t>,</w:t>
      </w:r>
      <w:r w:rsidRPr="00013844">
        <w:t xml:space="preserve"> J Clin Invest,  </w:t>
      </w:r>
      <w:r w:rsidRPr="00013844">
        <w:rPr>
          <w:b/>
        </w:rPr>
        <w:t>121</w:t>
      </w:r>
      <w:r w:rsidRPr="00013844">
        <w:t xml:space="preserve">:12 (2011)  4921-30. </w:t>
      </w:r>
      <w:hyperlink r:id="rId34" w:history="1">
        <w:r w:rsidRPr="00013844">
          <w:rPr>
            <w:rStyle w:val="Hyperlink"/>
          </w:rPr>
          <w:t>https://doi.org/10.1172/jci59777</w:t>
        </w:r>
      </w:hyperlink>
    </w:p>
    <w:p w14:paraId="5748E26B" w14:textId="77777777" w:rsidR="004663AB" w:rsidRPr="00013844" w:rsidRDefault="004663AB" w:rsidP="004663AB">
      <w:pPr>
        <w:pStyle w:val="EndNoteBibliography"/>
        <w:ind w:left="720" w:hanging="720"/>
      </w:pPr>
      <w:r w:rsidRPr="00013844">
        <w:t>[25.]</w:t>
      </w:r>
      <w:r w:rsidRPr="00013844">
        <w:tab/>
        <w:t>F.R. Toapanta and T.M. Ross, Impaired immune responses in the lungs of aged mice following influenza infection</w:t>
      </w:r>
      <w:r w:rsidRPr="00013844">
        <w:rPr>
          <w:i/>
        </w:rPr>
        <w:t>,</w:t>
      </w:r>
      <w:r w:rsidRPr="00013844">
        <w:t xml:space="preserve"> Respir Res,  </w:t>
      </w:r>
      <w:r w:rsidRPr="00013844">
        <w:rPr>
          <w:b/>
        </w:rPr>
        <w:t>10</w:t>
      </w:r>
      <w:r w:rsidRPr="00013844">
        <w:t xml:space="preserve">:1 (2009)  112. </w:t>
      </w:r>
      <w:hyperlink r:id="rId35" w:history="1">
        <w:r w:rsidRPr="00013844">
          <w:rPr>
            <w:rStyle w:val="Hyperlink"/>
          </w:rPr>
          <w:t>https://doi.org/10.1186/1465-9921-10-112</w:t>
        </w:r>
      </w:hyperlink>
    </w:p>
    <w:p w14:paraId="222311D8" w14:textId="77777777" w:rsidR="004663AB" w:rsidRPr="00013844" w:rsidRDefault="004663AB" w:rsidP="004663AB">
      <w:pPr>
        <w:pStyle w:val="EndNoteBibliography"/>
        <w:ind w:left="720" w:hanging="720"/>
      </w:pPr>
      <w:r w:rsidRPr="00013844">
        <w:t>[26.]</w:t>
      </w:r>
      <w:r w:rsidRPr="00013844">
        <w:tab/>
        <w:t>S.P. Tull, C.M. Yates, B.H. Maskrey, V.B. O'Donnell, J. Madden, R.F. Grimble, P.C. Calder, G.B. Nash, G.E. Rainger, Omega-3 Fatty acids and inflammation: novel interactions reveal a new step in neutrophil recruitment</w:t>
      </w:r>
      <w:r w:rsidRPr="00013844">
        <w:rPr>
          <w:i/>
        </w:rPr>
        <w:t>,</w:t>
      </w:r>
      <w:r w:rsidRPr="00013844">
        <w:t xml:space="preserve"> PLoS Biol,  </w:t>
      </w:r>
      <w:r w:rsidRPr="00013844">
        <w:rPr>
          <w:b/>
        </w:rPr>
        <w:t>7</w:t>
      </w:r>
      <w:r w:rsidRPr="00013844">
        <w:t xml:space="preserve">:8 (2009)  e1000177. </w:t>
      </w:r>
      <w:hyperlink r:id="rId36" w:history="1">
        <w:r w:rsidRPr="00013844">
          <w:rPr>
            <w:rStyle w:val="Hyperlink"/>
          </w:rPr>
          <w:t>https://doi.org/10.1371/journal.pbio.1000177</w:t>
        </w:r>
      </w:hyperlink>
    </w:p>
    <w:p w14:paraId="36703F52" w14:textId="77777777" w:rsidR="004663AB" w:rsidRPr="00013844" w:rsidRDefault="004663AB" w:rsidP="004663AB">
      <w:pPr>
        <w:pStyle w:val="EndNoteBibliography"/>
        <w:ind w:left="720" w:hanging="720"/>
      </w:pPr>
      <w:r w:rsidRPr="00013844">
        <w:t>[27.]</w:t>
      </w:r>
      <w:r w:rsidRPr="00013844">
        <w:tab/>
        <w:t>A. Grolleau-Julius, E.K. Harning, L.M. Abernathy, R.L. Yung, Impaired dendritic cell function in aging leads to defective antitumor immunity</w:t>
      </w:r>
      <w:r w:rsidRPr="00013844">
        <w:rPr>
          <w:i/>
        </w:rPr>
        <w:t>,</w:t>
      </w:r>
      <w:r w:rsidRPr="00013844">
        <w:t xml:space="preserve"> Cancer Res,  </w:t>
      </w:r>
      <w:r w:rsidRPr="00013844">
        <w:rPr>
          <w:b/>
        </w:rPr>
        <w:t>68</w:t>
      </w:r>
      <w:r w:rsidRPr="00013844">
        <w:t xml:space="preserve">:15 (2008)  6341-9. </w:t>
      </w:r>
      <w:hyperlink r:id="rId37" w:history="1">
        <w:r w:rsidRPr="00013844">
          <w:rPr>
            <w:rStyle w:val="Hyperlink"/>
          </w:rPr>
          <w:t>https://doi.org/10.1158/0008-5472.CAN-07-5769</w:t>
        </w:r>
      </w:hyperlink>
    </w:p>
    <w:p w14:paraId="0B39FAF1" w14:textId="77777777" w:rsidR="004663AB" w:rsidRPr="00013844" w:rsidRDefault="004663AB" w:rsidP="004663AB">
      <w:pPr>
        <w:pStyle w:val="EndNoteBibliography"/>
        <w:ind w:left="720" w:hanging="720"/>
      </w:pPr>
      <w:r w:rsidRPr="00013844">
        <w:t>[28.]</w:t>
      </w:r>
      <w:r w:rsidRPr="00013844">
        <w:tab/>
        <w:t>A. Agrawal, S. Agrawal, J.N. Cao, H. Su, K. Osann, S. Gupta, Altered innate immune functioning of dendritic cells in elderly humans: a role of phosphoinositide 3-kinase-signaling pathway</w:t>
      </w:r>
      <w:r w:rsidRPr="00013844">
        <w:rPr>
          <w:i/>
        </w:rPr>
        <w:t>,</w:t>
      </w:r>
      <w:r w:rsidRPr="00013844">
        <w:t xml:space="preserve"> J Immunol,  </w:t>
      </w:r>
      <w:r w:rsidRPr="00013844">
        <w:rPr>
          <w:b/>
        </w:rPr>
        <w:t>178</w:t>
      </w:r>
      <w:r w:rsidRPr="00013844">
        <w:t xml:space="preserve">:11 (2007)  6912-22. </w:t>
      </w:r>
      <w:hyperlink r:id="rId38" w:history="1">
        <w:r w:rsidRPr="00013844">
          <w:rPr>
            <w:rStyle w:val="Hyperlink"/>
          </w:rPr>
          <w:t>https://doi.org/10.4049/jimmunol.178.11.6912</w:t>
        </w:r>
      </w:hyperlink>
    </w:p>
    <w:p w14:paraId="4A5CB456" w14:textId="77777777" w:rsidR="004663AB" w:rsidRPr="00013844" w:rsidRDefault="004663AB" w:rsidP="004663AB">
      <w:pPr>
        <w:pStyle w:val="EndNoteBibliography"/>
        <w:ind w:left="720" w:hanging="720"/>
      </w:pPr>
      <w:r w:rsidRPr="00013844">
        <w:t>[29.]</w:t>
      </w:r>
      <w:r w:rsidRPr="00013844">
        <w:tab/>
        <w:t>E.S. Chambers, M. Vukmanovic-Stejic, B.B. Shih, H. Trahair, P. Subramanian, O.P. Devine, J. Glanville, D. Gilroy, M. Rustin, T.C. Freeman, N.A. Mabbot, A.N. Akbar, Monocyte-derived prostaglandin E2 inhibits antigen-specific cutaneous immunity during ageing</w:t>
      </w:r>
      <w:r w:rsidRPr="00013844">
        <w:rPr>
          <w:i/>
        </w:rPr>
        <w:t>,</w:t>
      </w:r>
      <w:r w:rsidRPr="00013844">
        <w:t xml:space="preserve"> Pre-print, (Unpublished results). </w:t>
      </w:r>
      <w:hyperlink r:id="rId39" w:history="1">
        <w:r w:rsidRPr="00013844">
          <w:rPr>
            <w:rStyle w:val="Hyperlink"/>
          </w:rPr>
          <w:t>https://doi.org/10.1101/2020.04.02.020081</w:t>
        </w:r>
      </w:hyperlink>
    </w:p>
    <w:p w14:paraId="617F1757" w14:textId="77777777" w:rsidR="004663AB" w:rsidRPr="00013844" w:rsidRDefault="004663AB" w:rsidP="004663AB">
      <w:pPr>
        <w:pStyle w:val="EndNoteBibliography"/>
        <w:ind w:left="720" w:hanging="720"/>
      </w:pPr>
      <w:r w:rsidRPr="00013844">
        <w:t>[30.]</w:t>
      </w:r>
      <w:r w:rsidRPr="00013844">
        <w:tab/>
        <w:t>M. Vukmanovic-Stejic, E.S. Chambers, M. Suarez-Farinas, D. Sandhu, J. Fuentes-Duculan, N. Patel, E. Agius, K.E. Lacy, C.T. Turner, A. Larbi, V. Birault, M. Noursadeghi, N.A. Mabbott, M.H.A. Rustin, J.G. Krueger, A.N. Akbar, Enhancement of cutaneous immunity during aging by blocking p38 mitogen-activated protein (MAP) kinase-induced inflammation</w:t>
      </w:r>
      <w:r w:rsidRPr="00013844">
        <w:rPr>
          <w:i/>
        </w:rPr>
        <w:t>,</w:t>
      </w:r>
      <w:r w:rsidRPr="00013844">
        <w:t xml:space="preserve"> J Allergy Clin Immunol,  </w:t>
      </w:r>
      <w:r w:rsidRPr="00013844">
        <w:rPr>
          <w:b/>
        </w:rPr>
        <w:t>142</w:t>
      </w:r>
      <w:r w:rsidRPr="00013844">
        <w:t>:3 (2018)  844-856. 10.1016/j.jaci.2017.10.032</w:t>
      </w:r>
    </w:p>
    <w:p w14:paraId="63AF451C" w14:textId="77777777" w:rsidR="004663AB" w:rsidRPr="00013844" w:rsidRDefault="004663AB" w:rsidP="004663AB">
      <w:pPr>
        <w:pStyle w:val="EndNoteBibliography"/>
        <w:ind w:left="720" w:hanging="720"/>
      </w:pPr>
      <w:r w:rsidRPr="00013844">
        <w:lastRenderedPageBreak/>
        <w:t>[31.]</w:t>
      </w:r>
      <w:r w:rsidRPr="00013844">
        <w:tab/>
        <w:t>C. Wenisch, S. Patruta, F. Daxböck, R. Krause, W. Hörl, Effect of age on human neutrophil function</w:t>
      </w:r>
      <w:r w:rsidRPr="00013844">
        <w:rPr>
          <w:i/>
        </w:rPr>
        <w:t>,</w:t>
      </w:r>
      <w:r w:rsidRPr="00013844">
        <w:t xml:space="preserve"> J Leukoc Biol,  </w:t>
      </w:r>
      <w:r w:rsidRPr="00013844">
        <w:rPr>
          <w:b/>
        </w:rPr>
        <w:t>67</w:t>
      </w:r>
      <w:r w:rsidRPr="00013844">
        <w:t xml:space="preserve">:1 (2000)  40-5. </w:t>
      </w:r>
      <w:hyperlink r:id="rId40" w:history="1">
        <w:r w:rsidRPr="00013844">
          <w:rPr>
            <w:rStyle w:val="Hyperlink"/>
          </w:rPr>
          <w:t>https://doi.org/10.1002/jlb.67.1.40</w:t>
        </w:r>
      </w:hyperlink>
    </w:p>
    <w:p w14:paraId="55FB4193" w14:textId="77777777" w:rsidR="004663AB" w:rsidRPr="00013844" w:rsidRDefault="004663AB" w:rsidP="004663AB">
      <w:pPr>
        <w:pStyle w:val="EndNoteBibliography"/>
        <w:ind w:left="720" w:hanging="720"/>
      </w:pPr>
      <w:r w:rsidRPr="00013844">
        <w:t>[32.]</w:t>
      </w:r>
      <w:r w:rsidRPr="00013844">
        <w:tab/>
        <w:t>Y. Niwa, T. Kasama, Y. Miyachi, T. Kanoh, Neutrophil chemotaxis, phagocytosis and parameters of reactive oxygen species in human aging: cross-sectional and longitudinal studies</w:t>
      </w:r>
      <w:r w:rsidRPr="00013844">
        <w:rPr>
          <w:i/>
        </w:rPr>
        <w:t>,</w:t>
      </w:r>
      <w:r w:rsidRPr="00013844">
        <w:t xml:space="preserve"> Life Sci,  </w:t>
      </w:r>
      <w:r w:rsidRPr="00013844">
        <w:rPr>
          <w:b/>
        </w:rPr>
        <w:t>44</w:t>
      </w:r>
      <w:r w:rsidRPr="00013844">
        <w:t xml:space="preserve">:22 (1989)  1655-64. </w:t>
      </w:r>
      <w:hyperlink r:id="rId41" w:history="1">
        <w:r w:rsidRPr="00013844">
          <w:rPr>
            <w:rStyle w:val="Hyperlink"/>
          </w:rPr>
          <w:t>https://doi.org/10.1016/0024-3205(89)90482-7</w:t>
        </w:r>
      </w:hyperlink>
      <w:r w:rsidRPr="00013844">
        <w:t xml:space="preserve"> </w:t>
      </w:r>
    </w:p>
    <w:p w14:paraId="230F8EA7" w14:textId="77777777" w:rsidR="004663AB" w:rsidRPr="00013844" w:rsidRDefault="004663AB" w:rsidP="004663AB">
      <w:pPr>
        <w:pStyle w:val="EndNoteBibliography"/>
        <w:ind w:left="720" w:hanging="720"/>
      </w:pPr>
      <w:r w:rsidRPr="00013844">
        <w:t>[33.]</w:t>
      </w:r>
      <w:r w:rsidRPr="00013844">
        <w:tab/>
        <w:t>E. Sapey, H. Greenwood, G. Walton, E. Mann, A. Love, N. Aaronson, R.H. Insall, R.A. Stockley, J.M. Lord, Phosphoinositide 3-kinase inhibition restores neutrophil accuracy in the elderly: toward targeted treatments for immunosenescence</w:t>
      </w:r>
      <w:r w:rsidRPr="00013844">
        <w:rPr>
          <w:i/>
        </w:rPr>
        <w:t>,</w:t>
      </w:r>
      <w:r w:rsidRPr="00013844">
        <w:t xml:space="preserve"> Blood,  </w:t>
      </w:r>
      <w:r w:rsidRPr="00013844">
        <w:rPr>
          <w:b/>
        </w:rPr>
        <w:t>123</w:t>
      </w:r>
      <w:r w:rsidRPr="00013844">
        <w:t xml:space="preserve">:2 (2014)  239-48. </w:t>
      </w:r>
      <w:hyperlink r:id="rId42" w:history="1">
        <w:r w:rsidRPr="00013844">
          <w:rPr>
            <w:rStyle w:val="Hyperlink"/>
          </w:rPr>
          <w:t>https://doi.org/10.1182/blood-2013-08-519520</w:t>
        </w:r>
      </w:hyperlink>
    </w:p>
    <w:p w14:paraId="26E065E0" w14:textId="77777777" w:rsidR="004663AB" w:rsidRPr="00013844" w:rsidRDefault="004663AB" w:rsidP="004663AB">
      <w:pPr>
        <w:pStyle w:val="EndNoteBibliography"/>
        <w:ind w:left="720" w:hanging="720"/>
      </w:pPr>
      <w:r w:rsidRPr="00013844">
        <w:t>[34.]</w:t>
      </w:r>
      <w:r w:rsidRPr="00013844">
        <w:tab/>
        <w:t>V. Nomellini, A.L. Brubaker, S. Mahbub, J.L. Palmer, C.R. Gomez, E.J. Kovacs, Dysregulation of neutrophil CXCR2 and pulmonary endothelial icam-1 promotes age-related pulmonary inflammation</w:t>
      </w:r>
      <w:r w:rsidRPr="00013844">
        <w:rPr>
          <w:i/>
        </w:rPr>
        <w:t>,</w:t>
      </w:r>
      <w:r w:rsidRPr="00013844">
        <w:t xml:space="preserve"> Aging Dis,  </w:t>
      </w:r>
      <w:r w:rsidRPr="00013844">
        <w:rPr>
          <w:b/>
        </w:rPr>
        <w:t>3</w:t>
      </w:r>
      <w:r w:rsidRPr="00013844">
        <w:t xml:space="preserve">:3 (2012)  234-47. </w:t>
      </w:r>
    </w:p>
    <w:p w14:paraId="09B1079D" w14:textId="77777777" w:rsidR="004663AB" w:rsidRPr="00013844" w:rsidRDefault="004663AB" w:rsidP="004663AB">
      <w:pPr>
        <w:pStyle w:val="EndNoteBibliography"/>
        <w:ind w:left="720" w:hanging="720"/>
      </w:pPr>
      <w:r w:rsidRPr="00013844">
        <w:t>[35.]</w:t>
      </w:r>
      <w:r w:rsidRPr="00013844">
        <w:tab/>
        <w:t>V. Nomellini, D.E. Faunce, C.R. Gomez, E.J. Kovacs, An age-associated increase in pulmonary inflammation after burn injury is abrogated by CXCR2 inhibition</w:t>
      </w:r>
      <w:r w:rsidRPr="00013844">
        <w:rPr>
          <w:i/>
        </w:rPr>
        <w:t>,</w:t>
      </w:r>
      <w:r w:rsidRPr="00013844">
        <w:t xml:space="preserve"> J Leukoc Biol,  </w:t>
      </w:r>
      <w:r w:rsidRPr="00013844">
        <w:rPr>
          <w:b/>
        </w:rPr>
        <w:t>83</w:t>
      </w:r>
      <w:r w:rsidRPr="00013844">
        <w:t xml:space="preserve">:6 (2008)  1493-501. </w:t>
      </w:r>
      <w:hyperlink r:id="rId43" w:history="1">
        <w:r w:rsidRPr="00013844">
          <w:rPr>
            <w:rStyle w:val="Hyperlink"/>
          </w:rPr>
          <w:t>https://doi.org/10.1189/jlb.1007672</w:t>
        </w:r>
      </w:hyperlink>
    </w:p>
    <w:p w14:paraId="677DBF37" w14:textId="77777777" w:rsidR="004663AB" w:rsidRPr="00013844" w:rsidRDefault="004663AB" w:rsidP="004663AB">
      <w:pPr>
        <w:pStyle w:val="EndNoteBibliography"/>
        <w:ind w:left="720" w:hanging="720"/>
      </w:pPr>
      <w:r w:rsidRPr="00013844">
        <w:t>[36.]</w:t>
      </w:r>
      <w:r w:rsidRPr="00013844">
        <w:tab/>
        <w:t>C. Murciano, A. Yáñez, J.E. O'Connor, D. Gozalbo, M.L. Gil, Influence of aging on murine neutrophil and macrophage function against Candida albicans</w:t>
      </w:r>
      <w:r w:rsidRPr="00013844">
        <w:rPr>
          <w:i/>
        </w:rPr>
        <w:t>,</w:t>
      </w:r>
      <w:r w:rsidRPr="00013844">
        <w:t xml:space="preserve"> FEMS Immunol Med Microbiol,  </w:t>
      </w:r>
      <w:r w:rsidRPr="00013844">
        <w:rPr>
          <w:b/>
        </w:rPr>
        <w:t>53</w:t>
      </w:r>
      <w:r w:rsidRPr="00013844">
        <w:t xml:space="preserve">:2 (2008)  214-21. </w:t>
      </w:r>
      <w:hyperlink r:id="rId44" w:history="1">
        <w:r w:rsidRPr="00013844">
          <w:rPr>
            <w:rStyle w:val="Hyperlink"/>
          </w:rPr>
          <w:t>https://doi.org/10.1111/j.1574-695X.2008.00418.x</w:t>
        </w:r>
      </w:hyperlink>
    </w:p>
    <w:p w14:paraId="5E1D8F20" w14:textId="77777777" w:rsidR="004663AB" w:rsidRPr="00013844" w:rsidRDefault="004663AB" w:rsidP="004663AB">
      <w:pPr>
        <w:pStyle w:val="EndNoteBibliography"/>
        <w:ind w:left="720" w:hanging="720"/>
      </w:pPr>
      <w:r w:rsidRPr="00013844">
        <w:t>[37.]</w:t>
      </w:r>
      <w:r w:rsidRPr="00013844">
        <w:tab/>
        <w:t>A.L. Brubaker, J.L. Rendon, L. Ramirez, M.A. Choudhry, E.J. Kovacs, Reduced neutrophil chemotaxis and infiltration contributes to delayed resolution of cutaneous wound infection with advanced age</w:t>
      </w:r>
      <w:r w:rsidRPr="00013844">
        <w:rPr>
          <w:i/>
        </w:rPr>
        <w:t>,</w:t>
      </w:r>
      <w:r w:rsidRPr="00013844">
        <w:t xml:space="preserve"> J Immunol,  </w:t>
      </w:r>
      <w:r w:rsidRPr="00013844">
        <w:rPr>
          <w:b/>
        </w:rPr>
        <w:t>190</w:t>
      </w:r>
      <w:r w:rsidRPr="00013844">
        <w:t xml:space="preserve">:4 (2013)  1746-57. </w:t>
      </w:r>
      <w:hyperlink r:id="rId45" w:history="1">
        <w:r w:rsidRPr="00013844">
          <w:rPr>
            <w:rStyle w:val="Hyperlink"/>
          </w:rPr>
          <w:t>https://doi.org/10.4049/jimmunol.1201213</w:t>
        </w:r>
      </w:hyperlink>
    </w:p>
    <w:p w14:paraId="2F0898EA" w14:textId="77777777" w:rsidR="004663AB" w:rsidRPr="00013844" w:rsidRDefault="004663AB" w:rsidP="004663AB">
      <w:pPr>
        <w:pStyle w:val="EndNoteBibliography"/>
        <w:ind w:left="720" w:hanging="720"/>
        <w:rPr>
          <w:rFonts w:eastAsiaTheme="minorEastAsia"/>
          <w:color w:val="0000FF" w:themeColor="hyperlink"/>
          <w:u w:val="single"/>
        </w:rPr>
      </w:pPr>
      <w:r w:rsidRPr="00013844">
        <w:t>[38.]</w:t>
      </w:r>
      <w:r w:rsidRPr="00013844">
        <w:tab/>
        <w:t>Z. Ren, R. Gay, A. Thomas, M. Pae, D. Wu, L. Logsdon, J. Mecsas, S.N. Meydani, Effect of age on susceptibility to Salmonella Typhimurium infection in C57BL/6 mice</w:t>
      </w:r>
      <w:r w:rsidRPr="00013844">
        <w:rPr>
          <w:i/>
        </w:rPr>
        <w:t>,</w:t>
      </w:r>
      <w:r w:rsidRPr="00013844">
        <w:t xml:space="preserve"> J Med Microbiol,  </w:t>
      </w:r>
      <w:r w:rsidRPr="00013844">
        <w:rPr>
          <w:b/>
        </w:rPr>
        <w:t>58</w:t>
      </w:r>
      <w:r w:rsidRPr="00013844">
        <w:t xml:space="preserve">:Pt 12 (2009)  1559-1567. </w:t>
      </w:r>
      <w:hyperlink r:id="rId46" w:history="1">
        <w:r w:rsidRPr="00013844">
          <w:rPr>
            <w:rStyle w:val="Hyperlink"/>
          </w:rPr>
          <w:t>https://doi.org/10.1099/jmm.0.013250-0</w:t>
        </w:r>
      </w:hyperlink>
    </w:p>
    <w:p w14:paraId="77DF1E20" w14:textId="77777777" w:rsidR="004663AB" w:rsidRPr="00013844" w:rsidRDefault="004663AB" w:rsidP="004663AB">
      <w:pPr>
        <w:pStyle w:val="EndNoteBibliography"/>
        <w:ind w:left="720" w:hanging="720"/>
        <w:rPr>
          <w:rFonts w:eastAsiaTheme="minorEastAsia"/>
          <w:color w:val="0000FF" w:themeColor="hyperlink"/>
          <w:u w:val="single"/>
        </w:rPr>
      </w:pPr>
      <w:r w:rsidRPr="00013844">
        <w:t>[39.]</w:t>
      </w:r>
      <w:r w:rsidRPr="00013844">
        <w:tab/>
        <w:t xml:space="preserve">R.M. Ritzel, J. Crapser, A.R. Patel, R. Verma, J.M. Grenier, A. Chauhan, E.R. Jellison, L.D. McCullough, Age-Associated Resident Memory </w:t>
      </w:r>
      <w:r w:rsidRPr="00013844">
        <w:lastRenderedPageBreak/>
        <w:t>CD8 T Cells in the Central Nervous System Are Primed To Potentiate Inflammation after Ischemic Brain Injury</w:t>
      </w:r>
      <w:r w:rsidRPr="00013844">
        <w:rPr>
          <w:i/>
        </w:rPr>
        <w:t>,</w:t>
      </w:r>
      <w:r w:rsidRPr="00013844">
        <w:t xml:space="preserve"> J Immunol,  </w:t>
      </w:r>
      <w:r w:rsidRPr="00013844">
        <w:rPr>
          <w:b/>
        </w:rPr>
        <w:t>196</w:t>
      </w:r>
      <w:r w:rsidRPr="00013844">
        <w:t xml:space="preserve">:8 (2016)  3318-30. </w:t>
      </w:r>
      <w:hyperlink r:id="rId47" w:history="1">
        <w:r w:rsidRPr="00013844">
          <w:rPr>
            <w:rStyle w:val="Hyperlink"/>
          </w:rPr>
          <w:t>https://doi.org/10.4049/jimmunol.1502021</w:t>
        </w:r>
      </w:hyperlink>
    </w:p>
    <w:p w14:paraId="459398A7" w14:textId="77777777" w:rsidR="004663AB" w:rsidRPr="00013844" w:rsidRDefault="004663AB" w:rsidP="004663AB">
      <w:pPr>
        <w:pStyle w:val="EndNoteBibliography"/>
        <w:ind w:left="720" w:hanging="720"/>
      </w:pPr>
      <w:r w:rsidRPr="00013844">
        <w:t>[40.]</w:t>
      </w:r>
      <w:r w:rsidRPr="00013844">
        <w:tab/>
        <w:t>N. Schaum, B. Lehallier, O. Hahn, R. Palovics, S. Hosseinzadeh, S.E. Lee, R. Sit, D.P. Lee, P.M. Losada, M.E. Zardeneta, T. Fehlmann, J.T. Webber, A. McGeever, K. Calcuttawala, H. Zhang, D. Berdnik, V. Mathur, W. Tan, A. Zee, M. Tan, C. Tabula Muris, A.O. Pisco, J. Karkanias, N.F. Neff, A. Keller, S. Darmanis, S.R. Quake, T. Wyss-Coray, Ageing hallmarks exhibit organ-specific temporal signatures</w:t>
      </w:r>
      <w:r w:rsidRPr="00013844">
        <w:rPr>
          <w:i/>
        </w:rPr>
        <w:t>,</w:t>
      </w:r>
      <w:r w:rsidRPr="00013844">
        <w:t xml:space="preserve"> Nature,  </w:t>
      </w:r>
      <w:r w:rsidRPr="00013844">
        <w:rPr>
          <w:b/>
        </w:rPr>
        <w:t>583</w:t>
      </w:r>
      <w:r w:rsidRPr="00013844">
        <w:t xml:space="preserve">:7817 (2020)  596-602. </w:t>
      </w:r>
      <w:hyperlink r:id="rId48" w:history="1">
        <w:r w:rsidRPr="00013844">
          <w:rPr>
            <w:rStyle w:val="Hyperlink"/>
          </w:rPr>
          <w:t>https://doi.org/10.1038/s41586-020-2499-y</w:t>
        </w:r>
      </w:hyperlink>
    </w:p>
    <w:p w14:paraId="4A540F37" w14:textId="77777777" w:rsidR="004663AB" w:rsidRPr="00013844" w:rsidRDefault="004663AB" w:rsidP="004663AB">
      <w:pPr>
        <w:pStyle w:val="EndNoteBibliography"/>
        <w:ind w:left="720" w:hanging="720"/>
      </w:pPr>
      <w:r w:rsidRPr="00013844">
        <w:t>[41.]</w:t>
      </w:r>
      <w:r w:rsidRPr="00013844">
        <w:tab/>
        <w:t>J.M. Richner, G.B. Gmyrek, J. Govero, Y. Tu, G.J. van der Windt, T.U. Metcalf, E.K. Haddad, J. Textor, M.J. Miller, M.S. Diamond, Age-Dependent Cell Trafficking Defects in Draining Lymph Nodes Impair Adaptive Immunity and Control of West Nile Virus Infection</w:t>
      </w:r>
      <w:r w:rsidRPr="00013844">
        <w:rPr>
          <w:i/>
        </w:rPr>
        <w:t>,</w:t>
      </w:r>
      <w:r w:rsidRPr="00013844">
        <w:t xml:space="preserve"> PLoS Pathog,  </w:t>
      </w:r>
      <w:r w:rsidRPr="00013844">
        <w:rPr>
          <w:b/>
        </w:rPr>
        <w:t>11</w:t>
      </w:r>
      <w:r w:rsidRPr="00013844">
        <w:t xml:space="preserve">:7 (2015)  e1005027. </w:t>
      </w:r>
      <w:hyperlink r:id="rId49" w:history="1">
        <w:r w:rsidRPr="00013844">
          <w:rPr>
            <w:rStyle w:val="Hyperlink"/>
          </w:rPr>
          <w:t>https://doi.org/10.1371/journal.ppat.1005027</w:t>
        </w:r>
      </w:hyperlink>
    </w:p>
    <w:p w14:paraId="15D894F0" w14:textId="77777777" w:rsidR="004663AB" w:rsidRPr="00013844" w:rsidRDefault="004663AB" w:rsidP="004663AB">
      <w:pPr>
        <w:pStyle w:val="EndNoteBibliography"/>
        <w:ind w:left="720" w:hanging="720"/>
      </w:pPr>
      <w:r w:rsidRPr="00013844">
        <w:t>[42.]</w:t>
      </w:r>
      <w:r w:rsidRPr="00013844">
        <w:tab/>
        <w:t>E. Agius, K.E. Lacy, M. Vukmanovic-Stejic, A.L. Jagger, A.P. Papageorgiou, S. Hall, J.R. Reed, S.J. Curnow, J. Fuentes-Duculan, C.D. Buckley, M. Salmon, L.S. Taams, J. Krueger, J. Greenwood, N. Klein, M.H. Rustin, A.N. Akbar, Decreased TNF-alpha synthesis by macrophages restricts cutaneous immunosurveillance by memory CD4+ T cells during aging</w:t>
      </w:r>
      <w:r w:rsidRPr="00013844">
        <w:rPr>
          <w:i/>
        </w:rPr>
        <w:t>,</w:t>
      </w:r>
      <w:r w:rsidRPr="00013844">
        <w:t xml:space="preserve"> J Exp Med,  </w:t>
      </w:r>
      <w:r w:rsidRPr="00013844">
        <w:rPr>
          <w:b/>
        </w:rPr>
        <w:t>206</w:t>
      </w:r>
      <w:r w:rsidRPr="00013844">
        <w:t xml:space="preserve">:9 (2009)  1929-40. </w:t>
      </w:r>
      <w:hyperlink r:id="rId50" w:history="1">
        <w:r w:rsidRPr="00013844">
          <w:rPr>
            <w:rStyle w:val="Hyperlink"/>
          </w:rPr>
          <w:t>https://doi.org/10.1084/jem.20090896</w:t>
        </w:r>
      </w:hyperlink>
    </w:p>
    <w:p w14:paraId="30D67A81" w14:textId="77777777" w:rsidR="004663AB" w:rsidRPr="00013844" w:rsidRDefault="004663AB" w:rsidP="004663AB">
      <w:pPr>
        <w:pStyle w:val="EndNoteBibliography"/>
        <w:ind w:left="720" w:hanging="720"/>
      </w:pPr>
      <w:r w:rsidRPr="00013844">
        <w:t>[43.]</w:t>
      </w:r>
      <w:r w:rsidRPr="00013844">
        <w:tab/>
        <w:t>Z. Zhang, C. Deng, Q. Lu, B. Richardson, Age-dependent DNA methylation changes in the ITGAL (CD11a) promoter</w:t>
      </w:r>
      <w:r w:rsidRPr="00013844">
        <w:rPr>
          <w:i/>
        </w:rPr>
        <w:t>,</w:t>
      </w:r>
      <w:r w:rsidRPr="00013844">
        <w:t xml:space="preserve"> Mech Ageing Dev,  </w:t>
      </w:r>
      <w:r w:rsidRPr="00013844">
        <w:rPr>
          <w:b/>
        </w:rPr>
        <w:t>123</w:t>
      </w:r>
      <w:r w:rsidRPr="00013844">
        <w:t xml:space="preserve">:9 (2002)  1257-68. </w:t>
      </w:r>
      <w:hyperlink r:id="rId51" w:history="1">
        <w:r w:rsidRPr="00013844">
          <w:rPr>
            <w:rStyle w:val="Hyperlink"/>
            <w:color w:val="auto"/>
          </w:rPr>
          <w:t>https://doi.org/10.1016/s0047-6374(02)00014-3</w:t>
        </w:r>
      </w:hyperlink>
    </w:p>
    <w:p w14:paraId="2F266CFF" w14:textId="77777777" w:rsidR="004663AB" w:rsidRPr="00013844" w:rsidRDefault="004663AB" w:rsidP="004663AB">
      <w:pPr>
        <w:pStyle w:val="EndNoteBibliography"/>
        <w:ind w:left="720" w:hanging="720"/>
      </w:pPr>
      <w:r w:rsidRPr="00013844">
        <w:t>[44.]</w:t>
      </w:r>
      <w:r w:rsidRPr="00013844">
        <w:tab/>
        <w:t>I. Rom and R. Scalia, Aging-associated calpain activation increases leukocyte trafficking in the microcirculation</w:t>
      </w:r>
      <w:r w:rsidRPr="00013844">
        <w:rPr>
          <w:i/>
        </w:rPr>
        <w:t>,</w:t>
      </w:r>
      <w:r w:rsidRPr="00013844">
        <w:t xml:space="preserve"> FASEB J,  </w:t>
      </w:r>
      <w:r w:rsidRPr="00013844">
        <w:rPr>
          <w:b/>
        </w:rPr>
        <w:t>27</w:t>
      </w:r>
      <w:r w:rsidRPr="00013844">
        <w:t xml:space="preserve">:S1 (2013)  687. </w:t>
      </w:r>
      <w:hyperlink r:id="rId52" w:history="1">
        <w:r w:rsidRPr="00013844">
          <w:rPr>
            <w:rStyle w:val="Hyperlink"/>
          </w:rPr>
          <w:t>https://doi.org/10.1096/fasebj.27.1_supplement.687.16</w:t>
        </w:r>
      </w:hyperlink>
    </w:p>
    <w:p w14:paraId="70304D13" w14:textId="77777777" w:rsidR="004663AB" w:rsidRPr="00013844" w:rsidRDefault="004663AB" w:rsidP="004663AB">
      <w:pPr>
        <w:pStyle w:val="EndNoteBibliography"/>
        <w:ind w:left="720" w:hanging="720"/>
        <w:rPr>
          <w:rStyle w:val="Hyperlink"/>
        </w:rPr>
      </w:pPr>
      <w:r w:rsidRPr="00013844">
        <w:t>[45.]</w:t>
      </w:r>
      <w:r w:rsidRPr="00013844">
        <w:tab/>
        <w:t>Y. Zou, S. Yoon, K.J. Jung, C.H. Kim, T.G. Son, M.S. Kim, Y.J. Kim, J. Lee, B.P. Yu, H.Y. Chung, Upregulation of aortic adhesion molecules during aging</w:t>
      </w:r>
      <w:r w:rsidRPr="00013844">
        <w:rPr>
          <w:i/>
        </w:rPr>
        <w:t>,</w:t>
      </w:r>
      <w:r w:rsidRPr="00013844">
        <w:t xml:space="preserve"> J Gerontol A Biol Sci Med Sci,  </w:t>
      </w:r>
      <w:r w:rsidRPr="00013844">
        <w:rPr>
          <w:b/>
        </w:rPr>
        <w:t>61</w:t>
      </w:r>
      <w:r w:rsidRPr="00013844">
        <w:t xml:space="preserve">:3 (2006)  232-44. </w:t>
      </w:r>
      <w:hyperlink r:id="rId53" w:history="1">
        <w:r w:rsidRPr="00013844">
          <w:rPr>
            <w:rStyle w:val="Hyperlink"/>
          </w:rPr>
          <w:t>https://doi.org/10.1093/gerona/61.3.232</w:t>
        </w:r>
      </w:hyperlink>
    </w:p>
    <w:p w14:paraId="0809B4F6" w14:textId="77777777" w:rsidR="004663AB" w:rsidRPr="00013844" w:rsidRDefault="004663AB" w:rsidP="004663AB">
      <w:pPr>
        <w:pStyle w:val="EndNoteBibliography"/>
        <w:ind w:left="720" w:hanging="720"/>
      </w:pPr>
      <w:r w:rsidRPr="00013844">
        <w:rPr>
          <w:noProof w:val="0"/>
          <w:lang w:val="en-GB"/>
        </w:rPr>
        <w:t>[46.]</w:t>
      </w:r>
      <w:r w:rsidRPr="00013844">
        <w:rPr>
          <w:noProof w:val="0"/>
          <w:lang w:val="en-GB"/>
        </w:rPr>
        <w:tab/>
      </w:r>
      <w:r w:rsidRPr="00013844">
        <w:t xml:space="preserve">J.J. Miguel-Hidalgo, S. Nithuairisg, C. Stockmeier, G. Rajkowska, Distribution of ICAM-1 </w:t>
      </w:r>
      <w:r w:rsidRPr="00013844">
        <w:lastRenderedPageBreak/>
        <w:t>immunoreactivity during aging in the human orbitofrontal cortex</w:t>
      </w:r>
      <w:r w:rsidRPr="00013844">
        <w:rPr>
          <w:i/>
        </w:rPr>
        <w:t>,</w:t>
      </w:r>
      <w:r w:rsidRPr="00013844">
        <w:t xml:space="preserve"> Brain Behav Immun,  </w:t>
      </w:r>
      <w:r w:rsidRPr="00013844">
        <w:rPr>
          <w:b/>
        </w:rPr>
        <w:t>21</w:t>
      </w:r>
      <w:r w:rsidRPr="00013844">
        <w:t xml:space="preserve">:1 (2006)  100-111. </w:t>
      </w:r>
      <w:hyperlink r:id="rId54" w:history="1">
        <w:r w:rsidRPr="00013844">
          <w:rPr>
            <w:rStyle w:val="Hyperlink"/>
          </w:rPr>
          <w:t>https://doi.org/10.1016/j.bbi.2006.05.001</w:t>
        </w:r>
      </w:hyperlink>
    </w:p>
    <w:p w14:paraId="776FF9EF" w14:textId="77777777" w:rsidR="004663AB" w:rsidRPr="00013844" w:rsidRDefault="004663AB" w:rsidP="004663AB">
      <w:pPr>
        <w:pStyle w:val="EndNoteBibliography"/>
        <w:ind w:left="720" w:hanging="720"/>
      </w:pPr>
      <w:r w:rsidRPr="00013844">
        <w:t>[47.]</w:t>
      </w:r>
      <w:r w:rsidRPr="00013844">
        <w:tab/>
        <w:t>H. Yousef, C.J. Czupalla, D. Lee, M.B. Chen, A.N. Burke, K.A. Zera, J. Zandstra, E. Berber, B. Lehallier, V. Mathur, R.V. Nair, L.N. Bonanno, A.C. Yang, T. Peterson, H. Hadeiba, T. Merkel, J. Korbelin, M. Schwaninger, M.S. Buckwalter, S.R. Quake, E.C. Butcher, T. Wyss-Coray, Aged blood impairs hippocampal neural precursor activity and activates microglia via brain endothelial cell VCAM1</w:t>
      </w:r>
      <w:r w:rsidRPr="00013844">
        <w:rPr>
          <w:i/>
        </w:rPr>
        <w:t>,</w:t>
      </w:r>
      <w:r w:rsidRPr="00013844">
        <w:t xml:space="preserve"> Nat Med,  </w:t>
      </w:r>
      <w:r w:rsidRPr="00013844">
        <w:rPr>
          <w:b/>
        </w:rPr>
        <w:t>25</w:t>
      </w:r>
      <w:r w:rsidRPr="00013844">
        <w:t xml:space="preserve">:6 (2019)  988-1000. </w:t>
      </w:r>
      <w:hyperlink r:id="rId55" w:history="1">
        <w:r w:rsidRPr="00013844">
          <w:rPr>
            <w:rStyle w:val="Hyperlink"/>
          </w:rPr>
          <w:t>https://doi.org/10.1038/s41591-019-0440-4</w:t>
        </w:r>
      </w:hyperlink>
    </w:p>
    <w:p w14:paraId="1DD44B59" w14:textId="77777777" w:rsidR="004663AB" w:rsidRPr="00013844" w:rsidRDefault="004663AB" w:rsidP="004663AB">
      <w:pPr>
        <w:pStyle w:val="EndNoteBibliography"/>
        <w:ind w:left="720" w:hanging="720"/>
      </w:pPr>
      <w:r w:rsidRPr="00013844">
        <w:t>[48.]</w:t>
      </w:r>
      <w:r w:rsidRPr="00013844">
        <w:tab/>
        <w:t>S. Ketani, Z. Karakoç, M.A. Ketani, M. Kilinç, Expression of ICAM-1 in the Aorta of Wistar Albino Rats</w:t>
      </w:r>
      <w:r w:rsidRPr="00013844">
        <w:rPr>
          <w:i/>
        </w:rPr>
        <w:t>,</w:t>
      </w:r>
      <w:r w:rsidRPr="00013844">
        <w:t xml:space="preserve"> Int. J. Morphol,  </w:t>
      </w:r>
      <w:r w:rsidRPr="00013844">
        <w:rPr>
          <w:b/>
        </w:rPr>
        <w:t>34</w:t>
      </w:r>
      <w:r w:rsidRPr="00013844">
        <w:t xml:space="preserve">:4 (2016)  1482-1486. </w:t>
      </w:r>
      <w:hyperlink r:id="rId56" w:history="1">
        <w:r w:rsidRPr="00013844">
          <w:rPr>
            <w:rStyle w:val="Hyperlink"/>
          </w:rPr>
          <w:t>https://dx.doi.org/10.4067/S0717-95022016000400049</w:t>
        </w:r>
      </w:hyperlink>
    </w:p>
    <w:p w14:paraId="745B632E" w14:textId="77777777" w:rsidR="004663AB" w:rsidRPr="00013844" w:rsidRDefault="004663AB" w:rsidP="004663AB">
      <w:pPr>
        <w:pStyle w:val="EndNoteBibliography"/>
        <w:ind w:left="720" w:hanging="720"/>
      </w:pPr>
      <w:r w:rsidRPr="00013844">
        <w:t>[49.]</w:t>
      </w:r>
      <w:r w:rsidRPr="00013844">
        <w:tab/>
        <w:t>Z. Li, J. Froehlich, Z.S. Galis, E.G. Lakatta, Increased expression of matrix metalloproteinase-2 in the thickened intima of aged rats</w:t>
      </w:r>
      <w:r w:rsidRPr="00013844">
        <w:rPr>
          <w:i/>
        </w:rPr>
        <w:t>,</w:t>
      </w:r>
      <w:r w:rsidRPr="00013844">
        <w:t xml:space="preserve"> Hypertension,  </w:t>
      </w:r>
      <w:r w:rsidRPr="00013844">
        <w:rPr>
          <w:b/>
        </w:rPr>
        <w:t>33</w:t>
      </w:r>
      <w:r w:rsidRPr="00013844">
        <w:t>:1 (1999)  116-23. https://doi.org/10.1161/01.hyp.33.1.116</w:t>
      </w:r>
    </w:p>
    <w:p w14:paraId="70F8D159" w14:textId="77777777" w:rsidR="004663AB" w:rsidRPr="00013844" w:rsidRDefault="004663AB" w:rsidP="004663AB">
      <w:pPr>
        <w:pStyle w:val="EndNoteBibliography"/>
        <w:ind w:left="720" w:hanging="720"/>
      </w:pPr>
      <w:r w:rsidRPr="00013844">
        <w:t>[50.]</w:t>
      </w:r>
      <w:r w:rsidRPr="00013844">
        <w:tab/>
        <w:t>J. Gavard, Endothelial permeability and VE-cadherin: a wacky comradeship</w:t>
      </w:r>
      <w:r w:rsidRPr="00013844">
        <w:rPr>
          <w:i/>
        </w:rPr>
        <w:t>,</w:t>
      </w:r>
      <w:r w:rsidRPr="00013844">
        <w:t xml:space="preserve"> Cell Adh Migr,  </w:t>
      </w:r>
      <w:r w:rsidRPr="00013844">
        <w:rPr>
          <w:b/>
        </w:rPr>
        <w:t>8</w:t>
      </w:r>
      <w:r w:rsidRPr="00013844">
        <w:t xml:space="preserve">:2 (2014)  158-64. </w:t>
      </w:r>
      <w:hyperlink r:id="rId57" w:history="1">
        <w:r w:rsidRPr="00013844">
          <w:rPr>
            <w:rStyle w:val="Hyperlink"/>
          </w:rPr>
          <w:t>https://doi.org/10.4161/cam.29026</w:t>
        </w:r>
      </w:hyperlink>
    </w:p>
    <w:p w14:paraId="14842411" w14:textId="77777777" w:rsidR="004663AB" w:rsidRPr="00013844" w:rsidRDefault="004663AB" w:rsidP="004663AB">
      <w:pPr>
        <w:pStyle w:val="EndNoteBibliography"/>
        <w:ind w:left="720" w:hanging="720"/>
      </w:pPr>
      <w:r w:rsidRPr="00013844">
        <w:t>[51.]</w:t>
      </w:r>
      <w:r w:rsidRPr="00013844">
        <w:tab/>
        <w:t>F. Chang, S. Flavahan, N.A. Flavahan, Impaired activity of adherens junctions contributes to endothelial dilator dysfunction in ageing rat arteries</w:t>
      </w:r>
      <w:r w:rsidRPr="00013844">
        <w:rPr>
          <w:i/>
        </w:rPr>
        <w:t>,</w:t>
      </w:r>
      <w:r w:rsidRPr="00013844">
        <w:t xml:space="preserve"> J Physiol,  </w:t>
      </w:r>
      <w:r w:rsidRPr="00013844">
        <w:rPr>
          <w:b/>
        </w:rPr>
        <w:t>595</w:t>
      </w:r>
      <w:r w:rsidRPr="00013844">
        <w:t xml:space="preserve">:15 (2017)  5143-5158. </w:t>
      </w:r>
      <w:hyperlink r:id="rId58" w:history="1">
        <w:r w:rsidRPr="00013844">
          <w:rPr>
            <w:rStyle w:val="Hyperlink"/>
          </w:rPr>
          <w:t>https://doi.org/10.1113/JP274189</w:t>
        </w:r>
      </w:hyperlink>
    </w:p>
    <w:p w14:paraId="2C6866D6" w14:textId="77777777" w:rsidR="004663AB" w:rsidRPr="00013844" w:rsidRDefault="004663AB" w:rsidP="004663AB">
      <w:pPr>
        <w:pStyle w:val="EndNoteBibliography"/>
        <w:ind w:left="720" w:hanging="720"/>
      </w:pPr>
      <w:r w:rsidRPr="00013844">
        <w:t>[52.]</w:t>
      </w:r>
      <w:r w:rsidRPr="00013844">
        <w:tab/>
        <w:t>J. Belmin, B. Corman, R. Merval, A. Tedgui, Age-related changes in endothelial permeability and distribution volume of albumin in rat aorta</w:t>
      </w:r>
      <w:r w:rsidRPr="00013844">
        <w:rPr>
          <w:i/>
        </w:rPr>
        <w:t>,</w:t>
      </w:r>
      <w:r w:rsidRPr="00013844">
        <w:t xml:space="preserve"> Am J Physiol,  </w:t>
      </w:r>
      <w:r w:rsidRPr="00013844">
        <w:rPr>
          <w:b/>
        </w:rPr>
        <w:t>264</w:t>
      </w:r>
      <w:r w:rsidRPr="00013844">
        <w:t xml:space="preserve">:3 Pt 2 (1993)  H679-85. </w:t>
      </w:r>
      <w:hyperlink r:id="rId59" w:history="1">
        <w:r w:rsidRPr="00013844">
          <w:rPr>
            <w:rStyle w:val="Hyperlink"/>
          </w:rPr>
          <w:t>https://doi.org/10.1152/ajpheart.1993.264.3.H679</w:t>
        </w:r>
      </w:hyperlink>
    </w:p>
    <w:p w14:paraId="3C3DDE3C" w14:textId="77777777" w:rsidR="004663AB" w:rsidRPr="00013844" w:rsidRDefault="004663AB" w:rsidP="004663AB">
      <w:pPr>
        <w:pStyle w:val="EndNoteBibliography"/>
        <w:ind w:left="720" w:hanging="720"/>
      </w:pPr>
      <w:r w:rsidRPr="00013844">
        <w:t>[53.]</w:t>
      </w:r>
      <w:r w:rsidRPr="00013844">
        <w:tab/>
        <w:t>Y. Chen, J. Zhang, X. Duan, Changes of microvascular architecture, ultrastructure and permeability of rat jejunal villi at different ages</w:t>
      </w:r>
      <w:r w:rsidRPr="00013844">
        <w:rPr>
          <w:i/>
        </w:rPr>
        <w:t>,</w:t>
      </w:r>
      <w:r w:rsidRPr="00013844">
        <w:t xml:space="preserve"> World J Gastroenterol,  </w:t>
      </w:r>
      <w:r w:rsidRPr="00013844">
        <w:rPr>
          <w:b/>
        </w:rPr>
        <w:t>9</w:t>
      </w:r>
      <w:r w:rsidRPr="00013844">
        <w:t xml:space="preserve">:4 (2003)  795-799. </w:t>
      </w:r>
      <w:hyperlink r:id="rId60" w:history="1">
        <w:r w:rsidRPr="00013844">
          <w:rPr>
            <w:rStyle w:val="Hyperlink"/>
          </w:rPr>
          <w:t>https://doi.org/10.3748/wjg.v9.i4.795</w:t>
        </w:r>
      </w:hyperlink>
    </w:p>
    <w:p w14:paraId="2C836A02" w14:textId="77777777" w:rsidR="004663AB" w:rsidRPr="00013844" w:rsidRDefault="004663AB" w:rsidP="004663AB">
      <w:pPr>
        <w:pStyle w:val="EndNoteBibliography"/>
        <w:ind w:left="720" w:hanging="720"/>
      </w:pPr>
      <w:r w:rsidRPr="00013844">
        <w:t>[54.]</w:t>
      </w:r>
      <w:r w:rsidRPr="00013844">
        <w:tab/>
        <w:t>H. Saito and J. Papaconstantinou, Age-associated differences in cardiovascular inflammatory gene induction during endotoxic stress</w:t>
      </w:r>
      <w:r w:rsidRPr="00013844">
        <w:rPr>
          <w:i/>
        </w:rPr>
        <w:t>,</w:t>
      </w:r>
      <w:r w:rsidRPr="00013844">
        <w:t xml:space="preserve"> J Biol Chem,  </w:t>
      </w:r>
      <w:r w:rsidRPr="00013844">
        <w:rPr>
          <w:b/>
        </w:rPr>
        <w:t>276</w:t>
      </w:r>
      <w:r w:rsidRPr="00013844">
        <w:t xml:space="preserve">:31 (2001)  29307-12. </w:t>
      </w:r>
      <w:hyperlink r:id="rId61" w:history="1">
        <w:r w:rsidRPr="00013844">
          <w:rPr>
            <w:rStyle w:val="Hyperlink"/>
          </w:rPr>
          <w:t>https://doi.org/10.1074/jbc.M103740200</w:t>
        </w:r>
      </w:hyperlink>
      <w:r w:rsidRPr="00013844">
        <w:rPr>
          <w:color w:val="FF0000"/>
        </w:rPr>
        <w:t xml:space="preserve"> </w:t>
      </w:r>
    </w:p>
    <w:p w14:paraId="488689C5" w14:textId="77777777" w:rsidR="004663AB" w:rsidRPr="00013844" w:rsidRDefault="004663AB" w:rsidP="004663AB">
      <w:pPr>
        <w:pStyle w:val="EndNoteBibliography"/>
        <w:ind w:left="720" w:hanging="720"/>
      </w:pPr>
      <w:r w:rsidRPr="00013844">
        <w:lastRenderedPageBreak/>
        <w:t>[55.]</w:t>
      </w:r>
      <w:r w:rsidRPr="00013844">
        <w:tab/>
        <w:t>B.B. Chorinchath, L.Y. Kong, L. Mao, R.E. McCallum, Age-associated differences in TNF-alpha and nitric oxide production in endotoxic mice</w:t>
      </w:r>
      <w:r w:rsidRPr="00013844">
        <w:rPr>
          <w:i/>
        </w:rPr>
        <w:t>,</w:t>
      </w:r>
      <w:r w:rsidRPr="00013844">
        <w:t xml:space="preserve"> J Immunol,  </w:t>
      </w:r>
      <w:r w:rsidRPr="00013844">
        <w:rPr>
          <w:b/>
        </w:rPr>
        <w:t>156</w:t>
      </w:r>
      <w:r w:rsidRPr="00013844">
        <w:t>:4 (1996)  1525-30.</w:t>
      </w:r>
    </w:p>
    <w:p w14:paraId="6C602980" w14:textId="77777777" w:rsidR="004663AB" w:rsidRPr="00013844" w:rsidRDefault="004663AB" w:rsidP="004663AB">
      <w:pPr>
        <w:pStyle w:val="EndNoteBibliography"/>
        <w:ind w:left="720" w:hanging="720"/>
      </w:pPr>
      <w:r w:rsidRPr="00013844">
        <w:t>[56.]</w:t>
      </w:r>
      <w:r w:rsidRPr="00013844">
        <w:tab/>
        <w:t>S. Merat, J. Fruebis, M. Sutphin, M. Silvestre, P.D. Reaven, Effect of aging on aortic expression of the vascular cell adhesion molecule-1 and atherosclerosis in murine models of atherosclerosis</w:t>
      </w:r>
      <w:r w:rsidRPr="00013844">
        <w:rPr>
          <w:i/>
        </w:rPr>
        <w:t>,</w:t>
      </w:r>
      <w:r w:rsidRPr="00013844">
        <w:t xml:space="preserve"> J Gerontol A Biol Sci Med Sci,  </w:t>
      </w:r>
      <w:r w:rsidRPr="00013844">
        <w:rPr>
          <w:b/>
        </w:rPr>
        <w:t>55</w:t>
      </w:r>
      <w:r w:rsidRPr="00013844">
        <w:t xml:space="preserve">:2 (2000)  B85-94. </w:t>
      </w:r>
      <w:hyperlink r:id="rId62" w:history="1">
        <w:r w:rsidRPr="00013844">
          <w:rPr>
            <w:rStyle w:val="Hyperlink"/>
          </w:rPr>
          <w:t>https://doi.org/10.1093/gerona/55.2.b85</w:t>
        </w:r>
      </w:hyperlink>
      <w:r w:rsidRPr="00013844">
        <w:rPr>
          <w:color w:val="FF0000"/>
        </w:rPr>
        <w:t xml:space="preserve"> </w:t>
      </w:r>
    </w:p>
    <w:p w14:paraId="4024F2A9" w14:textId="77777777" w:rsidR="004663AB" w:rsidRPr="00013844" w:rsidRDefault="004663AB" w:rsidP="004663AB">
      <w:pPr>
        <w:pStyle w:val="EndNoteBibliography"/>
        <w:ind w:left="720" w:hanging="720"/>
      </w:pPr>
      <w:r w:rsidRPr="00013844">
        <w:t>[57.]</w:t>
      </w:r>
      <w:r w:rsidRPr="00013844">
        <w:tab/>
        <w:t>C. Weber, W. Erl, A. Pietsch, M. Strobel, H.W. Ziegler-Heitbrock, P.C. Weber, Antioxidants inhibit monocyte adhesion by suppressing nuclear factor-kappa B mobilization and induction of vascular cell adhesion molecule-1 in endothelial cells stimulated to generate radicals</w:t>
      </w:r>
      <w:r w:rsidRPr="00013844">
        <w:rPr>
          <w:i/>
        </w:rPr>
        <w:t>,</w:t>
      </w:r>
      <w:r w:rsidRPr="00013844">
        <w:t xml:space="preserve"> Arterioscler Thromb,  </w:t>
      </w:r>
      <w:r w:rsidRPr="00013844">
        <w:rPr>
          <w:b/>
        </w:rPr>
        <w:t>14</w:t>
      </w:r>
      <w:r w:rsidRPr="00013844">
        <w:t xml:space="preserve">:10 (1994)  1665-73. </w:t>
      </w:r>
      <w:hyperlink r:id="rId63" w:history="1">
        <w:r w:rsidRPr="00013844">
          <w:rPr>
            <w:rStyle w:val="Hyperlink"/>
          </w:rPr>
          <w:t>https://doi.org/10.1161/01.atv.14.10.1665</w:t>
        </w:r>
      </w:hyperlink>
    </w:p>
    <w:p w14:paraId="647E0B3E" w14:textId="77777777" w:rsidR="004663AB" w:rsidRPr="00013844" w:rsidRDefault="004663AB" w:rsidP="004663AB">
      <w:pPr>
        <w:pStyle w:val="EndNoteBibliography"/>
        <w:ind w:left="720" w:hanging="720"/>
      </w:pPr>
      <w:r w:rsidRPr="00013844">
        <w:t>[58.]</w:t>
      </w:r>
      <w:r w:rsidRPr="00013844">
        <w:tab/>
        <w:t>E.A. Miles, F. Thies, F.A. Wallace, J.R. Powell, T.L. Hurst, E.A. Newsholme, P.C. Calder, Influence of age and dietary fish oil on plasma soluble adhesion molecule concentrations</w:t>
      </w:r>
      <w:r w:rsidRPr="00013844">
        <w:rPr>
          <w:i/>
        </w:rPr>
        <w:t>,</w:t>
      </w:r>
      <w:r w:rsidRPr="00013844">
        <w:t xml:space="preserve"> Clin Sci (Lond),  </w:t>
      </w:r>
      <w:r w:rsidRPr="00013844">
        <w:rPr>
          <w:b/>
        </w:rPr>
        <w:t>100</w:t>
      </w:r>
      <w:r w:rsidRPr="00013844">
        <w:t>:1 (2001)  91-100.</w:t>
      </w:r>
      <w:r w:rsidRPr="00013844">
        <w:rPr>
          <w:color w:val="FF0000"/>
        </w:rPr>
        <w:t xml:space="preserve"> </w:t>
      </w:r>
    </w:p>
    <w:p w14:paraId="52823F29" w14:textId="77777777" w:rsidR="004663AB" w:rsidRPr="00013844" w:rsidRDefault="004663AB" w:rsidP="004663AB">
      <w:pPr>
        <w:pStyle w:val="EndNoteBibliography"/>
        <w:ind w:left="720" w:hanging="720"/>
      </w:pPr>
      <w:r w:rsidRPr="00013844">
        <w:t>[59.]</w:t>
      </w:r>
      <w:r w:rsidRPr="00013844">
        <w:tab/>
        <w:t>N. Morisaki, I. Saito, K. Tamura, J. Tashiro, M. Masuda, T. Kanzaki, S. Watanabe, Y. Masuda, Y. Saito, New indices of ischemic heart disease and aging: studies on the serum levels of soluble intercellular adhesion molecule-1 (ICAM-1) and soluble vascular cell adhesion molecule-1 (VCAM-1) in patients with hypercholesterolemia and ischemic heart disease</w:t>
      </w:r>
      <w:r w:rsidRPr="00013844">
        <w:rPr>
          <w:i/>
        </w:rPr>
        <w:t>,</w:t>
      </w:r>
      <w:r w:rsidRPr="00013844">
        <w:t xml:space="preserve"> Atherosclerosis,  </w:t>
      </w:r>
      <w:r w:rsidRPr="00013844">
        <w:rPr>
          <w:b/>
        </w:rPr>
        <w:t>131</w:t>
      </w:r>
      <w:r w:rsidRPr="00013844">
        <w:t xml:space="preserve">:1 (1997)  43-8. </w:t>
      </w:r>
      <w:hyperlink r:id="rId64" w:history="1">
        <w:r w:rsidRPr="00013844">
          <w:rPr>
            <w:rStyle w:val="Hyperlink"/>
          </w:rPr>
          <w:t>https://doi.org/10.1016/s0021-9150(97)06083-8</w:t>
        </w:r>
      </w:hyperlink>
    </w:p>
    <w:p w14:paraId="69BDE87A" w14:textId="77777777" w:rsidR="004663AB" w:rsidRPr="00013844" w:rsidRDefault="004663AB" w:rsidP="004663AB">
      <w:pPr>
        <w:pStyle w:val="EndNoteBibliography"/>
        <w:ind w:left="720" w:hanging="720"/>
      </w:pPr>
      <w:r w:rsidRPr="00013844">
        <w:t>[60.]</w:t>
      </w:r>
      <w:r w:rsidRPr="00013844">
        <w:tab/>
        <w:t>V. Richter, F. Rassoul, K. Purschwitz, B. Hentschel, W. Reuter, T. Kuntze, Circulating vascular cell adhesion molecules VCAM-1, ICAM-1, and E-selectin in dependence on aging</w:t>
      </w:r>
      <w:r w:rsidRPr="00013844">
        <w:rPr>
          <w:i/>
        </w:rPr>
        <w:t>,</w:t>
      </w:r>
      <w:r w:rsidRPr="00013844">
        <w:t xml:space="preserve"> Gerontology,  </w:t>
      </w:r>
      <w:r w:rsidRPr="00013844">
        <w:rPr>
          <w:b/>
        </w:rPr>
        <w:t>49</w:t>
      </w:r>
      <w:r w:rsidRPr="00013844">
        <w:t xml:space="preserve">:5 (2003)  293-300. </w:t>
      </w:r>
      <w:hyperlink r:id="rId65" w:history="1">
        <w:r w:rsidRPr="00013844">
          <w:rPr>
            <w:rStyle w:val="Hyperlink"/>
          </w:rPr>
          <w:t>https://doi.org/10.1159/000071710</w:t>
        </w:r>
      </w:hyperlink>
      <w:r w:rsidRPr="00013844">
        <w:rPr>
          <w:color w:val="FF0000"/>
        </w:rPr>
        <w:t xml:space="preserve"> </w:t>
      </w:r>
    </w:p>
    <w:p w14:paraId="358C6F55" w14:textId="77777777" w:rsidR="004663AB" w:rsidRPr="00013844" w:rsidRDefault="004663AB" w:rsidP="004663AB">
      <w:pPr>
        <w:pStyle w:val="EndNoteBibliography"/>
        <w:ind w:left="720" w:hanging="720"/>
      </w:pPr>
      <w:r w:rsidRPr="00013844">
        <w:t>[61.]</w:t>
      </w:r>
      <w:r w:rsidRPr="00013844">
        <w:tab/>
        <w:t>E.A. Miles, D. Rees, T. Banerjee, R. Cazzola, S. Lewis, R. Wood, R. Oates, A. Tallant, B. Cestaro, P. Yaqoob, K.W.J. Wahle, P.C. Calder, Age-related increases in circulating inflammatory markers in men are independent of BMI, blood pressure and blood lipid concentrations</w:t>
      </w:r>
      <w:r w:rsidRPr="00013844">
        <w:rPr>
          <w:i/>
        </w:rPr>
        <w:t>,</w:t>
      </w:r>
      <w:r w:rsidRPr="00013844">
        <w:t xml:space="preserve"> Atherosclerosis,  </w:t>
      </w:r>
      <w:r w:rsidRPr="00013844">
        <w:rPr>
          <w:b/>
        </w:rPr>
        <w:t>196</w:t>
      </w:r>
      <w:r w:rsidRPr="00013844">
        <w:t xml:space="preserve">:1 (2008)  298-305. </w:t>
      </w:r>
      <w:hyperlink r:id="rId66" w:history="1">
        <w:r w:rsidRPr="00013844">
          <w:rPr>
            <w:rStyle w:val="Hyperlink"/>
          </w:rPr>
          <w:t>https://doi.org/10.1016/j.atherosclerosis.2006.11.002</w:t>
        </w:r>
      </w:hyperlink>
    </w:p>
    <w:p w14:paraId="6797CFA4" w14:textId="77777777" w:rsidR="004663AB" w:rsidRPr="00013844" w:rsidRDefault="004663AB" w:rsidP="004663AB">
      <w:pPr>
        <w:pStyle w:val="EndNoteBibliography"/>
        <w:ind w:left="720" w:hanging="720"/>
      </w:pPr>
      <w:r w:rsidRPr="00013844">
        <w:t>[62.]</w:t>
      </w:r>
      <w:r w:rsidRPr="00013844">
        <w:tab/>
        <w:t xml:space="preserve">M.C. Nash, A.M. Wade, V. Shah, M.J. Dillon, Normal levels of soluble E-selectin, soluble intercellular adhesion molecule-1 (sICAM-1), and </w:t>
      </w:r>
      <w:r w:rsidRPr="00013844">
        <w:lastRenderedPageBreak/>
        <w:t>soluble vascular cell adhesion molecule-1 (sVCAM-1) decrease with age</w:t>
      </w:r>
      <w:r w:rsidRPr="00013844">
        <w:rPr>
          <w:i/>
        </w:rPr>
        <w:t>,</w:t>
      </w:r>
      <w:r w:rsidRPr="00013844">
        <w:t xml:space="preserve"> Clin Exp Immunol,  </w:t>
      </w:r>
      <w:r w:rsidRPr="00013844">
        <w:rPr>
          <w:b/>
        </w:rPr>
        <w:t>103</w:t>
      </w:r>
      <w:r w:rsidRPr="00013844">
        <w:t xml:space="preserve">:1 (1996)  167-70. </w:t>
      </w:r>
      <w:hyperlink r:id="rId67" w:history="1">
        <w:r w:rsidRPr="00013844">
          <w:rPr>
            <w:rStyle w:val="Hyperlink"/>
          </w:rPr>
          <w:t>https://doi.org/10.1046/j.1365-2249.1996.925616.x</w:t>
        </w:r>
      </w:hyperlink>
    </w:p>
    <w:p w14:paraId="4605B685" w14:textId="77777777" w:rsidR="004663AB" w:rsidRPr="00013844" w:rsidRDefault="004663AB" w:rsidP="004663AB">
      <w:pPr>
        <w:pStyle w:val="EndNoteBibliography"/>
        <w:ind w:left="720" w:hanging="720"/>
      </w:pPr>
      <w:r w:rsidRPr="00013844">
        <w:t>[63.]</w:t>
      </w:r>
      <w:r w:rsidRPr="00013844">
        <w:tab/>
        <w:t>M.C. Nash, V. Shah, M.J. Dillon, Soluble cell adhesion molecules and von Willebrand factor in children with Kawasaki disease</w:t>
      </w:r>
      <w:r w:rsidRPr="00013844">
        <w:rPr>
          <w:i/>
        </w:rPr>
        <w:t>,</w:t>
      </w:r>
      <w:r w:rsidRPr="00013844">
        <w:t xml:space="preserve"> Clin Exp Immunol,  </w:t>
      </w:r>
      <w:r w:rsidRPr="00013844">
        <w:rPr>
          <w:b/>
        </w:rPr>
        <w:t>101</w:t>
      </w:r>
      <w:r w:rsidRPr="00013844">
        <w:t xml:space="preserve">:1 (1995)  13-7. </w:t>
      </w:r>
      <w:hyperlink r:id="rId68" w:history="1">
        <w:r w:rsidRPr="00013844">
          <w:rPr>
            <w:rStyle w:val="Hyperlink"/>
          </w:rPr>
          <w:t>https://doi.org/10.1111/j.1365-2249.1995.tb02270.x</w:t>
        </w:r>
      </w:hyperlink>
    </w:p>
    <w:p w14:paraId="6437F464" w14:textId="77777777" w:rsidR="004663AB" w:rsidRPr="00013844" w:rsidRDefault="004663AB" w:rsidP="004663AB">
      <w:pPr>
        <w:pStyle w:val="EndNoteBibliography"/>
        <w:ind w:left="720" w:hanging="720"/>
      </w:pPr>
      <w:r w:rsidRPr="00013844">
        <w:t>[64.]</w:t>
      </w:r>
      <w:r w:rsidRPr="00013844">
        <w:tab/>
        <w:t>S.M. Wellicome, P. Kapahi, J.C. Mason, Y. Lebranchu, H. Yarwood, D.O. Haskard, Detection of a circulating form of vascular cell adhesion molecule-1: raised levels in rheumatoid arthritis and systemic lupus erythematosus</w:t>
      </w:r>
      <w:r w:rsidRPr="00013844">
        <w:rPr>
          <w:i/>
        </w:rPr>
        <w:t>,</w:t>
      </w:r>
      <w:r w:rsidRPr="00013844">
        <w:t xml:space="preserve"> Clin Exp Immunol,  </w:t>
      </w:r>
      <w:r w:rsidRPr="00013844">
        <w:rPr>
          <w:b/>
        </w:rPr>
        <w:t>92</w:t>
      </w:r>
      <w:r w:rsidRPr="00013844">
        <w:t xml:space="preserve">:3 (1993)  412-8. </w:t>
      </w:r>
      <w:hyperlink r:id="rId69" w:history="1">
        <w:r w:rsidRPr="00013844">
          <w:rPr>
            <w:rStyle w:val="Hyperlink"/>
          </w:rPr>
          <w:t>https://doi.org/10.1111/j.1365-2249.1993.tb03413.x</w:t>
        </w:r>
      </w:hyperlink>
      <w:r w:rsidRPr="00013844">
        <w:rPr>
          <w:color w:val="FF0000"/>
        </w:rPr>
        <w:t xml:space="preserve"> </w:t>
      </w:r>
    </w:p>
    <w:p w14:paraId="51A785A1" w14:textId="77777777" w:rsidR="004663AB" w:rsidRPr="00013844" w:rsidRDefault="004663AB" w:rsidP="004663AB">
      <w:pPr>
        <w:pStyle w:val="EndNoteBibliography"/>
        <w:ind w:left="720" w:hanging="720"/>
      </w:pPr>
      <w:r w:rsidRPr="00013844">
        <w:t>[65.]</w:t>
      </w:r>
      <w:r w:rsidRPr="00013844">
        <w:tab/>
        <w:t>H. Bruunsgaard, K. Andersen-Ranberg, B. Jeune, A.N. Pedersen, P. Skinhøj, B.K. Pedersen, A high plasma concentration of TNF-alpha is associated with dementia in centenarians</w:t>
      </w:r>
      <w:r w:rsidRPr="00013844">
        <w:rPr>
          <w:i/>
        </w:rPr>
        <w:t>,</w:t>
      </w:r>
      <w:r w:rsidRPr="00013844">
        <w:t xml:space="preserve"> J Gerontol A Biol Sci Med Sci,  </w:t>
      </w:r>
      <w:r w:rsidRPr="00013844">
        <w:rPr>
          <w:b/>
        </w:rPr>
        <w:t>54</w:t>
      </w:r>
      <w:r w:rsidRPr="00013844">
        <w:t xml:space="preserve">:7 (1999)  M357-64. </w:t>
      </w:r>
      <w:hyperlink r:id="rId70" w:history="1">
        <w:r w:rsidRPr="00013844">
          <w:rPr>
            <w:rStyle w:val="Hyperlink"/>
          </w:rPr>
          <w:t>https://doi.org/10.1093/gerona/54.7.m357</w:t>
        </w:r>
      </w:hyperlink>
    </w:p>
    <w:p w14:paraId="22BE6182" w14:textId="77777777" w:rsidR="004663AB" w:rsidRPr="00013844" w:rsidRDefault="004663AB" w:rsidP="004663AB">
      <w:pPr>
        <w:pStyle w:val="EndNoteBibliography"/>
        <w:ind w:left="720" w:hanging="720"/>
      </w:pPr>
      <w:r w:rsidRPr="00013844">
        <w:t>[66.]</w:t>
      </w:r>
      <w:r w:rsidRPr="00013844">
        <w:tab/>
        <w:t>J. Wei, H. Xu, J.L. Davies, G.P. Hemmings, Increase of plasma IL-6 concentration with age in healthy subjects</w:t>
      </w:r>
      <w:r w:rsidRPr="00013844">
        <w:rPr>
          <w:i/>
        </w:rPr>
        <w:t>,</w:t>
      </w:r>
      <w:r w:rsidRPr="00013844">
        <w:t xml:space="preserve"> Life Sci,  </w:t>
      </w:r>
      <w:r w:rsidRPr="00013844">
        <w:rPr>
          <w:b/>
        </w:rPr>
        <w:t>51</w:t>
      </w:r>
      <w:r w:rsidRPr="00013844">
        <w:t xml:space="preserve">:25 (1992)  1953-6. </w:t>
      </w:r>
      <w:hyperlink r:id="rId71" w:history="1">
        <w:r w:rsidRPr="00013844">
          <w:rPr>
            <w:rStyle w:val="Hyperlink"/>
          </w:rPr>
          <w:t>https://doi.org/10.1016/0024-3205(92)90112-3</w:t>
        </w:r>
      </w:hyperlink>
      <w:r w:rsidRPr="00013844">
        <w:rPr>
          <w:color w:val="FF0000"/>
        </w:rPr>
        <w:t xml:space="preserve"> </w:t>
      </w:r>
    </w:p>
    <w:p w14:paraId="7CAF80E7" w14:textId="77777777" w:rsidR="004663AB" w:rsidRPr="00013844" w:rsidRDefault="004663AB" w:rsidP="004663AB">
      <w:pPr>
        <w:pStyle w:val="EndNoteBibliography"/>
        <w:ind w:left="720" w:hanging="720"/>
      </w:pPr>
      <w:r w:rsidRPr="00013844">
        <w:t>[67.]</w:t>
      </w:r>
      <w:r w:rsidRPr="00013844">
        <w:tab/>
        <w:t>S. Kany, J.T. Vollrath, B. Relja, Cytokines in Inflammatory Disease</w:t>
      </w:r>
      <w:r w:rsidRPr="00013844">
        <w:rPr>
          <w:i/>
        </w:rPr>
        <w:t>,</w:t>
      </w:r>
      <w:r w:rsidRPr="00013844">
        <w:t xml:space="preserve"> Int J Mol Sci,  </w:t>
      </w:r>
      <w:r w:rsidRPr="00013844">
        <w:rPr>
          <w:b/>
        </w:rPr>
        <w:t>20</w:t>
      </w:r>
      <w:r w:rsidRPr="00013844">
        <w:t xml:space="preserve">:23 (2019). </w:t>
      </w:r>
      <w:hyperlink r:id="rId72" w:history="1">
        <w:r w:rsidRPr="00013844">
          <w:rPr>
            <w:rStyle w:val="Hyperlink"/>
          </w:rPr>
          <w:t>https://doi.org/10.3390/ijms20236008</w:t>
        </w:r>
      </w:hyperlink>
    </w:p>
    <w:p w14:paraId="73F12576" w14:textId="77777777" w:rsidR="004663AB" w:rsidRPr="00013844" w:rsidRDefault="004663AB" w:rsidP="004663AB">
      <w:pPr>
        <w:pStyle w:val="EndNoteBibliography"/>
        <w:ind w:left="720" w:hanging="720"/>
      </w:pPr>
      <w:r w:rsidRPr="00013844">
        <w:t>[68.]</w:t>
      </w:r>
      <w:r w:rsidRPr="00013844">
        <w:tab/>
        <w:t>A. Woodfin, M.B. Voisin, B.A. Imhof, E. Dejana, B. Engelhardt, S. Nourshargh, Endothelial cell activation leads to neutrophil transmigration as supported by the sequential roles of ICAM-2, JAM-A, and PECAM-1</w:t>
      </w:r>
      <w:r w:rsidRPr="00013844">
        <w:rPr>
          <w:i/>
        </w:rPr>
        <w:t>,</w:t>
      </w:r>
      <w:r w:rsidRPr="00013844">
        <w:t xml:space="preserve"> Blood,  </w:t>
      </w:r>
      <w:r w:rsidRPr="00013844">
        <w:rPr>
          <w:b/>
        </w:rPr>
        <w:t>113</w:t>
      </w:r>
      <w:r w:rsidRPr="00013844">
        <w:t>:24 (2009)  6246-57. 10.1182/blood-2008-11-188375</w:t>
      </w:r>
    </w:p>
    <w:p w14:paraId="05371057" w14:textId="77777777" w:rsidR="004663AB" w:rsidRPr="00013844" w:rsidRDefault="004663AB" w:rsidP="004663AB">
      <w:pPr>
        <w:pStyle w:val="EndNoteBibliography"/>
        <w:ind w:left="720" w:hanging="720"/>
      </w:pPr>
      <w:r w:rsidRPr="00013844">
        <w:t>[69.]</w:t>
      </w:r>
      <w:r w:rsidRPr="00013844">
        <w:tab/>
        <w:t>C. Wang, L. Qin, T.D. Manes, N.C. Kirkiles-Smith, G. Tellides, J.S. Pober, Rapamycin antagonizes TNF induction of VCAM-1 on endothelial cells by inhibiting mTORC2</w:t>
      </w:r>
      <w:r w:rsidRPr="00013844">
        <w:rPr>
          <w:i/>
        </w:rPr>
        <w:t>,</w:t>
      </w:r>
      <w:r w:rsidRPr="00013844">
        <w:t xml:space="preserve"> J Exp Med,  </w:t>
      </w:r>
      <w:r w:rsidRPr="00013844">
        <w:rPr>
          <w:b/>
        </w:rPr>
        <w:t>211</w:t>
      </w:r>
      <w:r w:rsidRPr="00013844">
        <w:t xml:space="preserve">:3 (2014)  395-404. </w:t>
      </w:r>
      <w:hyperlink r:id="rId73" w:history="1">
        <w:r w:rsidRPr="00013844">
          <w:rPr>
            <w:rStyle w:val="Hyperlink"/>
          </w:rPr>
          <w:t>https://doi.org/10.1084/jem.20131125</w:t>
        </w:r>
      </w:hyperlink>
    </w:p>
    <w:p w14:paraId="2C7A7F72" w14:textId="77777777" w:rsidR="004663AB" w:rsidRPr="00013844" w:rsidRDefault="004663AB" w:rsidP="004663AB">
      <w:pPr>
        <w:pStyle w:val="EndNoteBibliography"/>
        <w:ind w:left="720" w:hanging="720"/>
      </w:pPr>
      <w:r w:rsidRPr="00013844">
        <w:t>[70.]</w:t>
      </w:r>
      <w:r w:rsidRPr="00013844">
        <w:tab/>
        <w:t>N.T. Luu, G.E. Rainger, G.B. Nash, Differential ability of exogenous chemotactic agents to disrupt transendothelial migration of flowing neutrophils</w:t>
      </w:r>
      <w:r w:rsidRPr="00013844">
        <w:rPr>
          <w:i/>
        </w:rPr>
        <w:t>,</w:t>
      </w:r>
      <w:r w:rsidRPr="00013844">
        <w:t xml:space="preserve"> J Immunol,  </w:t>
      </w:r>
      <w:r w:rsidRPr="00013844">
        <w:rPr>
          <w:b/>
        </w:rPr>
        <w:t>164</w:t>
      </w:r>
      <w:r w:rsidRPr="00013844">
        <w:t xml:space="preserve">:11 (2000)  5961-9. </w:t>
      </w:r>
      <w:hyperlink r:id="rId74" w:history="1">
        <w:r w:rsidRPr="00013844">
          <w:rPr>
            <w:rStyle w:val="Hyperlink"/>
          </w:rPr>
          <w:t>https://doi.org/10.4049/jimmunol.164.11.5961</w:t>
        </w:r>
      </w:hyperlink>
      <w:r w:rsidRPr="00013844">
        <w:rPr>
          <w:color w:val="FF0000"/>
        </w:rPr>
        <w:t xml:space="preserve"> </w:t>
      </w:r>
    </w:p>
    <w:p w14:paraId="727807D6" w14:textId="77777777" w:rsidR="004663AB" w:rsidRPr="00013844" w:rsidRDefault="004663AB" w:rsidP="004663AB">
      <w:pPr>
        <w:pStyle w:val="EndNoteBibliography"/>
        <w:ind w:left="720" w:hanging="720"/>
      </w:pPr>
      <w:r w:rsidRPr="00013844">
        <w:t>[71.]</w:t>
      </w:r>
      <w:r w:rsidRPr="00013844">
        <w:tab/>
        <w:t xml:space="preserve">M. Chimen, C.M. Yates, H.M. McGettrick, L.S. Ward, M.J. Harrison, B. Apta, L.H. Dib, B.A. Imhof, </w:t>
      </w:r>
      <w:r w:rsidRPr="00013844">
        <w:lastRenderedPageBreak/>
        <w:t>P. Harrison, G.B. Nash, G.E. Rainger, Monocyte Subsets Coregulate Inflammatory Responses by Integrated Signaling through TNF and IL-6 at the Endothelial Cell Interface</w:t>
      </w:r>
      <w:r w:rsidRPr="00013844">
        <w:rPr>
          <w:i/>
        </w:rPr>
        <w:t>,</w:t>
      </w:r>
      <w:r w:rsidRPr="00013844">
        <w:t xml:space="preserve"> J Immunol,  </w:t>
      </w:r>
      <w:r w:rsidRPr="00013844">
        <w:rPr>
          <w:b/>
        </w:rPr>
        <w:t>198</w:t>
      </w:r>
      <w:r w:rsidRPr="00013844">
        <w:t xml:space="preserve">:7 (2017)  2834-2843. </w:t>
      </w:r>
      <w:hyperlink r:id="rId75" w:history="1">
        <w:r w:rsidRPr="00013844">
          <w:rPr>
            <w:rStyle w:val="Hyperlink"/>
          </w:rPr>
          <w:t>https://doi.org/10.4049/jimmunol.1601281</w:t>
        </w:r>
      </w:hyperlink>
    </w:p>
    <w:p w14:paraId="01D18B44" w14:textId="77777777" w:rsidR="004663AB" w:rsidRPr="00013844" w:rsidRDefault="004663AB" w:rsidP="004663AB">
      <w:pPr>
        <w:pStyle w:val="EndNoteBibliography"/>
        <w:ind w:left="720" w:hanging="720"/>
      </w:pPr>
      <w:r w:rsidRPr="00013844">
        <w:t>[72.]</w:t>
      </w:r>
      <w:r w:rsidRPr="00013844">
        <w:tab/>
        <w:t>S. Arokiasamy, C. Zakian, J. Dilliway, W. Wang, S. Nourshargh, M.B. Voisin, Endogenous TNFalpha orchestrates the trafficking of neutrophils into and within lymphatic vessels during acute inflammation</w:t>
      </w:r>
      <w:r w:rsidRPr="00013844">
        <w:rPr>
          <w:i/>
        </w:rPr>
        <w:t>,</w:t>
      </w:r>
      <w:r w:rsidRPr="00013844">
        <w:t xml:space="preserve"> Sci Rep,  </w:t>
      </w:r>
      <w:r w:rsidRPr="00013844">
        <w:rPr>
          <w:b/>
        </w:rPr>
        <w:t>7</w:t>
      </w:r>
      <w:r w:rsidRPr="00013844">
        <w:t>:(2017)  44189. 10.1038/srep44189</w:t>
      </w:r>
      <w:r w:rsidRPr="00013844">
        <w:rPr>
          <w:color w:val="FF0000"/>
        </w:rPr>
        <w:t xml:space="preserve"> </w:t>
      </w:r>
    </w:p>
    <w:p w14:paraId="5ED8602E" w14:textId="77777777" w:rsidR="004663AB" w:rsidRPr="00013844" w:rsidRDefault="004663AB" w:rsidP="004663AB">
      <w:pPr>
        <w:pStyle w:val="EndNoteBibliography"/>
        <w:ind w:left="720" w:hanging="720"/>
      </w:pPr>
      <w:r w:rsidRPr="00013844">
        <w:t>[73.]</w:t>
      </w:r>
      <w:r w:rsidRPr="00013844">
        <w:tab/>
        <w:t>D.D. Henninger, J. Panes, M. Eppihimer, J. Russell, M. Gerritsen, D.C. Anderson, D.N. Granger, Cytokine-induced VCAM-1 and ICAM-1 expression in different organs of the mouse</w:t>
      </w:r>
      <w:r w:rsidRPr="00013844">
        <w:rPr>
          <w:i/>
        </w:rPr>
        <w:t>,</w:t>
      </w:r>
      <w:r w:rsidRPr="00013844">
        <w:t xml:space="preserve"> J Immunol,  </w:t>
      </w:r>
      <w:r w:rsidRPr="00013844">
        <w:rPr>
          <w:b/>
        </w:rPr>
        <w:t>158</w:t>
      </w:r>
      <w:r w:rsidRPr="00013844">
        <w:t>:4 (1997)  1825-32</w:t>
      </w:r>
    </w:p>
    <w:p w14:paraId="2DEEB28F" w14:textId="77777777" w:rsidR="004663AB" w:rsidRPr="00013844" w:rsidRDefault="004663AB" w:rsidP="004663AB">
      <w:pPr>
        <w:pStyle w:val="EndNoteBibliography"/>
        <w:ind w:left="720" w:hanging="720"/>
      </w:pPr>
      <w:r w:rsidRPr="00013844">
        <w:t>[74.]</w:t>
      </w:r>
      <w:r w:rsidRPr="00013844">
        <w:tab/>
        <w:t>S.L. Nolan, N. Kalia, G.B. Nash, D. Kamel, P. Heeringa, C.O. Savage, Mechanisms of ANCA-mediated leukocyte-endothelial cell interactions in vivo</w:t>
      </w:r>
      <w:r w:rsidRPr="00013844">
        <w:rPr>
          <w:i/>
        </w:rPr>
        <w:t>,</w:t>
      </w:r>
      <w:r w:rsidRPr="00013844">
        <w:t xml:space="preserve"> J Am Soc Nephrol,  </w:t>
      </w:r>
      <w:r w:rsidRPr="00013844">
        <w:rPr>
          <w:b/>
        </w:rPr>
        <w:t>19</w:t>
      </w:r>
      <w:r w:rsidRPr="00013844">
        <w:t>:5 (2008)  973-84. 10.1681/ASN.2007111166</w:t>
      </w:r>
      <w:r w:rsidRPr="00013844">
        <w:rPr>
          <w:color w:val="FF0000"/>
        </w:rPr>
        <w:t xml:space="preserve"> </w:t>
      </w:r>
    </w:p>
    <w:p w14:paraId="3944ED5E" w14:textId="77777777" w:rsidR="004663AB" w:rsidRPr="00013844" w:rsidRDefault="004663AB" w:rsidP="004663AB">
      <w:pPr>
        <w:pStyle w:val="EndNoteBibliography"/>
        <w:ind w:left="720" w:hanging="720"/>
      </w:pPr>
      <w:r w:rsidRPr="00013844">
        <w:t>[75.]</w:t>
      </w:r>
      <w:r w:rsidRPr="00013844">
        <w:tab/>
        <w:t>C. Watson, S. Whittaker, N. Smith, A.J. Vora, D.C. Dumonde, K.A. Brown, IL-6 acts on endothelial cells to preferentially increase their adherence for lymphocytes</w:t>
      </w:r>
      <w:r w:rsidRPr="00013844">
        <w:rPr>
          <w:i/>
        </w:rPr>
        <w:t>,</w:t>
      </w:r>
      <w:r w:rsidRPr="00013844">
        <w:t xml:space="preserve"> Clin Exp Immunol,  </w:t>
      </w:r>
      <w:r w:rsidRPr="00013844">
        <w:rPr>
          <w:b/>
        </w:rPr>
        <w:t>105</w:t>
      </w:r>
      <w:r w:rsidRPr="00013844">
        <w:t xml:space="preserve">:1 (1996)  112-9. </w:t>
      </w:r>
      <w:hyperlink r:id="rId76" w:history="1">
        <w:r w:rsidRPr="00013844">
          <w:rPr>
            <w:rStyle w:val="Hyperlink"/>
          </w:rPr>
          <w:t>https://doi.org/10.1046/j.1365-2249.1996.d01-717.x</w:t>
        </w:r>
      </w:hyperlink>
    </w:p>
    <w:p w14:paraId="24530BB0" w14:textId="77777777" w:rsidR="004663AB" w:rsidRPr="00013844" w:rsidRDefault="004663AB" w:rsidP="004663AB">
      <w:pPr>
        <w:pStyle w:val="EndNoteBibliography"/>
        <w:ind w:left="720" w:hanging="720"/>
      </w:pPr>
      <w:r w:rsidRPr="00013844">
        <w:t>[76.]</w:t>
      </w:r>
      <w:r w:rsidRPr="00013844">
        <w:tab/>
        <w:t>B.S. Wung, C.W. Ni, D.L. Wang, ICAM-1 induction by TNFalpha and IL-6 is mediated by distinct pathways via Rac in endothelial cells</w:t>
      </w:r>
      <w:r w:rsidRPr="00013844">
        <w:rPr>
          <w:i/>
        </w:rPr>
        <w:t>,</w:t>
      </w:r>
      <w:r w:rsidRPr="00013844">
        <w:t xml:space="preserve"> J Biomed Sci,  </w:t>
      </w:r>
      <w:r w:rsidRPr="00013844">
        <w:rPr>
          <w:b/>
        </w:rPr>
        <w:t>12</w:t>
      </w:r>
      <w:r w:rsidRPr="00013844">
        <w:t xml:space="preserve">:1 (2005)  91-101. </w:t>
      </w:r>
      <w:hyperlink r:id="rId77" w:history="1">
        <w:r w:rsidRPr="00013844">
          <w:rPr>
            <w:rStyle w:val="Hyperlink"/>
          </w:rPr>
          <w:t>https://doi.org/10.1007/s11373-004-8170-z</w:t>
        </w:r>
      </w:hyperlink>
      <w:r w:rsidRPr="00013844">
        <w:rPr>
          <w:color w:val="FF0000"/>
        </w:rPr>
        <w:t xml:space="preserve"> </w:t>
      </w:r>
    </w:p>
    <w:p w14:paraId="20F41EEE" w14:textId="77777777" w:rsidR="004663AB" w:rsidRPr="00013844" w:rsidRDefault="004663AB" w:rsidP="004663AB">
      <w:pPr>
        <w:pStyle w:val="EndNoteBibliography"/>
        <w:ind w:left="720" w:hanging="720"/>
      </w:pPr>
      <w:r w:rsidRPr="00013844">
        <w:t>[77.]</w:t>
      </w:r>
      <w:r w:rsidRPr="00013844">
        <w:tab/>
        <w:t>M. Romano, M. Sironi, C. Toniatti, N. Polentarutti, P. Fruscella, P. Ghezzi, R. Faggioni, W. Luini, V. van Hinsbergh, S. Sozzani, F. Bussolino, V. Poli, G. Ciliberto, A. Mantovani, Role of IL-6 and its soluble receptor in induction of chemokines and leukocyte recruitment</w:t>
      </w:r>
      <w:r w:rsidRPr="00013844">
        <w:rPr>
          <w:i/>
        </w:rPr>
        <w:t>,</w:t>
      </w:r>
      <w:r w:rsidRPr="00013844">
        <w:t xml:space="preserve"> Immunity,  </w:t>
      </w:r>
      <w:r w:rsidRPr="00013844">
        <w:rPr>
          <w:b/>
        </w:rPr>
        <w:t>6</w:t>
      </w:r>
      <w:r w:rsidRPr="00013844">
        <w:t>:3 (1997)  315-25. 10.1016/s1074-7613(00)80334-9</w:t>
      </w:r>
    </w:p>
    <w:p w14:paraId="50534895" w14:textId="77777777" w:rsidR="004663AB" w:rsidRPr="00013844" w:rsidRDefault="004663AB" w:rsidP="004663AB">
      <w:pPr>
        <w:pStyle w:val="EndNoteBibliography"/>
        <w:ind w:left="720" w:hanging="720"/>
      </w:pPr>
      <w:r w:rsidRPr="00013844">
        <w:t>[78.]</w:t>
      </w:r>
      <w:r w:rsidRPr="00013844">
        <w:tab/>
        <w:t>H. Ogura, M. Murakami, Y. Okuyama, M. Tsuruoka, C. Kitabayashi, M. Kanamoto, M. Nishihara, Y. Iwakura, T. Hirano, Interleukin-17 promotes autoimmunity by triggering a positive-feedback loop via interleukin-6 induction</w:t>
      </w:r>
      <w:r w:rsidRPr="00013844">
        <w:rPr>
          <w:i/>
        </w:rPr>
        <w:t>,</w:t>
      </w:r>
      <w:r w:rsidRPr="00013844">
        <w:t xml:space="preserve"> Immunity,  </w:t>
      </w:r>
      <w:r w:rsidRPr="00013844">
        <w:rPr>
          <w:b/>
        </w:rPr>
        <w:t>29</w:t>
      </w:r>
      <w:r w:rsidRPr="00013844">
        <w:t xml:space="preserve">:4 (2008)  628-36. </w:t>
      </w:r>
      <w:hyperlink r:id="rId78" w:history="1">
        <w:r w:rsidRPr="00013844">
          <w:rPr>
            <w:rStyle w:val="Hyperlink"/>
          </w:rPr>
          <w:t>https://doi.org/10.1016/j.immuni.2008.07.018</w:t>
        </w:r>
      </w:hyperlink>
      <w:r w:rsidRPr="00013844">
        <w:rPr>
          <w:color w:val="FF0000"/>
        </w:rPr>
        <w:t xml:space="preserve"> </w:t>
      </w:r>
    </w:p>
    <w:p w14:paraId="261457D8" w14:textId="77777777" w:rsidR="004663AB" w:rsidRPr="00013844" w:rsidRDefault="004663AB" w:rsidP="004663AB">
      <w:pPr>
        <w:pStyle w:val="EndNoteBibliography"/>
        <w:ind w:left="720" w:hanging="720"/>
      </w:pPr>
      <w:r w:rsidRPr="00013844">
        <w:lastRenderedPageBreak/>
        <w:t>[79.]</w:t>
      </w:r>
      <w:r w:rsidRPr="00013844">
        <w:tab/>
        <w:t>J.C. Waite and D. Skokos, Th17 response and inflammatory autoimmune diseases</w:t>
      </w:r>
      <w:r w:rsidRPr="00013844">
        <w:rPr>
          <w:i/>
        </w:rPr>
        <w:t>,</w:t>
      </w:r>
      <w:r w:rsidRPr="00013844">
        <w:t xml:space="preserve"> Int J Inflam,  </w:t>
      </w:r>
      <w:r w:rsidRPr="00013844">
        <w:rPr>
          <w:b/>
        </w:rPr>
        <w:t>2012</w:t>
      </w:r>
      <w:r w:rsidRPr="00013844">
        <w:t xml:space="preserve">:(2012)  819467. </w:t>
      </w:r>
      <w:hyperlink r:id="rId79" w:history="1">
        <w:r w:rsidRPr="00013844">
          <w:rPr>
            <w:rStyle w:val="Hyperlink"/>
          </w:rPr>
          <w:t>https://doi.org/10.1155/2012/819467</w:t>
        </w:r>
      </w:hyperlink>
    </w:p>
    <w:p w14:paraId="757AB988" w14:textId="77777777" w:rsidR="004663AB" w:rsidRPr="00013844" w:rsidRDefault="004663AB" w:rsidP="004663AB">
      <w:pPr>
        <w:pStyle w:val="EndNoteBibliography"/>
        <w:ind w:left="720" w:hanging="720"/>
      </w:pPr>
      <w:r w:rsidRPr="00013844">
        <w:t>[80.]</w:t>
      </w:r>
      <w:r w:rsidRPr="00013844">
        <w:tab/>
        <w:t>G. Lopalco, L. Cantarini, A. Vitale, F. Iannone, M.G. Anelli, L. Andreozzi, G. Lapadula, M. Galeazzi, D. Rigante, Interleukin-1 as a common denominator from autoinflammatory to autoimmune disorders: premises, perils, and perspectives</w:t>
      </w:r>
      <w:r w:rsidRPr="00013844">
        <w:rPr>
          <w:i/>
        </w:rPr>
        <w:t>,</w:t>
      </w:r>
      <w:r w:rsidRPr="00013844">
        <w:t xml:space="preserve"> Mediators Inflamm,  </w:t>
      </w:r>
      <w:r w:rsidRPr="00013844">
        <w:rPr>
          <w:b/>
        </w:rPr>
        <w:t>2015</w:t>
      </w:r>
      <w:r w:rsidRPr="00013844">
        <w:t xml:space="preserve">:(2015)  194864. </w:t>
      </w:r>
      <w:hyperlink r:id="rId80" w:history="1">
        <w:r w:rsidRPr="00013844">
          <w:rPr>
            <w:rStyle w:val="Hyperlink"/>
          </w:rPr>
          <w:t>https://doi.org/10.1155/2015/194864</w:t>
        </w:r>
      </w:hyperlink>
      <w:r w:rsidRPr="00013844">
        <w:rPr>
          <w:color w:val="FF0000"/>
        </w:rPr>
        <w:t xml:space="preserve"> </w:t>
      </w:r>
    </w:p>
    <w:p w14:paraId="002C7BDD" w14:textId="77777777" w:rsidR="004663AB" w:rsidRPr="00013844" w:rsidRDefault="004663AB" w:rsidP="004663AB">
      <w:pPr>
        <w:pStyle w:val="EndNoteBibliography"/>
        <w:ind w:left="720" w:hanging="720"/>
      </w:pPr>
      <w:r w:rsidRPr="00013844">
        <w:t>[81.]</w:t>
      </w:r>
      <w:r w:rsidRPr="00013844">
        <w:tab/>
        <w:t>C.A. Dinarello, Interleukin-1 in the pathogenesis and treatment of inflammatory diseases</w:t>
      </w:r>
      <w:r w:rsidRPr="00013844">
        <w:rPr>
          <w:i/>
        </w:rPr>
        <w:t>,</w:t>
      </w:r>
      <w:r w:rsidRPr="00013844">
        <w:t xml:space="preserve"> Blood,  </w:t>
      </w:r>
      <w:r w:rsidRPr="00013844">
        <w:rPr>
          <w:b/>
        </w:rPr>
        <w:t>117</w:t>
      </w:r>
      <w:r w:rsidRPr="00013844">
        <w:t xml:space="preserve">:14 (2011)  3720-32. </w:t>
      </w:r>
      <w:hyperlink r:id="rId81" w:history="1">
        <w:r w:rsidRPr="00013844">
          <w:rPr>
            <w:rStyle w:val="Hyperlink"/>
          </w:rPr>
          <w:t>https://doi.org/10.1182/blood-2010-07-273417</w:t>
        </w:r>
      </w:hyperlink>
    </w:p>
    <w:p w14:paraId="45987EAA" w14:textId="77777777" w:rsidR="004663AB" w:rsidRPr="00013844" w:rsidRDefault="004663AB" w:rsidP="004663AB">
      <w:pPr>
        <w:pStyle w:val="EndNoteBibliography"/>
        <w:ind w:left="720" w:hanging="720"/>
      </w:pPr>
      <w:r w:rsidRPr="00013844">
        <w:t>[82.]</w:t>
      </w:r>
      <w:r w:rsidRPr="00013844">
        <w:tab/>
        <w:t>A. Larbi, T. Fulop, G. Pawelec, Immune receptor signaling, aging and autoimmunity</w:t>
      </w:r>
      <w:r w:rsidRPr="00013844">
        <w:rPr>
          <w:i/>
        </w:rPr>
        <w:t>,</w:t>
      </w:r>
      <w:r w:rsidRPr="00013844">
        <w:t xml:space="preserve"> Adv Exp Med Biol,  </w:t>
      </w:r>
      <w:r w:rsidRPr="00013844">
        <w:rPr>
          <w:b/>
        </w:rPr>
        <w:t>640</w:t>
      </w:r>
      <w:r w:rsidRPr="00013844">
        <w:t xml:space="preserve">:(2008)  312-24. </w:t>
      </w:r>
      <w:hyperlink r:id="rId82" w:history="1">
        <w:r w:rsidRPr="00013844">
          <w:rPr>
            <w:rStyle w:val="Hyperlink"/>
          </w:rPr>
          <w:t>https://doi.org/10.1007/978-0-387-09789-3_21</w:t>
        </w:r>
      </w:hyperlink>
      <w:r w:rsidRPr="00013844">
        <w:rPr>
          <w:color w:val="FF0000"/>
        </w:rPr>
        <w:t xml:space="preserve"> </w:t>
      </w:r>
    </w:p>
    <w:p w14:paraId="06400E23" w14:textId="77777777" w:rsidR="004663AB" w:rsidRPr="00013844" w:rsidRDefault="004663AB" w:rsidP="004663AB">
      <w:pPr>
        <w:pStyle w:val="EndNoteBibliography"/>
        <w:ind w:left="720" w:hanging="720"/>
      </w:pPr>
      <w:r w:rsidRPr="00013844">
        <w:t>[83.]</w:t>
      </w:r>
      <w:r w:rsidRPr="00013844">
        <w:tab/>
        <w:t>L.A. Joosten, Excessive interleukin-1 signaling determines the development of Th1 and Th17 responses in chronic inflammation</w:t>
      </w:r>
      <w:r w:rsidRPr="00013844">
        <w:rPr>
          <w:i/>
        </w:rPr>
        <w:t>,</w:t>
      </w:r>
      <w:r w:rsidRPr="00013844">
        <w:t xml:space="preserve"> Arthritis Rheum,  </w:t>
      </w:r>
      <w:r w:rsidRPr="00013844">
        <w:rPr>
          <w:b/>
        </w:rPr>
        <w:t>62</w:t>
      </w:r>
      <w:r w:rsidRPr="00013844">
        <w:t xml:space="preserve">:2 (2010)  320-2. </w:t>
      </w:r>
      <w:hyperlink r:id="rId83" w:history="1">
        <w:r w:rsidRPr="00013844">
          <w:rPr>
            <w:rStyle w:val="Hyperlink"/>
          </w:rPr>
          <w:t>https://doi.org/10.1002/art.27242</w:t>
        </w:r>
      </w:hyperlink>
    </w:p>
    <w:p w14:paraId="626B166D" w14:textId="77777777" w:rsidR="004663AB" w:rsidRPr="00013844" w:rsidRDefault="004663AB" w:rsidP="004663AB">
      <w:pPr>
        <w:pStyle w:val="EndNoteBibliography"/>
        <w:ind w:left="720" w:hanging="720"/>
      </w:pPr>
      <w:r w:rsidRPr="00013844">
        <w:t>[84.]</w:t>
      </w:r>
      <w:r w:rsidRPr="00013844">
        <w:tab/>
        <w:t>Y. Chung, S.H. Chang, G.J. Martinez, X.O. Yang, R. Nurieva, H.S. Kang, L. Ma, S.S. Watowich, A.M. Jetten, Q. Tian, C. Dong, Critical regulation of early Th17 cell differentiation by interleukin-1 signaling</w:t>
      </w:r>
      <w:r w:rsidRPr="00013844">
        <w:rPr>
          <w:i/>
        </w:rPr>
        <w:t>,</w:t>
      </w:r>
      <w:r w:rsidRPr="00013844">
        <w:t xml:space="preserve"> Immunity,  </w:t>
      </w:r>
      <w:r w:rsidRPr="00013844">
        <w:rPr>
          <w:b/>
        </w:rPr>
        <w:t>30</w:t>
      </w:r>
      <w:r w:rsidRPr="00013844">
        <w:t xml:space="preserve">:4 (2009)  576-87. </w:t>
      </w:r>
      <w:hyperlink r:id="rId84" w:history="1">
        <w:r w:rsidRPr="00013844">
          <w:rPr>
            <w:rStyle w:val="Hyperlink"/>
          </w:rPr>
          <w:t>https://doi.org/10.1016/j.immuni.2009.02.007</w:t>
        </w:r>
      </w:hyperlink>
      <w:r w:rsidRPr="00013844">
        <w:rPr>
          <w:color w:val="FF0000"/>
        </w:rPr>
        <w:t xml:space="preserve"> </w:t>
      </w:r>
    </w:p>
    <w:p w14:paraId="414838E7" w14:textId="77777777" w:rsidR="004663AB" w:rsidRPr="00013844" w:rsidRDefault="004663AB" w:rsidP="004663AB">
      <w:pPr>
        <w:pStyle w:val="EndNoteBibliography"/>
        <w:ind w:left="720" w:hanging="720"/>
      </w:pPr>
      <w:r w:rsidRPr="00013844">
        <w:t>[85.]</w:t>
      </w:r>
      <w:r w:rsidRPr="00013844">
        <w:tab/>
        <w:t>D.W. Wojkowska, P. Szpakowski, A. Glabinski, Interleukin 17A Promotes Lymphocytes Adhesion and Induces CCL2 and CXCL1 Release from Brain Endothelial Cells</w:t>
      </w:r>
      <w:r w:rsidRPr="00013844">
        <w:rPr>
          <w:i/>
        </w:rPr>
        <w:t>,</w:t>
      </w:r>
      <w:r w:rsidRPr="00013844">
        <w:t xml:space="preserve"> Int J Mol Sci,  </w:t>
      </w:r>
      <w:r w:rsidRPr="00013844">
        <w:rPr>
          <w:b/>
        </w:rPr>
        <w:t>18</w:t>
      </w:r>
      <w:r w:rsidRPr="00013844">
        <w:t xml:space="preserve">:5 (2017). </w:t>
      </w:r>
      <w:hyperlink r:id="rId85" w:history="1">
        <w:r w:rsidRPr="00013844">
          <w:rPr>
            <w:rStyle w:val="Hyperlink"/>
          </w:rPr>
          <w:t>https://doi.org/10.3390/ijms18051000</w:t>
        </w:r>
      </w:hyperlink>
    </w:p>
    <w:p w14:paraId="0ABBBF93" w14:textId="77777777" w:rsidR="004663AB" w:rsidRPr="00013844" w:rsidRDefault="004663AB" w:rsidP="004663AB">
      <w:pPr>
        <w:pStyle w:val="EndNoteBibliography"/>
        <w:ind w:left="720" w:hanging="720"/>
      </w:pPr>
      <w:r w:rsidRPr="00013844">
        <w:t>[86.]</w:t>
      </w:r>
      <w:r w:rsidRPr="00013844">
        <w:tab/>
        <w:t>L. Roussel, F. Houle, C. Chan, Y. Yao, J. Berube, R. Olivenstein, J.G. Martin, J. Huot, Q. Hamid, L. Ferri, S. Rousseau, IL-17 promotes p38 MAPK-dependent endothelial activation enhancing neutrophil recruitment to sites of inflammation</w:t>
      </w:r>
      <w:r w:rsidRPr="00013844">
        <w:rPr>
          <w:i/>
        </w:rPr>
        <w:t>,</w:t>
      </w:r>
      <w:r w:rsidRPr="00013844">
        <w:t xml:space="preserve"> J Immunol,  </w:t>
      </w:r>
      <w:r w:rsidRPr="00013844">
        <w:rPr>
          <w:b/>
        </w:rPr>
        <w:t>184</w:t>
      </w:r>
      <w:r w:rsidRPr="00013844">
        <w:t xml:space="preserve">:8 (2010)  4531-7. </w:t>
      </w:r>
      <w:hyperlink r:id="rId86" w:history="1">
        <w:r w:rsidRPr="00013844">
          <w:rPr>
            <w:rStyle w:val="Hyperlink"/>
          </w:rPr>
          <w:t>https://doi.org/10.4049/jimmunol.0903162</w:t>
        </w:r>
      </w:hyperlink>
      <w:r w:rsidRPr="00013844">
        <w:rPr>
          <w:color w:val="FF0000"/>
        </w:rPr>
        <w:t xml:space="preserve"> </w:t>
      </w:r>
    </w:p>
    <w:p w14:paraId="5FB13315" w14:textId="77777777" w:rsidR="004663AB" w:rsidRPr="00013844" w:rsidRDefault="004663AB" w:rsidP="004663AB">
      <w:pPr>
        <w:pStyle w:val="EndNoteBibliography"/>
        <w:ind w:left="720" w:hanging="720"/>
      </w:pPr>
      <w:r w:rsidRPr="00013844">
        <w:t>[87.]</w:t>
      </w:r>
      <w:r w:rsidRPr="00013844">
        <w:tab/>
        <w:t>S. Hennigan and A. Kavanaugh, Interleukin-6 inhibitors in the treatment of rheumatoid arthritis</w:t>
      </w:r>
      <w:r w:rsidRPr="00013844">
        <w:rPr>
          <w:i/>
        </w:rPr>
        <w:t>,</w:t>
      </w:r>
      <w:r w:rsidRPr="00013844">
        <w:t xml:space="preserve"> Ther Clin Risk Manag,  </w:t>
      </w:r>
      <w:r w:rsidRPr="00013844">
        <w:rPr>
          <w:b/>
        </w:rPr>
        <w:t>4</w:t>
      </w:r>
      <w:r w:rsidRPr="00013844">
        <w:t xml:space="preserve">:4 (2008)  767-75. </w:t>
      </w:r>
      <w:hyperlink r:id="rId87" w:history="1">
        <w:r w:rsidRPr="00013844">
          <w:rPr>
            <w:rStyle w:val="Hyperlink"/>
          </w:rPr>
          <w:t>https://doi.org/10.2147/tcrm.s3470</w:t>
        </w:r>
      </w:hyperlink>
    </w:p>
    <w:p w14:paraId="2C018DD0" w14:textId="77777777" w:rsidR="004663AB" w:rsidRPr="00013844" w:rsidRDefault="004663AB" w:rsidP="004663AB">
      <w:pPr>
        <w:pStyle w:val="EndNoteBibliography"/>
        <w:ind w:left="720" w:hanging="720"/>
      </w:pPr>
      <w:r w:rsidRPr="00013844">
        <w:t>[88.]</w:t>
      </w:r>
      <w:r w:rsidRPr="00013844">
        <w:tab/>
        <w:t xml:space="preserve">A. Blauvelt, IL-6 Differs from TNF-alpha: Unpredicted Clinical Effects Caused by IL-6 </w:t>
      </w:r>
      <w:r w:rsidRPr="00013844">
        <w:lastRenderedPageBreak/>
        <w:t>Blockade in Psoriasis</w:t>
      </w:r>
      <w:r w:rsidRPr="00013844">
        <w:rPr>
          <w:i/>
        </w:rPr>
        <w:t>,</w:t>
      </w:r>
      <w:r w:rsidRPr="00013844">
        <w:t xml:space="preserve"> J Invest Dermatol,  </w:t>
      </w:r>
      <w:r w:rsidRPr="00013844">
        <w:rPr>
          <w:b/>
        </w:rPr>
        <w:t>137</w:t>
      </w:r>
      <w:r w:rsidRPr="00013844">
        <w:t xml:space="preserve">:3 (2017)  541-542. </w:t>
      </w:r>
      <w:hyperlink r:id="rId88" w:history="1">
        <w:r w:rsidRPr="00013844">
          <w:rPr>
            <w:rStyle w:val="Hyperlink"/>
          </w:rPr>
          <w:t>https://doi.org/10.1016/j.jid.2016.11.022</w:t>
        </w:r>
      </w:hyperlink>
      <w:r w:rsidRPr="00013844">
        <w:rPr>
          <w:color w:val="FF0000"/>
        </w:rPr>
        <w:t xml:space="preserve"> </w:t>
      </w:r>
    </w:p>
    <w:p w14:paraId="52AA2E97" w14:textId="77777777" w:rsidR="004663AB" w:rsidRPr="00013844" w:rsidRDefault="004663AB" w:rsidP="004663AB">
      <w:pPr>
        <w:pStyle w:val="EndNoteBibliography"/>
        <w:ind w:left="720" w:hanging="720"/>
      </w:pPr>
      <w:r w:rsidRPr="00013844">
        <w:t>[89.]</w:t>
      </w:r>
      <w:r w:rsidRPr="00013844">
        <w:tab/>
        <w:t>M. Ratner, IL-17-targeting biologics aim to become standard of care in psoriasis</w:t>
      </w:r>
      <w:r w:rsidRPr="00013844">
        <w:rPr>
          <w:i/>
        </w:rPr>
        <w:t>,</w:t>
      </w:r>
      <w:r w:rsidRPr="00013844">
        <w:t xml:space="preserve"> Nat Biotechnol,  </w:t>
      </w:r>
      <w:r w:rsidRPr="00013844">
        <w:rPr>
          <w:b/>
        </w:rPr>
        <w:t>33</w:t>
      </w:r>
      <w:r w:rsidRPr="00013844">
        <w:t xml:space="preserve">:1 (2015)  3-4. </w:t>
      </w:r>
      <w:hyperlink r:id="rId89" w:history="1">
        <w:r w:rsidRPr="00013844">
          <w:rPr>
            <w:rStyle w:val="Hyperlink"/>
          </w:rPr>
          <w:t>https://doi.org/10.1038/nbt0115-3</w:t>
        </w:r>
      </w:hyperlink>
    </w:p>
    <w:p w14:paraId="65CA4260" w14:textId="77777777" w:rsidR="004663AB" w:rsidRPr="00013844" w:rsidRDefault="004663AB" w:rsidP="004663AB">
      <w:pPr>
        <w:pStyle w:val="EndNoteBibliography"/>
        <w:ind w:left="720" w:hanging="720"/>
      </w:pPr>
      <w:r w:rsidRPr="00013844">
        <w:t>[90.]</w:t>
      </w:r>
      <w:r w:rsidRPr="00013844">
        <w:tab/>
        <w:t>C.A. Dinarello, A. Simon, J.W. van der Meer, Treating inflammation by blocking interleukin-1 in a broad spectrum of diseases</w:t>
      </w:r>
      <w:r w:rsidRPr="00013844">
        <w:rPr>
          <w:i/>
        </w:rPr>
        <w:t>,</w:t>
      </w:r>
      <w:r w:rsidRPr="00013844">
        <w:t xml:space="preserve"> Nat Rev Drug Discov,  </w:t>
      </w:r>
      <w:r w:rsidRPr="00013844">
        <w:rPr>
          <w:b/>
        </w:rPr>
        <w:t>11</w:t>
      </w:r>
      <w:r w:rsidRPr="00013844">
        <w:t xml:space="preserve">:8 (2012)  633-52. </w:t>
      </w:r>
      <w:hyperlink r:id="rId90" w:history="1">
        <w:r w:rsidRPr="00013844">
          <w:rPr>
            <w:rStyle w:val="Hyperlink"/>
          </w:rPr>
          <w:t>https://doi.org/10.1038/nrd3800</w:t>
        </w:r>
      </w:hyperlink>
      <w:r w:rsidRPr="00013844">
        <w:rPr>
          <w:color w:val="FF0000"/>
        </w:rPr>
        <w:t xml:space="preserve"> </w:t>
      </w:r>
    </w:p>
    <w:p w14:paraId="1B614FD1" w14:textId="77777777" w:rsidR="004663AB" w:rsidRPr="00013844" w:rsidRDefault="004663AB" w:rsidP="004663AB">
      <w:pPr>
        <w:pStyle w:val="EndNoteBibliography"/>
        <w:ind w:left="720" w:hanging="720"/>
      </w:pPr>
      <w:r w:rsidRPr="00013844">
        <w:t>[91.]</w:t>
      </w:r>
      <w:r w:rsidRPr="00013844">
        <w:tab/>
        <w:t>M. Fang, F. Roscoe, L.J. Sigal, Age-dependent susceptibility to a viral disease due to decreased natural killer cell numbers and trafficking</w:t>
      </w:r>
      <w:r w:rsidRPr="00013844">
        <w:rPr>
          <w:i/>
        </w:rPr>
        <w:t>,</w:t>
      </w:r>
      <w:r w:rsidRPr="00013844">
        <w:t xml:space="preserve"> J Exp Med,  </w:t>
      </w:r>
      <w:r w:rsidRPr="00013844">
        <w:rPr>
          <w:b/>
        </w:rPr>
        <w:t>207</w:t>
      </w:r>
      <w:r w:rsidRPr="00013844">
        <w:t xml:space="preserve">:11 (2010)  2369-81. </w:t>
      </w:r>
      <w:hyperlink r:id="rId91" w:history="1">
        <w:r w:rsidRPr="00013844">
          <w:rPr>
            <w:rStyle w:val="Hyperlink"/>
          </w:rPr>
          <w:t>https://doi.org/10.1084/jem.20100282</w:t>
        </w:r>
      </w:hyperlink>
    </w:p>
    <w:p w14:paraId="7F3FD0D3" w14:textId="77777777" w:rsidR="004663AB" w:rsidRPr="00013844" w:rsidRDefault="004663AB" w:rsidP="004663AB">
      <w:pPr>
        <w:pStyle w:val="EndNoteBibliography"/>
        <w:ind w:left="720" w:hanging="720"/>
      </w:pPr>
      <w:r w:rsidRPr="00013844">
        <w:t>[92.]</w:t>
      </w:r>
      <w:r w:rsidRPr="00013844">
        <w:tab/>
        <w:t>R. Mo, J. Chen, Y. Han, C. Bueno-Cannizares, D.E. Misek, P.A. Lescure, S. Hanash, R.L. Yung, T cell chemokine receptor expression in aging</w:t>
      </w:r>
      <w:r w:rsidRPr="00013844">
        <w:rPr>
          <w:i/>
        </w:rPr>
        <w:t>,</w:t>
      </w:r>
      <w:r w:rsidRPr="00013844">
        <w:t xml:space="preserve"> J Immunol,  </w:t>
      </w:r>
      <w:r w:rsidRPr="00013844">
        <w:rPr>
          <w:b/>
        </w:rPr>
        <w:t>170</w:t>
      </w:r>
      <w:r w:rsidRPr="00013844">
        <w:t xml:space="preserve">:2 (2003)  895-904. </w:t>
      </w:r>
      <w:hyperlink r:id="rId92" w:history="1">
        <w:r w:rsidRPr="00013844">
          <w:rPr>
            <w:rStyle w:val="Hyperlink"/>
          </w:rPr>
          <w:t>https://doi.org/10.4049/jimmunol.170.2.895</w:t>
        </w:r>
      </w:hyperlink>
    </w:p>
    <w:p w14:paraId="4E3B2EEE" w14:textId="77777777" w:rsidR="004663AB" w:rsidRPr="00013844" w:rsidRDefault="004663AB" w:rsidP="004663AB">
      <w:pPr>
        <w:pStyle w:val="EndNoteBibliography"/>
        <w:ind w:left="720" w:hanging="720"/>
      </w:pPr>
      <w:r w:rsidRPr="00013844">
        <w:t>[93.]</w:t>
      </w:r>
      <w:r w:rsidRPr="00013844">
        <w:tab/>
        <w:t>S. Cane, S. Ponnappan, U. Ponnappan, Impairment of non-muscle myosin IIA in human CD4+ T cells contributes to functional deficits in the elderly</w:t>
      </w:r>
      <w:r w:rsidRPr="00013844">
        <w:rPr>
          <w:i/>
        </w:rPr>
        <w:t>,</w:t>
      </w:r>
      <w:r w:rsidRPr="00013844">
        <w:t xml:space="preserve"> Cell Mol Immunol,  </w:t>
      </w:r>
      <w:r w:rsidRPr="00013844">
        <w:rPr>
          <w:b/>
        </w:rPr>
        <w:t>9</w:t>
      </w:r>
      <w:r w:rsidRPr="00013844">
        <w:t xml:space="preserve">:1 (2012)  86-96. </w:t>
      </w:r>
      <w:hyperlink r:id="rId93" w:history="1">
        <w:r w:rsidRPr="00013844">
          <w:rPr>
            <w:rStyle w:val="Hyperlink"/>
          </w:rPr>
          <w:t>https://doi.org/10.1038/cmi.2011.41</w:t>
        </w:r>
      </w:hyperlink>
    </w:p>
    <w:p w14:paraId="4F84391A" w14:textId="77777777" w:rsidR="004663AB" w:rsidRPr="00013844" w:rsidRDefault="004663AB" w:rsidP="004663AB">
      <w:pPr>
        <w:pStyle w:val="EndNoteBibliography"/>
        <w:ind w:left="720" w:hanging="720"/>
      </w:pPr>
      <w:r w:rsidRPr="00013844">
        <w:t>[94.]</w:t>
      </w:r>
      <w:r w:rsidRPr="00013844">
        <w:tab/>
        <w:t>S. Cane, S. Ponnappan, U. Ponnappan, Altered regulation of CXCR4 expression during aging contributes to increased CXCL12-dependent chemotactic migration of CD4(+) T cells</w:t>
      </w:r>
      <w:r w:rsidRPr="00013844">
        <w:rPr>
          <w:i/>
        </w:rPr>
        <w:t>,</w:t>
      </w:r>
      <w:r w:rsidRPr="00013844">
        <w:t xml:space="preserve"> Aging Cell,  </w:t>
      </w:r>
      <w:r w:rsidRPr="00013844">
        <w:rPr>
          <w:b/>
        </w:rPr>
        <w:t>11</w:t>
      </w:r>
      <w:r w:rsidRPr="00013844">
        <w:t xml:space="preserve">:4 (2012)  651-8. </w:t>
      </w:r>
      <w:hyperlink r:id="rId94" w:history="1">
        <w:r w:rsidRPr="00013844">
          <w:rPr>
            <w:rStyle w:val="Hyperlink"/>
          </w:rPr>
          <w:t>https://doi.org/10.1111/j.1474-9726.2012.00830.x</w:t>
        </w:r>
      </w:hyperlink>
      <w:r w:rsidRPr="00013844">
        <w:rPr>
          <w:color w:val="FF0000"/>
        </w:rPr>
        <w:t xml:space="preserve"> </w:t>
      </w:r>
    </w:p>
    <w:p w14:paraId="1E8F6FB7" w14:textId="77777777" w:rsidR="004663AB" w:rsidRPr="00013844" w:rsidRDefault="004663AB" w:rsidP="004663AB">
      <w:pPr>
        <w:pStyle w:val="EndNoteBibliography"/>
        <w:ind w:left="720" w:hanging="720"/>
      </w:pPr>
      <w:r w:rsidRPr="00013844">
        <w:t>[95.]</w:t>
      </w:r>
      <w:r w:rsidRPr="00013844">
        <w:tab/>
        <w:t>J.P. Coppe, P.Y. Desprez, A. Krtolica, J. Campisi, The senescence-associated secretory phenotype: the dark side of tumor suppression</w:t>
      </w:r>
      <w:r w:rsidRPr="00013844">
        <w:rPr>
          <w:i/>
        </w:rPr>
        <w:t>,</w:t>
      </w:r>
      <w:r w:rsidRPr="00013844">
        <w:t xml:space="preserve"> Annu Rev Pathol,  </w:t>
      </w:r>
      <w:r w:rsidRPr="00013844">
        <w:rPr>
          <w:b/>
        </w:rPr>
        <w:t>5</w:t>
      </w:r>
      <w:r w:rsidRPr="00013844">
        <w:t xml:space="preserve">:(2010)  99-118. </w:t>
      </w:r>
      <w:hyperlink r:id="rId95" w:history="1">
        <w:r w:rsidRPr="00013844">
          <w:rPr>
            <w:rStyle w:val="Hyperlink"/>
          </w:rPr>
          <w:t>https://doi.org/10.1146/annurev-pathol-121808-102144</w:t>
        </w:r>
      </w:hyperlink>
    </w:p>
    <w:p w14:paraId="7FBD8E14" w14:textId="77777777" w:rsidR="004663AB" w:rsidRPr="00013844" w:rsidRDefault="004663AB" w:rsidP="004663AB">
      <w:pPr>
        <w:pStyle w:val="EndNoteBibliography"/>
        <w:ind w:left="720" w:hanging="720"/>
      </w:pPr>
      <w:r w:rsidRPr="00013844">
        <w:t>[96.]</w:t>
      </w:r>
      <w:r w:rsidRPr="00013844">
        <w:tab/>
        <w:t>W. Xu and A. Larbi, Markers of T Cell Senescence in Humans</w:t>
      </w:r>
      <w:r w:rsidRPr="00013844">
        <w:rPr>
          <w:i/>
        </w:rPr>
        <w:t>,</w:t>
      </w:r>
      <w:r w:rsidRPr="00013844">
        <w:t xml:space="preserve"> Int J Mol Sci,  </w:t>
      </w:r>
      <w:r w:rsidRPr="00013844">
        <w:rPr>
          <w:b/>
        </w:rPr>
        <w:t>18</w:t>
      </w:r>
      <w:r w:rsidRPr="00013844">
        <w:t xml:space="preserve">:8 (2017). </w:t>
      </w:r>
      <w:hyperlink r:id="rId96" w:history="1">
        <w:r w:rsidRPr="00013844">
          <w:rPr>
            <w:rStyle w:val="Hyperlink"/>
          </w:rPr>
          <w:t>https://doi.org/10.3390/ijms18081742</w:t>
        </w:r>
      </w:hyperlink>
      <w:r w:rsidRPr="00013844">
        <w:rPr>
          <w:color w:val="FF0000"/>
        </w:rPr>
        <w:t xml:space="preserve"> </w:t>
      </w:r>
    </w:p>
    <w:p w14:paraId="260083DD" w14:textId="77777777" w:rsidR="004663AB" w:rsidRPr="00013844" w:rsidRDefault="004663AB" w:rsidP="004663AB">
      <w:pPr>
        <w:pStyle w:val="EndNoteBibliography"/>
        <w:ind w:left="720" w:hanging="720"/>
      </w:pPr>
      <w:r w:rsidRPr="00013844">
        <w:t>[97.]</w:t>
      </w:r>
      <w:r w:rsidRPr="00013844">
        <w:tab/>
        <w:t>R. Kandhaya-Pillai, F. Miro-Mur, J. Alijotas-Reig, T. Tchkonia, J.L. Kirkland, S. Schwartz, TNFalpha-senescence initiates a STAT-dependent positive feedback loop, leading to a sustained interferon signature, DNA damage, and cytokine secretion</w:t>
      </w:r>
      <w:r w:rsidRPr="00013844">
        <w:rPr>
          <w:i/>
        </w:rPr>
        <w:t>,</w:t>
      </w:r>
      <w:r w:rsidRPr="00013844">
        <w:t xml:space="preserve"> Aging (Albany NY),  </w:t>
      </w:r>
      <w:r w:rsidRPr="00013844">
        <w:rPr>
          <w:b/>
        </w:rPr>
        <w:t>9</w:t>
      </w:r>
      <w:r w:rsidRPr="00013844">
        <w:t xml:space="preserve">:11 (2017)  2411-2435. </w:t>
      </w:r>
      <w:hyperlink r:id="rId97" w:history="1">
        <w:r w:rsidRPr="00013844">
          <w:rPr>
            <w:rStyle w:val="Hyperlink"/>
          </w:rPr>
          <w:t>https://doi.org/10.18632/aging.101328</w:t>
        </w:r>
      </w:hyperlink>
    </w:p>
    <w:p w14:paraId="7CCF6CA7" w14:textId="77777777" w:rsidR="004663AB" w:rsidRPr="00013844" w:rsidRDefault="004663AB" w:rsidP="004663AB">
      <w:pPr>
        <w:pStyle w:val="EndNoteBibliography"/>
        <w:ind w:left="720" w:hanging="720"/>
      </w:pPr>
      <w:r w:rsidRPr="00013844">
        <w:lastRenderedPageBreak/>
        <w:t>[98.]</w:t>
      </w:r>
      <w:r w:rsidRPr="00013844">
        <w:tab/>
        <w:t>F. Prattichizzo, V. De Nigris, L. La Sala, A.D. Procopio, F. Olivieri, A. Ceriello, "Inflammaging" as a Druggable Target: A Senescence-Associated Secretory Phenotype-Centered View of Type 2 Diabetes</w:t>
      </w:r>
      <w:r w:rsidRPr="00013844">
        <w:rPr>
          <w:i/>
        </w:rPr>
        <w:t>,</w:t>
      </w:r>
      <w:r w:rsidRPr="00013844">
        <w:t xml:space="preserve"> Oxid Med Cell Longev,  </w:t>
      </w:r>
      <w:r w:rsidRPr="00013844">
        <w:rPr>
          <w:b/>
        </w:rPr>
        <w:t>2016</w:t>
      </w:r>
      <w:r w:rsidRPr="00013844">
        <w:t xml:space="preserve">:(2016)  1810327. </w:t>
      </w:r>
      <w:hyperlink r:id="rId98" w:history="1">
        <w:r w:rsidRPr="00013844">
          <w:rPr>
            <w:rStyle w:val="Hyperlink"/>
          </w:rPr>
          <w:t>https://doi.org/10.1155/2016/1810327</w:t>
        </w:r>
      </w:hyperlink>
      <w:r w:rsidRPr="00013844">
        <w:rPr>
          <w:color w:val="FF0000"/>
        </w:rPr>
        <w:t xml:space="preserve"> </w:t>
      </w:r>
    </w:p>
    <w:p w14:paraId="3C884BCA" w14:textId="77777777" w:rsidR="004663AB" w:rsidRPr="00013844" w:rsidRDefault="004663AB" w:rsidP="004663AB">
      <w:pPr>
        <w:pStyle w:val="EndNoteBibliography"/>
        <w:ind w:left="720" w:hanging="720"/>
      </w:pPr>
      <w:r w:rsidRPr="00013844">
        <w:t>[99.]</w:t>
      </w:r>
      <w:r w:rsidRPr="00013844">
        <w:tab/>
        <w:t>D. Eyman, M. Damodarasamy, S.R. Plymate, M.J. Reed, CCL5 secreted by senescent aged fibroblasts induces proliferation of prostate epithelial cells and expression of genes that modulate angiogenesis</w:t>
      </w:r>
      <w:r w:rsidRPr="00013844">
        <w:rPr>
          <w:i/>
        </w:rPr>
        <w:t>,</w:t>
      </w:r>
      <w:r w:rsidRPr="00013844">
        <w:t xml:space="preserve"> J Cell Physiol,  </w:t>
      </w:r>
      <w:r w:rsidRPr="00013844">
        <w:rPr>
          <w:b/>
        </w:rPr>
        <w:t>220</w:t>
      </w:r>
      <w:r w:rsidRPr="00013844">
        <w:t xml:space="preserve">:2 (2009)  376-81. </w:t>
      </w:r>
      <w:hyperlink r:id="rId99" w:history="1">
        <w:r w:rsidRPr="00013844">
          <w:rPr>
            <w:rStyle w:val="Hyperlink"/>
          </w:rPr>
          <w:t>https://doi.org/10.1002/jcp.21776</w:t>
        </w:r>
      </w:hyperlink>
    </w:p>
    <w:p w14:paraId="53D04771" w14:textId="77777777" w:rsidR="004663AB" w:rsidRPr="00013844" w:rsidRDefault="004663AB" w:rsidP="004663AB">
      <w:pPr>
        <w:pStyle w:val="EndNoteBibliography"/>
        <w:ind w:left="720" w:hanging="720"/>
      </w:pPr>
      <w:r w:rsidRPr="00013844">
        <w:t>[100.]</w:t>
      </w:r>
      <w:r w:rsidRPr="00013844">
        <w:tab/>
        <w:t>L. Begley, C. Monteleon, R.B. Shah, J.W. Macdonald, J.A. Macoska, CXCL12 overexpression and secretion by aging fibroblasts enhance human prostate epithelial proliferation in vitro</w:t>
      </w:r>
      <w:r w:rsidRPr="00013844">
        <w:rPr>
          <w:i/>
        </w:rPr>
        <w:t>,</w:t>
      </w:r>
      <w:r w:rsidRPr="00013844">
        <w:t xml:space="preserve"> Aging Cell,  </w:t>
      </w:r>
      <w:r w:rsidRPr="00013844">
        <w:rPr>
          <w:b/>
        </w:rPr>
        <w:t>4</w:t>
      </w:r>
      <w:r w:rsidRPr="00013844">
        <w:t xml:space="preserve">:6 (2005)  291-8. </w:t>
      </w:r>
      <w:hyperlink r:id="rId100" w:history="1">
        <w:r w:rsidRPr="00013844">
          <w:rPr>
            <w:rStyle w:val="Hyperlink"/>
          </w:rPr>
          <w:t>https://doi.org/10.1111/j.1474-9726.2005.00173.x</w:t>
        </w:r>
      </w:hyperlink>
      <w:r w:rsidRPr="00013844">
        <w:rPr>
          <w:color w:val="FF0000"/>
        </w:rPr>
        <w:t xml:space="preserve"> </w:t>
      </w:r>
    </w:p>
    <w:p w14:paraId="7851A9B1" w14:textId="77777777" w:rsidR="004663AB" w:rsidRPr="00013844" w:rsidRDefault="004663AB" w:rsidP="004663AB">
      <w:pPr>
        <w:pStyle w:val="EndNoteBibliography"/>
        <w:ind w:left="720" w:hanging="720"/>
      </w:pPr>
      <w:r w:rsidRPr="00013844">
        <w:t>[101.]</w:t>
      </w:r>
      <w:r w:rsidRPr="00013844">
        <w:tab/>
        <w:t>F. Antonangeli, A. Zingoni, A. Soriani, A. Santoni, Senescent cells: Living or dying is a matter of NK cells</w:t>
      </w:r>
      <w:r w:rsidRPr="00013844">
        <w:rPr>
          <w:i/>
        </w:rPr>
        <w:t>,</w:t>
      </w:r>
      <w:r w:rsidRPr="00013844">
        <w:t xml:space="preserve"> J Leukoc Biol,  </w:t>
      </w:r>
      <w:r w:rsidRPr="00013844">
        <w:rPr>
          <w:b/>
        </w:rPr>
        <w:t>105</w:t>
      </w:r>
      <w:r w:rsidRPr="00013844">
        <w:t xml:space="preserve">:6 (2019)  1275-1283. </w:t>
      </w:r>
      <w:hyperlink r:id="rId101" w:history="1">
        <w:r w:rsidRPr="00013844">
          <w:rPr>
            <w:rStyle w:val="Hyperlink"/>
          </w:rPr>
          <w:t>https://doi.org/10.1002/jlb.Mr0718-299r</w:t>
        </w:r>
      </w:hyperlink>
    </w:p>
    <w:p w14:paraId="6FE7DDDD" w14:textId="77777777" w:rsidR="004663AB" w:rsidRPr="00013844" w:rsidRDefault="004663AB" w:rsidP="004663AB">
      <w:pPr>
        <w:pStyle w:val="EndNoteBibliography"/>
        <w:ind w:left="720" w:hanging="720"/>
      </w:pPr>
      <w:r w:rsidRPr="00013844">
        <w:t>[102.]</w:t>
      </w:r>
      <w:r w:rsidRPr="00013844">
        <w:tab/>
        <w:t>A. Sagiv and V. Krizhanovsky, Immunosurveillance of senescent cells: the bright side of the senescence program</w:t>
      </w:r>
      <w:r w:rsidRPr="00013844">
        <w:rPr>
          <w:i/>
        </w:rPr>
        <w:t>,</w:t>
      </w:r>
      <w:r w:rsidRPr="00013844">
        <w:t xml:space="preserve"> Biogerontology,  </w:t>
      </w:r>
      <w:r w:rsidRPr="00013844">
        <w:rPr>
          <w:b/>
        </w:rPr>
        <w:t>14</w:t>
      </w:r>
      <w:r w:rsidRPr="00013844">
        <w:t xml:space="preserve">:6 (2013)  617-28. </w:t>
      </w:r>
      <w:hyperlink r:id="rId102" w:history="1">
        <w:r w:rsidRPr="00013844">
          <w:rPr>
            <w:rStyle w:val="Hyperlink"/>
          </w:rPr>
          <w:t>https://doi.org/10.1007/s10522-013-9473-0</w:t>
        </w:r>
      </w:hyperlink>
    </w:p>
    <w:p w14:paraId="2D375D26" w14:textId="77777777" w:rsidR="004663AB" w:rsidRPr="00013844" w:rsidRDefault="004663AB" w:rsidP="004663AB">
      <w:pPr>
        <w:pStyle w:val="EndNoteBibliography"/>
        <w:ind w:left="720" w:hanging="720"/>
      </w:pPr>
      <w:r w:rsidRPr="00013844">
        <w:t>[103.]</w:t>
      </w:r>
      <w:r w:rsidRPr="00013844">
        <w:tab/>
        <w:t>M. Sasaki, M. Miyakoshi, Y. Sato, Y. Nakanuma, Chemokine-chemokine receptor CCL2-CCR2 and CX3CL1-CX3CR1 axis may play a role in the aggravated inflammation in primary biliary cirrhosis</w:t>
      </w:r>
      <w:r w:rsidRPr="00013844">
        <w:rPr>
          <w:i/>
        </w:rPr>
        <w:t>,</w:t>
      </w:r>
      <w:r w:rsidRPr="00013844">
        <w:t xml:space="preserve"> Dig Dis Sci,  </w:t>
      </w:r>
      <w:r w:rsidRPr="00013844">
        <w:rPr>
          <w:b/>
        </w:rPr>
        <w:t>59</w:t>
      </w:r>
      <w:r w:rsidRPr="00013844">
        <w:t xml:space="preserve">:2 (2014)  358-64. </w:t>
      </w:r>
      <w:hyperlink r:id="rId103" w:history="1">
        <w:r w:rsidRPr="00013844">
          <w:rPr>
            <w:rStyle w:val="Hyperlink"/>
          </w:rPr>
          <w:t>https://doi.org/10.1007/s10620-013-2920-6</w:t>
        </w:r>
      </w:hyperlink>
    </w:p>
    <w:p w14:paraId="3FFD4A01" w14:textId="77777777" w:rsidR="004663AB" w:rsidRPr="00013844" w:rsidRDefault="004663AB" w:rsidP="004663AB">
      <w:pPr>
        <w:pStyle w:val="EndNoteBibliography"/>
        <w:ind w:left="720" w:hanging="720"/>
      </w:pPr>
      <w:r w:rsidRPr="00013844">
        <w:t>[104.]</w:t>
      </w:r>
      <w:r w:rsidRPr="00013844">
        <w:tab/>
        <w:t>M. Sasaki, M. Miyakoshi, Y. Sato, Y. Nakanuma, Modulation of the microenvironment by senescent biliary epithelial cells may be involved in the pathogenesis of primary biliary cirrhosis</w:t>
      </w:r>
      <w:r w:rsidRPr="00013844">
        <w:rPr>
          <w:i/>
        </w:rPr>
        <w:t>,</w:t>
      </w:r>
      <w:r w:rsidRPr="00013844">
        <w:t xml:space="preserve"> J Hepatol,  </w:t>
      </w:r>
      <w:r w:rsidRPr="00013844">
        <w:rPr>
          <w:b/>
        </w:rPr>
        <w:t>53</w:t>
      </w:r>
      <w:r w:rsidRPr="00013844">
        <w:t>:2 (2010)  318-25. 10.1016/j.jhep.2010.03.008</w:t>
      </w:r>
      <w:r w:rsidRPr="00013844">
        <w:rPr>
          <w:color w:val="FF0000"/>
        </w:rPr>
        <w:t xml:space="preserve"> </w:t>
      </w:r>
    </w:p>
    <w:p w14:paraId="730CE1FA" w14:textId="77777777" w:rsidR="004663AB" w:rsidRPr="00013844" w:rsidRDefault="004663AB" w:rsidP="004663AB">
      <w:pPr>
        <w:pStyle w:val="EndNoteBibliography"/>
        <w:ind w:left="720" w:hanging="720"/>
      </w:pPr>
      <w:r w:rsidRPr="00013844">
        <w:t>[105.]</w:t>
      </w:r>
      <w:r w:rsidRPr="00013844">
        <w:tab/>
        <w:t>W. Xue, L. Zender, C. Miething, R.A. Dickins, E. Hernando, V. Krizhanovsky, C. Cordon-Cardo, S.W. Lowe, Senescence and tumour clearance is triggered by p53 restoration in murine liver carcinomas</w:t>
      </w:r>
      <w:r w:rsidRPr="00013844">
        <w:rPr>
          <w:i/>
        </w:rPr>
        <w:t>,</w:t>
      </w:r>
      <w:r w:rsidRPr="00013844">
        <w:t xml:space="preserve"> Nature,  </w:t>
      </w:r>
      <w:r w:rsidRPr="00013844">
        <w:rPr>
          <w:b/>
        </w:rPr>
        <w:t>445</w:t>
      </w:r>
      <w:r w:rsidRPr="00013844">
        <w:t xml:space="preserve">:7128 (2007)  656-60. </w:t>
      </w:r>
      <w:hyperlink r:id="rId104" w:history="1">
        <w:r w:rsidRPr="00013844">
          <w:rPr>
            <w:rStyle w:val="Hyperlink"/>
          </w:rPr>
          <w:t>https://doi.org/10.1038/nature05529</w:t>
        </w:r>
      </w:hyperlink>
    </w:p>
    <w:p w14:paraId="504616F3" w14:textId="77777777" w:rsidR="004663AB" w:rsidRPr="00013844" w:rsidRDefault="004663AB" w:rsidP="004663AB">
      <w:pPr>
        <w:pStyle w:val="EndNoteBibliography"/>
        <w:ind w:left="720" w:hanging="720"/>
      </w:pPr>
      <w:r w:rsidRPr="00013844">
        <w:t>[106.]</w:t>
      </w:r>
      <w:r w:rsidRPr="00013844">
        <w:tab/>
        <w:t xml:space="preserve">J.C. Acosta, A. O'Loghlen, A. Banito, M.V. Guijarro, A. Augert, S. Raguz, M. Fumagalli, M. Da Costa, C. Brown, N. Popov, Y. Takatsu, J. Melamed, F. d'Adda di Fagagna, D. Bernard, E. Hernando, J. Gil, </w:t>
      </w:r>
      <w:r w:rsidRPr="00013844">
        <w:lastRenderedPageBreak/>
        <w:t>Chemokine signaling via the CXCR2 receptor reinforces senescence</w:t>
      </w:r>
      <w:r w:rsidRPr="00013844">
        <w:rPr>
          <w:i/>
        </w:rPr>
        <w:t>,</w:t>
      </w:r>
      <w:r w:rsidRPr="00013844">
        <w:t xml:space="preserve"> Cell,  </w:t>
      </w:r>
      <w:r w:rsidRPr="00013844">
        <w:rPr>
          <w:b/>
        </w:rPr>
        <w:t>133</w:t>
      </w:r>
      <w:r w:rsidRPr="00013844">
        <w:t xml:space="preserve">:6 (2008)  1006-18. </w:t>
      </w:r>
      <w:hyperlink r:id="rId105" w:history="1">
        <w:r w:rsidRPr="00013844">
          <w:rPr>
            <w:rStyle w:val="Hyperlink"/>
          </w:rPr>
          <w:t>https://doi.org/10.1016/j.cell.2008.03.038</w:t>
        </w:r>
      </w:hyperlink>
      <w:r w:rsidRPr="00013844">
        <w:rPr>
          <w:color w:val="FF0000"/>
        </w:rPr>
        <w:t xml:space="preserve"> </w:t>
      </w:r>
    </w:p>
    <w:p w14:paraId="2BEB4E1B" w14:textId="77777777" w:rsidR="004663AB" w:rsidRPr="00013844" w:rsidRDefault="004663AB" w:rsidP="004663AB">
      <w:pPr>
        <w:pStyle w:val="EndNoteBibliography"/>
        <w:ind w:left="720" w:hanging="720"/>
      </w:pPr>
      <w:r w:rsidRPr="00013844">
        <w:t>[107.]</w:t>
      </w:r>
      <w:r w:rsidRPr="00013844">
        <w:tab/>
        <w:t>D. Frasca, Senescent B cells in aging and age-related diseases: Their role in the regulation of antibody responses</w:t>
      </w:r>
      <w:r w:rsidRPr="00013844">
        <w:rPr>
          <w:i/>
        </w:rPr>
        <w:t>,</w:t>
      </w:r>
      <w:r w:rsidRPr="00013844">
        <w:t xml:space="preserve"> Exp Gerontol,  </w:t>
      </w:r>
      <w:r w:rsidRPr="00013844">
        <w:rPr>
          <w:b/>
        </w:rPr>
        <w:t>107</w:t>
      </w:r>
      <w:r w:rsidRPr="00013844">
        <w:t xml:space="preserve">:(2018)  55-58. </w:t>
      </w:r>
      <w:hyperlink r:id="rId106" w:history="1">
        <w:r w:rsidRPr="00013844">
          <w:rPr>
            <w:rStyle w:val="Hyperlink"/>
          </w:rPr>
          <w:t>https://doi.org/10.1016/j.exger.2017.07.002</w:t>
        </w:r>
      </w:hyperlink>
      <w:r w:rsidRPr="00013844">
        <w:rPr>
          <w:color w:val="FF0000"/>
        </w:rPr>
        <w:t xml:space="preserve"> </w:t>
      </w:r>
    </w:p>
    <w:p w14:paraId="7D2035E0" w14:textId="77777777" w:rsidR="004663AB" w:rsidRPr="00013844" w:rsidRDefault="004663AB" w:rsidP="004663AB">
      <w:pPr>
        <w:pStyle w:val="EndNoteBibliography"/>
        <w:ind w:left="720" w:hanging="720"/>
      </w:pPr>
      <w:r w:rsidRPr="00013844">
        <w:t>[108.]</w:t>
      </w:r>
      <w:r w:rsidRPr="00013844">
        <w:tab/>
        <w:t>M. Bulati, S. Buffa, A. Martorana, G. Candore, D. Lio, C. Caruso, G. Colonna-Romano, Trafficking phenotype and production of granzyme B by double negative B cells (IgG(+)IgD(-)CD27(-)) in the elderly</w:t>
      </w:r>
      <w:r w:rsidRPr="00013844">
        <w:rPr>
          <w:i/>
        </w:rPr>
        <w:t>,</w:t>
      </w:r>
      <w:r w:rsidRPr="00013844">
        <w:t xml:space="preserve"> Exp Gerontol,  </w:t>
      </w:r>
      <w:r w:rsidRPr="00013844">
        <w:rPr>
          <w:b/>
        </w:rPr>
        <w:t>54</w:t>
      </w:r>
      <w:r w:rsidRPr="00013844">
        <w:t xml:space="preserve">:(2014)  123-9. </w:t>
      </w:r>
      <w:hyperlink r:id="rId107" w:history="1">
        <w:r w:rsidRPr="00013844">
          <w:rPr>
            <w:rStyle w:val="Hyperlink"/>
          </w:rPr>
          <w:t>https://doi.org/10.1016/j.exger.2013.12.011</w:t>
        </w:r>
      </w:hyperlink>
      <w:r w:rsidRPr="00013844">
        <w:rPr>
          <w:color w:val="FF0000"/>
        </w:rPr>
        <w:t xml:space="preserve"> </w:t>
      </w:r>
    </w:p>
    <w:p w14:paraId="57BFCAEF" w14:textId="77777777" w:rsidR="004663AB" w:rsidRPr="00013844" w:rsidRDefault="004663AB" w:rsidP="004663AB">
      <w:pPr>
        <w:pStyle w:val="EndNoteBibliography"/>
        <w:ind w:left="720" w:hanging="720"/>
      </w:pPr>
      <w:r w:rsidRPr="00013844">
        <w:t>[109.]</w:t>
      </w:r>
      <w:r w:rsidRPr="00013844">
        <w:tab/>
        <w:t>N.P. Weng, A.N. Akbar, J. Goronzy, CD28(-) T cells: their role in the age-associated decline of immune function</w:t>
      </w:r>
      <w:r w:rsidRPr="00013844">
        <w:rPr>
          <w:i/>
        </w:rPr>
        <w:t>,</w:t>
      </w:r>
      <w:r w:rsidRPr="00013844">
        <w:t xml:space="preserve"> Trends Immunol,  </w:t>
      </w:r>
      <w:r w:rsidRPr="00013844">
        <w:rPr>
          <w:b/>
        </w:rPr>
        <w:t>30</w:t>
      </w:r>
      <w:r w:rsidRPr="00013844">
        <w:t xml:space="preserve">:7 (2009)  306-12. </w:t>
      </w:r>
      <w:hyperlink r:id="rId108" w:history="1">
        <w:r w:rsidRPr="00013844">
          <w:rPr>
            <w:rStyle w:val="Hyperlink"/>
          </w:rPr>
          <w:t>https://doi.org/10.1016/j.it.2009.03.013</w:t>
        </w:r>
      </w:hyperlink>
    </w:p>
    <w:p w14:paraId="73D916B3" w14:textId="77777777" w:rsidR="004663AB" w:rsidRPr="00013844" w:rsidRDefault="004663AB" w:rsidP="004663AB">
      <w:pPr>
        <w:pStyle w:val="EndNoteBibliography"/>
        <w:ind w:left="720" w:hanging="720"/>
      </w:pPr>
      <w:r w:rsidRPr="00013844">
        <w:t>[110.]</w:t>
      </w:r>
      <w:r w:rsidRPr="00013844">
        <w:tab/>
        <w:t>L.A. Callender, E.C. Carroll, E.A. Bober, A.N. Akbar, E. Solito, S.M. Henson, Mitochondrial mass governs the extent of human T cell senescence</w:t>
      </w:r>
      <w:r w:rsidRPr="00013844">
        <w:rPr>
          <w:i/>
        </w:rPr>
        <w:t>,</w:t>
      </w:r>
      <w:r w:rsidRPr="00013844">
        <w:t xml:space="preserve"> Aging Cell,  </w:t>
      </w:r>
      <w:r w:rsidRPr="00013844">
        <w:rPr>
          <w:b/>
        </w:rPr>
        <w:t>19</w:t>
      </w:r>
      <w:r w:rsidRPr="00013844">
        <w:t xml:space="preserve">:2 (2020)  e13067. </w:t>
      </w:r>
      <w:hyperlink r:id="rId109" w:history="1">
        <w:r w:rsidRPr="00013844">
          <w:rPr>
            <w:rStyle w:val="Hyperlink"/>
          </w:rPr>
          <w:t>https://doi.org/10.1111/acel.13067</w:t>
        </w:r>
      </w:hyperlink>
      <w:r w:rsidRPr="00013844">
        <w:rPr>
          <w:color w:val="FF0000"/>
        </w:rPr>
        <w:t xml:space="preserve"> </w:t>
      </w:r>
    </w:p>
    <w:p w14:paraId="6A48D619" w14:textId="77777777" w:rsidR="004663AB" w:rsidRPr="00013844" w:rsidRDefault="004663AB" w:rsidP="004663AB">
      <w:pPr>
        <w:pStyle w:val="EndNoteBibliography"/>
        <w:ind w:left="720" w:hanging="720"/>
      </w:pPr>
      <w:r w:rsidRPr="00013844">
        <w:t>[111.]</w:t>
      </w:r>
      <w:r w:rsidRPr="00013844">
        <w:tab/>
        <w:t>E.Y.M. Lau, E.C. Carroll, L.A. Callender, G.A. Hood, V. Berryman, M. Pattrick, S. Finer, G.A. Hitman, G.L. Ackland, S.M. Henson, Type 2 diabetes is associated with the accumulation of senescent T cells</w:t>
      </w:r>
      <w:r w:rsidRPr="00013844">
        <w:rPr>
          <w:i/>
        </w:rPr>
        <w:t>,</w:t>
      </w:r>
      <w:r w:rsidRPr="00013844">
        <w:t xml:space="preserve"> Clin Exp Immunol,  </w:t>
      </w:r>
      <w:r w:rsidRPr="00013844">
        <w:rPr>
          <w:b/>
        </w:rPr>
        <w:t>197</w:t>
      </w:r>
      <w:r w:rsidRPr="00013844">
        <w:t xml:space="preserve">:2 (2019)  205-213. </w:t>
      </w:r>
      <w:hyperlink r:id="rId110" w:history="1">
        <w:r w:rsidRPr="00013844">
          <w:rPr>
            <w:rStyle w:val="Hyperlink"/>
          </w:rPr>
          <w:t>https://doi.org/10.1111/cei.13344</w:t>
        </w:r>
      </w:hyperlink>
    </w:p>
    <w:p w14:paraId="074A6DB4" w14:textId="77777777" w:rsidR="004663AB" w:rsidRPr="00013844" w:rsidRDefault="004663AB" w:rsidP="004663AB">
      <w:pPr>
        <w:pStyle w:val="EndNoteBibliography"/>
        <w:ind w:left="720" w:hanging="720"/>
      </w:pPr>
      <w:r w:rsidRPr="00013844">
        <w:t>[112.]</w:t>
      </w:r>
      <w:r w:rsidRPr="00013844">
        <w:tab/>
        <w:t>E.L. Goldberg and V.D. Dixit, Drivers of age-related inflammation and strategies for healthspan extension</w:t>
      </w:r>
      <w:r w:rsidRPr="00013844">
        <w:rPr>
          <w:i/>
        </w:rPr>
        <w:t>,</w:t>
      </w:r>
      <w:r w:rsidRPr="00013844">
        <w:t xml:space="preserve"> Immunol Rev,  </w:t>
      </w:r>
      <w:r w:rsidRPr="00013844">
        <w:rPr>
          <w:b/>
        </w:rPr>
        <w:t>265</w:t>
      </w:r>
      <w:r w:rsidRPr="00013844">
        <w:t xml:space="preserve">:1 (2015)  63-74. </w:t>
      </w:r>
      <w:hyperlink r:id="rId111" w:history="1">
        <w:r w:rsidRPr="00013844">
          <w:rPr>
            <w:rStyle w:val="Hyperlink"/>
          </w:rPr>
          <w:t>https://doi.org/10.1111/imr.12295</w:t>
        </w:r>
      </w:hyperlink>
      <w:r w:rsidRPr="00013844">
        <w:rPr>
          <w:color w:val="FF0000"/>
        </w:rPr>
        <w:t xml:space="preserve"> </w:t>
      </w:r>
    </w:p>
    <w:p w14:paraId="4D5F4617" w14:textId="77777777" w:rsidR="004663AB" w:rsidRPr="00013844" w:rsidRDefault="004663AB" w:rsidP="004663AB">
      <w:pPr>
        <w:pStyle w:val="EndNoteBibliography"/>
        <w:ind w:left="720" w:hanging="720"/>
      </w:pPr>
      <w:r w:rsidRPr="00013844">
        <w:t>[113.]</w:t>
      </w:r>
      <w:r w:rsidRPr="00013844">
        <w:tab/>
        <w:t>H.Y. Chung, D.H. Kim, E.K. Lee, K.W. Chung, S. Chung, B. Lee, A.Y. Seo, J.H. Chung, Y.S. Jung, E. Im, J. Lee, N.D. Kim, Y.J. Choi, D.S. Im, B.P. Yu, Redefining Chronic Inflammation in Aging and Age-Related Diseases: Proposal of the Senoinflammation Concept</w:t>
      </w:r>
      <w:r w:rsidRPr="00013844">
        <w:rPr>
          <w:i/>
        </w:rPr>
        <w:t>,</w:t>
      </w:r>
      <w:r w:rsidRPr="00013844">
        <w:t xml:space="preserve"> Aging Dis,  </w:t>
      </w:r>
      <w:r w:rsidRPr="00013844">
        <w:rPr>
          <w:b/>
        </w:rPr>
        <w:t>10</w:t>
      </w:r>
      <w:r w:rsidRPr="00013844">
        <w:t xml:space="preserve">:2 (2019)  367-382. </w:t>
      </w:r>
      <w:hyperlink r:id="rId112" w:history="1">
        <w:r w:rsidRPr="00013844">
          <w:rPr>
            <w:rStyle w:val="Hyperlink"/>
          </w:rPr>
          <w:t>https://doi.org/10.14336/AD.2018.0324</w:t>
        </w:r>
      </w:hyperlink>
    </w:p>
    <w:p w14:paraId="5B10C6EE" w14:textId="77777777" w:rsidR="004663AB" w:rsidRPr="00013844" w:rsidRDefault="004663AB" w:rsidP="004663AB">
      <w:pPr>
        <w:pStyle w:val="EndNoteBibliography"/>
        <w:ind w:left="720" w:hanging="720"/>
      </w:pPr>
      <w:r w:rsidRPr="00013844">
        <w:t>[114.]</w:t>
      </w:r>
      <w:r w:rsidRPr="00013844">
        <w:tab/>
        <w:t>S.C. Park and Y.T. Jeen, Anti-integrin therapy for inflammatory bowel disease</w:t>
      </w:r>
      <w:r w:rsidRPr="00013844">
        <w:rPr>
          <w:i/>
        </w:rPr>
        <w:t>,</w:t>
      </w:r>
      <w:r w:rsidRPr="00013844">
        <w:t xml:space="preserve"> World J Gastroenterol,  </w:t>
      </w:r>
      <w:r w:rsidRPr="00013844">
        <w:rPr>
          <w:b/>
        </w:rPr>
        <w:t>24</w:t>
      </w:r>
      <w:r w:rsidRPr="00013844">
        <w:t xml:space="preserve">:17 (2018)  1868-1880. </w:t>
      </w:r>
      <w:hyperlink r:id="rId113" w:history="1">
        <w:r w:rsidRPr="00013844">
          <w:rPr>
            <w:rStyle w:val="Hyperlink"/>
          </w:rPr>
          <w:t>https://doi.org/10.3748/wjg.v24.i17.1868</w:t>
        </w:r>
      </w:hyperlink>
      <w:r w:rsidRPr="00013844">
        <w:rPr>
          <w:color w:val="FF0000"/>
        </w:rPr>
        <w:t xml:space="preserve"> </w:t>
      </w:r>
    </w:p>
    <w:p w14:paraId="2DAC8BDA" w14:textId="77777777" w:rsidR="004663AB" w:rsidRPr="00013844" w:rsidRDefault="004663AB" w:rsidP="004663AB">
      <w:pPr>
        <w:pStyle w:val="EndNoteBibliography"/>
        <w:ind w:left="720" w:hanging="720"/>
      </w:pPr>
      <w:r w:rsidRPr="00013844">
        <w:t>[115.]</w:t>
      </w:r>
      <w:r w:rsidRPr="00013844">
        <w:tab/>
        <w:t>A. Kurdi, G.R. De Meyer, W. Martinet, Potential therapeutic effects of mTOR inhibition in atherosclerosis</w:t>
      </w:r>
      <w:r w:rsidRPr="00013844">
        <w:rPr>
          <w:i/>
        </w:rPr>
        <w:t>,</w:t>
      </w:r>
      <w:r w:rsidRPr="00013844">
        <w:t xml:space="preserve"> Br J Clin Pharmacol,  </w:t>
      </w:r>
      <w:r w:rsidRPr="00013844">
        <w:rPr>
          <w:b/>
        </w:rPr>
        <w:t>82</w:t>
      </w:r>
      <w:r w:rsidRPr="00013844">
        <w:t xml:space="preserve">:5 (2016)  1267-1279. </w:t>
      </w:r>
      <w:hyperlink r:id="rId114" w:history="1">
        <w:r w:rsidRPr="00013844">
          <w:rPr>
            <w:rStyle w:val="Hyperlink"/>
          </w:rPr>
          <w:t>https://doi.org/10.1111/bcp.12820</w:t>
        </w:r>
      </w:hyperlink>
    </w:p>
    <w:p w14:paraId="4F7DF98B" w14:textId="77777777" w:rsidR="004663AB" w:rsidRPr="00013844" w:rsidRDefault="004663AB" w:rsidP="004663AB">
      <w:pPr>
        <w:pStyle w:val="EndNoteBibliography"/>
        <w:ind w:left="720" w:hanging="720"/>
      </w:pPr>
      <w:r w:rsidRPr="00013844">
        <w:lastRenderedPageBreak/>
        <w:t>[116.]</w:t>
      </w:r>
      <w:r w:rsidRPr="00013844">
        <w:tab/>
        <w:t>B.G. Childs, M. Gluscevic, D.J. Baker, R.M. Laberge, D. Marquess, J. Dananberg, J.M. van Deursen, Senescent cells: an emerging target for diseases of ageing</w:t>
      </w:r>
      <w:r w:rsidRPr="00013844">
        <w:rPr>
          <w:i/>
        </w:rPr>
        <w:t>,</w:t>
      </w:r>
      <w:r w:rsidRPr="00013844">
        <w:t xml:space="preserve"> Nat Rev Drug Discov,  </w:t>
      </w:r>
      <w:r w:rsidRPr="00013844">
        <w:rPr>
          <w:b/>
        </w:rPr>
        <w:t>16</w:t>
      </w:r>
      <w:r w:rsidRPr="00013844">
        <w:t xml:space="preserve">:10 (2017)  718-735. </w:t>
      </w:r>
      <w:hyperlink r:id="rId115" w:history="1">
        <w:r w:rsidRPr="00013844">
          <w:rPr>
            <w:rStyle w:val="Hyperlink"/>
          </w:rPr>
          <w:t>https://doi.org/10.1038/nrd.2017.116</w:t>
        </w:r>
      </w:hyperlink>
    </w:p>
    <w:p w14:paraId="2EDB310C" w14:textId="77777777" w:rsidR="004663AB" w:rsidRPr="00013844" w:rsidRDefault="004663AB" w:rsidP="004663AB">
      <w:pPr>
        <w:pStyle w:val="EndNoteBibliography"/>
        <w:ind w:left="720" w:hanging="720"/>
      </w:pPr>
      <w:r w:rsidRPr="00013844">
        <w:t>[117.]</w:t>
      </w:r>
      <w:r w:rsidRPr="00013844">
        <w:tab/>
        <w:t>A. Armuzzi and C. Felice, Natalizumab in Crohn's disease: past and future areas of applicability</w:t>
      </w:r>
      <w:r w:rsidRPr="00013844">
        <w:rPr>
          <w:i/>
        </w:rPr>
        <w:t>,</w:t>
      </w:r>
      <w:r w:rsidRPr="00013844">
        <w:t xml:space="preserve"> Ann Gastroenterol,  </w:t>
      </w:r>
      <w:r w:rsidRPr="00013844">
        <w:rPr>
          <w:b/>
        </w:rPr>
        <w:t>26</w:t>
      </w:r>
      <w:r w:rsidRPr="00013844">
        <w:t>:3 (2013)  189-190.</w:t>
      </w:r>
    </w:p>
    <w:p w14:paraId="29F57440" w14:textId="77777777" w:rsidR="004663AB" w:rsidRPr="00013844" w:rsidRDefault="004663AB" w:rsidP="004663AB">
      <w:pPr>
        <w:pStyle w:val="EndNoteBibliography"/>
        <w:ind w:left="720" w:hanging="720"/>
      </w:pPr>
      <w:r w:rsidRPr="00013844">
        <w:t>[118.]</w:t>
      </w:r>
      <w:r w:rsidRPr="00013844">
        <w:tab/>
        <w:t>F.H. Gordon, C.W. Lai, M.I. Hamilton, M.C. Allison, E.D. Srivastava, M.G. Fouweather, S. Donoghue, C. Greenlees, J. Subhani, P.L. Amlot, R.E. Pounder, A randomized placebo-controlled trial of a humanized monoclonal antibody to alpha4 integrin in active Crohn's disease</w:t>
      </w:r>
      <w:r w:rsidRPr="00013844">
        <w:rPr>
          <w:i/>
        </w:rPr>
        <w:t>,</w:t>
      </w:r>
      <w:r w:rsidRPr="00013844">
        <w:t xml:space="preserve"> Gastroenterology,  </w:t>
      </w:r>
      <w:r w:rsidRPr="00013844">
        <w:rPr>
          <w:b/>
        </w:rPr>
        <w:t>121</w:t>
      </w:r>
      <w:r w:rsidRPr="00013844">
        <w:t xml:space="preserve">:2 (2001)  268-74. </w:t>
      </w:r>
      <w:hyperlink r:id="rId116" w:history="1">
        <w:r w:rsidRPr="00013844">
          <w:rPr>
            <w:rStyle w:val="Hyperlink"/>
          </w:rPr>
          <w:t>https://doi.org/10.1053/gast.2001.26260</w:t>
        </w:r>
      </w:hyperlink>
      <w:r w:rsidRPr="00013844">
        <w:rPr>
          <w:color w:val="FF0000"/>
        </w:rPr>
        <w:t xml:space="preserve"> </w:t>
      </w:r>
    </w:p>
    <w:p w14:paraId="48797B63" w14:textId="77777777" w:rsidR="004663AB" w:rsidRPr="00013844" w:rsidRDefault="004663AB" w:rsidP="004663AB">
      <w:pPr>
        <w:pStyle w:val="EndNoteBibliography"/>
        <w:ind w:left="720" w:hanging="720"/>
      </w:pPr>
      <w:r w:rsidRPr="00013844">
        <w:t>[119.]</w:t>
      </w:r>
      <w:r w:rsidRPr="00013844">
        <w:tab/>
        <w:t>C. Warnke, A.K. Mausberg, M. Stettner, T. Dehmel, L. Nekrich, G. Meyer zu Horste, H.P. Hartung, A. Fogdell-Hahn, O. Adams, B.C. Kieseier, Natalizumab affects the T-cell receptor repertoire in patients with multiple sclerosis</w:t>
      </w:r>
      <w:r w:rsidRPr="00013844">
        <w:rPr>
          <w:i/>
        </w:rPr>
        <w:t>,</w:t>
      </w:r>
      <w:r w:rsidRPr="00013844">
        <w:t xml:space="preserve"> Neurology,  </w:t>
      </w:r>
      <w:r w:rsidRPr="00013844">
        <w:rPr>
          <w:b/>
        </w:rPr>
        <w:t>81</w:t>
      </w:r>
      <w:r w:rsidRPr="00013844">
        <w:t xml:space="preserve">:16 (2013)  1400-8. </w:t>
      </w:r>
      <w:hyperlink r:id="rId117" w:history="1">
        <w:r w:rsidRPr="00013844">
          <w:rPr>
            <w:rStyle w:val="Hyperlink"/>
          </w:rPr>
          <w:t>https://doi.org/10.1212/WNL.0b013e3182a84101</w:t>
        </w:r>
      </w:hyperlink>
    </w:p>
    <w:p w14:paraId="777F7162" w14:textId="77777777" w:rsidR="004663AB" w:rsidRPr="00013844" w:rsidRDefault="004663AB" w:rsidP="004663AB">
      <w:pPr>
        <w:pStyle w:val="EndNoteBibliography"/>
        <w:ind w:left="720" w:hanging="720"/>
      </w:pPr>
      <w:r w:rsidRPr="00013844">
        <w:t>[120.]</w:t>
      </w:r>
      <w:r w:rsidRPr="00013844">
        <w:tab/>
        <w:t>L. Prosperini, C. Scarpazza, L. Imberti, C. Cordioli, N. De Rossi, R. Capra, Age as a risk factor for early onset of natalizumab-related progressive multifocal leukoencephalopathy</w:t>
      </w:r>
      <w:r w:rsidRPr="00013844">
        <w:rPr>
          <w:i/>
        </w:rPr>
        <w:t>,</w:t>
      </w:r>
      <w:r w:rsidRPr="00013844">
        <w:t xml:space="preserve"> J Neurovirol,  </w:t>
      </w:r>
      <w:r w:rsidRPr="00013844">
        <w:rPr>
          <w:b/>
        </w:rPr>
        <w:t>23</w:t>
      </w:r>
      <w:r w:rsidRPr="00013844">
        <w:t xml:space="preserve">:5 (2017)  742-749. </w:t>
      </w:r>
      <w:hyperlink r:id="rId118" w:history="1">
        <w:r w:rsidRPr="00013844">
          <w:rPr>
            <w:rStyle w:val="Hyperlink"/>
          </w:rPr>
          <w:t>https://doi.org/10.1007/s13365-017-0561-9</w:t>
        </w:r>
      </w:hyperlink>
      <w:r w:rsidRPr="00013844">
        <w:rPr>
          <w:color w:val="FF0000"/>
        </w:rPr>
        <w:t xml:space="preserve"> </w:t>
      </w:r>
    </w:p>
    <w:p w14:paraId="6F2DB66F" w14:textId="77777777" w:rsidR="004663AB" w:rsidRPr="00013844" w:rsidRDefault="004663AB" w:rsidP="004663AB">
      <w:pPr>
        <w:pStyle w:val="EndNoteBibliography"/>
        <w:ind w:left="720" w:hanging="720"/>
      </w:pPr>
      <w:r w:rsidRPr="00013844">
        <w:t>[121.]</w:t>
      </w:r>
      <w:r w:rsidRPr="00013844">
        <w:tab/>
        <w:t>R.A. Diotti, A. Nakanishi, N. Clementi, N. Mancini, E. Criscuolo, L. Solforosi, M. Clementi, JC polyomavirus (JCV) and monoclonal antibodies: friends or potential foes?</w:t>
      </w:r>
      <w:r w:rsidRPr="00013844">
        <w:rPr>
          <w:i/>
        </w:rPr>
        <w:t>,</w:t>
      </w:r>
      <w:r w:rsidRPr="00013844">
        <w:t xml:space="preserve"> Clin Dev Immunol,  </w:t>
      </w:r>
      <w:r w:rsidRPr="00013844">
        <w:rPr>
          <w:b/>
        </w:rPr>
        <w:t>2013</w:t>
      </w:r>
      <w:r w:rsidRPr="00013844">
        <w:t xml:space="preserve">:(2013)  967581. </w:t>
      </w:r>
      <w:hyperlink r:id="rId119" w:history="1">
        <w:r w:rsidRPr="00013844">
          <w:rPr>
            <w:rStyle w:val="Hyperlink"/>
          </w:rPr>
          <w:t>https://doi.org/10.1155/2013/967581</w:t>
        </w:r>
      </w:hyperlink>
    </w:p>
    <w:p w14:paraId="47BCA7A6" w14:textId="77777777" w:rsidR="004663AB" w:rsidRPr="00013844" w:rsidRDefault="004663AB" w:rsidP="004663AB">
      <w:pPr>
        <w:pStyle w:val="EndNoteBibliography"/>
        <w:ind w:left="720" w:hanging="720"/>
      </w:pPr>
      <w:r w:rsidRPr="00013844">
        <w:t>[122.]</w:t>
      </w:r>
      <w:r w:rsidRPr="00013844">
        <w:tab/>
        <w:t>M.L. Scribano, Vedolizumab for inflammatory bowel disease: From randomized controlled trials to real-life evidence</w:t>
      </w:r>
      <w:r w:rsidRPr="00013844">
        <w:rPr>
          <w:i/>
        </w:rPr>
        <w:t>,</w:t>
      </w:r>
      <w:r w:rsidRPr="00013844">
        <w:t xml:space="preserve"> World J Gastroenterol,  </w:t>
      </w:r>
      <w:r w:rsidRPr="00013844">
        <w:rPr>
          <w:b/>
        </w:rPr>
        <w:t>24</w:t>
      </w:r>
      <w:r w:rsidRPr="00013844">
        <w:t xml:space="preserve">:23 (2018)  2457-2467. </w:t>
      </w:r>
      <w:hyperlink r:id="rId120" w:history="1">
        <w:r w:rsidRPr="00013844">
          <w:rPr>
            <w:rStyle w:val="Hyperlink"/>
          </w:rPr>
          <w:t>https://doi.org/10.3748/wjg.v24.i23.2457</w:t>
        </w:r>
      </w:hyperlink>
      <w:r w:rsidRPr="00013844">
        <w:rPr>
          <w:color w:val="FF0000"/>
        </w:rPr>
        <w:t xml:space="preserve"> </w:t>
      </w:r>
    </w:p>
    <w:p w14:paraId="2B7877BA" w14:textId="77777777" w:rsidR="004663AB" w:rsidRPr="00013844" w:rsidRDefault="004663AB" w:rsidP="004663AB">
      <w:pPr>
        <w:pStyle w:val="EndNoteBibliography"/>
        <w:ind w:left="720" w:hanging="720"/>
      </w:pPr>
      <w:r w:rsidRPr="00013844">
        <w:t>[123.]</w:t>
      </w:r>
      <w:r w:rsidRPr="00013844">
        <w:tab/>
        <w:t>P.E. Hesterberg, D. Winsor-Hines, M.J. Briskin, D. Soler-Ferran, C. Merrill, C.R. Mackay, W. Newman, D.J. Ringler, Rapid resolution of chronic colitis in the cotton-top tamarin with an antibody to a gut-homing integrin alpha 4 beta 7</w:t>
      </w:r>
      <w:r w:rsidRPr="00013844">
        <w:rPr>
          <w:i/>
        </w:rPr>
        <w:t>,</w:t>
      </w:r>
      <w:r w:rsidRPr="00013844">
        <w:t xml:space="preserve"> Gastroenterology,  </w:t>
      </w:r>
      <w:r w:rsidRPr="00013844">
        <w:rPr>
          <w:b/>
        </w:rPr>
        <w:t>111</w:t>
      </w:r>
      <w:r w:rsidRPr="00013844">
        <w:t xml:space="preserve">:5 (1996)  1373-80. </w:t>
      </w:r>
      <w:hyperlink r:id="rId121" w:history="1">
        <w:r w:rsidRPr="00013844">
          <w:rPr>
            <w:rStyle w:val="Hyperlink"/>
          </w:rPr>
          <w:t>https://doi.org/10.1053/gast.1996.v111.pm8898653</w:t>
        </w:r>
      </w:hyperlink>
    </w:p>
    <w:p w14:paraId="4795EE0A" w14:textId="77777777" w:rsidR="004663AB" w:rsidRPr="00013844" w:rsidRDefault="004663AB" w:rsidP="004663AB">
      <w:pPr>
        <w:pStyle w:val="EndNoteBibliography"/>
        <w:ind w:left="720" w:hanging="720"/>
      </w:pPr>
      <w:r w:rsidRPr="00013844">
        <w:t>[124.]</w:t>
      </w:r>
      <w:r w:rsidRPr="00013844">
        <w:tab/>
        <w:t xml:space="preserve">P. Shashi, D. Gopalakrishnan, M.P. Parikh, B. Shen, G. Kochhar, Efficacy and safety of vedolizumab in </w:t>
      </w:r>
      <w:r w:rsidRPr="00013844">
        <w:lastRenderedPageBreak/>
        <w:t>elderly patients with inflammatory bowel disease: a matched case-control study</w:t>
      </w:r>
      <w:r w:rsidRPr="00013844">
        <w:rPr>
          <w:i/>
        </w:rPr>
        <w:t>,</w:t>
      </w:r>
      <w:r w:rsidRPr="00013844">
        <w:t xml:space="preserve"> Gastroenterol Rep (Oxf),  </w:t>
      </w:r>
      <w:r w:rsidRPr="00013844">
        <w:rPr>
          <w:b/>
        </w:rPr>
        <w:t>8</w:t>
      </w:r>
      <w:r w:rsidRPr="00013844">
        <w:t xml:space="preserve">:4 (2020)  306-311. </w:t>
      </w:r>
      <w:hyperlink r:id="rId122" w:history="1">
        <w:r w:rsidRPr="00013844">
          <w:rPr>
            <w:rStyle w:val="Hyperlink"/>
          </w:rPr>
          <w:t>https://doi.org/10.1093/gastro/goz041</w:t>
        </w:r>
      </w:hyperlink>
      <w:r w:rsidRPr="00013844">
        <w:rPr>
          <w:color w:val="FF0000"/>
        </w:rPr>
        <w:t xml:space="preserve"> </w:t>
      </w:r>
    </w:p>
    <w:p w14:paraId="5DD9DCCF" w14:textId="77777777" w:rsidR="004663AB" w:rsidRPr="00013844" w:rsidRDefault="004663AB" w:rsidP="004663AB">
      <w:pPr>
        <w:pStyle w:val="EndNoteBibliography"/>
        <w:ind w:left="720" w:hanging="720"/>
      </w:pPr>
      <w:r w:rsidRPr="00013844">
        <w:t>[125.]</w:t>
      </w:r>
      <w:r w:rsidRPr="00013844">
        <w:tab/>
        <w:t>T.C. Ho, S.I. Yeh, S.L. Chen, Y.P. Tsao, The Psoriasis Therapeutic Potential of a Novel Short Laminin Peptide C16</w:t>
      </w:r>
      <w:r w:rsidRPr="00013844">
        <w:rPr>
          <w:i/>
        </w:rPr>
        <w:t>,</w:t>
      </w:r>
      <w:r w:rsidRPr="00013844">
        <w:t xml:space="preserve"> Int J Mol Sci,  </w:t>
      </w:r>
      <w:r w:rsidRPr="00013844">
        <w:rPr>
          <w:b/>
        </w:rPr>
        <w:t>20</w:t>
      </w:r>
      <w:r w:rsidRPr="00013844">
        <w:t xml:space="preserve">:13 (2019). </w:t>
      </w:r>
      <w:hyperlink r:id="rId123" w:history="1">
        <w:r w:rsidRPr="00013844">
          <w:rPr>
            <w:rStyle w:val="Hyperlink"/>
          </w:rPr>
          <w:t>https://doi.org/10.3390/ijms20133144</w:t>
        </w:r>
      </w:hyperlink>
    </w:p>
    <w:p w14:paraId="09F8CF9D" w14:textId="77777777" w:rsidR="004663AB" w:rsidRPr="00013844" w:rsidRDefault="004663AB" w:rsidP="004663AB">
      <w:pPr>
        <w:pStyle w:val="EndNoteBibliography"/>
        <w:ind w:left="720" w:hanging="720"/>
      </w:pPr>
      <w:r w:rsidRPr="00013844">
        <w:t>[126.]</w:t>
      </w:r>
      <w:r w:rsidRPr="00013844">
        <w:tab/>
        <w:t>H. Ohmatsu, T. Kadono, M. Sugaya, M. Tomita, H. Kai, T. Miyagaki, H. Saeki, K. Tamaki, D.A. Steeber, T.F. Tedder, S. Sato, α4β7 Integrin is essential for contact hypersensitivity by regulating migration of T cells to skin</w:t>
      </w:r>
      <w:r w:rsidRPr="00013844">
        <w:rPr>
          <w:i/>
        </w:rPr>
        <w:t>,</w:t>
      </w:r>
      <w:r w:rsidRPr="00013844">
        <w:t xml:space="preserve"> J Allergy Clin Immunol,  </w:t>
      </w:r>
      <w:r w:rsidRPr="00013844">
        <w:rPr>
          <w:b/>
        </w:rPr>
        <w:t>126</w:t>
      </w:r>
      <w:r w:rsidRPr="00013844">
        <w:t xml:space="preserve">:6 (2010)  1267-76. </w:t>
      </w:r>
      <w:hyperlink r:id="rId124" w:history="1">
        <w:r w:rsidRPr="00013844">
          <w:rPr>
            <w:rStyle w:val="Hyperlink"/>
          </w:rPr>
          <w:t>https://doi.org/10.1016/j.jaci.2010.08.048</w:t>
        </w:r>
      </w:hyperlink>
      <w:r w:rsidRPr="00013844">
        <w:rPr>
          <w:color w:val="FF0000"/>
        </w:rPr>
        <w:t xml:space="preserve"> </w:t>
      </w:r>
    </w:p>
    <w:p w14:paraId="2941686B" w14:textId="77777777" w:rsidR="004663AB" w:rsidRPr="00013844" w:rsidRDefault="004663AB" w:rsidP="004663AB">
      <w:pPr>
        <w:pStyle w:val="EndNoteBibliography"/>
        <w:ind w:left="720" w:hanging="720"/>
      </w:pPr>
      <w:r w:rsidRPr="00013844">
        <w:t>[127.]</w:t>
      </w:r>
      <w:r w:rsidRPr="00013844">
        <w:tab/>
        <w:t>A.E. Proudfoot, C.A. Power, M.K. Schwarz, Anti-chemokine small molecule drugs: a promising future?</w:t>
      </w:r>
      <w:r w:rsidRPr="00013844">
        <w:rPr>
          <w:i/>
        </w:rPr>
        <w:t>,</w:t>
      </w:r>
      <w:r w:rsidRPr="00013844">
        <w:t xml:space="preserve"> Expert Opin Investig Drugs,  </w:t>
      </w:r>
      <w:r w:rsidRPr="00013844">
        <w:rPr>
          <w:b/>
        </w:rPr>
        <w:t>19</w:t>
      </w:r>
      <w:r w:rsidRPr="00013844">
        <w:t xml:space="preserve">:3 (2010)  345-55. </w:t>
      </w:r>
      <w:hyperlink r:id="rId125" w:history="1">
        <w:r w:rsidRPr="00013844">
          <w:rPr>
            <w:rStyle w:val="Hyperlink"/>
          </w:rPr>
          <w:t>https://doi.org/10.1517/13543780903535867</w:t>
        </w:r>
      </w:hyperlink>
    </w:p>
    <w:p w14:paraId="4D4F950E" w14:textId="77777777" w:rsidR="004663AB" w:rsidRPr="00013844" w:rsidRDefault="004663AB" w:rsidP="004663AB">
      <w:pPr>
        <w:pStyle w:val="EndNoteBibliography"/>
        <w:ind w:left="720" w:hanging="720"/>
      </w:pPr>
      <w:r w:rsidRPr="00013844">
        <w:t>[128.]</w:t>
      </w:r>
      <w:r w:rsidRPr="00013844">
        <w:tab/>
        <w:t>M.L. Castellani, K. Bhattacharya, M. Tagen, D. Kempuraj, A. Perrella, M. De Lutiis, W. Boucher, P. Conti, T.C. Theoharides, G. Cerulli, V. Salini, G. Neri, Anti-chemokine therapy for inflammatory diseases</w:t>
      </w:r>
      <w:r w:rsidRPr="00013844">
        <w:rPr>
          <w:i/>
        </w:rPr>
        <w:t>,</w:t>
      </w:r>
      <w:r w:rsidRPr="00013844">
        <w:t xml:space="preserve"> Int J Immunopathol Pharmacol,  </w:t>
      </w:r>
      <w:r w:rsidRPr="00013844">
        <w:rPr>
          <w:b/>
        </w:rPr>
        <w:t>20</w:t>
      </w:r>
      <w:r w:rsidRPr="00013844">
        <w:t xml:space="preserve">:3 (2007)  447-53. </w:t>
      </w:r>
      <w:hyperlink r:id="rId126" w:history="1">
        <w:r w:rsidRPr="00013844">
          <w:rPr>
            <w:rStyle w:val="Hyperlink"/>
          </w:rPr>
          <w:t>https://doi.org/10.1177/039463200702000303</w:t>
        </w:r>
      </w:hyperlink>
      <w:r w:rsidRPr="00013844">
        <w:rPr>
          <w:color w:val="FF0000"/>
        </w:rPr>
        <w:t xml:space="preserve"> </w:t>
      </w:r>
    </w:p>
    <w:p w14:paraId="01161F2B" w14:textId="77777777" w:rsidR="004663AB" w:rsidRPr="00013844" w:rsidRDefault="004663AB" w:rsidP="004663AB">
      <w:pPr>
        <w:pStyle w:val="EndNoteBibliography"/>
        <w:ind w:left="720" w:hanging="720"/>
      </w:pPr>
      <w:r w:rsidRPr="00013844">
        <w:t>[129.]</w:t>
      </w:r>
      <w:r w:rsidRPr="00013844">
        <w:tab/>
        <w:t>M.J. Walters, Y. Wang, N. Lai, T. Baumgart, B.N. Zhao, D.J. Dairaghi, P. Bekker, L.S. Ertl, M.E. Penfold, J.C. Jaen, S. Keshav, E. Wendt, A. Pennell, S. Ungashe, Z. Wei, J.J. Wright, T.J. Schall, Characterization of CCX282-B, an orally bioavailable antagonist of the CCR9 chemokine receptor, for treatment of inflammatory bowel disease</w:t>
      </w:r>
      <w:r w:rsidRPr="00013844">
        <w:rPr>
          <w:i/>
        </w:rPr>
        <w:t>,</w:t>
      </w:r>
      <w:r w:rsidRPr="00013844">
        <w:t xml:space="preserve"> J Pharmacol Exp Ther,  </w:t>
      </w:r>
      <w:r w:rsidRPr="00013844">
        <w:rPr>
          <w:b/>
        </w:rPr>
        <w:t>335</w:t>
      </w:r>
      <w:r w:rsidRPr="00013844">
        <w:t xml:space="preserve">:1 (2010)  61-9. </w:t>
      </w:r>
      <w:hyperlink r:id="rId127" w:history="1">
        <w:r w:rsidRPr="00013844">
          <w:rPr>
            <w:rStyle w:val="Hyperlink"/>
          </w:rPr>
          <w:t>https://doi.org/10.1124/jpet.110.169714</w:t>
        </w:r>
      </w:hyperlink>
    </w:p>
    <w:p w14:paraId="48B6695F" w14:textId="77777777" w:rsidR="004663AB" w:rsidRPr="00013844" w:rsidRDefault="004663AB" w:rsidP="004663AB">
      <w:pPr>
        <w:pStyle w:val="EndNoteBibliography"/>
        <w:ind w:left="720" w:hanging="720"/>
      </w:pPr>
      <w:r w:rsidRPr="00013844">
        <w:t>[130.]</w:t>
      </w:r>
      <w:r w:rsidRPr="00013844">
        <w:tab/>
        <w:t>E. Wendt and S. Keshav, CCR9 antagonism: potential in the treatment of Inflammatory Bowel Disease</w:t>
      </w:r>
      <w:r w:rsidRPr="00013844">
        <w:rPr>
          <w:i/>
        </w:rPr>
        <w:t>,</w:t>
      </w:r>
      <w:r w:rsidRPr="00013844">
        <w:t xml:space="preserve"> Clin Exp Gastroenterol,  </w:t>
      </w:r>
      <w:r w:rsidRPr="00013844">
        <w:rPr>
          <w:b/>
        </w:rPr>
        <w:t>8</w:t>
      </w:r>
      <w:r w:rsidRPr="00013844">
        <w:t xml:space="preserve">:(2015)  119-30. </w:t>
      </w:r>
      <w:hyperlink r:id="rId128" w:history="1">
        <w:r w:rsidRPr="00013844">
          <w:rPr>
            <w:rStyle w:val="Hyperlink"/>
          </w:rPr>
          <w:t>https://doi.org/10.2147/CEG.S48305</w:t>
        </w:r>
      </w:hyperlink>
    </w:p>
    <w:p w14:paraId="18F5368F" w14:textId="77777777" w:rsidR="004663AB" w:rsidRPr="00013844" w:rsidRDefault="004663AB" w:rsidP="004663AB">
      <w:pPr>
        <w:pStyle w:val="EndNoteBibliography"/>
        <w:ind w:left="720" w:hanging="720"/>
      </w:pPr>
      <w:r w:rsidRPr="00013844">
        <w:t>[131.]</w:t>
      </w:r>
      <w:r w:rsidRPr="00013844">
        <w:tab/>
        <w:t>M.M.Y. Lee, N. Sattar, J.J.V. McMurray, C.J. Packard, Statins in the Prevention and Treatment of Heart Failure: a Review of the Evidence</w:t>
      </w:r>
      <w:r w:rsidRPr="00013844">
        <w:rPr>
          <w:i/>
        </w:rPr>
        <w:t>,</w:t>
      </w:r>
      <w:r w:rsidRPr="00013844">
        <w:t xml:space="preserve"> Curr Atheroscler Rep,  </w:t>
      </w:r>
      <w:r w:rsidRPr="00013844">
        <w:rPr>
          <w:b/>
        </w:rPr>
        <w:t>21</w:t>
      </w:r>
      <w:r w:rsidRPr="00013844">
        <w:t xml:space="preserve">:10 (2019)  41. </w:t>
      </w:r>
      <w:hyperlink r:id="rId129" w:history="1">
        <w:r w:rsidRPr="00013844">
          <w:rPr>
            <w:rStyle w:val="Hyperlink"/>
          </w:rPr>
          <w:t>https://doi.org/10.1007/s11883-019-0800-z</w:t>
        </w:r>
      </w:hyperlink>
    </w:p>
    <w:p w14:paraId="123AD11C" w14:textId="77777777" w:rsidR="004663AB" w:rsidRPr="00013844" w:rsidRDefault="004663AB" w:rsidP="004663AB">
      <w:pPr>
        <w:pStyle w:val="EndNoteBibliography"/>
        <w:ind w:left="720" w:hanging="720"/>
      </w:pPr>
      <w:r w:rsidRPr="00013844">
        <w:t>[132.]</w:t>
      </w:r>
      <w:r w:rsidRPr="00013844">
        <w:tab/>
        <w:t>J. Greenwood and J.C. Mason, Statins and the vascular endothelial inflammatory response</w:t>
      </w:r>
      <w:r w:rsidRPr="00013844">
        <w:rPr>
          <w:i/>
        </w:rPr>
        <w:t>,</w:t>
      </w:r>
      <w:r w:rsidRPr="00013844">
        <w:t xml:space="preserve"> Trends Immunol,  </w:t>
      </w:r>
      <w:r w:rsidRPr="00013844">
        <w:rPr>
          <w:b/>
        </w:rPr>
        <w:t>28</w:t>
      </w:r>
      <w:r w:rsidRPr="00013844">
        <w:t xml:space="preserve">:2 (2007)  88-98. </w:t>
      </w:r>
      <w:hyperlink r:id="rId130" w:history="1">
        <w:r w:rsidRPr="00013844">
          <w:rPr>
            <w:rStyle w:val="Hyperlink"/>
          </w:rPr>
          <w:t>https://doi.org/10.1016/j.it.2006.12.003</w:t>
        </w:r>
      </w:hyperlink>
      <w:r w:rsidRPr="00013844">
        <w:rPr>
          <w:color w:val="FF0000"/>
        </w:rPr>
        <w:t xml:space="preserve"> </w:t>
      </w:r>
    </w:p>
    <w:p w14:paraId="7574EBBF" w14:textId="77777777" w:rsidR="004663AB" w:rsidRPr="00013844" w:rsidRDefault="004663AB" w:rsidP="004663AB">
      <w:pPr>
        <w:pStyle w:val="EndNoteBibliography"/>
        <w:ind w:left="720" w:hanging="720"/>
      </w:pPr>
      <w:r w:rsidRPr="00013844">
        <w:lastRenderedPageBreak/>
        <w:t>[133.]</w:t>
      </w:r>
      <w:r w:rsidRPr="00013844">
        <w:tab/>
        <w:t>G.M. Walton, J.A. Stockley, D. Griffiths, C.S. Sadhra, T. Purvis, E. Sapey, Repurposing Treatments to Enhance Innate Immunity. Can Statins Improve Neutrophil Functions and Clinical Outcomes in COPD?</w:t>
      </w:r>
      <w:r w:rsidRPr="00013844">
        <w:rPr>
          <w:i/>
        </w:rPr>
        <w:t>,</w:t>
      </w:r>
      <w:r w:rsidRPr="00013844">
        <w:t xml:space="preserve"> J Clin Med,  </w:t>
      </w:r>
      <w:r w:rsidRPr="00013844">
        <w:rPr>
          <w:b/>
        </w:rPr>
        <w:t>5</w:t>
      </w:r>
      <w:r w:rsidRPr="00013844">
        <w:t xml:space="preserve">:10 (2016). </w:t>
      </w:r>
      <w:hyperlink r:id="rId131" w:history="1">
        <w:r w:rsidRPr="00013844">
          <w:rPr>
            <w:rStyle w:val="Hyperlink"/>
          </w:rPr>
          <w:t>https://doi.org/10.3390/jcm5100089</w:t>
        </w:r>
      </w:hyperlink>
    </w:p>
    <w:p w14:paraId="2184F0A8" w14:textId="77777777" w:rsidR="004663AB" w:rsidRPr="00013844" w:rsidRDefault="004663AB" w:rsidP="004663AB">
      <w:pPr>
        <w:pStyle w:val="EndNoteBibliography"/>
        <w:ind w:left="720" w:hanging="720"/>
      </w:pPr>
      <w:r w:rsidRPr="00013844">
        <w:t>[134.]</w:t>
      </w:r>
      <w:r w:rsidRPr="00013844">
        <w:tab/>
        <w:t>I. Zineh, X. Luo, G.J. Welder, A.E. Debella, T.R. Wessel, C.B. Arant, R.S. Schofield, N. Chegini, Modulatory effects of atorvastatin on endothelial cell-derived chemokines, cytokines, and angiogenic factors</w:t>
      </w:r>
      <w:r w:rsidRPr="00013844">
        <w:rPr>
          <w:i/>
        </w:rPr>
        <w:t>,</w:t>
      </w:r>
      <w:r w:rsidRPr="00013844">
        <w:t xml:space="preserve"> Pharmacotherapy,  </w:t>
      </w:r>
      <w:r w:rsidRPr="00013844">
        <w:rPr>
          <w:b/>
        </w:rPr>
        <w:t>26</w:t>
      </w:r>
      <w:r w:rsidRPr="00013844">
        <w:t xml:space="preserve">:3 (2006)  333-40. </w:t>
      </w:r>
      <w:hyperlink r:id="rId132" w:history="1">
        <w:r w:rsidRPr="00013844">
          <w:rPr>
            <w:rStyle w:val="Hyperlink"/>
          </w:rPr>
          <w:t>https://doi.org/10.1592/phco.26.3.333</w:t>
        </w:r>
      </w:hyperlink>
      <w:r w:rsidRPr="00013844">
        <w:rPr>
          <w:color w:val="FF0000"/>
        </w:rPr>
        <w:t xml:space="preserve"> </w:t>
      </w:r>
    </w:p>
    <w:p w14:paraId="041110A9" w14:textId="77777777" w:rsidR="004663AB" w:rsidRPr="00013844" w:rsidRDefault="004663AB" w:rsidP="004663AB">
      <w:pPr>
        <w:pStyle w:val="EndNoteBibliography"/>
        <w:ind w:left="720" w:hanging="720"/>
      </w:pPr>
      <w:r w:rsidRPr="00013844">
        <w:t>[135.]</w:t>
      </w:r>
      <w:r w:rsidRPr="00013844">
        <w:tab/>
        <w:t>L.M. Rasmussen, P.R. Hansen, M.T. Nabipour, P. Olesen, M.T. Kristiansen, T. Ledet, Diverse effects of inhibition of 3-hydroxy-3-methylglutaryl-CoA reductase on the expression of VCAM-1 and E-selectin in endothelial cells</w:t>
      </w:r>
      <w:r w:rsidRPr="00013844">
        <w:rPr>
          <w:i/>
        </w:rPr>
        <w:t>,</w:t>
      </w:r>
      <w:r w:rsidRPr="00013844">
        <w:t xml:space="preserve"> Biochem J,  </w:t>
      </w:r>
      <w:r w:rsidRPr="00013844">
        <w:rPr>
          <w:b/>
        </w:rPr>
        <w:t>360</w:t>
      </w:r>
      <w:r w:rsidRPr="00013844">
        <w:t xml:space="preserve">:Pt 2 (2001)  363-70. </w:t>
      </w:r>
      <w:hyperlink r:id="rId133" w:history="1">
        <w:r w:rsidRPr="00013844">
          <w:rPr>
            <w:rStyle w:val="Hyperlink"/>
          </w:rPr>
          <w:t>https://doi.org/10.1042/0264-6021:3600363</w:t>
        </w:r>
      </w:hyperlink>
    </w:p>
    <w:p w14:paraId="1DB8DCA4" w14:textId="77777777" w:rsidR="004663AB" w:rsidRPr="00013844" w:rsidRDefault="004663AB" w:rsidP="004663AB">
      <w:pPr>
        <w:pStyle w:val="EndNoteBibliography"/>
        <w:ind w:left="720" w:hanging="720"/>
      </w:pPr>
      <w:r w:rsidRPr="00013844">
        <w:t>[136.]</w:t>
      </w:r>
      <w:r w:rsidRPr="00013844">
        <w:tab/>
        <w:t>A. Schmidt, C. Goepfert, K. Feitsma, E. Buddecke, Lovastatin-stimulated superinduction of E-selectin, ICAM-1 and VCAM-1 in TNF-alpha activated human vascular endothelial cells</w:t>
      </w:r>
      <w:r w:rsidRPr="00013844">
        <w:rPr>
          <w:i/>
        </w:rPr>
        <w:t>,</w:t>
      </w:r>
      <w:r w:rsidRPr="00013844">
        <w:t xml:space="preserve"> Atherosclerosis,  </w:t>
      </w:r>
      <w:r w:rsidRPr="00013844">
        <w:rPr>
          <w:b/>
        </w:rPr>
        <w:t>164</w:t>
      </w:r>
      <w:r w:rsidRPr="00013844">
        <w:t xml:space="preserve">:1 (2002)  57-64. </w:t>
      </w:r>
      <w:hyperlink r:id="rId134" w:history="1">
        <w:r w:rsidRPr="00013844">
          <w:rPr>
            <w:rStyle w:val="Hyperlink"/>
          </w:rPr>
          <w:t>https://doi.org/10.1016/s0021-9150(02)00053-9</w:t>
        </w:r>
      </w:hyperlink>
      <w:r w:rsidRPr="00013844">
        <w:rPr>
          <w:color w:val="FF0000"/>
        </w:rPr>
        <w:t xml:space="preserve"> </w:t>
      </w:r>
    </w:p>
    <w:p w14:paraId="57F550B9" w14:textId="77777777" w:rsidR="004663AB" w:rsidRPr="00013844" w:rsidRDefault="004663AB" w:rsidP="004663AB">
      <w:pPr>
        <w:pStyle w:val="EndNoteBibliography"/>
        <w:ind w:left="720" w:hanging="720"/>
      </w:pPr>
      <w:r w:rsidRPr="00013844">
        <w:t>[137.]</w:t>
      </w:r>
      <w:r w:rsidRPr="00013844">
        <w:tab/>
        <w:t>E. Sapey, J.M. Patel, H.L. Greenwood, G.M. Walton, J. Hazeldine, C. Sadhra, D. Parekh, R.C.A. Dancer, P. Nightingale, J.M. Lord, D.R. Thickett, Pulmonary Infections in the Elderly Lead to Impaired Neutrophil Targeting, Which Is Improved by Simvastatin</w:t>
      </w:r>
      <w:r w:rsidRPr="00013844">
        <w:rPr>
          <w:i/>
        </w:rPr>
        <w:t>,</w:t>
      </w:r>
      <w:r w:rsidRPr="00013844">
        <w:t xml:space="preserve"> Am J Respir Crit Care Med,  </w:t>
      </w:r>
      <w:r w:rsidRPr="00013844">
        <w:rPr>
          <w:b/>
        </w:rPr>
        <w:t>196</w:t>
      </w:r>
      <w:r w:rsidRPr="00013844">
        <w:t xml:space="preserve">:10 (2017)  1325-1336. </w:t>
      </w:r>
      <w:hyperlink r:id="rId135" w:history="1">
        <w:r w:rsidRPr="00013844">
          <w:rPr>
            <w:rStyle w:val="Hyperlink"/>
          </w:rPr>
          <w:t>https://doi.org/10.1164/rccm.201704-0814OC</w:t>
        </w:r>
      </w:hyperlink>
    </w:p>
    <w:p w14:paraId="7926BE8B" w14:textId="77777777" w:rsidR="004663AB" w:rsidRPr="00013844" w:rsidRDefault="004663AB" w:rsidP="004663AB">
      <w:pPr>
        <w:pStyle w:val="EndNoteBibliography"/>
        <w:ind w:left="720" w:hanging="720"/>
      </w:pPr>
      <w:r w:rsidRPr="00013844">
        <w:t>[138.]</w:t>
      </w:r>
      <w:r w:rsidRPr="00013844">
        <w:tab/>
        <w:t>A.G. O'Keeffe, I. Nazareth, I. Petersen, Time trends in the prescription of statins for the primary prevention of cardiovascular disease in the United Kingdom: a cohort study using The Health Improvement Network primary care data</w:t>
      </w:r>
      <w:r w:rsidRPr="00013844">
        <w:rPr>
          <w:i/>
        </w:rPr>
        <w:t>,</w:t>
      </w:r>
      <w:r w:rsidRPr="00013844">
        <w:t xml:space="preserve"> Clin Epidemiol,  </w:t>
      </w:r>
      <w:r w:rsidRPr="00013844">
        <w:rPr>
          <w:b/>
        </w:rPr>
        <w:t>8</w:t>
      </w:r>
      <w:r w:rsidRPr="00013844">
        <w:t xml:space="preserve">:(2016)  123-32. </w:t>
      </w:r>
      <w:hyperlink r:id="rId136" w:history="1">
        <w:r w:rsidRPr="00013844">
          <w:rPr>
            <w:rStyle w:val="Hyperlink"/>
          </w:rPr>
          <w:t>https://doi.org/10.2147/clep.S104258</w:t>
        </w:r>
      </w:hyperlink>
      <w:r w:rsidRPr="00013844">
        <w:rPr>
          <w:color w:val="FF0000"/>
        </w:rPr>
        <w:t xml:space="preserve"> </w:t>
      </w:r>
    </w:p>
    <w:p w14:paraId="5E68C591" w14:textId="77777777" w:rsidR="004663AB" w:rsidRPr="00013844" w:rsidRDefault="004663AB" w:rsidP="004663AB">
      <w:pPr>
        <w:pStyle w:val="EndNoteBibliography"/>
        <w:ind w:left="720" w:hanging="720"/>
      </w:pPr>
      <w:r w:rsidRPr="00013844">
        <w:t>[139.]</w:t>
      </w:r>
      <w:r w:rsidRPr="00013844">
        <w:tab/>
        <w:t>S. Xia, X. Zhang, S. Zheng, R. Khanabdali, B. Kalionis, J. Wu, W. Wan, X. Tai, An Update on Inflamm-Aging: Mechanisms, Prevention, and Treatment</w:t>
      </w:r>
      <w:r w:rsidRPr="00013844">
        <w:rPr>
          <w:i/>
        </w:rPr>
        <w:t>,</w:t>
      </w:r>
      <w:r w:rsidRPr="00013844">
        <w:t xml:space="preserve"> J Immunol Res,  </w:t>
      </w:r>
      <w:r w:rsidRPr="00013844">
        <w:rPr>
          <w:b/>
        </w:rPr>
        <w:t>2016</w:t>
      </w:r>
      <w:r w:rsidRPr="00013844">
        <w:t xml:space="preserve">:(2016)  8426874. </w:t>
      </w:r>
      <w:hyperlink r:id="rId137" w:history="1">
        <w:r w:rsidRPr="00013844">
          <w:rPr>
            <w:rStyle w:val="Hyperlink"/>
          </w:rPr>
          <w:t>https://doi.org/10.1155/2016/8426874</w:t>
        </w:r>
      </w:hyperlink>
    </w:p>
    <w:p w14:paraId="74703B3E" w14:textId="77777777" w:rsidR="004663AB" w:rsidRPr="00013844" w:rsidRDefault="004663AB" w:rsidP="004663AB">
      <w:pPr>
        <w:pStyle w:val="EndNoteBibliography"/>
        <w:ind w:left="720" w:hanging="720"/>
      </w:pPr>
      <w:r w:rsidRPr="00013844">
        <w:t>[140.]</w:t>
      </w:r>
      <w:r w:rsidRPr="00013844">
        <w:tab/>
        <w:t xml:space="preserve">N.A. Duggal, Reversing the immune ageing clock: lifestyle modifications and pharmacological </w:t>
      </w:r>
      <w:r w:rsidRPr="00013844">
        <w:lastRenderedPageBreak/>
        <w:t>interventions</w:t>
      </w:r>
      <w:r w:rsidRPr="00013844">
        <w:rPr>
          <w:i/>
        </w:rPr>
        <w:t>,</w:t>
      </w:r>
      <w:r w:rsidRPr="00013844">
        <w:t xml:space="preserve"> Biogerontology,  </w:t>
      </w:r>
      <w:r w:rsidRPr="00013844">
        <w:rPr>
          <w:b/>
        </w:rPr>
        <w:t>19</w:t>
      </w:r>
      <w:r w:rsidRPr="00013844">
        <w:t xml:space="preserve">:6 (2018)  481-496. </w:t>
      </w:r>
      <w:hyperlink r:id="rId138" w:history="1">
        <w:r w:rsidRPr="00013844">
          <w:rPr>
            <w:rStyle w:val="Hyperlink"/>
          </w:rPr>
          <w:t>https://doi.org/10.1007/s10522-018-9771-7</w:t>
        </w:r>
      </w:hyperlink>
      <w:r w:rsidRPr="00013844">
        <w:rPr>
          <w:color w:val="FF0000"/>
        </w:rPr>
        <w:t xml:space="preserve"> </w:t>
      </w:r>
    </w:p>
    <w:p w14:paraId="109DA520" w14:textId="77777777" w:rsidR="004663AB" w:rsidRPr="00013844" w:rsidRDefault="004663AB" w:rsidP="004663AB">
      <w:pPr>
        <w:pStyle w:val="EndNoteBibliography"/>
        <w:ind w:left="720" w:hanging="720"/>
      </w:pPr>
      <w:r w:rsidRPr="00013844">
        <w:t>[141.]</w:t>
      </w:r>
      <w:r w:rsidRPr="00013844">
        <w:tab/>
        <w:t>R.A. Saxton and D.M. Sabatini, mTOR Signaling in Growth, Metabolism, and Disease</w:t>
      </w:r>
      <w:r w:rsidRPr="00013844">
        <w:rPr>
          <w:i/>
        </w:rPr>
        <w:t>,</w:t>
      </w:r>
      <w:r w:rsidRPr="00013844">
        <w:t xml:space="preserve"> Cell,  </w:t>
      </w:r>
      <w:r w:rsidRPr="00013844">
        <w:rPr>
          <w:b/>
        </w:rPr>
        <w:t>168</w:t>
      </w:r>
      <w:r w:rsidRPr="00013844">
        <w:t xml:space="preserve">:6 (2017)  960-976. </w:t>
      </w:r>
      <w:hyperlink r:id="rId139" w:history="1">
        <w:r w:rsidRPr="00013844">
          <w:rPr>
            <w:rStyle w:val="Hyperlink"/>
          </w:rPr>
          <w:t>https://doi.org/10.1016/j.cell.2017.02.004</w:t>
        </w:r>
      </w:hyperlink>
    </w:p>
    <w:p w14:paraId="0AD469CF" w14:textId="77777777" w:rsidR="004663AB" w:rsidRPr="00013844" w:rsidRDefault="004663AB" w:rsidP="004663AB">
      <w:pPr>
        <w:pStyle w:val="EndNoteBibliography"/>
        <w:ind w:left="720" w:hanging="720"/>
      </w:pPr>
      <w:r w:rsidRPr="00013844">
        <w:t>[142.]</w:t>
      </w:r>
      <w:r w:rsidRPr="00013844">
        <w:tab/>
        <w:t>D. Ehninger, F. Neff, K. Xie, Longevity, aging and rapamycin</w:t>
      </w:r>
      <w:r w:rsidRPr="00013844">
        <w:rPr>
          <w:i/>
        </w:rPr>
        <w:t>,</w:t>
      </w:r>
      <w:r w:rsidRPr="00013844">
        <w:t xml:space="preserve"> Cell Mol Life Sci,  </w:t>
      </w:r>
      <w:r w:rsidRPr="00013844">
        <w:rPr>
          <w:b/>
        </w:rPr>
        <w:t>71</w:t>
      </w:r>
      <w:r w:rsidRPr="00013844">
        <w:t xml:space="preserve">:22 (2014)  4325-46. </w:t>
      </w:r>
      <w:hyperlink r:id="rId140" w:history="1">
        <w:r w:rsidRPr="00013844">
          <w:rPr>
            <w:rStyle w:val="Hyperlink"/>
          </w:rPr>
          <w:t>https://doi.org/10.1007/s00018-014-1677-1</w:t>
        </w:r>
      </w:hyperlink>
      <w:r w:rsidRPr="00013844">
        <w:rPr>
          <w:color w:val="FF0000"/>
        </w:rPr>
        <w:t xml:space="preserve"> </w:t>
      </w:r>
    </w:p>
    <w:p w14:paraId="11EBF1FC" w14:textId="77777777" w:rsidR="004663AB" w:rsidRPr="00013844" w:rsidRDefault="004663AB" w:rsidP="004663AB">
      <w:pPr>
        <w:pStyle w:val="EndNoteBibliography"/>
        <w:ind w:left="720" w:hanging="720"/>
      </w:pPr>
      <w:r w:rsidRPr="00013844">
        <w:t>[143.]</w:t>
      </w:r>
      <w:r w:rsidRPr="00013844">
        <w:tab/>
        <w:t>D. Papadopoli, K. Boulay, L. Kazak, M. Pollak, F.A. Mallette, I. Topisirovic, L. Hulea, mTOR as a central regulator of lifespan and aging</w:t>
      </w:r>
      <w:r w:rsidRPr="00013844">
        <w:rPr>
          <w:i/>
        </w:rPr>
        <w:t>,</w:t>
      </w:r>
      <w:r w:rsidRPr="00013844">
        <w:t xml:space="preserve"> F1000 Research,  </w:t>
      </w:r>
      <w:r w:rsidRPr="00013844">
        <w:rPr>
          <w:b/>
        </w:rPr>
        <w:t>8</w:t>
      </w:r>
      <w:r w:rsidRPr="00013844">
        <w:t xml:space="preserve">:(2019)  F1000. </w:t>
      </w:r>
      <w:hyperlink r:id="rId141" w:history="1">
        <w:r w:rsidRPr="00013844">
          <w:rPr>
            <w:rStyle w:val="Hyperlink"/>
          </w:rPr>
          <w:t>https://doi.org/10.12688/f1000research.17196.1</w:t>
        </w:r>
      </w:hyperlink>
    </w:p>
    <w:p w14:paraId="23AF0479" w14:textId="77777777" w:rsidR="004663AB" w:rsidRPr="00013844" w:rsidRDefault="004663AB" w:rsidP="004663AB">
      <w:pPr>
        <w:pStyle w:val="EndNoteBibliography"/>
        <w:ind w:left="720" w:hanging="720"/>
      </w:pPr>
      <w:r w:rsidRPr="00013844">
        <w:t>[144.]</w:t>
      </w:r>
      <w:r w:rsidRPr="00013844">
        <w:tab/>
        <w:t>S.C. Johnson, P.S. Rabinovitch, M. Kaeberlein, mTOR is a key modulator of ageing and age-related disease</w:t>
      </w:r>
      <w:r w:rsidRPr="00013844">
        <w:rPr>
          <w:i/>
        </w:rPr>
        <w:t>,</w:t>
      </w:r>
      <w:r w:rsidRPr="00013844">
        <w:t xml:space="preserve"> Nature,  </w:t>
      </w:r>
      <w:r w:rsidRPr="00013844">
        <w:rPr>
          <w:b/>
        </w:rPr>
        <w:t>493</w:t>
      </w:r>
      <w:r w:rsidRPr="00013844">
        <w:t xml:space="preserve">:7432 (2013)  338-45. </w:t>
      </w:r>
      <w:hyperlink r:id="rId142" w:history="1">
        <w:r w:rsidRPr="00013844">
          <w:rPr>
            <w:rStyle w:val="Hyperlink"/>
          </w:rPr>
          <w:t>https://doi.org/10.1038/nature11861</w:t>
        </w:r>
      </w:hyperlink>
    </w:p>
    <w:p w14:paraId="0C4B6B14" w14:textId="77777777" w:rsidR="004663AB" w:rsidRPr="00013844" w:rsidRDefault="004663AB" w:rsidP="004663AB">
      <w:pPr>
        <w:pStyle w:val="EndNoteBibliography"/>
        <w:ind w:left="720" w:hanging="720"/>
      </w:pPr>
      <w:r w:rsidRPr="00013844">
        <w:t>[145.]</w:t>
      </w:r>
      <w:r w:rsidRPr="00013844">
        <w:tab/>
        <w:t>J. Li, S.G. Kim, J. Blenis, Rapamycin: one drug, many effects</w:t>
      </w:r>
      <w:r w:rsidRPr="00013844">
        <w:rPr>
          <w:i/>
        </w:rPr>
        <w:t>,</w:t>
      </w:r>
      <w:r w:rsidRPr="00013844">
        <w:t xml:space="preserve"> Cell Metab,  </w:t>
      </w:r>
      <w:r w:rsidRPr="00013844">
        <w:rPr>
          <w:b/>
        </w:rPr>
        <w:t>19</w:t>
      </w:r>
      <w:r w:rsidRPr="00013844">
        <w:t xml:space="preserve">:3 (2014)  373-9. </w:t>
      </w:r>
      <w:hyperlink r:id="rId143" w:history="1">
        <w:r w:rsidRPr="00013844">
          <w:rPr>
            <w:rStyle w:val="Hyperlink"/>
          </w:rPr>
          <w:t>https://doi.org/10.1016/j.cmet.2014.01.001</w:t>
        </w:r>
      </w:hyperlink>
    </w:p>
    <w:p w14:paraId="44579EEE" w14:textId="77777777" w:rsidR="004663AB" w:rsidRPr="00013844" w:rsidRDefault="004663AB" w:rsidP="004663AB">
      <w:pPr>
        <w:pStyle w:val="EndNoteBibliography"/>
        <w:ind w:left="720" w:hanging="720"/>
      </w:pPr>
      <w:r w:rsidRPr="00013844">
        <w:t>[146.]</w:t>
      </w:r>
      <w:r w:rsidRPr="00013844">
        <w:tab/>
        <w:t>R.M. Laberge, Y. Sun, A.V. Orjalo, C.K. Patil, A. Freund, L. Zhou, S.C. Curran, A.R. Davalos, K.A. Wilson-Edell, S. Liu, C. Limbad, M. Demaria, P. Li, G.B. Hubbard, Y. Ikeno, M. Javors, P.Y. Desprez, C.C. Benz, P. Kapahi, P.S. Nelson, J. Campisi, MTOR regulates the pro-tumorigenic senescence-associated secretory phenotype by promoting IL1A translation</w:t>
      </w:r>
      <w:r w:rsidRPr="00013844">
        <w:rPr>
          <w:i/>
        </w:rPr>
        <w:t>,</w:t>
      </w:r>
      <w:r w:rsidRPr="00013844">
        <w:t xml:space="preserve"> Nat Cell Biol,  </w:t>
      </w:r>
      <w:r w:rsidRPr="00013844">
        <w:rPr>
          <w:b/>
        </w:rPr>
        <w:t>17</w:t>
      </w:r>
      <w:r w:rsidRPr="00013844">
        <w:t xml:space="preserve">:8 (2015)  1049-61. </w:t>
      </w:r>
      <w:hyperlink r:id="rId144" w:history="1">
        <w:r w:rsidRPr="00013844">
          <w:rPr>
            <w:rStyle w:val="Hyperlink"/>
          </w:rPr>
          <w:t>https://doi.org/10.1038/ncb3195</w:t>
        </w:r>
      </w:hyperlink>
    </w:p>
    <w:p w14:paraId="7078E0EE" w14:textId="77777777" w:rsidR="004663AB" w:rsidRPr="00013844" w:rsidRDefault="004663AB" w:rsidP="004663AB">
      <w:pPr>
        <w:pStyle w:val="EndNoteBibliography"/>
        <w:ind w:left="720" w:hanging="720"/>
      </w:pPr>
      <w:r w:rsidRPr="00013844">
        <w:t>[147.]</w:t>
      </w:r>
      <w:r w:rsidRPr="00013844">
        <w:tab/>
        <w:t>T. Weichhart, mTOR as Regulator of Lifespan, Aging, and Cellular Senescence: A Mini-Review</w:t>
      </w:r>
      <w:r w:rsidRPr="00013844">
        <w:rPr>
          <w:i/>
        </w:rPr>
        <w:t>,</w:t>
      </w:r>
      <w:r w:rsidRPr="00013844">
        <w:t xml:space="preserve"> Gerontology,  </w:t>
      </w:r>
      <w:r w:rsidRPr="00013844">
        <w:rPr>
          <w:b/>
        </w:rPr>
        <w:t>64</w:t>
      </w:r>
      <w:r w:rsidRPr="00013844">
        <w:t xml:space="preserve">:2 (2018)  127-134. </w:t>
      </w:r>
      <w:hyperlink r:id="rId145" w:history="1">
        <w:r w:rsidRPr="00013844">
          <w:rPr>
            <w:rStyle w:val="Hyperlink"/>
          </w:rPr>
          <w:t>https://doi.org/10.1159/000484629</w:t>
        </w:r>
      </w:hyperlink>
      <w:r w:rsidRPr="00013844">
        <w:t xml:space="preserve"> </w:t>
      </w:r>
    </w:p>
    <w:p w14:paraId="685A0DCF" w14:textId="77777777" w:rsidR="004663AB" w:rsidRPr="00013844" w:rsidRDefault="004663AB" w:rsidP="004663AB">
      <w:pPr>
        <w:pStyle w:val="EndNoteBibliography"/>
        <w:ind w:left="720" w:hanging="720"/>
      </w:pPr>
      <w:r w:rsidRPr="00013844">
        <w:t>[148.]</w:t>
      </w:r>
      <w:r w:rsidRPr="00013844">
        <w:tab/>
        <w:t>E.B. Gordon, G.T. Hart, T.M. Tran, M. Waisberg, M. Akkaya, J. Skinner, S. Zinocker, M. Pena, T. Yazew, C.F. Qi, L.H. Miller, S.K. Pierce, Inhibiting the Mammalian target of rapamycin blocks the development of experimental cerebral malaria</w:t>
      </w:r>
      <w:r w:rsidRPr="00013844">
        <w:rPr>
          <w:i/>
        </w:rPr>
        <w:t>,</w:t>
      </w:r>
      <w:r w:rsidRPr="00013844">
        <w:t xml:space="preserve"> mBio,  </w:t>
      </w:r>
      <w:r w:rsidRPr="00013844">
        <w:rPr>
          <w:b/>
        </w:rPr>
        <w:t>6</w:t>
      </w:r>
      <w:r w:rsidRPr="00013844">
        <w:t xml:space="preserve">:3 (2015)  e00725. </w:t>
      </w:r>
      <w:hyperlink r:id="rId146" w:history="1">
        <w:r w:rsidRPr="00013844">
          <w:rPr>
            <w:rStyle w:val="Hyperlink"/>
          </w:rPr>
          <w:t>https://doi.org/10.1128/mBio.00725-15</w:t>
        </w:r>
      </w:hyperlink>
      <w:r w:rsidRPr="00013844">
        <w:rPr>
          <w:color w:val="FF0000"/>
        </w:rPr>
        <w:t xml:space="preserve"> </w:t>
      </w:r>
    </w:p>
    <w:p w14:paraId="61D0A812" w14:textId="77777777" w:rsidR="004663AB" w:rsidRPr="00013844" w:rsidRDefault="004663AB" w:rsidP="004663AB">
      <w:pPr>
        <w:pStyle w:val="EndNoteBibliography"/>
        <w:ind w:left="720" w:hanging="720"/>
      </w:pPr>
      <w:r w:rsidRPr="00013844">
        <w:t>[149.]</w:t>
      </w:r>
      <w:r w:rsidRPr="00013844">
        <w:tab/>
        <w:t>S. Farkas, M. Hornung, C. Sattler, M. Guba, M. Steinbauer, M. Anthuber, H. Herfarth, H.J. Schlitt, E.K. Geissler, Rapamycin decreases leukocyte migration in vivo and effectively reduces experimentally induced chronic colitis</w:t>
      </w:r>
      <w:r w:rsidRPr="00013844">
        <w:rPr>
          <w:i/>
        </w:rPr>
        <w:t>,</w:t>
      </w:r>
      <w:r w:rsidRPr="00013844">
        <w:t xml:space="preserve"> Int J </w:t>
      </w:r>
      <w:r w:rsidRPr="00013844">
        <w:lastRenderedPageBreak/>
        <w:t xml:space="preserve">Colorectal Dis,  </w:t>
      </w:r>
      <w:r w:rsidRPr="00013844">
        <w:rPr>
          <w:b/>
        </w:rPr>
        <w:t>21</w:t>
      </w:r>
      <w:r w:rsidRPr="00013844">
        <w:t xml:space="preserve">:8 (2006)  747-53. </w:t>
      </w:r>
      <w:hyperlink r:id="rId147" w:history="1">
        <w:r w:rsidRPr="00013844">
          <w:rPr>
            <w:rStyle w:val="Hyperlink"/>
          </w:rPr>
          <w:t>https://doi.org/10.1007/s00384-005-0793-7</w:t>
        </w:r>
      </w:hyperlink>
    </w:p>
    <w:p w14:paraId="1CCCADA2" w14:textId="77777777" w:rsidR="004663AB" w:rsidRPr="00013844" w:rsidRDefault="004663AB" w:rsidP="004663AB">
      <w:pPr>
        <w:pStyle w:val="EndNoteBibliography"/>
        <w:ind w:left="720" w:hanging="720"/>
      </w:pPr>
      <w:r w:rsidRPr="00013844">
        <w:t>[150.]</w:t>
      </w:r>
      <w:r w:rsidRPr="00013844">
        <w:tab/>
        <w:t>L.V. Sinclair, D. Finlay, C. Feijoo, G.H. Cornish, A. Gray, A. Ager, K. Okkenhaug, T.J. Hagenbeek, H. Spits, D.A. Cantrell, Phosphoinositide 3-kinase (PI3K) an nutrient sensing mTOR (mammalian target of rapamycin) pathways control T lymphocyte trafficking</w:t>
      </w:r>
      <w:r w:rsidRPr="00013844">
        <w:rPr>
          <w:i/>
        </w:rPr>
        <w:t>,</w:t>
      </w:r>
      <w:r w:rsidRPr="00013844">
        <w:t xml:space="preserve"> Nature Immunol,  </w:t>
      </w:r>
      <w:r w:rsidRPr="00013844">
        <w:rPr>
          <w:b/>
        </w:rPr>
        <w:t>9</w:t>
      </w:r>
      <w:r w:rsidRPr="00013844">
        <w:t xml:space="preserve">:5 (2008)  513-532. </w:t>
      </w:r>
      <w:hyperlink r:id="rId148" w:history="1">
        <w:r w:rsidRPr="00013844">
          <w:rPr>
            <w:rStyle w:val="Hyperlink"/>
          </w:rPr>
          <w:t>https://doi.org/10.1038/s41573-020-0067-7</w:t>
        </w:r>
      </w:hyperlink>
      <w:r w:rsidRPr="00013844">
        <w:rPr>
          <w:color w:val="FF0000"/>
        </w:rPr>
        <w:t xml:space="preserve"> </w:t>
      </w:r>
    </w:p>
    <w:p w14:paraId="732DD353" w14:textId="77777777" w:rsidR="004663AB" w:rsidRPr="00013844" w:rsidRDefault="004663AB" w:rsidP="004663AB">
      <w:pPr>
        <w:pStyle w:val="EndNoteBibliography"/>
        <w:ind w:left="720" w:hanging="720"/>
      </w:pPr>
      <w:r w:rsidRPr="00013844">
        <w:t>[151.]</w:t>
      </w:r>
      <w:r w:rsidRPr="00013844">
        <w:tab/>
        <w:t>L. Partridge, M. Fuentealba, B.K. Kennedy, The quest to slow ageing through drug discovery</w:t>
      </w:r>
      <w:r w:rsidRPr="00013844">
        <w:rPr>
          <w:i/>
        </w:rPr>
        <w:t>,</w:t>
      </w:r>
      <w:r w:rsidRPr="00013844">
        <w:t xml:space="preserve"> Nat Rev Drug Discov,  </w:t>
      </w:r>
      <w:r w:rsidRPr="00013844">
        <w:rPr>
          <w:b/>
        </w:rPr>
        <w:t>19</w:t>
      </w:r>
      <w:r w:rsidRPr="00013844">
        <w:t xml:space="preserve">:8 (2020)  513-532. </w:t>
      </w:r>
      <w:hyperlink r:id="rId149" w:history="1">
        <w:r w:rsidRPr="00013844">
          <w:rPr>
            <w:rStyle w:val="Hyperlink"/>
          </w:rPr>
          <w:t>https://doi.org/10.1038/s41573-020-0067-7</w:t>
        </w:r>
      </w:hyperlink>
    </w:p>
    <w:p w14:paraId="40110F30" w14:textId="77777777" w:rsidR="004663AB" w:rsidRPr="00013844" w:rsidRDefault="004663AB" w:rsidP="004663AB">
      <w:pPr>
        <w:pStyle w:val="EndNoteBibliography"/>
        <w:ind w:left="720" w:hanging="720"/>
      </w:pPr>
      <w:r w:rsidRPr="00013844">
        <w:t>[152.]</w:t>
      </w:r>
      <w:r w:rsidRPr="00013844">
        <w:tab/>
        <w:t>Y. Zhu, T. Tchkonia, T. Pirtskhalava, A.C. Gower, H. Ding, N. Giorgadze, A.K. Palmer, Y. Ikeno, G.B. Hubbard, M. Lenburg, S.P. O'Hara, N.F. LaRusso, J.D. Miller, C.M. Roos, G.C. Verzosa, N.K. LeBrasseur, J.D. Wren, J.N. Farr, S. Khosla, M.B. Stout, S.J. McGowan, H. Fuhrmann-Stroissnigg, A.U. Gurkar, J. Zhao, D. Colangelo, A. Dorronsoro, Y.Y. Ling, A.S. Barghouthy, D.C. Navarro, T. Sano, P.D. Robbins, L.J. Niedernhofer, J.L. Kirkland, The Achilles' heel of senescent cells: from transcriptome to senolytic drugs</w:t>
      </w:r>
      <w:r w:rsidRPr="00013844">
        <w:rPr>
          <w:i/>
        </w:rPr>
        <w:t>,</w:t>
      </w:r>
      <w:r w:rsidRPr="00013844">
        <w:t xml:space="preserve"> Aging Cell,  </w:t>
      </w:r>
      <w:r w:rsidRPr="00013844">
        <w:rPr>
          <w:b/>
        </w:rPr>
        <w:t>14</w:t>
      </w:r>
      <w:r w:rsidRPr="00013844">
        <w:t xml:space="preserve">:4 (2015)  644-58. </w:t>
      </w:r>
      <w:hyperlink r:id="rId150" w:history="1">
        <w:r w:rsidRPr="00013844">
          <w:rPr>
            <w:rStyle w:val="Hyperlink"/>
          </w:rPr>
          <w:t>https://doi.org/10.1111/acel.12344</w:t>
        </w:r>
      </w:hyperlink>
      <w:r w:rsidRPr="00013844">
        <w:rPr>
          <w:color w:val="FF0000"/>
        </w:rPr>
        <w:t xml:space="preserve"> </w:t>
      </w:r>
    </w:p>
    <w:p w14:paraId="69807DF9" w14:textId="77777777" w:rsidR="004663AB" w:rsidRPr="00013844" w:rsidRDefault="004663AB" w:rsidP="004663AB">
      <w:pPr>
        <w:pStyle w:val="EndNoteBibliography"/>
        <w:ind w:left="720" w:hanging="720"/>
      </w:pPr>
      <w:r w:rsidRPr="00013844">
        <w:t>[153.]</w:t>
      </w:r>
      <w:r w:rsidRPr="00013844">
        <w:tab/>
        <w:t>L.J. Hickson, L.G.P. Langhi Prata, S.A. Bobart, T.K. Evans, N. Giorgadze, S.K. Hashmi, S.M. Herrmann, M.D. Jensen, Q. Jia, K.L. Jordan, T.A. Kellogg, S. Khosla, D.M. Koerber, A.B. Lagnado, D.K. Lawson, N.K. LeBrasseur, L.O. Lerman, K.M. McDonald, T.J. McKenzie, J.F. Passos, R.J. Pignolo, T. Pirtskhalava, I.M. Saadiq, K.K. Schaefer, S.C. Textor, S.G. Victorelli, T.L. Volkman, A. Xue, M.A. Wentworth, E.O. Wissler Gerdes, Y. Zhu, T. Tchkonia, J.L. Kirkland, Senolytics decrease senescent cells in humans: Preliminary report from a clinical trial of Dasatinib plus Quercetin in individuals with diabetic kidney disease</w:t>
      </w:r>
      <w:r w:rsidRPr="00013844">
        <w:rPr>
          <w:i/>
        </w:rPr>
        <w:t>,</w:t>
      </w:r>
      <w:r w:rsidRPr="00013844">
        <w:t xml:space="preserve"> EBioMedicine,  </w:t>
      </w:r>
      <w:r w:rsidRPr="00013844">
        <w:rPr>
          <w:b/>
        </w:rPr>
        <w:t>47</w:t>
      </w:r>
      <w:r w:rsidRPr="00013844">
        <w:t xml:space="preserve">:(2019)  446-456. </w:t>
      </w:r>
      <w:hyperlink r:id="rId151" w:history="1">
        <w:r w:rsidRPr="00013844">
          <w:rPr>
            <w:rStyle w:val="Hyperlink"/>
          </w:rPr>
          <w:t>https://doi.org/10.1016/j.ebiom.2019.08.069</w:t>
        </w:r>
      </w:hyperlink>
    </w:p>
    <w:p w14:paraId="016DBBFC" w14:textId="77777777" w:rsidR="004663AB" w:rsidRPr="00013844" w:rsidRDefault="004663AB" w:rsidP="004663AB">
      <w:pPr>
        <w:pStyle w:val="EndNoteBibliography"/>
        <w:ind w:left="720" w:hanging="720"/>
      </w:pPr>
      <w:r w:rsidRPr="00013844">
        <w:t>[154.]</w:t>
      </w:r>
      <w:r w:rsidRPr="00013844">
        <w:tab/>
        <w:t xml:space="preserve">M. Chimen, H.M. McGettrick, B. Apta, S.J. Kuravi, C.M. Yates, A. Kennedy, A. Odedra, M. Alassiri, M. Harrison, A. Martin, F. Barone, S. Nayar, J.R. Hitchcock, A.F. Cunningham, K. Raza, A. Filer, D.A. Copland, A.D. Dick, J. Robinson, N. Kalia, L.S.K. Walker, C.D. Buckley, G.B. Nash, P. Narendran, G.E. Rainger, Homeostatic regulation of T cell trafficking by a B cell-derived peptide is impaired in </w:t>
      </w:r>
      <w:r w:rsidRPr="00013844">
        <w:lastRenderedPageBreak/>
        <w:t>autoimmune and chronic inflammatory disease</w:t>
      </w:r>
      <w:r w:rsidRPr="00013844">
        <w:rPr>
          <w:i/>
        </w:rPr>
        <w:t>,</w:t>
      </w:r>
      <w:r w:rsidRPr="00013844">
        <w:t xml:space="preserve"> Nat Med,  </w:t>
      </w:r>
      <w:r w:rsidRPr="00013844">
        <w:rPr>
          <w:b/>
        </w:rPr>
        <w:t>21</w:t>
      </w:r>
      <w:r w:rsidRPr="00013844">
        <w:t xml:space="preserve">:5 (2015)  467-475. </w:t>
      </w:r>
      <w:hyperlink r:id="rId152" w:history="1">
        <w:r w:rsidRPr="00013844">
          <w:rPr>
            <w:rStyle w:val="Hyperlink"/>
          </w:rPr>
          <w:t>https://doi.org/10.1038/nm.3842</w:t>
        </w:r>
      </w:hyperlink>
    </w:p>
    <w:p w14:paraId="69D1760E" w14:textId="77777777" w:rsidR="004663AB" w:rsidRPr="00013844" w:rsidRDefault="004663AB" w:rsidP="004663AB">
      <w:pPr>
        <w:pStyle w:val="EndNoteBibliography"/>
        <w:ind w:left="720" w:hanging="720"/>
        <w:rPr>
          <w:color w:val="FF0000"/>
        </w:rPr>
      </w:pPr>
      <w:r w:rsidRPr="00013844">
        <w:t>[155.]</w:t>
      </w:r>
      <w:r w:rsidRPr="00013844">
        <w:tab/>
        <w:t>M.H. Davidson, Safety profiles for the HMG-CoA reductase inhibitors: treatment and trust</w:t>
      </w:r>
      <w:r w:rsidRPr="00013844">
        <w:rPr>
          <w:i/>
        </w:rPr>
        <w:t>,</w:t>
      </w:r>
      <w:r w:rsidRPr="00013844">
        <w:t xml:space="preserve"> Drugs,  </w:t>
      </w:r>
      <w:r w:rsidRPr="00013844">
        <w:rPr>
          <w:b/>
        </w:rPr>
        <w:t>61</w:t>
      </w:r>
      <w:r w:rsidRPr="00013844">
        <w:t xml:space="preserve">:2 (2001)  197-206. </w:t>
      </w:r>
      <w:hyperlink r:id="rId153" w:history="1">
        <w:r w:rsidRPr="00013844">
          <w:rPr>
            <w:rStyle w:val="Hyperlink"/>
          </w:rPr>
          <w:t>https://doi.org/10.2165/00003495-200161020-00005</w:t>
        </w:r>
      </w:hyperlink>
    </w:p>
    <w:p w14:paraId="23AAEA2E" w14:textId="77777777" w:rsidR="004663AB" w:rsidRPr="00013844" w:rsidRDefault="004663AB" w:rsidP="004663AB">
      <w:pPr>
        <w:pStyle w:val="EndNoteBibliography"/>
        <w:ind w:left="720" w:hanging="720"/>
      </w:pPr>
      <w:r w:rsidRPr="00013844">
        <w:t>[156.]</w:t>
      </w:r>
      <w:r w:rsidRPr="00013844">
        <w:tab/>
        <w:t>E.O. Wissler Gerdes, Y. Zhu, T. Tchkonia, J.L. Kirkland, Discovery, development, and future application of senolytics: theories and predictions</w:t>
      </w:r>
      <w:r w:rsidRPr="00013844">
        <w:rPr>
          <w:i/>
        </w:rPr>
        <w:t>,</w:t>
      </w:r>
      <w:r w:rsidRPr="00013844">
        <w:t xml:space="preserve"> FEBS J,  </w:t>
      </w:r>
      <w:r w:rsidRPr="00013844">
        <w:rPr>
          <w:b/>
        </w:rPr>
        <w:t>287</w:t>
      </w:r>
      <w:r w:rsidRPr="00013844">
        <w:t xml:space="preserve">:12 (2020)  2418-2427. </w:t>
      </w:r>
      <w:hyperlink r:id="rId154" w:history="1">
        <w:r w:rsidRPr="00013844">
          <w:rPr>
            <w:rStyle w:val="Hyperlink"/>
          </w:rPr>
          <w:t>https://doi.org/10.1111/febs.15264</w:t>
        </w:r>
      </w:hyperlink>
      <w:r w:rsidRPr="00013844">
        <w:rPr>
          <w:color w:val="FF0000"/>
        </w:rPr>
        <w:t xml:space="preserve"> </w:t>
      </w:r>
    </w:p>
    <w:p w14:paraId="6EE6A5A6" w14:textId="77777777" w:rsidR="004663AB" w:rsidRPr="00013844" w:rsidRDefault="004663AB" w:rsidP="004663AB">
      <w:pPr>
        <w:pStyle w:val="EndNoteBibliography"/>
        <w:ind w:left="720" w:hanging="720"/>
      </w:pPr>
      <w:r w:rsidRPr="00013844">
        <w:t>[157.]</w:t>
      </w:r>
      <w:r w:rsidRPr="00013844">
        <w:tab/>
        <w:t>C. Borras, M. Ingles, C. Mas-Bargues, M. Dromant, J. Sanz-Ros, A. Roman-Dominguez, L. Gimeno-Mallench, J. Gambini, J. Vina, Centenarians: An excellent example of resilience for successful ageing</w:t>
      </w:r>
      <w:r w:rsidRPr="00013844">
        <w:rPr>
          <w:i/>
        </w:rPr>
        <w:t>,</w:t>
      </w:r>
      <w:r w:rsidRPr="00013844">
        <w:t xml:space="preserve"> Mech Ageing Dev,  </w:t>
      </w:r>
      <w:r w:rsidRPr="00013844">
        <w:rPr>
          <w:b/>
        </w:rPr>
        <w:t>186</w:t>
      </w:r>
      <w:r w:rsidRPr="00013844">
        <w:t xml:space="preserve">:(2020)  111199. </w:t>
      </w:r>
      <w:hyperlink r:id="rId155" w:history="1">
        <w:r w:rsidRPr="00013844">
          <w:rPr>
            <w:rStyle w:val="Hyperlink"/>
          </w:rPr>
          <w:t>https://doi.org/10.1016/j.mad.2019.111199</w:t>
        </w:r>
      </w:hyperlink>
    </w:p>
    <w:p w14:paraId="216DC153" w14:textId="77777777" w:rsidR="004663AB" w:rsidRPr="00013844" w:rsidRDefault="004663AB" w:rsidP="004663AB">
      <w:pPr>
        <w:pStyle w:val="EndNoteBibliography"/>
        <w:ind w:left="720" w:hanging="720"/>
      </w:pPr>
      <w:r w:rsidRPr="00013844">
        <w:t>[158.]</w:t>
      </w:r>
      <w:r w:rsidRPr="00013844">
        <w:tab/>
        <w:t>L. Quartuccio, A. Zabotti, S. Del Zotto, L. Zanier, S. De Vita, F. Valent, Risk of serious infection among patients receiving biologics for chronic inflammatory diseases: Usefulness of administrative data</w:t>
      </w:r>
      <w:r w:rsidRPr="00013844">
        <w:rPr>
          <w:i/>
        </w:rPr>
        <w:t>,</w:t>
      </w:r>
      <w:r w:rsidRPr="00013844">
        <w:t xml:space="preserve"> J Adv Res,  </w:t>
      </w:r>
      <w:r w:rsidRPr="00013844">
        <w:rPr>
          <w:b/>
        </w:rPr>
        <w:t>15</w:t>
      </w:r>
      <w:r w:rsidRPr="00013844">
        <w:t xml:space="preserve">:(2019)  87-93. </w:t>
      </w:r>
      <w:hyperlink r:id="rId156" w:history="1">
        <w:r w:rsidRPr="00013844">
          <w:rPr>
            <w:rStyle w:val="Hyperlink"/>
          </w:rPr>
          <w:t>https://doi.org/10.1016/j.jare.2018.09.003</w:t>
        </w:r>
      </w:hyperlink>
    </w:p>
    <w:p w14:paraId="0A9E55E9" w14:textId="77777777" w:rsidR="004663AB" w:rsidRPr="00013844" w:rsidRDefault="004663AB" w:rsidP="004663AB">
      <w:pPr>
        <w:pStyle w:val="EndNoteBibliography"/>
        <w:ind w:left="720" w:hanging="720"/>
      </w:pPr>
      <w:r w:rsidRPr="00013844">
        <w:t>[159.]</w:t>
      </w:r>
      <w:r w:rsidRPr="00013844">
        <w:tab/>
        <w:t>J. Kirchgesner, M. Lemaitre, F. Carrat, M. Zureik, F. Carbonnel, R. Dray-Spira, Risk of Serious and Opportunistic Infections Associated With Treatment of Inflammatory Bowel Diseases</w:t>
      </w:r>
      <w:r w:rsidRPr="00013844">
        <w:rPr>
          <w:i/>
        </w:rPr>
        <w:t>,</w:t>
      </w:r>
      <w:r w:rsidRPr="00013844">
        <w:t xml:space="preserve"> Gastroenterology,  </w:t>
      </w:r>
      <w:r w:rsidRPr="00013844">
        <w:rPr>
          <w:b/>
        </w:rPr>
        <w:t>155</w:t>
      </w:r>
      <w:r w:rsidRPr="00013844">
        <w:t xml:space="preserve">:2 (2018)  337-346 e10. </w:t>
      </w:r>
      <w:hyperlink r:id="rId157" w:history="1">
        <w:r w:rsidRPr="00013844">
          <w:rPr>
            <w:rStyle w:val="Hyperlink"/>
          </w:rPr>
          <w:t>https://doi.org/10.1053/j.gastro.2018.04.012</w:t>
        </w:r>
      </w:hyperlink>
    </w:p>
    <w:p w14:paraId="77528D6E" w14:textId="77777777" w:rsidR="004663AB" w:rsidRPr="00013844" w:rsidRDefault="004663AB" w:rsidP="004663AB">
      <w:pPr>
        <w:pStyle w:val="EndNoteBibliography"/>
        <w:ind w:left="720" w:hanging="720"/>
      </w:pPr>
      <w:r w:rsidRPr="00013844">
        <w:t>[160.]</w:t>
      </w:r>
      <w:r w:rsidRPr="00013844">
        <w:tab/>
        <w:t xml:space="preserve">V. M. Turner and N. A. Mabbott, Ageing adversely affects the migration and function of marginal zone B cells, Immunology, </w:t>
      </w:r>
      <w:r w:rsidRPr="00013844">
        <w:rPr>
          <w:b/>
        </w:rPr>
        <w:t>151</w:t>
      </w:r>
      <w:r w:rsidRPr="00013844">
        <w:t>:3 (2017) 349-362. https://doi.org/10.1111/imm.12737</w:t>
      </w:r>
    </w:p>
    <w:p w14:paraId="3508A13C" w14:textId="77777777" w:rsidR="004663AB" w:rsidRPr="0084630F" w:rsidRDefault="004663AB" w:rsidP="004663AB">
      <w:r w:rsidRPr="00013844">
        <w:rPr>
          <w:color w:val="FF0000"/>
        </w:rPr>
        <w:t xml:space="preserve"> </w:t>
      </w:r>
    </w:p>
    <w:p w14:paraId="0648C6A6" w14:textId="5BAC27BB" w:rsidR="009601F7" w:rsidRPr="00E76E64" w:rsidRDefault="009601F7" w:rsidP="00BE4155">
      <w:pPr>
        <w:pStyle w:val="EndNoteBibliography"/>
        <w:ind w:left="720" w:hanging="720"/>
      </w:pPr>
    </w:p>
    <w:sectPr w:rsidR="009601F7" w:rsidRPr="00E76E64" w:rsidSect="00624EFC">
      <w:footerReference w:type="even" r:id="rId158"/>
      <w:footerReference w:type="default" r:id="rId159"/>
      <w:type w:val="continuous"/>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303B2" w14:textId="77777777" w:rsidR="002D01F4" w:rsidRDefault="002D01F4" w:rsidP="00C0038F">
      <w:r>
        <w:separator/>
      </w:r>
    </w:p>
  </w:endnote>
  <w:endnote w:type="continuationSeparator" w:id="0">
    <w:p w14:paraId="220330C7" w14:textId="77777777" w:rsidR="002D01F4" w:rsidRDefault="002D01F4" w:rsidP="00C0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A404" w14:textId="77777777" w:rsidR="00B0791A" w:rsidRDefault="00B0791A" w:rsidP="001A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88AE1F" w14:textId="77777777" w:rsidR="00B0791A" w:rsidRDefault="00B0791A" w:rsidP="00752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FA6E1" w14:textId="4D6386FC" w:rsidR="00B0791A" w:rsidRDefault="00B0791A" w:rsidP="001A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D86">
      <w:rPr>
        <w:rStyle w:val="PageNumber"/>
        <w:noProof/>
      </w:rPr>
      <w:t>1</w:t>
    </w:r>
    <w:r>
      <w:rPr>
        <w:rStyle w:val="PageNumber"/>
      </w:rPr>
      <w:fldChar w:fldCharType="end"/>
    </w:r>
  </w:p>
  <w:p w14:paraId="29B2A138" w14:textId="77777777" w:rsidR="00B0791A" w:rsidRDefault="00B0791A" w:rsidP="007520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2476" w14:textId="77777777" w:rsidR="002D01F4" w:rsidRDefault="002D01F4" w:rsidP="00C0038F">
      <w:r>
        <w:separator/>
      </w:r>
    </w:p>
  </w:footnote>
  <w:footnote w:type="continuationSeparator" w:id="0">
    <w:p w14:paraId="606B793A" w14:textId="77777777" w:rsidR="002D01F4" w:rsidRDefault="002D01F4" w:rsidP="00C00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37DCC"/>
    <w:multiLevelType w:val="multilevel"/>
    <w:tmpl w:val="A5B6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83602"/>
    <w:multiLevelType w:val="hybridMultilevel"/>
    <w:tmpl w:val="5D7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1DF"/>
    <w:multiLevelType w:val="hybridMultilevel"/>
    <w:tmpl w:val="4C72471C"/>
    <w:lvl w:ilvl="0" w:tplc="800A9D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F7D88"/>
    <w:multiLevelType w:val="multilevel"/>
    <w:tmpl w:val="4E1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B48ED"/>
    <w:multiLevelType w:val="hybridMultilevel"/>
    <w:tmpl w:val="0D7CD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B4CE7"/>
    <w:multiLevelType w:val="hybridMultilevel"/>
    <w:tmpl w:val="A3F2E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0ed0rvtvc9ers9era5y5svwdvsad5vweewap&quot;&gt;Review -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2&lt;/item&gt;&lt;item&gt;183&lt;/item&gt;&lt;item&gt;184&lt;/item&gt;&lt;item&gt;185&lt;/item&gt;&lt;item&gt;186&lt;/item&gt;&lt;item&gt;187&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record-ids&gt;&lt;/item&gt;&lt;/Libraries&gt;"/>
  </w:docVars>
  <w:rsids>
    <w:rsidRoot w:val="0091364D"/>
    <w:rsid w:val="00000E87"/>
    <w:rsid w:val="00002524"/>
    <w:rsid w:val="00003228"/>
    <w:rsid w:val="000037AE"/>
    <w:rsid w:val="00004253"/>
    <w:rsid w:val="00004B5B"/>
    <w:rsid w:val="00005628"/>
    <w:rsid w:val="00006AD7"/>
    <w:rsid w:val="00006B0E"/>
    <w:rsid w:val="000102FF"/>
    <w:rsid w:val="00012EFF"/>
    <w:rsid w:val="00013940"/>
    <w:rsid w:val="00014163"/>
    <w:rsid w:val="000144A7"/>
    <w:rsid w:val="00014B92"/>
    <w:rsid w:val="00016A00"/>
    <w:rsid w:val="000226F0"/>
    <w:rsid w:val="00022CEA"/>
    <w:rsid w:val="000270F7"/>
    <w:rsid w:val="0002789B"/>
    <w:rsid w:val="00030AC0"/>
    <w:rsid w:val="00032BD8"/>
    <w:rsid w:val="0003326F"/>
    <w:rsid w:val="00035062"/>
    <w:rsid w:val="0003519F"/>
    <w:rsid w:val="000369B9"/>
    <w:rsid w:val="000375BB"/>
    <w:rsid w:val="00041F43"/>
    <w:rsid w:val="00044C68"/>
    <w:rsid w:val="00047A70"/>
    <w:rsid w:val="00050638"/>
    <w:rsid w:val="000512F4"/>
    <w:rsid w:val="00052FFC"/>
    <w:rsid w:val="0005605C"/>
    <w:rsid w:val="00057581"/>
    <w:rsid w:val="0006180C"/>
    <w:rsid w:val="00061A3C"/>
    <w:rsid w:val="00063CD7"/>
    <w:rsid w:val="00067719"/>
    <w:rsid w:val="00071483"/>
    <w:rsid w:val="00072795"/>
    <w:rsid w:val="00072811"/>
    <w:rsid w:val="000742F4"/>
    <w:rsid w:val="00076566"/>
    <w:rsid w:val="0007738F"/>
    <w:rsid w:val="00077973"/>
    <w:rsid w:val="00077CBC"/>
    <w:rsid w:val="0008155E"/>
    <w:rsid w:val="000826B1"/>
    <w:rsid w:val="00083981"/>
    <w:rsid w:val="00083CB8"/>
    <w:rsid w:val="000850E3"/>
    <w:rsid w:val="00086491"/>
    <w:rsid w:val="0008679E"/>
    <w:rsid w:val="000873BC"/>
    <w:rsid w:val="000877F1"/>
    <w:rsid w:val="00087B69"/>
    <w:rsid w:val="00092F16"/>
    <w:rsid w:val="000934CF"/>
    <w:rsid w:val="00096EFC"/>
    <w:rsid w:val="000A0ABB"/>
    <w:rsid w:val="000A145D"/>
    <w:rsid w:val="000A2DCD"/>
    <w:rsid w:val="000A3BDF"/>
    <w:rsid w:val="000A44A1"/>
    <w:rsid w:val="000A4D31"/>
    <w:rsid w:val="000A4F03"/>
    <w:rsid w:val="000A62F3"/>
    <w:rsid w:val="000A6577"/>
    <w:rsid w:val="000B2DB4"/>
    <w:rsid w:val="000B3816"/>
    <w:rsid w:val="000B384F"/>
    <w:rsid w:val="000B3A8E"/>
    <w:rsid w:val="000B47AB"/>
    <w:rsid w:val="000B5C60"/>
    <w:rsid w:val="000B607C"/>
    <w:rsid w:val="000B7387"/>
    <w:rsid w:val="000B7AD4"/>
    <w:rsid w:val="000C3119"/>
    <w:rsid w:val="000C4F12"/>
    <w:rsid w:val="000C4FA5"/>
    <w:rsid w:val="000C543F"/>
    <w:rsid w:val="000C6831"/>
    <w:rsid w:val="000D0378"/>
    <w:rsid w:val="000D040C"/>
    <w:rsid w:val="000D1859"/>
    <w:rsid w:val="000D195A"/>
    <w:rsid w:val="000D5154"/>
    <w:rsid w:val="000D62CA"/>
    <w:rsid w:val="000D706E"/>
    <w:rsid w:val="000D7D54"/>
    <w:rsid w:val="000E189C"/>
    <w:rsid w:val="000E1E13"/>
    <w:rsid w:val="000E2130"/>
    <w:rsid w:val="000E2B67"/>
    <w:rsid w:val="000E371F"/>
    <w:rsid w:val="000E3767"/>
    <w:rsid w:val="000E37C1"/>
    <w:rsid w:val="000E3C77"/>
    <w:rsid w:val="000E4A96"/>
    <w:rsid w:val="000E4E7C"/>
    <w:rsid w:val="000E57C0"/>
    <w:rsid w:val="000E5E77"/>
    <w:rsid w:val="000E684B"/>
    <w:rsid w:val="000E6892"/>
    <w:rsid w:val="000E6A49"/>
    <w:rsid w:val="000F06F1"/>
    <w:rsid w:val="000F21BA"/>
    <w:rsid w:val="000F2294"/>
    <w:rsid w:val="000F2CF9"/>
    <w:rsid w:val="000F30F7"/>
    <w:rsid w:val="000F3C3E"/>
    <w:rsid w:val="000F542A"/>
    <w:rsid w:val="000F724D"/>
    <w:rsid w:val="001000B3"/>
    <w:rsid w:val="00103106"/>
    <w:rsid w:val="00103DE6"/>
    <w:rsid w:val="0010448D"/>
    <w:rsid w:val="00104537"/>
    <w:rsid w:val="0010494C"/>
    <w:rsid w:val="001071D6"/>
    <w:rsid w:val="001104AD"/>
    <w:rsid w:val="00110D70"/>
    <w:rsid w:val="00110E0D"/>
    <w:rsid w:val="001110DA"/>
    <w:rsid w:val="00111BE7"/>
    <w:rsid w:val="001124B1"/>
    <w:rsid w:val="001127B1"/>
    <w:rsid w:val="00112E95"/>
    <w:rsid w:val="00113649"/>
    <w:rsid w:val="00116F33"/>
    <w:rsid w:val="00121324"/>
    <w:rsid w:val="0012726F"/>
    <w:rsid w:val="00132023"/>
    <w:rsid w:val="00132D0F"/>
    <w:rsid w:val="001331E3"/>
    <w:rsid w:val="00135156"/>
    <w:rsid w:val="00136AC9"/>
    <w:rsid w:val="001416AD"/>
    <w:rsid w:val="001459D6"/>
    <w:rsid w:val="00146785"/>
    <w:rsid w:val="0014682B"/>
    <w:rsid w:val="00147ECB"/>
    <w:rsid w:val="00150B2A"/>
    <w:rsid w:val="00152528"/>
    <w:rsid w:val="00154AD6"/>
    <w:rsid w:val="00155C71"/>
    <w:rsid w:val="001620E5"/>
    <w:rsid w:val="00163B3C"/>
    <w:rsid w:val="00163D1D"/>
    <w:rsid w:val="001653A1"/>
    <w:rsid w:val="0016599C"/>
    <w:rsid w:val="00166E92"/>
    <w:rsid w:val="00170EF7"/>
    <w:rsid w:val="00170F40"/>
    <w:rsid w:val="00171757"/>
    <w:rsid w:val="00172F91"/>
    <w:rsid w:val="00173434"/>
    <w:rsid w:val="001734E1"/>
    <w:rsid w:val="00174D6B"/>
    <w:rsid w:val="00175F66"/>
    <w:rsid w:val="001761D9"/>
    <w:rsid w:val="00177C05"/>
    <w:rsid w:val="00182ACE"/>
    <w:rsid w:val="00182DF2"/>
    <w:rsid w:val="00183AD4"/>
    <w:rsid w:val="00184402"/>
    <w:rsid w:val="00185049"/>
    <w:rsid w:val="001939A7"/>
    <w:rsid w:val="00193A05"/>
    <w:rsid w:val="0019595A"/>
    <w:rsid w:val="001975E9"/>
    <w:rsid w:val="001A11B8"/>
    <w:rsid w:val="001A14FC"/>
    <w:rsid w:val="001A2322"/>
    <w:rsid w:val="001A3439"/>
    <w:rsid w:val="001A41F4"/>
    <w:rsid w:val="001A48DC"/>
    <w:rsid w:val="001A5691"/>
    <w:rsid w:val="001A63C7"/>
    <w:rsid w:val="001A683A"/>
    <w:rsid w:val="001A6868"/>
    <w:rsid w:val="001A6DF3"/>
    <w:rsid w:val="001A78A8"/>
    <w:rsid w:val="001B1AD3"/>
    <w:rsid w:val="001B265B"/>
    <w:rsid w:val="001B3B73"/>
    <w:rsid w:val="001B456C"/>
    <w:rsid w:val="001B664C"/>
    <w:rsid w:val="001B66E4"/>
    <w:rsid w:val="001C04BA"/>
    <w:rsid w:val="001C0AD0"/>
    <w:rsid w:val="001C0D06"/>
    <w:rsid w:val="001C23A2"/>
    <w:rsid w:val="001C2535"/>
    <w:rsid w:val="001C297B"/>
    <w:rsid w:val="001C3A44"/>
    <w:rsid w:val="001C6814"/>
    <w:rsid w:val="001C7E22"/>
    <w:rsid w:val="001D0C86"/>
    <w:rsid w:val="001D1B9F"/>
    <w:rsid w:val="001D1E03"/>
    <w:rsid w:val="001D3083"/>
    <w:rsid w:val="001D348F"/>
    <w:rsid w:val="001D419D"/>
    <w:rsid w:val="001D57D1"/>
    <w:rsid w:val="001D7F47"/>
    <w:rsid w:val="001E08D0"/>
    <w:rsid w:val="001E3A88"/>
    <w:rsid w:val="001E6214"/>
    <w:rsid w:val="001E697C"/>
    <w:rsid w:val="001E7A8B"/>
    <w:rsid w:val="001E7D79"/>
    <w:rsid w:val="001E7DC6"/>
    <w:rsid w:val="001F1302"/>
    <w:rsid w:val="001F151B"/>
    <w:rsid w:val="001F3361"/>
    <w:rsid w:val="001F4012"/>
    <w:rsid w:val="001F41A8"/>
    <w:rsid w:val="001F450B"/>
    <w:rsid w:val="001F720B"/>
    <w:rsid w:val="001F7674"/>
    <w:rsid w:val="001F7B25"/>
    <w:rsid w:val="00200530"/>
    <w:rsid w:val="002013AD"/>
    <w:rsid w:val="00204B92"/>
    <w:rsid w:val="002102A8"/>
    <w:rsid w:val="002120BA"/>
    <w:rsid w:val="0021225F"/>
    <w:rsid w:val="00212A08"/>
    <w:rsid w:val="00212E54"/>
    <w:rsid w:val="00214570"/>
    <w:rsid w:val="00214735"/>
    <w:rsid w:val="0022043B"/>
    <w:rsid w:val="00220A90"/>
    <w:rsid w:val="00220B36"/>
    <w:rsid w:val="00221BEC"/>
    <w:rsid w:val="00222BCA"/>
    <w:rsid w:val="00223E73"/>
    <w:rsid w:val="00226893"/>
    <w:rsid w:val="00233DDD"/>
    <w:rsid w:val="002357BB"/>
    <w:rsid w:val="00235C03"/>
    <w:rsid w:val="00237327"/>
    <w:rsid w:val="00237837"/>
    <w:rsid w:val="00240101"/>
    <w:rsid w:val="00241A67"/>
    <w:rsid w:val="00242BCC"/>
    <w:rsid w:val="0024337A"/>
    <w:rsid w:val="00243C95"/>
    <w:rsid w:val="00245977"/>
    <w:rsid w:val="00250420"/>
    <w:rsid w:val="00251527"/>
    <w:rsid w:val="0025339D"/>
    <w:rsid w:val="00254085"/>
    <w:rsid w:val="0025504C"/>
    <w:rsid w:val="002550F8"/>
    <w:rsid w:val="0025716B"/>
    <w:rsid w:val="0025734F"/>
    <w:rsid w:val="00260719"/>
    <w:rsid w:val="002610E3"/>
    <w:rsid w:val="00262A20"/>
    <w:rsid w:val="00264254"/>
    <w:rsid w:val="00264993"/>
    <w:rsid w:val="00265C0E"/>
    <w:rsid w:val="002663F3"/>
    <w:rsid w:val="00266732"/>
    <w:rsid w:val="00272DBD"/>
    <w:rsid w:val="00273503"/>
    <w:rsid w:val="002739C6"/>
    <w:rsid w:val="002749C4"/>
    <w:rsid w:val="00274CD3"/>
    <w:rsid w:val="00280BFF"/>
    <w:rsid w:val="002836FD"/>
    <w:rsid w:val="00285284"/>
    <w:rsid w:val="00290C4E"/>
    <w:rsid w:val="0029250D"/>
    <w:rsid w:val="00292E01"/>
    <w:rsid w:val="00294C4C"/>
    <w:rsid w:val="002972BE"/>
    <w:rsid w:val="00297A7B"/>
    <w:rsid w:val="002A0636"/>
    <w:rsid w:val="002A1303"/>
    <w:rsid w:val="002A450A"/>
    <w:rsid w:val="002A4B5C"/>
    <w:rsid w:val="002A696C"/>
    <w:rsid w:val="002A7623"/>
    <w:rsid w:val="002B0B5E"/>
    <w:rsid w:val="002B1CE5"/>
    <w:rsid w:val="002B2879"/>
    <w:rsid w:val="002B4C99"/>
    <w:rsid w:val="002B523F"/>
    <w:rsid w:val="002B5BD6"/>
    <w:rsid w:val="002B6792"/>
    <w:rsid w:val="002B721B"/>
    <w:rsid w:val="002B72EB"/>
    <w:rsid w:val="002C0038"/>
    <w:rsid w:val="002C3B21"/>
    <w:rsid w:val="002C3E29"/>
    <w:rsid w:val="002C4889"/>
    <w:rsid w:val="002C50AF"/>
    <w:rsid w:val="002C512F"/>
    <w:rsid w:val="002D01F4"/>
    <w:rsid w:val="002D0C8B"/>
    <w:rsid w:val="002D10AB"/>
    <w:rsid w:val="002D12C6"/>
    <w:rsid w:val="002D297A"/>
    <w:rsid w:val="002D340D"/>
    <w:rsid w:val="002D3CE6"/>
    <w:rsid w:val="002D5286"/>
    <w:rsid w:val="002D6BD4"/>
    <w:rsid w:val="002E1122"/>
    <w:rsid w:val="002E3DAD"/>
    <w:rsid w:val="002E53C9"/>
    <w:rsid w:val="002E62D0"/>
    <w:rsid w:val="002E71A9"/>
    <w:rsid w:val="002E71D2"/>
    <w:rsid w:val="002E7E4E"/>
    <w:rsid w:val="002F0DEB"/>
    <w:rsid w:val="002F1FDB"/>
    <w:rsid w:val="002F60BE"/>
    <w:rsid w:val="002F68FA"/>
    <w:rsid w:val="002F7B57"/>
    <w:rsid w:val="00301650"/>
    <w:rsid w:val="0030231B"/>
    <w:rsid w:val="00305A5E"/>
    <w:rsid w:val="0030782E"/>
    <w:rsid w:val="00310D09"/>
    <w:rsid w:val="00311DC4"/>
    <w:rsid w:val="00313115"/>
    <w:rsid w:val="0031685D"/>
    <w:rsid w:val="00317CD8"/>
    <w:rsid w:val="00317F1E"/>
    <w:rsid w:val="0032066F"/>
    <w:rsid w:val="00320DC3"/>
    <w:rsid w:val="003219A9"/>
    <w:rsid w:val="00327E4A"/>
    <w:rsid w:val="00330441"/>
    <w:rsid w:val="00330DC9"/>
    <w:rsid w:val="0033117C"/>
    <w:rsid w:val="00332096"/>
    <w:rsid w:val="00332C30"/>
    <w:rsid w:val="00332F5B"/>
    <w:rsid w:val="00334375"/>
    <w:rsid w:val="003377E2"/>
    <w:rsid w:val="00337F6F"/>
    <w:rsid w:val="00340058"/>
    <w:rsid w:val="003420D7"/>
    <w:rsid w:val="00342953"/>
    <w:rsid w:val="00342DFA"/>
    <w:rsid w:val="003439F0"/>
    <w:rsid w:val="00344B7D"/>
    <w:rsid w:val="00347D8D"/>
    <w:rsid w:val="00351638"/>
    <w:rsid w:val="003536FB"/>
    <w:rsid w:val="00353793"/>
    <w:rsid w:val="0035512F"/>
    <w:rsid w:val="003567B3"/>
    <w:rsid w:val="00357C92"/>
    <w:rsid w:val="003606EB"/>
    <w:rsid w:val="00360D48"/>
    <w:rsid w:val="00362E02"/>
    <w:rsid w:val="00363198"/>
    <w:rsid w:val="00363850"/>
    <w:rsid w:val="00365320"/>
    <w:rsid w:val="003656D7"/>
    <w:rsid w:val="00367886"/>
    <w:rsid w:val="00370B98"/>
    <w:rsid w:val="00371E3A"/>
    <w:rsid w:val="0037230B"/>
    <w:rsid w:val="003739A8"/>
    <w:rsid w:val="00373BB5"/>
    <w:rsid w:val="00374303"/>
    <w:rsid w:val="003804C3"/>
    <w:rsid w:val="00380E72"/>
    <w:rsid w:val="0038160D"/>
    <w:rsid w:val="00381A53"/>
    <w:rsid w:val="00381D3F"/>
    <w:rsid w:val="00383893"/>
    <w:rsid w:val="003840B5"/>
    <w:rsid w:val="00384193"/>
    <w:rsid w:val="00395101"/>
    <w:rsid w:val="003957B5"/>
    <w:rsid w:val="00395AAC"/>
    <w:rsid w:val="003A19D9"/>
    <w:rsid w:val="003A54E6"/>
    <w:rsid w:val="003A667E"/>
    <w:rsid w:val="003A797B"/>
    <w:rsid w:val="003B0C8D"/>
    <w:rsid w:val="003B40C1"/>
    <w:rsid w:val="003B4BCB"/>
    <w:rsid w:val="003B622C"/>
    <w:rsid w:val="003B6DCB"/>
    <w:rsid w:val="003C0DC2"/>
    <w:rsid w:val="003C32FE"/>
    <w:rsid w:val="003C703F"/>
    <w:rsid w:val="003D07B8"/>
    <w:rsid w:val="003D1909"/>
    <w:rsid w:val="003D19A0"/>
    <w:rsid w:val="003D3450"/>
    <w:rsid w:val="003D4B66"/>
    <w:rsid w:val="003D500E"/>
    <w:rsid w:val="003D521F"/>
    <w:rsid w:val="003D5BDE"/>
    <w:rsid w:val="003D744F"/>
    <w:rsid w:val="003E06D7"/>
    <w:rsid w:val="003E208C"/>
    <w:rsid w:val="003E2A58"/>
    <w:rsid w:val="003E4341"/>
    <w:rsid w:val="003E4AA6"/>
    <w:rsid w:val="003E6EEC"/>
    <w:rsid w:val="003E7FD3"/>
    <w:rsid w:val="003F023B"/>
    <w:rsid w:val="003F172B"/>
    <w:rsid w:val="003F177C"/>
    <w:rsid w:val="003F69E2"/>
    <w:rsid w:val="003F75BB"/>
    <w:rsid w:val="0040006F"/>
    <w:rsid w:val="004008E2"/>
    <w:rsid w:val="004011D7"/>
    <w:rsid w:val="00401355"/>
    <w:rsid w:val="00401C0E"/>
    <w:rsid w:val="00402308"/>
    <w:rsid w:val="00403570"/>
    <w:rsid w:val="00410FB7"/>
    <w:rsid w:val="00411906"/>
    <w:rsid w:val="00412886"/>
    <w:rsid w:val="00412FA3"/>
    <w:rsid w:val="00416B24"/>
    <w:rsid w:val="00417960"/>
    <w:rsid w:val="004216B6"/>
    <w:rsid w:val="00421789"/>
    <w:rsid w:val="0042592C"/>
    <w:rsid w:val="00425C56"/>
    <w:rsid w:val="0042638B"/>
    <w:rsid w:val="00427627"/>
    <w:rsid w:val="00430EDD"/>
    <w:rsid w:val="00432C7F"/>
    <w:rsid w:val="004335C7"/>
    <w:rsid w:val="004339EE"/>
    <w:rsid w:val="004362E8"/>
    <w:rsid w:val="0043659E"/>
    <w:rsid w:val="00437070"/>
    <w:rsid w:val="0043715B"/>
    <w:rsid w:val="00437D60"/>
    <w:rsid w:val="00441DE9"/>
    <w:rsid w:val="004424B8"/>
    <w:rsid w:val="00443610"/>
    <w:rsid w:val="00452D5C"/>
    <w:rsid w:val="0045305D"/>
    <w:rsid w:val="004530A0"/>
    <w:rsid w:val="00454EA6"/>
    <w:rsid w:val="00455750"/>
    <w:rsid w:val="004569B2"/>
    <w:rsid w:val="00461EB2"/>
    <w:rsid w:val="0046222C"/>
    <w:rsid w:val="004624E1"/>
    <w:rsid w:val="004629E4"/>
    <w:rsid w:val="0046461D"/>
    <w:rsid w:val="00465BB0"/>
    <w:rsid w:val="004663AB"/>
    <w:rsid w:val="00466ADD"/>
    <w:rsid w:val="00466B0D"/>
    <w:rsid w:val="00466D3A"/>
    <w:rsid w:val="00466EBE"/>
    <w:rsid w:val="0047516B"/>
    <w:rsid w:val="00476420"/>
    <w:rsid w:val="004770B7"/>
    <w:rsid w:val="0048110D"/>
    <w:rsid w:val="00481209"/>
    <w:rsid w:val="00482017"/>
    <w:rsid w:val="00482A6D"/>
    <w:rsid w:val="0048433F"/>
    <w:rsid w:val="00485DB9"/>
    <w:rsid w:val="00485EE4"/>
    <w:rsid w:val="00487FC9"/>
    <w:rsid w:val="00491B96"/>
    <w:rsid w:val="00494065"/>
    <w:rsid w:val="00495BAF"/>
    <w:rsid w:val="00495D27"/>
    <w:rsid w:val="004968A2"/>
    <w:rsid w:val="004A085B"/>
    <w:rsid w:val="004A3A31"/>
    <w:rsid w:val="004A44EF"/>
    <w:rsid w:val="004A4842"/>
    <w:rsid w:val="004A4AD0"/>
    <w:rsid w:val="004A5D2C"/>
    <w:rsid w:val="004A6A28"/>
    <w:rsid w:val="004B177C"/>
    <w:rsid w:val="004B1B11"/>
    <w:rsid w:val="004B3683"/>
    <w:rsid w:val="004B6AB3"/>
    <w:rsid w:val="004B7298"/>
    <w:rsid w:val="004B7B66"/>
    <w:rsid w:val="004C35B9"/>
    <w:rsid w:val="004C3E29"/>
    <w:rsid w:val="004C55B5"/>
    <w:rsid w:val="004C5C06"/>
    <w:rsid w:val="004C695F"/>
    <w:rsid w:val="004C7279"/>
    <w:rsid w:val="004D0D7D"/>
    <w:rsid w:val="004D1C5F"/>
    <w:rsid w:val="004D402F"/>
    <w:rsid w:val="004D538E"/>
    <w:rsid w:val="004D5BCB"/>
    <w:rsid w:val="004D6F54"/>
    <w:rsid w:val="004E0474"/>
    <w:rsid w:val="004E16E0"/>
    <w:rsid w:val="004E220F"/>
    <w:rsid w:val="004E2569"/>
    <w:rsid w:val="004E2C21"/>
    <w:rsid w:val="004E4963"/>
    <w:rsid w:val="004E5573"/>
    <w:rsid w:val="004E6701"/>
    <w:rsid w:val="004F05E8"/>
    <w:rsid w:val="004F0A9C"/>
    <w:rsid w:val="004F0E59"/>
    <w:rsid w:val="004F3724"/>
    <w:rsid w:val="004F39A3"/>
    <w:rsid w:val="004F461F"/>
    <w:rsid w:val="004F7737"/>
    <w:rsid w:val="004F7858"/>
    <w:rsid w:val="00500BD9"/>
    <w:rsid w:val="00502018"/>
    <w:rsid w:val="005026EF"/>
    <w:rsid w:val="0050334E"/>
    <w:rsid w:val="00503F86"/>
    <w:rsid w:val="00507975"/>
    <w:rsid w:val="00510519"/>
    <w:rsid w:val="00511055"/>
    <w:rsid w:val="00511BA1"/>
    <w:rsid w:val="00511CFD"/>
    <w:rsid w:val="00512EC7"/>
    <w:rsid w:val="0051348F"/>
    <w:rsid w:val="00516805"/>
    <w:rsid w:val="00517895"/>
    <w:rsid w:val="00521194"/>
    <w:rsid w:val="00521CC0"/>
    <w:rsid w:val="00527821"/>
    <w:rsid w:val="00527D25"/>
    <w:rsid w:val="00527EF0"/>
    <w:rsid w:val="005315CB"/>
    <w:rsid w:val="005369C4"/>
    <w:rsid w:val="0053732C"/>
    <w:rsid w:val="005374A7"/>
    <w:rsid w:val="00537FE2"/>
    <w:rsid w:val="00541682"/>
    <w:rsid w:val="0054172D"/>
    <w:rsid w:val="00543C69"/>
    <w:rsid w:val="00546490"/>
    <w:rsid w:val="00547FCB"/>
    <w:rsid w:val="005526D5"/>
    <w:rsid w:val="0056150E"/>
    <w:rsid w:val="00561DD0"/>
    <w:rsid w:val="00563DEB"/>
    <w:rsid w:val="00564B71"/>
    <w:rsid w:val="0056697E"/>
    <w:rsid w:val="00570AB8"/>
    <w:rsid w:val="00570BAA"/>
    <w:rsid w:val="00570F76"/>
    <w:rsid w:val="00571543"/>
    <w:rsid w:val="00571E0E"/>
    <w:rsid w:val="00573243"/>
    <w:rsid w:val="005750D4"/>
    <w:rsid w:val="005754C7"/>
    <w:rsid w:val="00580FA9"/>
    <w:rsid w:val="005821AF"/>
    <w:rsid w:val="00583C75"/>
    <w:rsid w:val="00590954"/>
    <w:rsid w:val="00590CDD"/>
    <w:rsid w:val="005921A6"/>
    <w:rsid w:val="00597206"/>
    <w:rsid w:val="00597E04"/>
    <w:rsid w:val="005A12CE"/>
    <w:rsid w:val="005A14D4"/>
    <w:rsid w:val="005A2053"/>
    <w:rsid w:val="005A3658"/>
    <w:rsid w:val="005A5138"/>
    <w:rsid w:val="005A654B"/>
    <w:rsid w:val="005A6850"/>
    <w:rsid w:val="005B09F8"/>
    <w:rsid w:val="005B39CD"/>
    <w:rsid w:val="005B5E6F"/>
    <w:rsid w:val="005B6F2A"/>
    <w:rsid w:val="005C1273"/>
    <w:rsid w:val="005C4A53"/>
    <w:rsid w:val="005C57D2"/>
    <w:rsid w:val="005C590F"/>
    <w:rsid w:val="005C5BE4"/>
    <w:rsid w:val="005C6CAB"/>
    <w:rsid w:val="005D1B67"/>
    <w:rsid w:val="005D50B1"/>
    <w:rsid w:val="005E1213"/>
    <w:rsid w:val="005E1DE7"/>
    <w:rsid w:val="005E48EE"/>
    <w:rsid w:val="005E49B6"/>
    <w:rsid w:val="005E5C43"/>
    <w:rsid w:val="005E6448"/>
    <w:rsid w:val="005E671D"/>
    <w:rsid w:val="005E6B2A"/>
    <w:rsid w:val="005E7171"/>
    <w:rsid w:val="005E7757"/>
    <w:rsid w:val="005F055A"/>
    <w:rsid w:val="005F0B05"/>
    <w:rsid w:val="005F20FC"/>
    <w:rsid w:val="005F253A"/>
    <w:rsid w:val="005F2C03"/>
    <w:rsid w:val="00600926"/>
    <w:rsid w:val="00602CC8"/>
    <w:rsid w:val="006046A2"/>
    <w:rsid w:val="00605C5D"/>
    <w:rsid w:val="006072BC"/>
    <w:rsid w:val="00607D9B"/>
    <w:rsid w:val="00610B6F"/>
    <w:rsid w:val="00611511"/>
    <w:rsid w:val="00613311"/>
    <w:rsid w:val="00614E3C"/>
    <w:rsid w:val="00615DF7"/>
    <w:rsid w:val="00616FB5"/>
    <w:rsid w:val="00620EB3"/>
    <w:rsid w:val="006221EB"/>
    <w:rsid w:val="00623D74"/>
    <w:rsid w:val="00624EFC"/>
    <w:rsid w:val="00631760"/>
    <w:rsid w:val="00631994"/>
    <w:rsid w:val="0063426E"/>
    <w:rsid w:val="00634DB6"/>
    <w:rsid w:val="00635189"/>
    <w:rsid w:val="00637CA4"/>
    <w:rsid w:val="00641B21"/>
    <w:rsid w:val="006424D1"/>
    <w:rsid w:val="006424FF"/>
    <w:rsid w:val="00643207"/>
    <w:rsid w:val="00643E98"/>
    <w:rsid w:val="006444DC"/>
    <w:rsid w:val="00644970"/>
    <w:rsid w:val="00645B1E"/>
    <w:rsid w:val="00646E33"/>
    <w:rsid w:val="00647C83"/>
    <w:rsid w:val="00660294"/>
    <w:rsid w:val="00660BDB"/>
    <w:rsid w:val="00662FCE"/>
    <w:rsid w:val="006649E3"/>
    <w:rsid w:val="00666A7D"/>
    <w:rsid w:val="0066792E"/>
    <w:rsid w:val="00670110"/>
    <w:rsid w:val="006707B2"/>
    <w:rsid w:val="00670AD5"/>
    <w:rsid w:val="006748EF"/>
    <w:rsid w:val="00676F64"/>
    <w:rsid w:val="00680B4B"/>
    <w:rsid w:val="00682782"/>
    <w:rsid w:val="0068299F"/>
    <w:rsid w:val="006836FB"/>
    <w:rsid w:val="0068643B"/>
    <w:rsid w:val="00686A7D"/>
    <w:rsid w:val="00691E8C"/>
    <w:rsid w:val="0069314E"/>
    <w:rsid w:val="006935A3"/>
    <w:rsid w:val="00693659"/>
    <w:rsid w:val="00693864"/>
    <w:rsid w:val="0069474D"/>
    <w:rsid w:val="006963DD"/>
    <w:rsid w:val="006A16DF"/>
    <w:rsid w:val="006A1CF4"/>
    <w:rsid w:val="006A1F9D"/>
    <w:rsid w:val="006A23C1"/>
    <w:rsid w:val="006A2F41"/>
    <w:rsid w:val="006A31A3"/>
    <w:rsid w:val="006A3BC3"/>
    <w:rsid w:val="006A594B"/>
    <w:rsid w:val="006A672C"/>
    <w:rsid w:val="006A6953"/>
    <w:rsid w:val="006A758A"/>
    <w:rsid w:val="006A7F91"/>
    <w:rsid w:val="006B06E0"/>
    <w:rsid w:val="006B1AFA"/>
    <w:rsid w:val="006B1D78"/>
    <w:rsid w:val="006B2A34"/>
    <w:rsid w:val="006B2E2A"/>
    <w:rsid w:val="006B3652"/>
    <w:rsid w:val="006B5613"/>
    <w:rsid w:val="006B7B01"/>
    <w:rsid w:val="006C0A4F"/>
    <w:rsid w:val="006C5798"/>
    <w:rsid w:val="006C76D8"/>
    <w:rsid w:val="006D059A"/>
    <w:rsid w:val="006D17FB"/>
    <w:rsid w:val="006D2191"/>
    <w:rsid w:val="006D266C"/>
    <w:rsid w:val="006D3A0E"/>
    <w:rsid w:val="006D48BA"/>
    <w:rsid w:val="006D69DE"/>
    <w:rsid w:val="006E1E75"/>
    <w:rsid w:val="006E3465"/>
    <w:rsid w:val="006E420B"/>
    <w:rsid w:val="006E6653"/>
    <w:rsid w:val="006E68F5"/>
    <w:rsid w:val="006F0F8C"/>
    <w:rsid w:val="006F1578"/>
    <w:rsid w:val="006F245F"/>
    <w:rsid w:val="006F277F"/>
    <w:rsid w:val="006F3FD4"/>
    <w:rsid w:val="006F4034"/>
    <w:rsid w:val="006F4945"/>
    <w:rsid w:val="006F494D"/>
    <w:rsid w:val="006F6F76"/>
    <w:rsid w:val="00700943"/>
    <w:rsid w:val="00702D0B"/>
    <w:rsid w:val="0070376C"/>
    <w:rsid w:val="007053A2"/>
    <w:rsid w:val="00706627"/>
    <w:rsid w:val="0070707C"/>
    <w:rsid w:val="00710529"/>
    <w:rsid w:val="0071344C"/>
    <w:rsid w:val="0071344D"/>
    <w:rsid w:val="0071731F"/>
    <w:rsid w:val="00722C3F"/>
    <w:rsid w:val="00724BA2"/>
    <w:rsid w:val="007312D0"/>
    <w:rsid w:val="00732F8F"/>
    <w:rsid w:val="0073389C"/>
    <w:rsid w:val="00734213"/>
    <w:rsid w:val="0073562F"/>
    <w:rsid w:val="00735AC1"/>
    <w:rsid w:val="00740D39"/>
    <w:rsid w:val="00741300"/>
    <w:rsid w:val="00741A25"/>
    <w:rsid w:val="00742B02"/>
    <w:rsid w:val="00743548"/>
    <w:rsid w:val="00743FDE"/>
    <w:rsid w:val="0074434E"/>
    <w:rsid w:val="00745B6E"/>
    <w:rsid w:val="007460E9"/>
    <w:rsid w:val="00747F4B"/>
    <w:rsid w:val="00752079"/>
    <w:rsid w:val="007550AB"/>
    <w:rsid w:val="00760D0F"/>
    <w:rsid w:val="007611AB"/>
    <w:rsid w:val="00763DAC"/>
    <w:rsid w:val="00764660"/>
    <w:rsid w:val="00764CC2"/>
    <w:rsid w:val="0076604C"/>
    <w:rsid w:val="007677D6"/>
    <w:rsid w:val="00767CF6"/>
    <w:rsid w:val="007700D2"/>
    <w:rsid w:val="00770D18"/>
    <w:rsid w:val="0077170A"/>
    <w:rsid w:val="007717F8"/>
    <w:rsid w:val="00776FA8"/>
    <w:rsid w:val="0077776E"/>
    <w:rsid w:val="00780B59"/>
    <w:rsid w:val="00782528"/>
    <w:rsid w:val="00783238"/>
    <w:rsid w:val="00783766"/>
    <w:rsid w:val="007837EB"/>
    <w:rsid w:val="007847CD"/>
    <w:rsid w:val="007847EB"/>
    <w:rsid w:val="00785074"/>
    <w:rsid w:val="00785086"/>
    <w:rsid w:val="007916CC"/>
    <w:rsid w:val="00791A9D"/>
    <w:rsid w:val="00792C1D"/>
    <w:rsid w:val="007936E9"/>
    <w:rsid w:val="0079488F"/>
    <w:rsid w:val="007949D2"/>
    <w:rsid w:val="00795F8F"/>
    <w:rsid w:val="007960EB"/>
    <w:rsid w:val="00796149"/>
    <w:rsid w:val="00796ED9"/>
    <w:rsid w:val="00797020"/>
    <w:rsid w:val="007A4059"/>
    <w:rsid w:val="007A6662"/>
    <w:rsid w:val="007A7C29"/>
    <w:rsid w:val="007A7CDB"/>
    <w:rsid w:val="007B02B4"/>
    <w:rsid w:val="007B0650"/>
    <w:rsid w:val="007B1A8C"/>
    <w:rsid w:val="007B2042"/>
    <w:rsid w:val="007B2E79"/>
    <w:rsid w:val="007B4D59"/>
    <w:rsid w:val="007C05A5"/>
    <w:rsid w:val="007C1369"/>
    <w:rsid w:val="007C2F7A"/>
    <w:rsid w:val="007C31E0"/>
    <w:rsid w:val="007C4865"/>
    <w:rsid w:val="007C6E1F"/>
    <w:rsid w:val="007C6FF7"/>
    <w:rsid w:val="007C7F37"/>
    <w:rsid w:val="007D0D0D"/>
    <w:rsid w:val="007D2FB0"/>
    <w:rsid w:val="007D4EC6"/>
    <w:rsid w:val="007D556F"/>
    <w:rsid w:val="007D7864"/>
    <w:rsid w:val="007D7B90"/>
    <w:rsid w:val="007E01C5"/>
    <w:rsid w:val="007E6909"/>
    <w:rsid w:val="007F1611"/>
    <w:rsid w:val="007F1FEB"/>
    <w:rsid w:val="007F2369"/>
    <w:rsid w:val="007F26B0"/>
    <w:rsid w:val="007F2A86"/>
    <w:rsid w:val="007F425B"/>
    <w:rsid w:val="007F455C"/>
    <w:rsid w:val="007F7958"/>
    <w:rsid w:val="0080158E"/>
    <w:rsid w:val="00801BFD"/>
    <w:rsid w:val="00802CE6"/>
    <w:rsid w:val="00804E3B"/>
    <w:rsid w:val="0080517B"/>
    <w:rsid w:val="00805724"/>
    <w:rsid w:val="00805F0F"/>
    <w:rsid w:val="00806337"/>
    <w:rsid w:val="00810136"/>
    <w:rsid w:val="008101BD"/>
    <w:rsid w:val="00810F8E"/>
    <w:rsid w:val="008125F3"/>
    <w:rsid w:val="00812F57"/>
    <w:rsid w:val="0082078F"/>
    <w:rsid w:val="008212C1"/>
    <w:rsid w:val="008216D8"/>
    <w:rsid w:val="00821F2E"/>
    <w:rsid w:val="00822026"/>
    <w:rsid w:val="00823926"/>
    <w:rsid w:val="008243E2"/>
    <w:rsid w:val="008256D7"/>
    <w:rsid w:val="008257BD"/>
    <w:rsid w:val="00827B55"/>
    <w:rsid w:val="008309A5"/>
    <w:rsid w:val="00832521"/>
    <w:rsid w:val="00832E4C"/>
    <w:rsid w:val="00834992"/>
    <w:rsid w:val="00836C71"/>
    <w:rsid w:val="008407E4"/>
    <w:rsid w:val="00840A05"/>
    <w:rsid w:val="00842EB4"/>
    <w:rsid w:val="0084416B"/>
    <w:rsid w:val="00845035"/>
    <w:rsid w:val="0084615F"/>
    <w:rsid w:val="0085161D"/>
    <w:rsid w:val="00854557"/>
    <w:rsid w:val="00855A8A"/>
    <w:rsid w:val="008564FD"/>
    <w:rsid w:val="0085762B"/>
    <w:rsid w:val="00861326"/>
    <w:rsid w:val="00862FBD"/>
    <w:rsid w:val="008641CA"/>
    <w:rsid w:val="0086517C"/>
    <w:rsid w:val="00865A35"/>
    <w:rsid w:val="00872737"/>
    <w:rsid w:val="0087281D"/>
    <w:rsid w:val="00872A53"/>
    <w:rsid w:val="00872C7D"/>
    <w:rsid w:val="00873872"/>
    <w:rsid w:val="0087405E"/>
    <w:rsid w:val="00875E43"/>
    <w:rsid w:val="00876D42"/>
    <w:rsid w:val="00880391"/>
    <w:rsid w:val="008818B5"/>
    <w:rsid w:val="00883102"/>
    <w:rsid w:val="00883A16"/>
    <w:rsid w:val="00885BA2"/>
    <w:rsid w:val="00886C82"/>
    <w:rsid w:val="008917C3"/>
    <w:rsid w:val="00892910"/>
    <w:rsid w:val="00894386"/>
    <w:rsid w:val="00895116"/>
    <w:rsid w:val="0089592D"/>
    <w:rsid w:val="00895BF3"/>
    <w:rsid w:val="008962B4"/>
    <w:rsid w:val="0089681C"/>
    <w:rsid w:val="00896DEF"/>
    <w:rsid w:val="008A070F"/>
    <w:rsid w:val="008A193E"/>
    <w:rsid w:val="008A6338"/>
    <w:rsid w:val="008A636C"/>
    <w:rsid w:val="008B171B"/>
    <w:rsid w:val="008C1E16"/>
    <w:rsid w:val="008C3AAA"/>
    <w:rsid w:val="008C427B"/>
    <w:rsid w:val="008C457E"/>
    <w:rsid w:val="008C4D69"/>
    <w:rsid w:val="008C75FA"/>
    <w:rsid w:val="008D00DC"/>
    <w:rsid w:val="008D04EF"/>
    <w:rsid w:val="008D09AC"/>
    <w:rsid w:val="008D1BA9"/>
    <w:rsid w:val="008D1D16"/>
    <w:rsid w:val="008D26B4"/>
    <w:rsid w:val="008D6E00"/>
    <w:rsid w:val="008E1B2B"/>
    <w:rsid w:val="008E2F15"/>
    <w:rsid w:val="008E32F3"/>
    <w:rsid w:val="008E3459"/>
    <w:rsid w:val="008E4E31"/>
    <w:rsid w:val="008F0299"/>
    <w:rsid w:val="008F0FB7"/>
    <w:rsid w:val="008F1C1A"/>
    <w:rsid w:val="008F3866"/>
    <w:rsid w:val="008F5225"/>
    <w:rsid w:val="008F548B"/>
    <w:rsid w:val="008F561B"/>
    <w:rsid w:val="0090433F"/>
    <w:rsid w:val="0090653A"/>
    <w:rsid w:val="009068DA"/>
    <w:rsid w:val="00906E0F"/>
    <w:rsid w:val="0090732B"/>
    <w:rsid w:val="00911026"/>
    <w:rsid w:val="009114D0"/>
    <w:rsid w:val="00912FB6"/>
    <w:rsid w:val="0091364D"/>
    <w:rsid w:val="00913983"/>
    <w:rsid w:val="0091538E"/>
    <w:rsid w:val="009155FA"/>
    <w:rsid w:val="00915D2A"/>
    <w:rsid w:val="00916A5C"/>
    <w:rsid w:val="0092057B"/>
    <w:rsid w:val="009231CD"/>
    <w:rsid w:val="0092379C"/>
    <w:rsid w:val="0092524C"/>
    <w:rsid w:val="00925E0A"/>
    <w:rsid w:val="00930222"/>
    <w:rsid w:val="00931BCF"/>
    <w:rsid w:val="00932910"/>
    <w:rsid w:val="00932B9F"/>
    <w:rsid w:val="00933067"/>
    <w:rsid w:val="00933491"/>
    <w:rsid w:val="00934314"/>
    <w:rsid w:val="00934795"/>
    <w:rsid w:val="00935804"/>
    <w:rsid w:val="0093695B"/>
    <w:rsid w:val="009404B0"/>
    <w:rsid w:val="009424EA"/>
    <w:rsid w:val="0094450A"/>
    <w:rsid w:val="00946298"/>
    <w:rsid w:val="00946867"/>
    <w:rsid w:val="009503D0"/>
    <w:rsid w:val="00950A9E"/>
    <w:rsid w:val="009526EB"/>
    <w:rsid w:val="009560B0"/>
    <w:rsid w:val="0095638D"/>
    <w:rsid w:val="00956C9A"/>
    <w:rsid w:val="009601F7"/>
    <w:rsid w:val="00963D41"/>
    <w:rsid w:val="00963EB0"/>
    <w:rsid w:val="0096552B"/>
    <w:rsid w:val="00966227"/>
    <w:rsid w:val="00966694"/>
    <w:rsid w:val="00967422"/>
    <w:rsid w:val="00967C97"/>
    <w:rsid w:val="009700B4"/>
    <w:rsid w:val="00973716"/>
    <w:rsid w:val="0097474F"/>
    <w:rsid w:val="0097542F"/>
    <w:rsid w:val="00975A7D"/>
    <w:rsid w:val="0097699B"/>
    <w:rsid w:val="0098141F"/>
    <w:rsid w:val="00981B51"/>
    <w:rsid w:val="0098232E"/>
    <w:rsid w:val="00985BF6"/>
    <w:rsid w:val="0098675B"/>
    <w:rsid w:val="00992D59"/>
    <w:rsid w:val="009931B5"/>
    <w:rsid w:val="00993926"/>
    <w:rsid w:val="009943DF"/>
    <w:rsid w:val="0099532F"/>
    <w:rsid w:val="00995D12"/>
    <w:rsid w:val="00996772"/>
    <w:rsid w:val="00996E09"/>
    <w:rsid w:val="00997C17"/>
    <w:rsid w:val="009A10D3"/>
    <w:rsid w:val="009A1E70"/>
    <w:rsid w:val="009A25B7"/>
    <w:rsid w:val="009A3299"/>
    <w:rsid w:val="009A35CE"/>
    <w:rsid w:val="009A3F6C"/>
    <w:rsid w:val="009A4543"/>
    <w:rsid w:val="009A46B4"/>
    <w:rsid w:val="009B1259"/>
    <w:rsid w:val="009B2D00"/>
    <w:rsid w:val="009B3330"/>
    <w:rsid w:val="009B3522"/>
    <w:rsid w:val="009B4764"/>
    <w:rsid w:val="009C0AB8"/>
    <w:rsid w:val="009C3804"/>
    <w:rsid w:val="009C3E4A"/>
    <w:rsid w:val="009C72B2"/>
    <w:rsid w:val="009D03D2"/>
    <w:rsid w:val="009D1282"/>
    <w:rsid w:val="009D231F"/>
    <w:rsid w:val="009D2C86"/>
    <w:rsid w:val="009D31C0"/>
    <w:rsid w:val="009D3CB3"/>
    <w:rsid w:val="009D4A46"/>
    <w:rsid w:val="009D56FC"/>
    <w:rsid w:val="009D61BA"/>
    <w:rsid w:val="009D61C9"/>
    <w:rsid w:val="009E1974"/>
    <w:rsid w:val="009E4EA1"/>
    <w:rsid w:val="009E620F"/>
    <w:rsid w:val="009E6939"/>
    <w:rsid w:val="009F09F3"/>
    <w:rsid w:val="009F1964"/>
    <w:rsid w:val="009F6775"/>
    <w:rsid w:val="009F7EE5"/>
    <w:rsid w:val="00A0347A"/>
    <w:rsid w:val="00A03B5A"/>
    <w:rsid w:val="00A04BA3"/>
    <w:rsid w:val="00A04F5E"/>
    <w:rsid w:val="00A06364"/>
    <w:rsid w:val="00A0690C"/>
    <w:rsid w:val="00A11572"/>
    <w:rsid w:val="00A12F7B"/>
    <w:rsid w:val="00A22467"/>
    <w:rsid w:val="00A22EE1"/>
    <w:rsid w:val="00A25BA9"/>
    <w:rsid w:val="00A25C9F"/>
    <w:rsid w:val="00A26975"/>
    <w:rsid w:val="00A2723F"/>
    <w:rsid w:val="00A27415"/>
    <w:rsid w:val="00A30E07"/>
    <w:rsid w:val="00A310D0"/>
    <w:rsid w:val="00A31D66"/>
    <w:rsid w:val="00A320D8"/>
    <w:rsid w:val="00A35FA4"/>
    <w:rsid w:val="00A364A3"/>
    <w:rsid w:val="00A36B88"/>
    <w:rsid w:val="00A401ED"/>
    <w:rsid w:val="00A41D66"/>
    <w:rsid w:val="00A425B2"/>
    <w:rsid w:val="00A4260F"/>
    <w:rsid w:val="00A4791C"/>
    <w:rsid w:val="00A502E3"/>
    <w:rsid w:val="00A526F2"/>
    <w:rsid w:val="00A5286B"/>
    <w:rsid w:val="00A529C6"/>
    <w:rsid w:val="00A52F34"/>
    <w:rsid w:val="00A540A3"/>
    <w:rsid w:val="00A5486B"/>
    <w:rsid w:val="00A552ED"/>
    <w:rsid w:val="00A57AC6"/>
    <w:rsid w:val="00A602AD"/>
    <w:rsid w:val="00A60966"/>
    <w:rsid w:val="00A615CB"/>
    <w:rsid w:val="00A61851"/>
    <w:rsid w:val="00A61D40"/>
    <w:rsid w:val="00A62A19"/>
    <w:rsid w:val="00A6329D"/>
    <w:rsid w:val="00A63384"/>
    <w:rsid w:val="00A64479"/>
    <w:rsid w:val="00A64DE8"/>
    <w:rsid w:val="00A65F64"/>
    <w:rsid w:val="00A7424C"/>
    <w:rsid w:val="00A74B43"/>
    <w:rsid w:val="00A75367"/>
    <w:rsid w:val="00A764BE"/>
    <w:rsid w:val="00A7706F"/>
    <w:rsid w:val="00A81054"/>
    <w:rsid w:val="00A82868"/>
    <w:rsid w:val="00A84267"/>
    <w:rsid w:val="00A866F5"/>
    <w:rsid w:val="00A9170A"/>
    <w:rsid w:val="00AA1030"/>
    <w:rsid w:val="00AA2AD9"/>
    <w:rsid w:val="00AA3381"/>
    <w:rsid w:val="00AA351C"/>
    <w:rsid w:val="00AA3645"/>
    <w:rsid w:val="00AA3735"/>
    <w:rsid w:val="00AA4700"/>
    <w:rsid w:val="00AA678B"/>
    <w:rsid w:val="00AB2BE5"/>
    <w:rsid w:val="00AB3E90"/>
    <w:rsid w:val="00AC1835"/>
    <w:rsid w:val="00AC2DCB"/>
    <w:rsid w:val="00AC34F0"/>
    <w:rsid w:val="00AC4008"/>
    <w:rsid w:val="00AD0F9C"/>
    <w:rsid w:val="00AD2FB4"/>
    <w:rsid w:val="00AD3AD0"/>
    <w:rsid w:val="00AD3F09"/>
    <w:rsid w:val="00AD448F"/>
    <w:rsid w:val="00AD461D"/>
    <w:rsid w:val="00AD47D6"/>
    <w:rsid w:val="00AD5F3F"/>
    <w:rsid w:val="00AD68A3"/>
    <w:rsid w:val="00AD6FD1"/>
    <w:rsid w:val="00AD7151"/>
    <w:rsid w:val="00AD75B5"/>
    <w:rsid w:val="00AD779F"/>
    <w:rsid w:val="00AE0D92"/>
    <w:rsid w:val="00AE107C"/>
    <w:rsid w:val="00AE3B7F"/>
    <w:rsid w:val="00AE5135"/>
    <w:rsid w:val="00AE5E3C"/>
    <w:rsid w:val="00AF2005"/>
    <w:rsid w:val="00AF293B"/>
    <w:rsid w:val="00AF6CD0"/>
    <w:rsid w:val="00B0088C"/>
    <w:rsid w:val="00B01366"/>
    <w:rsid w:val="00B0168B"/>
    <w:rsid w:val="00B016C2"/>
    <w:rsid w:val="00B019C7"/>
    <w:rsid w:val="00B027F7"/>
    <w:rsid w:val="00B039B0"/>
    <w:rsid w:val="00B060D3"/>
    <w:rsid w:val="00B07389"/>
    <w:rsid w:val="00B078A6"/>
    <w:rsid w:val="00B0791A"/>
    <w:rsid w:val="00B106FA"/>
    <w:rsid w:val="00B10BE6"/>
    <w:rsid w:val="00B1216F"/>
    <w:rsid w:val="00B127FD"/>
    <w:rsid w:val="00B157F9"/>
    <w:rsid w:val="00B15CA1"/>
    <w:rsid w:val="00B161C4"/>
    <w:rsid w:val="00B17A38"/>
    <w:rsid w:val="00B20CE2"/>
    <w:rsid w:val="00B20E77"/>
    <w:rsid w:val="00B216E2"/>
    <w:rsid w:val="00B223B4"/>
    <w:rsid w:val="00B247B1"/>
    <w:rsid w:val="00B253CB"/>
    <w:rsid w:val="00B25866"/>
    <w:rsid w:val="00B2781E"/>
    <w:rsid w:val="00B32582"/>
    <w:rsid w:val="00B32930"/>
    <w:rsid w:val="00B35ADC"/>
    <w:rsid w:val="00B35BF5"/>
    <w:rsid w:val="00B35D3A"/>
    <w:rsid w:val="00B372D1"/>
    <w:rsid w:val="00B3761A"/>
    <w:rsid w:val="00B40582"/>
    <w:rsid w:val="00B4157C"/>
    <w:rsid w:val="00B41604"/>
    <w:rsid w:val="00B42375"/>
    <w:rsid w:val="00B435B1"/>
    <w:rsid w:val="00B46618"/>
    <w:rsid w:val="00B46B70"/>
    <w:rsid w:val="00B47C14"/>
    <w:rsid w:val="00B528FD"/>
    <w:rsid w:val="00B53830"/>
    <w:rsid w:val="00B54633"/>
    <w:rsid w:val="00B55E1D"/>
    <w:rsid w:val="00B56022"/>
    <w:rsid w:val="00B57F21"/>
    <w:rsid w:val="00B616B6"/>
    <w:rsid w:val="00B62BF0"/>
    <w:rsid w:val="00B635AC"/>
    <w:rsid w:val="00B65DE5"/>
    <w:rsid w:val="00B66309"/>
    <w:rsid w:val="00B66827"/>
    <w:rsid w:val="00B66E75"/>
    <w:rsid w:val="00B710E4"/>
    <w:rsid w:val="00B72617"/>
    <w:rsid w:val="00B74C3E"/>
    <w:rsid w:val="00B75CF7"/>
    <w:rsid w:val="00B76761"/>
    <w:rsid w:val="00B805A0"/>
    <w:rsid w:val="00B8401A"/>
    <w:rsid w:val="00B865AD"/>
    <w:rsid w:val="00B866E2"/>
    <w:rsid w:val="00B903D3"/>
    <w:rsid w:val="00B90425"/>
    <w:rsid w:val="00B90621"/>
    <w:rsid w:val="00B90967"/>
    <w:rsid w:val="00B911D4"/>
    <w:rsid w:val="00B91ABD"/>
    <w:rsid w:val="00B91DE7"/>
    <w:rsid w:val="00B93F4D"/>
    <w:rsid w:val="00B95AE9"/>
    <w:rsid w:val="00B96EC4"/>
    <w:rsid w:val="00BA0204"/>
    <w:rsid w:val="00BA2CF0"/>
    <w:rsid w:val="00BA3FD7"/>
    <w:rsid w:val="00BA45AC"/>
    <w:rsid w:val="00BA5C12"/>
    <w:rsid w:val="00BA6B2B"/>
    <w:rsid w:val="00BB01DA"/>
    <w:rsid w:val="00BB4BF9"/>
    <w:rsid w:val="00BB5AF9"/>
    <w:rsid w:val="00BB75E6"/>
    <w:rsid w:val="00BC20F8"/>
    <w:rsid w:val="00BC31AD"/>
    <w:rsid w:val="00BC5058"/>
    <w:rsid w:val="00BC5DB1"/>
    <w:rsid w:val="00BC774E"/>
    <w:rsid w:val="00BD13A4"/>
    <w:rsid w:val="00BD3533"/>
    <w:rsid w:val="00BD6769"/>
    <w:rsid w:val="00BE27D2"/>
    <w:rsid w:val="00BE4155"/>
    <w:rsid w:val="00BF1595"/>
    <w:rsid w:val="00BF3D38"/>
    <w:rsid w:val="00BF50FD"/>
    <w:rsid w:val="00BF6A8C"/>
    <w:rsid w:val="00C0038F"/>
    <w:rsid w:val="00C004CB"/>
    <w:rsid w:val="00C038C2"/>
    <w:rsid w:val="00C03EEF"/>
    <w:rsid w:val="00C10291"/>
    <w:rsid w:val="00C10C64"/>
    <w:rsid w:val="00C10E4E"/>
    <w:rsid w:val="00C135BA"/>
    <w:rsid w:val="00C1400B"/>
    <w:rsid w:val="00C14EFE"/>
    <w:rsid w:val="00C163C0"/>
    <w:rsid w:val="00C17764"/>
    <w:rsid w:val="00C214E6"/>
    <w:rsid w:val="00C21D6D"/>
    <w:rsid w:val="00C22314"/>
    <w:rsid w:val="00C230DF"/>
    <w:rsid w:val="00C2376F"/>
    <w:rsid w:val="00C23E9C"/>
    <w:rsid w:val="00C24570"/>
    <w:rsid w:val="00C256F6"/>
    <w:rsid w:val="00C26D91"/>
    <w:rsid w:val="00C27494"/>
    <w:rsid w:val="00C31829"/>
    <w:rsid w:val="00C33649"/>
    <w:rsid w:val="00C33F9B"/>
    <w:rsid w:val="00C34137"/>
    <w:rsid w:val="00C3597B"/>
    <w:rsid w:val="00C36D86"/>
    <w:rsid w:val="00C37275"/>
    <w:rsid w:val="00C4008E"/>
    <w:rsid w:val="00C404EE"/>
    <w:rsid w:val="00C433F7"/>
    <w:rsid w:val="00C44EAF"/>
    <w:rsid w:val="00C46608"/>
    <w:rsid w:val="00C47207"/>
    <w:rsid w:val="00C47A50"/>
    <w:rsid w:val="00C500AA"/>
    <w:rsid w:val="00C525F9"/>
    <w:rsid w:val="00C54E13"/>
    <w:rsid w:val="00C54E71"/>
    <w:rsid w:val="00C60483"/>
    <w:rsid w:val="00C61351"/>
    <w:rsid w:val="00C64E21"/>
    <w:rsid w:val="00C65465"/>
    <w:rsid w:val="00C65E67"/>
    <w:rsid w:val="00C7586D"/>
    <w:rsid w:val="00C77F8F"/>
    <w:rsid w:val="00C8068D"/>
    <w:rsid w:val="00C82D89"/>
    <w:rsid w:val="00C83013"/>
    <w:rsid w:val="00C83FCB"/>
    <w:rsid w:val="00C85033"/>
    <w:rsid w:val="00C905C5"/>
    <w:rsid w:val="00C91EAF"/>
    <w:rsid w:val="00C92139"/>
    <w:rsid w:val="00C939B3"/>
    <w:rsid w:val="00C94163"/>
    <w:rsid w:val="00C9481C"/>
    <w:rsid w:val="00C94929"/>
    <w:rsid w:val="00C969DE"/>
    <w:rsid w:val="00CA02A0"/>
    <w:rsid w:val="00CA16B4"/>
    <w:rsid w:val="00CA17FC"/>
    <w:rsid w:val="00CA20F9"/>
    <w:rsid w:val="00CA3162"/>
    <w:rsid w:val="00CA5324"/>
    <w:rsid w:val="00CA5E3E"/>
    <w:rsid w:val="00CA668B"/>
    <w:rsid w:val="00CA6CC0"/>
    <w:rsid w:val="00CB01DA"/>
    <w:rsid w:val="00CB01DC"/>
    <w:rsid w:val="00CB34A7"/>
    <w:rsid w:val="00CB35B0"/>
    <w:rsid w:val="00CB5308"/>
    <w:rsid w:val="00CB53A9"/>
    <w:rsid w:val="00CB6672"/>
    <w:rsid w:val="00CB7402"/>
    <w:rsid w:val="00CC1034"/>
    <w:rsid w:val="00CC1C42"/>
    <w:rsid w:val="00CC2273"/>
    <w:rsid w:val="00CC3C2F"/>
    <w:rsid w:val="00CC3F4C"/>
    <w:rsid w:val="00CC4321"/>
    <w:rsid w:val="00CC43F3"/>
    <w:rsid w:val="00CC7164"/>
    <w:rsid w:val="00CD00BD"/>
    <w:rsid w:val="00CD01B6"/>
    <w:rsid w:val="00CD2CCB"/>
    <w:rsid w:val="00CD50BC"/>
    <w:rsid w:val="00CD5A31"/>
    <w:rsid w:val="00CD61A6"/>
    <w:rsid w:val="00CD6381"/>
    <w:rsid w:val="00CE1A4D"/>
    <w:rsid w:val="00CE4B6A"/>
    <w:rsid w:val="00CE4C46"/>
    <w:rsid w:val="00CE4C97"/>
    <w:rsid w:val="00CE6112"/>
    <w:rsid w:val="00CF2A04"/>
    <w:rsid w:val="00CF359C"/>
    <w:rsid w:val="00CF3B25"/>
    <w:rsid w:val="00CF7EFE"/>
    <w:rsid w:val="00D008DE"/>
    <w:rsid w:val="00D00954"/>
    <w:rsid w:val="00D0161E"/>
    <w:rsid w:val="00D0169E"/>
    <w:rsid w:val="00D02C94"/>
    <w:rsid w:val="00D03046"/>
    <w:rsid w:val="00D0424A"/>
    <w:rsid w:val="00D06D9F"/>
    <w:rsid w:val="00D06E1C"/>
    <w:rsid w:val="00D10F60"/>
    <w:rsid w:val="00D1410C"/>
    <w:rsid w:val="00D15841"/>
    <w:rsid w:val="00D15F07"/>
    <w:rsid w:val="00D16C80"/>
    <w:rsid w:val="00D212CD"/>
    <w:rsid w:val="00D2199C"/>
    <w:rsid w:val="00D240A7"/>
    <w:rsid w:val="00D25165"/>
    <w:rsid w:val="00D25B57"/>
    <w:rsid w:val="00D26039"/>
    <w:rsid w:val="00D26F8C"/>
    <w:rsid w:val="00D30B3C"/>
    <w:rsid w:val="00D32E0E"/>
    <w:rsid w:val="00D32ECD"/>
    <w:rsid w:val="00D333C2"/>
    <w:rsid w:val="00D34662"/>
    <w:rsid w:val="00D348F4"/>
    <w:rsid w:val="00D35CAD"/>
    <w:rsid w:val="00D37579"/>
    <w:rsid w:val="00D401EF"/>
    <w:rsid w:val="00D40EC5"/>
    <w:rsid w:val="00D42311"/>
    <w:rsid w:val="00D43E5D"/>
    <w:rsid w:val="00D44D06"/>
    <w:rsid w:val="00D463DC"/>
    <w:rsid w:val="00D51EBA"/>
    <w:rsid w:val="00D531F2"/>
    <w:rsid w:val="00D53C75"/>
    <w:rsid w:val="00D60917"/>
    <w:rsid w:val="00D60CCA"/>
    <w:rsid w:val="00D6127A"/>
    <w:rsid w:val="00D632D4"/>
    <w:rsid w:val="00D64CB2"/>
    <w:rsid w:val="00D65656"/>
    <w:rsid w:val="00D70C7E"/>
    <w:rsid w:val="00D72D8D"/>
    <w:rsid w:val="00D7469B"/>
    <w:rsid w:val="00D75A95"/>
    <w:rsid w:val="00D83087"/>
    <w:rsid w:val="00D83C27"/>
    <w:rsid w:val="00D846B7"/>
    <w:rsid w:val="00D86AFD"/>
    <w:rsid w:val="00D86E5E"/>
    <w:rsid w:val="00D87FB5"/>
    <w:rsid w:val="00D907AF"/>
    <w:rsid w:val="00D9177B"/>
    <w:rsid w:val="00D92224"/>
    <w:rsid w:val="00D95164"/>
    <w:rsid w:val="00D95852"/>
    <w:rsid w:val="00D95BE1"/>
    <w:rsid w:val="00D96316"/>
    <w:rsid w:val="00DA0116"/>
    <w:rsid w:val="00DA199E"/>
    <w:rsid w:val="00DA26FE"/>
    <w:rsid w:val="00DA2E24"/>
    <w:rsid w:val="00DA492E"/>
    <w:rsid w:val="00DA4AE2"/>
    <w:rsid w:val="00DA4FEE"/>
    <w:rsid w:val="00DA5C6E"/>
    <w:rsid w:val="00DA5FE5"/>
    <w:rsid w:val="00DA708E"/>
    <w:rsid w:val="00DB0A1F"/>
    <w:rsid w:val="00DB1036"/>
    <w:rsid w:val="00DB5BB6"/>
    <w:rsid w:val="00DB6F72"/>
    <w:rsid w:val="00DB6FBF"/>
    <w:rsid w:val="00DC1D6D"/>
    <w:rsid w:val="00DC219E"/>
    <w:rsid w:val="00DC2E82"/>
    <w:rsid w:val="00DC344E"/>
    <w:rsid w:val="00DC487B"/>
    <w:rsid w:val="00DC50D8"/>
    <w:rsid w:val="00DC54D6"/>
    <w:rsid w:val="00DC55CD"/>
    <w:rsid w:val="00DC5F6D"/>
    <w:rsid w:val="00DC6D1B"/>
    <w:rsid w:val="00DC6EDE"/>
    <w:rsid w:val="00DC742E"/>
    <w:rsid w:val="00DD1216"/>
    <w:rsid w:val="00DD1238"/>
    <w:rsid w:val="00DD1885"/>
    <w:rsid w:val="00DD2507"/>
    <w:rsid w:val="00DD276C"/>
    <w:rsid w:val="00DD284A"/>
    <w:rsid w:val="00DD5F8E"/>
    <w:rsid w:val="00DD61E0"/>
    <w:rsid w:val="00DD7242"/>
    <w:rsid w:val="00DD7BB5"/>
    <w:rsid w:val="00DE11D7"/>
    <w:rsid w:val="00DE1D04"/>
    <w:rsid w:val="00DE1F19"/>
    <w:rsid w:val="00DE239A"/>
    <w:rsid w:val="00DE574A"/>
    <w:rsid w:val="00DE5DF1"/>
    <w:rsid w:val="00DF051C"/>
    <w:rsid w:val="00DF058E"/>
    <w:rsid w:val="00DF0C25"/>
    <w:rsid w:val="00DF1BD5"/>
    <w:rsid w:val="00DF3A3F"/>
    <w:rsid w:val="00DF3ABC"/>
    <w:rsid w:val="00DF44BA"/>
    <w:rsid w:val="00DF485B"/>
    <w:rsid w:val="00DF5FD1"/>
    <w:rsid w:val="00DF615E"/>
    <w:rsid w:val="00DF6C7B"/>
    <w:rsid w:val="00E02568"/>
    <w:rsid w:val="00E0322C"/>
    <w:rsid w:val="00E04886"/>
    <w:rsid w:val="00E04D9B"/>
    <w:rsid w:val="00E101AD"/>
    <w:rsid w:val="00E11CF5"/>
    <w:rsid w:val="00E15CB7"/>
    <w:rsid w:val="00E17399"/>
    <w:rsid w:val="00E17544"/>
    <w:rsid w:val="00E17F9B"/>
    <w:rsid w:val="00E21899"/>
    <w:rsid w:val="00E25B75"/>
    <w:rsid w:val="00E25C3A"/>
    <w:rsid w:val="00E262CD"/>
    <w:rsid w:val="00E26995"/>
    <w:rsid w:val="00E270CB"/>
    <w:rsid w:val="00E302F2"/>
    <w:rsid w:val="00E303DD"/>
    <w:rsid w:val="00E3051A"/>
    <w:rsid w:val="00E31BA8"/>
    <w:rsid w:val="00E31BDB"/>
    <w:rsid w:val="00E31ED9"/>
    <w:rsid w:val="00E32A03"/>
    <w:rsid w:val="00E3420A"/>
    <w:rsid w:val="00E35361"/>
    <w:rsid w:val="00E36ED8"/>
    <w:rsid w:val="00E378AC"/>
    <w:rsid w:val="00E40BE6"/>
    <w:rsid w:val="00E43EFC"/>
    <w:rsid w:val="00E46D32"/>
    <w:rsid w:val="00E47CA4"/>
    <w:rsid w:val="00E508CC"/>
    <w:rsid w:val="00E50D45"/>
    <w:rsid w:val="00E55F75"/>
    <w:rsid w:val="00E562FF"/>
    <w:rsid w:val="00E57C11"/>
    <w:rsid w:val="00E60E98"/>
    <w:rsid w:val="00E628C8"/>
    <w:rsid w:val="00E64A86"/>
    <w:rsid w:val="00E65B41"/>
    <w:rsid w:val="00E72065"/>
    <w:rsid w:val="00E72B2E"/>
    <w:rsid w:val="00E738C5"/>
    <w:rsid w:val="00E74173"/>
    <w:rsid w:val="00E7492A"/>
    <w:rsid w:val="00E74F9E"/>
    <w:rsid w:val="00E76E64"/>
    <w:rsid w:val="00E77E96"/>
    <w:rsid w:val="00E81190"/>
    <w:rsid w:val="00E83062"/>
    <w:rsid w:val="00E839D8"/>
    <w:rsid w:val="00E847DB"/>
    <w:rsid w:val="00E920C7"/>
    <w:rsid w:val="00E95340"/>
    <w:rsid w:val="00E95701"/>
    <w:rsid w:val="00E96C53"/>
    <w:rsid w:val="00EA0B19"/>
    <w:rsid w:val="00EA10A9"/>
    <w:rsid w:val="00EA17F7"/>
    <w:rsid w:val="00EA4716"/>
    <w:rsid w:val="00EA538C"/>
    <w:rsid w:val="00EA5587"/>
    <w:rsid w:val="00EA5ECD"/>
    <w:rsid w:val="00EA6184"/>
    <w:rsid w:val="00EA61C1"/>
    <w:rsid w:val="00EA656E"/>
    <w:rsid w:val="00EA738E"/>
    <w:rsid w:val="00EA767F"/>
    <w:rsid w:val="00EA7C62"/>
    <w:rsid w:val="00EB2EC3"/>
    <w:rsid w:val="00EB52BA"/>
    <w:rsid w:val="00EB5948"/>
    <w:rsid w:val="00EB5F12"/>
    <w:rsid w:val="00EB7411"/>
    <w:rsid w:val="00EC20BB"/>
    <w:rsid w:val="00EC237E"/>
    <w:rsid w:val="00EC3223"/>
    <w:rsid w:val="00EC39BE"/>
    <w:rsid w:val="00EC55EE"/>
    <w:rsid w:val="00ED12BC"/>
    <w:rsid w:val="00ED1B07"/>
    <w:rsid w:val="00ED437C"/>
    <w:rsid w:val="00ED4771"/>
    <w:rsid w:val="00ED58C7"/>
    <w:rsid w:val="00ED74E3"/>
    <w:rsid w:val="00EE14C5"/>
    <w:rsid w:val="00EE1EBB"/>
    <w:rsid w:val="00EE25BE"/>
    <w:rsid w:val="00EE44C0"/>
    <w:rsid w:val="00EE5461"/>
    <w:rsid w:val="00EE572F"/>
    <w:rsid w:val="00EE5833"/>
    <w:rsid w:val="00EE7D15"/>
    <w:rsid w:val="00EF1252"/>
    <w:rsid w:val="00EF2429"/>
    <w:rsid w:val="00EF3126"/>
    <w:rsid w:val="00EF5D59"/>
    <w:rsid w:val="00F024C2"/>
    <w:rsid w:val="00F10BA1"/>
    <w:rsid w:val="00F11BE7"/>
    <w:rsid w:val="00F11DF2"/>
    <w:rsid w:val="00F15D25"/>
    <w:rsid w:val="00F17C2D"/>
    <w:rsid w:val="00F22B04"/>
    <w:rsid w:val="00F24FF5"/>
    <w:rsid w:val="00F2566B"/>
    <w:rsid w:val="00F27BF3"/>
    <w:rsid w:val="00F30844"/>
    <w:rsid w:val="00F31669"/>
    <w:rsid w:val="00F3197E"/>
    <w:rsid w:val="00F34284"/>
    <w:rsid w:val="00F345D6"/>
    <w:rsid w:val="00F34CB1"/>
    <w:rsid w:val="00F40960"/>
    <w:rsid w:val="00F41195"/>
    <w:rsid w:val="00F42426"/>
    <w:rsid w:val="00F42E92"/>
    <w:rsid w:val="00F432D3"/>
    <w:rsid w:val="00F44900"/>
    <w:rsid w:val="00F46980"/>
    <w:rsid w:val="00F50CF2"/>
    <w:rsid w:val="00F5226D"/>
    <w:rsid w:val="00F52DCF"/>
    <w:rsid w:val="00F5309B"/>
    <w:rsid w:val="00F555CF"/>
    <w:rsid w:val="00F56BCF"/>
    <w:rsid w:val="00F56D83"/>
    <w:rsid w:val="00F57494"/>
    <w:rsid w:val="00F6097E"/>
    <w:rsid w:val="00F60E28"/>
    <w:rsid w:val="00F61289"/>
    <w:rsid w:val="00F61AF4"/>
    <w:rsid w:val="00F62883"/>
    <w:rsid w:val="00F62C51"/>
    <w:rsid w:val="00F6328F"/>
    <w:rsid w:val="00F637B3"/>
    <w:rsid w:val="00F64246"/>
    <w:rsid w:val="00F65FBD"/>
    <w:rsid w:val="00F6627A"/>
    <w:rsid w:val="00F70CE5"/>
    <w:rsid w:val="00F70E4C"/>
    <w:rsid w:val="00F73096"/>
    <w:rsid w:val="00F813C7"/>
    <w:rsid w:val="00F826B8"/>
    <w:rsid w:val="00F82E44"/>
    <w:rsid w:val="00F84282"/>
    <w:rsid w:val="00F846F4"/>
    <w:rsid w:val="00F8594A"/>
    <w:rsid w:val="00F862F1"/>
    <w:rsid w:val="00F8705C"/>
    <w:rsid w:val="00F87B3E"/>
    <w:rsid w:val="00F90764"/>
    <w:rsid w:val="00F91023"/>
    <w:rsid w:val="00F91659"/>
    <w:rsid w:val="00F91754"/>
    <w:rsid w:val="00F94106"/>
    <w:rsid w:val="00F94EE9"/>
    <w:rsid w:val="00F96829"/>
    <w:rsid w:val="00FA1B98"/>
    <w:rsid w:val="00FA2AD3"/>
    <w:rsid w:val="00FA4C4A"/>
    <w:rsid w:val="00FA715B"/>
    <w:rsid w:val="00FA7362"/>
    <w:rsid w:val="00FB0DF3"/>
    <w:rsid w:val="00FB2954"/>
    <w:rsid w:val="00FB2C6C"/>
    <w:rsid w:val="00FB4FF3"/>
    <w:rsid w:val="00FB616B"/>
    <w:rsid w:val="00FC0A9E"/>
    <w:rsid w:val="00FC1B44"/>
    <w:rsid w:val="00FC3A4E"/>
    <w:rsid w:val="00FD151F"/>
    <w:rsid w:val="00FD5955"/>
    <w:rsid w:val="00FD5BDF"/>
    <w:rsid w:val="00FD643A"/>
    <w:rsid w:val="00FD7696"/>
    <w:rsid w:val="00FD7FB0"/>
    <w:rsid w:val="00FE1287"/>
    <w:rsid w:val="00FE1630"/>
    <w:rsid w:val="00FE18D7"/>
    <w:rsid w:val="00FE20EF"/>
    <w:rsid w:val="00FE275C"/>
    <w:rsid w:val="00FE4967"/>
    <w:rsid w:val="00FE60FC"/>
    <w:rsid w:val="00FE6EAB"/>
    <w:rsid w:val="00FE70EF"/>
    <w:rsid w:val="00FF095F"/>
    <w:rsid w:val="00FF0BB1"/>
    <w:rsid w:val="00FF17B9"/>
    <w:rsid w:val="00FF1C37"/>
    <w:rsid w:val="00FF1F56"/>
    <w:rsid w:val="00FF2058"/>
    <w:rsid w:val="00FF209A"/>
    <w:rsid w:val="00FF32D2"/>
    <w:rsid w:val="00FF61C6"/>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BC8C33"/>
  <w14:defaultImageDpi w14:val="300"/>
  <w15:docId w15:val="{7CB5ECB2-A779-A64D-B005-8E8E2773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3A"/>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D83C27"/>
    <w:pPr>
      <w:keepNext/>
      <w:keepLines/>
      <w:spacing w:before="480" w:line="360" w:lineRule="auto"/>
      <w:jc w:val="both"/>
      <w:outlineLvl w:val="0"/>
    </w:pPr>
    <w:rPr>
      <w:rFonts w:ascii="Arial" w:eastAsiaTheme="majorEastAsia" w:hAnsi="Arial"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D83C27"/>
    <w:pPr>
      <w:keepNext/>
      <w:keepLines/>
      <w:spacing w:before="200" w:line="360" w:lineRule="auto"/>
      <w:jc w:val="both"/>
      <w:outlineLvl w:val="1"/>
    </w:pPr>
    <w:rPr>
      <w:rFonts w:ascii="Arial" w:eastAsiaTheme="majorEastAsia" w:hAnsi="Arial" w:cstheme="majorBidi"/>
      <w:b/>
      <w:bCs/>
      <w:color w:val="4F81BD" w:themeColor="accent1"/>
      <w:sz w:val="28"/>
      <w:szCs w:val="26"/>
      <w:lang w:val="en-US"/>
    </w:rPr>
  </w:style>
  <w:style w:type="paragraph" w:styleId="Heading3">
    <w:name w:val="heading 3"/>
    <w:basedOn w:val="Normal"/>
    <w:next w:val="Normal"/>
    <w:link w:val="Heading3Char"/>
    <w:uiPriority w:val="9"/>
    <w:unhideWhenUsed/>
    <w:qFormat/>
    <w:rsid w:val="005615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A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64D"/>
    <w:pPr>
      <w:spacing w:before="100" w:beforeAutospacing="1" w:after="100" w:afterAutospacing="1" w:line="360" w:lineRule="auto"/>
      <w:jc w:val="both"/>
    </w:pPr>
    <w:rPr>
      <w:rFonts w:ascii="Times" w:eastAsiaTheme="minorEastAsia" w:hAnsi="Times"/>
      <w:sz w:val="20"/>
      <w:szCs w:val="20"/>
      <w:lang w:val="en-US"/>
    </w:rPr>
  </w:style>
  <w:style w:type="character" w:styleId="CommentReference">
    <w:name w:val="annotation reference"/>
    <w:basedOn w:val="DefaultParagraphFont"/>
    <w:uiPriority w:val="99"/>
    <w:semiHidden/>
    <w:unhideWhenUsed/>
    <w:rsid w:val="00FB616B"/>
    <w:rPr>
      <w:sz w:val="18"/>
      <w:szCs w:val="18"/>
    </w:rPr>
  </w:style>
  <w:style w:type="paragraph" w:styleId="CommentText">
    <w:name w:val="annotation text"/>
    <w:basedOn w:val="Normal"/>
    <w:link w:val="CommentTextChar"/>
    <w:uiPriority w:val="99"/>
    <w:unhideWhenUsed/>
    <w:rsid w:val="00FB616B"/>
    <w:pPr>
      <w:spacing w:line="360" w:lineRule="auto"/>
      <w:jc w:val="both"/>
    </w:pPr>
    <w:rPr>
      <w:rFonts w:ascii="Arial" w:eastAsiaTheme="minorEastAsia" w:hAnsi="Arial" w:cstheme="minorBidi"/>
      <w:sz w:val="20"/>
      <w:lang w:val="en-US"/>
    </w:rPr>
  </w:style>
  <w:style w:type="character" w:customStyle="1" w:styleId="CommentTextChar">
    <w:name w:val="Comment Text Char"/>
    <w:basedOn w:val="DefaultParagraphFont"/>
    <w:link w:val="CommentText"/>
    <w:uiPriority w:val="99"/>
    <w:rsid w:val="00FB616B"/>
  </w:style>
  <w:style w:type="paragraph" w:styleId="CommentSubject">
    <w:name w:val="annotation subject"/>
    <w:basedOn w:val="CommentText"/>
    <w:next w:val="CommentText"/>
    <w:link w:val="CommentSubjectChar"/>
    <w:uiPriority w:val="99"/>
    <w:semiHidden/>
    <w:unhideWhenUsed/>
    <w:rsid w:val="00FB616B"/>
    <w:rPr>
      <w:b/>
      <w:bCs/>
      <w:szCs w:val="20"/>
    </w:rPr>
  </w:style>
  <w:style w:type="character" w:customStyle="1" w:styleId="CommentSubjectChar">
    <w:name w:val="Comment Subject Char"/>
    <w:basedOn w:val="CommentTextChar"/>
    <w:link w:val="CommentSubject"/>
    <w:uiPriority w:val="99"/>
    <w:semiHidden/>
    <w:rsid w:val="00FB616B"/>
    <w:rPr>
      <w:b/>
      <w:bCs/>
      <w:sz w:val="20"/>
      <w:szCs w:val="20"/>
    </w:rPr>
  </w:style>
  <w:style w:type="paragraph" w:styleId="BalloonText">
    <w:name w:val="Balloon Text"/>
    <w:basedOn w:val="Normal"/>
    <w:link w:val="BalloonTextChar"/>
    <w:uiPriority w:val="99"/>
    <w:semiHidden/>
    <w:unhideWhenUsed/>
    <w:rsid w:val="00FB6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16B"/>
    <w:rPr>
      <w:rFonts w:ascii="Lucida Grande" w:hAnsi="Lucida Grande" w:cs="Lucida Grande"/>
      <w:sz w:val="18"/>
      <w:szCs w:val="18"/>
    </w:rPr>
  </w:style>
  <w:style w:type="table" w:styleId="TableGrid">
    <w:name w:val="Table Grid"/>
    <w:basedOn w:val="TableNormal"/>
    <w:uiPriority w:val="59"/>
    <w:rsid w:val="0052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BE1"/>
    <w:pPr>
      <w:spacing w:line="360" w:lineRule="auto"/>
      <w:ind w:left="720"/>
      <w:contextualSpacing/>
      <w:jc w:val="both"/>
    </w:pPr>
    <w:rPr>
      <w:rFonts w:ascii="Arial" w:eastAsiaTheme="minorEastAsia" w:hAnsi="Arial" w:cstheme="minorBidi"/>
      <w:sz w:val="20"/>
      <w:lang w:val="en-US"/>
    </w:rPr>
  </w:style>
  <w:style w:type="character" w:customStyle="1" w:styleId="Heading1Char">
    <w:name w:val="Heading 1 Char"/>
    <w:basedOn w:val="DefaultParagraphFont"/>
    <w:link w:val="Heading1"/>
    <w:uiPriority w:val="9"/>
    <w:rsid w:val="00D83C27"/>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83C27"/>
    <w:rPr>
      <w:rFonts w:ascii="Arial" w:eastAsiaTheme="majorEastAsia" w:hAnsi="Arial" w:cstheme="majorBidi"/>
      <w:b/>
      <w:bCs/>
      <w:color w:val="4F81BD" w:themeColor="accent1"/>
      <w:sz w:val="28"/>
      <w:szCs w:val="26"/>
    </w:rPr>
  </w:style>
  <w:style w:type="paragraph" w:styleId="Header">
    <w:name w:val="header"/>
    <w:basedOn w:val="Normal"/>
    <w:link w:val="HeaderChar"/>
    <w:uiPriority w:val="99"/>
    <w:unhideWhenUsed/>
    <w:rsid w:val="00C0038F"/>
    <w:pPr>
      <w:tabs>
        <w:tab w:val="center" w:pos="4320"/>
        <w:tab w:val="right" w:pos="8640"/>
      </w:tabs>
      <w:jc w:val="both"/>
    </w:pPr>
    <w:rPr>
      <w:rFonts w:ascii="Arial" w:eastAsiaTheme="minorEastAsia" w:hAnsi="Arial" w:cstheme="minorBidi"/>
      <w:sz w:val="20"/>
      <w:lang w:val="en-US"/>
    </w:rPr>
  </w:style>
  <w:style w:type="character" w:customStyle="1" w:styleId="HeaderChar">
    <w:name w:val="Header Char"/>
    <w:basedOn w:val="DefaultParagraphFont"/>
    <w:link w:val="Header"/>
    <w:uiPriority w:val="99"/>
    <w:rsid w:val="00C0038F"/>
    <w:rPr>
      <w:rFonts w:ascii="Arial" w:hAnsi="Arial"/>
      <w:sz w:val="20"/>
    </w:rPr>
  </w:style>
  <w:style w:type="paragraph" w:styleId="Footer">
    <w:name w:val="footer"/>
    <w:basedOn w:val="Normal"/>
    <w:link w:val="FooterChar"/>
    <w:uiPriority w:val="99"/>
    <w:unhideWhenUsed/>
    <w:rsid w:val="00C0038F"/>
    <w:pPr>
      <w:tabs>
        <w:tab w:val="center" w:pos="4320"/>
        <w:tab w:val="right" w:pos="8640"/>
      </w:tabs>
      <w:jc w:val="both"/>
    </w:pPr>
    <w:rPr>
      <w:rFonts w:ascii="Arial" w:eastAsiaTheme="minorEastAsia" w:hAnsi="Arial" w:cstheme="minorBidi"/>
      <w:sz w:val="20"/>
      <w:lang w:val="en-US"/>
    </w:rPr>
  </w:style>
  <w:style w:type="character" w:customStyle="1" w:styleId="FooterChar">
    <w:name w:val="Footer Char"/>
    <w:basedOn w:val="DefaultParagraphFont"/>
    <w:link w:val="Footer"/>
    <w:uiPriority w:val="99"/>
    <w:rsid w:val="00C0038F"/>
    <w:rPr>
      <w:rFonts w:ascii="Arial" w:hAnsi="Arial"/>
      <w:sz w:val="20"/>
    </w:rPr>
  </w:style>
  <w:style w:type="paragraph" w:styleId="Revision">
    <w:name w:val="Revision"/>
    <w:hidden/>
    <w:uiPriority w:val="99"/>
    <w:semiHidden/>
    <w:rsid w:val="00783238"/>
    <w:rPr>
      <w:rFonts w:ascii="Arial" w:hAnsi="Arial"/>
      <w:sz w:val="20"/>
    </w:rPr>
  </w:style>
  <w:style w:type="character" w:styleId="Hyperlink">
    <w:name w:val="Hyperlink"/>
    <w:basedOn w:val="DefaultParagraphFont"/>
    <w:uiPriority w:val="99"/>
    <w:unhideWhenUsed/>
    <w:rsid w:val="00FF17B9"/>
    <w:rPr>
      <w:color w:val="0000FF" w:themeColor="hyperlink"/>
      <w:u w:val="single"/>
    </w:rPr>
  </w:style>
  <w:style w:type="character" w:customStyle="1" w:styleId="title-text">
    <w:name w:val="title-text"/>
    <w:basedOn w:val="DefaultParagraphFont"/>
    <w:rsid w:val="0032066F"/>
  </w:style>
  <w:style w:type="character" w:styleId="FollowedHyperlink">
    <w:name w:val="FollowedHyperlink"/>
    <w:basedOn w:val="DefaultParagraphFont"/>
    <w:uiPriority w:val="99"/>
    <w:semiHidden/>
    <w:unhideWhenUsed/>
    <w:rsid w:val="00E77E96"/>
    <w:rPr>
      <w:color w:val="800080" w:themeColor="followedHyperlink"/>
      <w:u w:val="single"/>
    </w:rPr>
  </w:style>
  <w:style w:type="character" w:styleId="LineNumber">
    <w:name w:val="line number"/>
    <w:basedOn w:val="DefaultParagraphFont"/>
    <w:uiPriority w:val="99"/>
    <w:semiHidden/>
    <w:unhideWhenUsed/>
    <w:rsid w:val="00607D9B"/>
  </w:style>
  <w:style w:type="character" w:styleId="PageNumber">
    <w:name w:val="page number"/>
    <w:basedOn w:val="DefaultParagraphFont"/>
    <w:uiPriority w:val="99"/>
    <w:semiHidden/>
    <w:unhideWhenUsed/>
    <w:rsid w:val="00752079"/>
  </w:style>
  <w:style w:type="character" w:customStyle="1" w:styleId="doi">
    <w:name w:val="doi"/>
    <w:basedOn w:val="DefaultParagraphFont"/>
    <w:rsid w:val="00D16C80"/>
  </w:style>
  <w:style w:type="character" w:customStyle="1" w:styleId="apple-converted-space">
    <w:name w:val="apple-converted-space"/>
    <w:basedOn w:val="DefaultParagraphFont"/>
    <w:rsid w:val="0090653A"/>
  </w:style>
  <w:style w:type="character" w:customStyle="1" w:styleId="Heading4Char">
    <w:name w:val="Heading 4 Char"/>
    <w:basedOn w:val="DefaultParagraphFont"/>
    <w:link w:val="Heading4"/>
    <w:uiPriority w:val="9"/>
    <w:rsid w:val="00883A16"/>
    <w:rPr>
      <w:rFonts w:asciiTheme="majorHAnsi" w:eastAsiaTheme="majorEastAsia" w:hAnsiTheme="majorHAnsi" w:cstheme="majorBidi"/>
      <w:i/>
      <w:iCs/>
      <w:color w:val="365F91" w:themeColor="accent1" w:themeShade="BF"/>
      <w:lang w:val="en-GB"/>
    </w:rPr>
  </w:style>
  <w:style w:type="character" w:customStyle="1" w:styleId="Heading3Char">
    <w:name w:val="Heading 3 Char"/>
    <w:basedOn w:val="DefaultParagraphFont"/>
    <w:link w:val="Heading3"/>
    <w:uiPriority w:val="9"/>
    <w:rsid w:val="0056150E"/>
    <w:rPr>
      <w:rFonts w:asciiTheme="majorHAnsi" w:eastAsiaTheme="majorEastAsia" w:hAnsiTheme="majorHAnsi" w:cstheme="majorBidi"/>
      <w:b/>
      <w:bCs/>
      <w:color w:val="4F81BD" w:themeColor="accent1"/>
      <w:lang w:val="en-GB"/>
    </w:rPr>
  </w:style>
  <w:style w:type="character" w:customStyle="1" w:styleId="cit">
    <w:name w:val="cit"/>
    <w:basedOn w:val="DefaultParagraphFont"/>
    <w:rsid w:val="006A23C1"/>
  </w:style>
  <w:style w:type="character" w:customStyle="1" w:styleId="fm-vol-iss-date">
    <w:name w:val="fm-vol-iss-date"/>
    <w:basedOn w:val="DefaultParagraphFont"/>
    <w:rsid w:val="006A23C1"/>
  </w:style>
  <w:style w:type="character" w:customStyle="1" w:styleId="identifier">
    <w:name w:val="identifier"/>
    <w:basedOn w:val="DefaultParagraphFont"/>
    <w:rsid w:val="0025734F"/>
  </w:style>
  <w:style w:type="character" w:customStyle="1" w:styleId="id-label">
    <w:name w:val="id-label"/>
    <w:basedOn w:val="DefaultParagraphFont"/>
    <w:rsid w:val="0025734F"/>
  </w:style>
  <w:style w:type="paragraph" w:customStyle="1" w:styleId="EndNoteBibliographyTitle">
    <w:name w:val="EndNote Bibliography Title"/>
    <w:basedOn w:val="Normal"/>
    <w:link w:val="EndNoteBibliographyTitleChar"/>
    <w:rsid w:val="00417960"/>
    <w:pPr>
      <w:jc w:val="center"/>
    </w:pPr>
    <w:rPr>
      <w:noProof/>
      <w:lang w:val="en-US"/>
    </w:rPr>
  </w:style>
  <w:style w:type="character" w:customStyle="1" w:styleId="EndNoteBibliographyTitleChar">
    <w:name w:val="EndNote Bibliography Title Char"/>
    <w:basedOn w:val="DefaultParagraphFont"/>
    <w:link w:val="EndNoteBibliographyTitle"/>
    <w:rsid w:val="00417960"/>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417960"/>
    <w:pPr>
      <w:jc w:val="both"/>
    </w:pPr>
    <w:rPr>
      <w:noProof/>
      <w:lang w:val="en-US"/>
    </w:rPr>
  </w:style>
  <w:style w:type="character" w:customStyle="1" w:styleId="EndNoteBibliographyChar">
    <w:name w:val="EndNote Bibliography Char"/>
    <w:basedOn w:val="DefaultParagraphFont"/>
    <w:link w:val="EndNoteBibliography"/>
    <w:rsid w:val="00417960"/>
    <w:rPr>
      <w:rFonts w:ascii="Times New Roman" w:eastAsia="Times New Roman" w:hAnsi="Times New Roman" w:cs="Times New Roman"/>
      <w:noProof/>
    </w:rPr>
  </w:style>
  <w:style w:type="character" w:customStyle="1" w:styleId="UnresolvedMention1">
    <w:name w:val="Unresolved Mention1"/>
    <w:basedOn w:val="DefaultParagraphFont"/>
    <w:uiPriority w:val="99"/>
    <w:semiHidden/>
    <w:unhideWhenUsed/>
    <w:rsid w:val="00417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264">
      <w:bodyDiv w:val="1"/>
      <w:marLeft w:val="0"/>
      <w:marRight w:val="0"/>
      <w:marTop w:val="0"/>
      <w:marBottom w:val="0"/>
      <w:divBdr>
        <w:top w:val="none" w:sz="0" w:space="0" w:color="auto"/>
        <w:left w:val="none" w:sz="0" w:space="0" w:color="auto"/>
        <w:bottom w:val="none" w:sz="0" w:space="0" w:color="auto"/>
        <w:right w:val="none" w:sz="0" w:space="0" w:color="auto"/>
      </w:divBdr>
    </w:div>
    <w:div w:id="15887494">
      <w:bodyDiv w:val="1"/>
      <w:marLeft w:val="0"/>
      <w:marRight w:val="0"/>
      <w:marTop w:val="0"/>
      <w:marBottom w:val="0"/>
      <w:divBdr>
        <w:top w:val="none" w:sz="0" w:space="0" w:color="auto"/>
        <w:left w:val="none" w:sz="0" w:space="0" w:color="auto"/>
        <w:bottom w:val="none" w:sz="0" w:space="0" w:color="auto"/>
        <w:right w:val="none" w:sz="0" w:space="0" w:color="auto"/>
      </w:divBdr>
    </w:div>
    <w:div w:id="20058281">
      <w:bodyDiv w:val="1"/>
      <w:marLeft w:val="0"/>
      <w:marRight w:val="0"/>
      <w:marTop w:val="0"/>
      <w:marBottom w:val="0"/>
      <w:divBdr>
        <w:top w:val="none" w:sz="0" w:space="0" w:color="auto"/>
        <w:left w:val="none" w:sz="0" w:space="0" w:color="auto"/>
        <w:bottom w:val="none" w:sz="0" w:space="0" w:color="auto"/>
        <w:right w:val="none" w:sz="0" w:space="0" w:color="auto"/>
      </w:divBdr>
    </w:div>
    <w:div w:id="26486776">
      <w:bodyDiv w:val="1"/>
      <w:marLeft w:val="0"/>
      <w:marRight w:val="0"/>
      <w:marTop w:val="0"/>
      <w:marBottom w:val="0"/>
      <w:divBdr>
        <w:top w:val="none" w:sz="0" w:space="0" w:color="auto"/>
        <w:left w:val="none" w:sz="0" w:space="0" w:color="auto"/>
        <w:bottom w:val="none" w:sz="0" w:space="0" w:color="auto"/>
        <w:right w:val="none" w:sz="0" w:space="0" w:color="auto"/>
      </w:divBdr>
    </w:div>
    <w:div w:id="37945745">
      <w:bodyDiv w:val="1"/>
      <w:marLeft w:val="0"/>
      <w:marRight w:val="0"/>
      <w:marTop w:val="0"/>
      <w:marBottom w:val="0"/>
      <w:divBdr>
        <w:top w:val="none" w:sz="0" w:space="0" w:color="auto"/>
        <w:left w:val="none" w:sz="0" w:space="0" w:color="auto"/>
        <w:bottom w:val="none" w:sz="0" w:space="0" w:color="auto"/>
        <w:right w:val="none" w:sz="0" w:space="0" w:color="auto"/>
      </w:divBdr>
    </w:div>
    <w:div w:id="44068297">
      <w:bodyDiv w:val="1"/>
      <w:marLeft w:val="0"/>
      <w:marRight w:val="0"/>
      <w:marTop w:val="0"/>
      <w:marBottom w:val="0"/>
      <w:divBdr>
        <w:top w:val="none" w:sz="0" w:space="0" w:color="auto"/>
        <w:left w:val="none" w:sz="0" w:space="0" w:color="auto"/>
        <w:bottom w:val="none" w:sz="0" w:space="0" w:color="auto"/>
        <w:right w:val="none" w:sz="0" w:space="0" w:color="auto"/>
      </w:divBdr>
    </w:div>
    <w:div w:id="45030142">
      <w:bodyDiv w:val="1"/>
      <w:marLeft w:val="0"/>
      <w:marRight w:val="0"/>
      <w:marTop w:val="0"/>
      <w:marBottom w:val="0"/>
      <w:divBdr>
        <w:top w:val="none" w:sz="0" w:space="0" w:color="auto"/>
        <w:left w:val="none" w:sz="0" w:space="0" w:color="auto"/>
        <w:bottom w:val="none" w:sz="0" w:space="0" w:color="auto"/>
        <w:right w:val="none" w:sz="0" w:space="0" w:color="auto"/>
      </w:divBdr>
    </w:div>
    <w:div w:id="57287514">
      <w:bodyDiv w:val="1"/>
      <w:marLeft w:val="0"/>
      <w:marRight w:val="0"/>
      <w:marTop w:val="0"/>
      <w:marBottom w:val="0"/>
      <w:divBdr>
        <w:top w:val="none" w:sz="0" w:space="0" w:color="auto"/>
        <w:left w:val="none" w:sz="0" w:space="0" w:color="auto"/>
        <w:bottom w:val="none" w:sz="0" w:space="0" w:color="auto"/>
        <w:right w:val="none" w:sz="0" w:space="0" w:color="auto"/>
      </w:divBdr>
    </w:div>
    <w:div w:id="73624752">
      <w:bodyDiv w:val="1"/>
      <w:marLeft w:val="0"/>
      <w:marRight w:val="0"/>
      <w:marTop w:val="0"/>
      <w:marBottom w:val="0"/>
      <w:divBdr>
        <w:top w:val="none" w:sz="0" w:space="0" w:color="auto"/>
        <w:left w:val="none" w:sz="0" w:space="0" w:color="auto"/>
        <w:bottom w:val="none" w:sz="0" w:space="0" w:color="auto"/>
        <w:right w:val="none" w:sz="0" w:space="0" w:color="auto"/>
      </w:divBdr>
    </w:div>
    <w:div w:id="85075698">
      <w:bodyDiv w:val="1"/>
      <w:marLeft w:val="0"/>
      <w:marRight w:val="0"/>
      <w:marTop w:val="0"/>
      <w:marBottom w:val="0"/>
      <w:divBdr>
        <w:top w:val="none" w:sz="0" w:space="0" w:color="auto"/>
        <w:left w:val="none" w:sz="0" w:space="0" w:color="auto"/>
        <w:bottom w:val="none" w:sz="0" w:space="0" w:color="auto"/>
        <w:right w:val="none" w:sz="0" w:space="0" w:color="auto"/>
      </w:divBdr>
    </w:div>
    <w:div w:id="91709444">
      <w:bodyDiv w:val="1"/>
      <w:marLeft w:val="0"/>
      <w:marRight w:val="0"/>
      <w:marTop w:val="0"/>
      <w:marBottom w:val="0"/>
      <w:divBdr>
        <w:top w:val="none" w:sz="0" w:space="0" w:color="auto"/>
        <w:left w:val="none" w:sz="0" w:space="0" w:color="auto"/>
        <w:bottom w:val="none" w:sz="0" w:space="0" w:color="auto"/>
        <w:right w:val="none" w:sz="0" w:space="0" w:color="auto"/>
      </w:divBdr>
    </w:div>
    <w:div w:id="101652872">
      <w:bodyDiv w:val="1"/>
      <w:marLeft w:val="0"/>
      <w:marRight w:val="0"/>
      <w:marTop w:val="0"/>
      <w:marBottom w:val="0"/>
      <w:divBdr>
        <w:top w:val="none" w:sz="0" w:space="0" w:color="auto"/>
        <w:left w:val="none" w:sz="0" w:space="0" w:color="auto"/>
        <w:bottom w:val="none" w:sz="0" w:space="0" w:color="auto"/>
        <w:right w:val="none" w:sz="0" w:space="0" w:color="auto"/>
      </w:divBdr>
    </w:div>
    <w:div w:id="120154246">
      <w:bodyDiv w:val="1"/>
      <w:marLeft w:val="0"/>
      <w:marRight w:val="0"/>
      <w:marTop w:val="0"/>
      <w:marBottom w:val="0"/>
      <w:divBdr>
        <w:top w:val="none" w:sz="0" w:space="0" w:color="auto"/>
        <w:left w:val="none" w:sz="0" w:space="0" w:color="auto"/>
        <w:bottom w:val="none" w:sz="0" w:space="0" w:color="auto"/>
        <w:right w:val="none" w:sz="0" w:space="0" w:color="auto"/>
      </w:divBdr>
    </w:div>
    <w:div w:id="122890065">
      <w:bodyDiv w:val="1"/>
      <w:marLeft w:val="0"/>
      <w:marRight w:val="0"/>
      <w:marTop w:val="0"/>
      <w:marBottom w:val="0"/>
      <w:divBdr>
        <w:top w:val="none" w:sz="0" w:space="0" w:color="auto"/>
        <w:left w:val="none" w:sz="0" w:space="0" w:color="auto"/>
        <w:bottom w:val="none" w:sz="0" w:space="0" w:color="auto"/>
        <w:right w:val="none" w:sz="0" w:space="0" w:color="auto"/>
      </w:divBdr>
    </w:div>
    <w:div w:id="125125280">
      <w:bodyDiv w:val="1"/>
      <w:marLeft w:val="0"/>
      <w:marRight w:val="0"/>
      <w:marTop w:val="0"/>
      <w:marBottom w:val="0"/>
      <w:divBdr>
        <w:top w:val="none" w:sz="0" w:space="0" w:color="auto"/>
        <w:left w:val="none" w:sz="0" w:space="0" w:color="auto"/>
        <w:bottom w:val="none" w:sz="0" w:space="0" w:color="auto"/>
        <w:right w:val="none" w:sz="0" w:space="0" w:color="auto"/>
      </w:divBdr>
    </w:div>
    <w:div w:id="130829865">
      <w:bodyDiv w:val="1"/>
      <w:marLeft w:val="0"/>
      <w:marRight w:val="0"/>
      <w:marTop w:val="0"/>
      <w:marBottom w:val="0"/>
      <w:divBdr>
        <w:top w:val="none" w:sz="0" w:space="0" w:color="auto"/>
        <w:left w:val="none" w:sz="0" w:space="0" w:color="auto"/>
        <w:bottom w:val="none" w:sz="0" w:space="0" w:color="auto"/>
        <w:right w:val="none" w:sz="0" w:space="0" w:color="auto"/>
      </w:divBdr>
    </w:div>
    <w:div w:id="131141252">
      <w:bodyDiv w:val="1"/>
      <w:marLeft w:val="0"/>
      <w:marRight w:val="0"/>
      <w:marTop w:val="0"/>
      <w:marBottom w:val="0"/>
      <w:divBdr>
        <w:top w:val="none" w:sz="0" w:space="0" w:color="auto"/>
        <w:left w:val="none" w:sz="0" w:space="0" w:color="auto"/>
        <w:bottom w:val="none" w:sz="0" w:space="0" w:color="auto"/>
        <w:right w:val="none" w:sz="0" w:space="0" w:color="auto"/>
      </w:divBdr>
    </w:div>
    <w:div w:id="133568319">
      <w:bodyDiv w:val="1"/>
      <w:marLeft w:val="0"/>
      <w:marRight w:val="0"/>
      <w:marTop w:val="0"/>
      <w:marBottom w:val="0"/>
      <w:divBdr>
        <w:top w:val="none" w:sz="0" w:space="0" w:color="auto"/>
        <w:left w:val="none" w:sz="0" w:space="0" w:color="auto"/>
        <w:bottom w:val="none" w:sz="0" w:space="0" w:color="auto"/>
        <w:right w:val="none" w:sz="0" w:space="0" w:color="auto"/>
      </w:divBdr>
    </w:div>
    <w:div w:id="153180306">
      <w:bodyDiv w:val="1"/>
      <w:marLeft w:val="0"/>
      <w:marRight w:val="0"/>
      <w:marTop w:val="0"/>
      <w:marBottom w:val="0"/>
      <w:divBdr>
        <w:top w:val="none" w:sz="0" w:space="0" w:color="auto"/>
        <w:left w:val="none" w:sz="0" w:space="0" w:color="auto"/>
        <w:bottom w:val="none" w:sz="0" w:space="0" w:color="auto"/>
        <w:right w:val="none" w:sz="0" w:space="0" w:color="auto"/>
      </w:divBdr>
    </w:div>
    <w:div w:id="160003524">
      <w:bodyDiv w:val="1"/>
      <w:marLeft w:val="0"/>
      <w:marRight w:val="0"/>
      <w:marTop w:val="0"/>
      <w:marBottom w:val="0"/>
      <w:divBdr>
        <w:top w:val="none" w:sz="0" w:space="0" w:color="auto"/>
        <w:left w:val="none" w:sz="0" w:space="0" w:color="auto"/>
        <w:bottom w:val="none" w:sz="0" w:space="0" w:color="auto"/>
        <w:right w:val="none" w:sz="0" w:space="0" w:color="auto"/>
      </w:divBdr>
    </w:div>
    <w:div w:id="160588748">
      <w:bodyDiv w:val="1"/>
      <w:marLeft w:val="0"/>
      <w:marRight w:val="0"/>
      <w:marTop w:val="0"/>
      <w:marBottom w:val="0"/>
      <w:divBdr>
        <w:top w:val="none" w:sz="0" w:space="0" w:color="auto"/>
        <w:left w:val="none" w:sz="0" w:space="0" w:color="auto"/>
        <w:bottom w:val="none" w:sz="0" w:space="0" w:color="auto"/>
        <w:right w:val="none" w:sz="0" w:space="0" w:color="auto"/>
      </w:divBdr>
    </w:div>
    <w:div w:id="167840722">
      <w:bodyDiv w:val="1"/>
      <w:marLeft w:val="0"/>
      <w:marRight w:val="0"/>
      <w:marTop w:val="0"/>
      <w:marBottom w:val="0"/>
      <w:divBdr>
        <w:top w:val="none" w:sz="0" w:space="0" w:color="auto"/>
        <w:left w:val="none" w:sz="0" w:space="0" w:color="auto"/>
        <w:bottom w:val="none" w:sz="0" w:space="0" w:color="auto"/>
        <w:right w:val="none" w:sz="0" w:space="0" w:color="auto"/>
      </w:divBdr>
    </w:div>
    <w:div w:id="176189194">
      <w:bodyDiv w:val="1"/>
      <w:marLeft w:val="0"/>
      <w:marRight w:val="0"/>
      <w:marTop w:val="0"/>
      <w:marBottom w:val="0"/>
      <w:divBdr>
        <w:top w:val="none" w:sz="0" w:space="0" w:color="auto"/>
        <w:left w:val="none" w:sz="0" w:space="0" w:color="auto"/>
        <w:bottom w:val="none" w:sz="0" w:space="0" w:color="auto"/>
        <w:right w:val="none" w:sz="0" w:space="0" w:color="auto"/>
      </w:divBdr>
    </w:div>
    <w:div w:id="183129170">
      <w:bodyDiv w:val="1"/>
      <w:marLeft w:val="0"/>
      <w:marRight w:val="0"/>
      <w:marTop w:val="0"/>
      <w:marBottom w:val="0"/>
      <w:divBdr>
        <w:top w:val="none" w:sz="0" w:space="0" w:color="auto"/>
        <w:left w:val="none" w:sz="0" w:space="0" w:color="auto"/>
        <w:bottom w:val="none" w:sz="0" w:space="0" w:color="auto"/>
        <w:right w:val="none" w:sz="0" w:space="0" w:color="auto"/>
      </w:divBdr>
    </w:div>
    <w:div w:id="187958937">
      <w:bodyDiv w:val="1"/>
      <w:marLeft w:val="0"/>
      <w:marRight w:val="0"/>
      <w:marTop w:val="0"/>
      <w:marBottom w:val="0"/>
      <w:divBdr>
        <w:top w:val="none" w:sz="0" w:space="0" w:color="auto"/>
        <w:left w:val="none" w:sz="0" w:space="0" w:color="auto"/>
        <w:bottom w:val="none" w:sz="0" w:space="0" w:color="auto"/>
        <w:right w:val="none" w:sz="0" w:space="0" w:color="auto"/>
      </w:divBdr>
    </w:div>
    <w:div w:id="209849452">
      <w:bodyDiv w:val="1"/>
      <w:marLeft w:val="0"/>
      <w:marRight w:val="0"/>
      <w:marTop w:val="0"/>
      <w:marBottom w:val="0"/>
      <w:divBdr>
        <w:top w:val="none" w:sz="0" w:space="0" w:color="auto"/>
        <w:left w:val="none" w:sz="0" w:space="0" w:color="auto"/>
        <w:bottom w:val="none" w:sz="0" w:space="0" w:color="auto"/>
        <w:right w:val="none" w:sz="0" w:space="0" w:color="auto"/>
      </w:divBdr>
    </w:div>
    <w:div w:id="210460029">
      <w:bodyDiv w:val="1"/>
      <w:marLeft w:val="0"/>
      <w:marRight w:val="0"/>
      <w:marTop w:val="0"/>
      <w:marBottom w:val="0"/>
      <w:divBdr>
        <w:top w:val="none" w:sz="0" w:space="0" w:color="auto"/>
        <w:left w:val="none" w:sz="0" w:space="0" w:color="auto"/>
        <w:bottom w:val="none" w:sz="0" w:space="0" w:color="auto"/>
        <w:right w:val="none" w:sz="0" w:space="0" w:color="auto"/>
      </w:divBdr>
    </w:div>
    <w:div w:id="230818799">
      <w:bodyDiv w:val="1"/>
      <w:marLeft w:val="0"/>
      <w:marRight w:val="0"/>
      <w:marTop w:val="0"/>
      <w:marBottom w:val="0"/>
      <w:divBdr>
        <w:top w:val="none" w:sz="0" w:space="0" w:color="auto"/>
        <w:left w:val="none" w:sz="0" w:space="0" w:color="auto"/>
        <w:bottom w:val="none" w:sz="0" w:space="0" w:color="auto"/>
        <w:right w:val="none" w:sz="0" w:space="0" w:color="auto"/>
      </w:divBdr>
    </w:div>
    <w:div w:id="232202170">
      <w:bodyDiv w:val="1"/>
      <w:marLeft w:val="0"/>
      <w:marRight w:val="0"/>
      <w:marTop w:val="0"/>
      <w:marBottom w:val="0"/>
      <w:divBdr>
        <w:top w:val="none" w:sz="0" w:space="0" w:color="auto"/>
        <w:left w:val="none" w:sz="0" w:space="0" w:color="auto"/>
        <w:bottom w:val="none" w:sz="0" w:space="0" w:color="auto"/>
        <w:right w:val="none" w:sz="0" w:space="0" w:color="auto"/>
      </w:divBdr>
    </w:div>
    <w:div w:id="234628626">
      <w:bodyDiv w:val="1"/>
      <w:marLeft w:val="0"/>
      <w:marRight w:val="0"/>
      <w:marTop w:val="0"/>
      <w:marBottom w:val="0"/>
      <w:divBdr>
        <w:top w:val="none" w:sz="0" w:space="0" w:color="auto"/>
        <w:left w:val="none" w:sz="0" w:space="0" w:color="auto"/>
        <w:bottom w:val="none" w:sz="0" w:space="0" w:color="auto"/>
        <w:right w:val="none" w:sz="0" w:space="0" w:color="auto"/>
      </w:divBdr>
    </w:div>
    <w:div w:id="256014098">
      <w:bodyDiv w:val="1"/>
      <w:marLeft w:val="0"/>
      <w:marRight w:val="0"/>
      <w:marTop w:val="0"/>
      <w:marBottom w:val="0"/>
      <w:divBdr>
        <w:top w:val="none" w:sz="0" w:space="0" w:color="auto"/>
        <w:left w:val="none" w:sz="0" w:space="0" w:color="auto"/>
        <w:bottom w:val="none" w:sz="0" w:space="0" w:color="auto"/>
        <w:right w:val="none" w:sz="0" w:space="0" w:color="auto"/>
      </w:divBdr>
    </w:div>
    <w:div w:id="261695007">
      <w:bodyDiv w:val="1"/>
      <w:marLeft w:val="0"/>
      <w:marRight w:val="0"/>
      <w:marTop w:val="0"/>
      <w:marBottom w:val="0"/>
      <w:divBdr>
        <w:top w:val="none" w:sz="0" w:space="0" w:color="auto"/>
        <w:left w:val="none" w:sz="0" w:space="0" w:color="auto"/>
        <w:bottom w:val="none" w:sz="0" w:space="0" w:color="auto"/>
        <w:right w:val="none" w:sz="0" w:space="0" w:color="auto"/>
      </w:divBdr>
    </w:div>
    <w:div w:id="273488225">
      <w:bodyDiv w:val="1"/>
      <w:marLeft w:val="0"/>
      <w:marRight w:val="0"/>
      <w:marTop w:val="0"/>
      <w:marBottom w:val="0"/>
      <w:divBdr>
        <w:top w:val="none" w:sz="0" w:space="0" w:color="auto"/>
        <w:left w:val="none" w:sz="0" w:space="0" w:color="auto"/>
        <w:bottom w:val="none" w:sz="0" w:space="0" w:color="auto"/>
        <w:right w:val="none" w:sz="0" w:space="0" w:color="auto"/>
      </w:divBdr>
    </w:div>
    <w:div w:id="279189201">
      <w:bodyDiv w:val="1"/>
      <w:marLeft w:val="0"/>
      <w:marRight w:val="0"/>
      <w:marTop w:val="0"/>
      <w:marBottom w:val="0"/>
      <w:divBdr>
        <w:top w:val="none" w:sz="0" w:space="0" w:color="auto"/>
        <w:left w:val="none" w:sz="0" w:space="0" w:color="auto"/>
        <w:bottom w:val="none" w:sz="0" w:space="0" w:color="auto"/>
        <w:right w:val="none" w:sz="0" w:space="0" w:color="auto"/>
      </w:divBdr>
    </w:div>
    <w:div w:id="292055885">
      <w:bodyDiv w:val="1"/>
      <w:marLeft w:val="0"/>
      <w:marRight w:val="0"/>
      <w:marTop w:val="0"/>
      <w:marBottom w:val="0"/>
      <w:divBdr>
        <w:top w:val="none" w:sz="0" w:space="0" w:color="auto"/>
        <w:left w:val="none" w:sz="0" w:space="0" w:color="auto"/>
        <w:bottom w:val="none" w:sz="0" w:space="0" w:color="auto"/>
        <w:right w:val="none" w:sz="0" w:space="0" w:color="auto"/>
      </w:divBdr>
      <w:divsChild>
        <w:div w:id="1316029444">
          <w:marLeft w:val="240"/>
          <w:marRight w:val="0"/>
          <w:marTop w:val="0"/>
          <w:marBottom w:val="0"/>
          <w:divBdr>
            <w:top w:val="none" w:sz="0" w:space="0" w:color="auto"/>
            <w:left w:val="none" w:sz="0" w:space="0" w:color="auto"/>
            <w:bottom w:val="none" w:sz="0" w:space="0" w:color="auto"/>
            <w:right w:val="none" w:sz="0" w:space="0" w:color="auto"/>
          </w:divBdr>
          <w:divsChild>
            <w:div w:id="16786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1324">
      <w:bodyDiv w:val="1"/>
      <w:marLeft w:val="0"/>
      <w:marRight w:val="0"/>
      <w:marTop w:val="0"/>
      <w:marBottom w:val="0"/>
      <w:divBdr>
        <w:top w:val="none" w:sz="0" w:space="0" w:color="auto"/>
        <w:left w:val="none" w:sz="0" w:space="0" w:color="auto"/>
        <w:bottom w:val="none" w:sz="0" w:space="0" w:color="auto"/>
        <w:right w:val="none" w:sz="0" w:space="0" w:color="auto"/>
      </w:divBdr>
    </w:div>
    <w:div w:id="312417381">
      <w:bodyDiv w:val="1"/>
      <w:marLeft w:val="0"/>
      <w:marRight w:val="0"/>
      <w:marTop w:val="0"/>
      <w:marBottom w:val="0"/>
      <w:divBdr>
        <w:top w:val="none" w:sz="0" w:space="0" w:color="auto"/>
        <w:left w:val="none" w:sz="0" w:space="0" w:color="auto"/>
        <w:bottom w:val="none" w:sz="0" w:space="0" w:color="auto"/>
        <w:right w:val="none" w:sz="0" w:space="0" w:color="auto"/>
      </w:divBdr>
    </w:div>
    <w:div w:id="320157048">
      <w:bodyDiv w:val="1"/>
      <w:marLeft w:val="0"/>
      <w:marRight w:val="0"/>
      <w:marTop w:val="0"/>
      <w:marBottom w:val="0"/>
      <w:divBdr>
        <w:top w:val="none" w:sz="0" w:space="0" w:color="auto"/>
        <w:left w:val="none" w:sz="0" w:space="0" w:color="auto"/>
        <w:bottom w:val="none" w:sz="0" w:space="0" w:color="auto"/>
        <w:right w:val="none" w:sz="0" w:space="0" w:color="auto"/>
      </w:divBdr>
    </w:div>
    <w:div w:id="340275974">
      <w:bodyDiv w:val="1"/>
      <w:marLeft w:val="0"/>
      <w:marRight w:val="0"/>
      <w:marTop w:val="0"/>
      <w:marBottom w:val="0"/>
      <w:divBdr>
        <w:top w:val="none" w:sz="0" w:space="0" w:color="auto"/>
        <w:left w:val="none" w:sz="0" w:space="0" w:color="auto"/>
        <w:bottom w:val="none" w:sz="0" w:space="0" w:color="auto"/>
        <w:right w:val="none" w:sz="0" w:space="0" w:color="auto"/>
      </w:divBdr>
    </w:div>
    <w:div w:id="369115242">
      <w:bodyDiv w:val="1"/>
      <w:marLeft w:val="0"/>
      <w:marRight w:val="0"/>
      <w:marTop w:val="0"/>
      <w:marBottom w:val="0"/>
      <w:divBdr>
        <w:top w:val="none" w:sz="0" w:space="0" w:color="auto"/>
        <w:left w:val="none" w:sz="0" w:space="0" w:color="auto"/>
        <w:bottom w:val="none" w:sz="0" w:space="0" w:color="auto"/>
        <w:right w:val="none" w:sz="0" w:space="0" w:color="auto"/>
      </w:divBdr>
      <w:divsChild>
        <w:div w:id="496657219">
          <w:marLeft w:val="0"/>
          <w:marRight w:val="0"/>
          <w:marTop w:val="166"/>
          <w:marBottom w:val="166"/>
          <w:divBdr>
            <w:top w:val="none" w:sz="0" w:space="0" w:color="auto"/>
            <w:left w:val="none" w:sz="0" w:space="0" w:color="auto"/>
            <w:bottom w:val="none" w:sz="0" w:space="0" w:color="auto"/>
            <w:right w:val="none" w:sz="0" w:space="0" w:color="auto"/>
          </w:divBdr>
        </w:div>
      </w:divsChild>
    </w:div>
    <w:div w:id="385492783">
      <w:bodyDiv w:val="1"/>
      <w:marLeft w:val="0"/>
      <w:marRight w:val="0"/>
      <w:marTop w:val="0"/>
      <w:marBottom w:val="0"/>
      <w:divBdr>
        <w:top w:val="none" w:sz="0" w:space="0" w:color="auto"/>
        <w:left w:val="none" w:sz="0" w:space="0" w:color="auto"/>
        <w:bottom w:val="none" w:sz="0" w:space="0" w:color="auto"/>
        <w:right w:val="none" w:sz="0" w:space="0" w:color="auto"/>
      </w:divBdr>
    </w:div>
    <w:div w:id="393622018">
      <w:bodyDiv w:val="1"/>
      <w:marLeft w:val="0"/>
      <w:marRight w:val="0"/>
      <w:marTop w:val="0"/>
      <w:marBottom w:val="0"/>
      <w:divBdr>
        <w:top w:val="none" w:sz="0" w:space="0" w:color="auto"/>
        <w:left w:val="none" w:sz="0" w:space="0" w:color="auto"/>
        <w:bottom w:val="none" w:sz="0" w:space="0" w:color="auto"/>
        <w:right w:val="none" w:sz="0" w:space="0" w:color="auto"/>
      </w:divBdr>
    </w:div>
    <w:div w:id="401410742">
      <w:bodyDiv w:val="1"/>
      <w:marLeft w:val="0"/>
      <w:marRight w:val="0"/>
      <w:marTop w:val="0"/>
      <w:marBottom w:val="0"/>
      <w:divBdr>
        <w:top w:val="none" w:sz="0" w:space="0" w:color="auto"/>
        <w:left w:val="none" w:sz="0" w:space="0" w:color="auto"/>
        <w:bottom w:val="none" w:sz="0" w:space="0" w:color="auto"/>
        <w:right w:val="none" w:sz="0" w:space="0" w:color="auto"/>
      </w:divBdr>
    </w:div>
    <w:div w:id="406001207">
      <w:bodyDiv w:val="1"/>
      <w:marLeft w:val="0"/>
      <w:marRight w:val="0"/>
      <w:marTop w:val="0"/>
      <w:marBottom w:val="0"/>
      <w:divBdr>
        <w:top w:val="none" w:sz="0" w:space="0" w:color="auto"/>
        <w:left w:val="none" w:sz="0" w:space="0" w:color="auto"/>
        <w:bottom w:val="none" w:sz="0" w:space="0" w:color="auto"/>
        <w:right w:val="none" w:sz="0" w:space="0" w:color="auto"/>
      </w:divBdr>
    </w:div>
    <w:div w:id="413432256">
      <w:bodyDiv w:val="1"/>
      <w:marLeft w:val="0"/>
      <w:marRight w:val="0"/>
      <w:marTop w:val="0"/>
      <w:marBottom w:val="0"/>
      <w:divBdr>
        <w:top w:val="none" w:sz="0" w:space="0" w:color="auto"/>
        <w:left w:val="none" w:sz="0" w:space="0" w:color="auto"/>
        <w:bottom w:val="none" w:sz="0" w:space="0" w:color="auto"/>
        <w:right w:val="none" w:sz="0" w:space="0" w:color="auto"/>
      </w:divBdr>
    </w:div>
    <w:div w:id="417143635">
      <w:bodyDiv w:val="1"/>
      <w:marLeft w:val="0"/>
      <w:marRight w:val="0"/>
      <w:marTop w:val="0"/>
      <w:marBottom w:val="0"/>
      <w:divBdr>
        <w:top w:val="none" w:sz="0" w:space="0" w:color="auto"/>
        <w:left w:val="none" w:sz="0" w:space="0" w:color="auto"/>
        <w:bottom w:val="none" w:sz="0" w:space="0" w:color="auto"/>
        <w:right w:val="none" w:sz="0" w:space="0" w:color="auto"/>
      </w:divBdr>
    </w:div>
    <w:div w:id="418869260">
      <w:bodyDiv w:val="1"/>
      <w:marLeft w:val="0"/>
      <w:marRight w:val="0"/>
      <w:marTop w:val="0"/>
      <w:marBottom w:val="0"/>
      <w:divBdr>
        <w:top w:val="none" w:sz="0" w:space="0" w:color="auto"/>
        <w:left w:val="none" w:sz="0" w:space="0" w:color="auto"/>
        <w:bottom w:val="none" w:sz="0" w:space="0" w:color="auto"/>
        <w:right w:val="none" w:sz="0" w:space="0" w:color="auto"/>
      </w:divBdr>
    </w:div>
    <w:div w:id="430321741">
      <w:bodyDiv w:val="1"/>
      <w:marLeft w:val="0"/>
      <w:marRight w:val="0"/>
      <w:marTop w:val="0"/>
      <w:marBottom w:val="0"/>
      <w:divBdr>
        <w:top w:val="none" w:sz="0" w:space="0" w:color="auto"/>
        <w:left w:val="none" w:sz="0" w:space="0" w:color="auto"/>
        <w:bottom w:val="none" w:sz="0" w:space="0" w:color="auto"/>
        <w:right w:val="none" w:sz="0" w:space="0" w:color="auto"/>
      </w:divBdr>
    </w:div>
    <w:div w:id="431704341">
      <w:bodyDiv w:val="1"/>
      <w:marLeft w:val="0"/>
      <w:marRight w:val="0"/>
      <w:marTop w:val="0"/>
      <w:marBottom w:val="0"/>
      <w:divBdr>
        <w:top w:val="none" w:sz="0" w:space="0" w:color="auto"/>
        <w:left w:val="none" w:sz="0" w:space="0" w:color="auto"/>
        <w:bottom w:val="none" w:sz="0" w:space="0" w:color="auto"/>
        <w:right w:val="none" w:sz="0" w:space="0" w:color="auto"/>
      </w:divBdr>
    </w:div>
    <w:div w:id="481626143">
      <w:bodyDiv w:val="1"/>
      <w:marLeft w:val="0"/>
      <w:marRight w:val="0"/>
      <w:marTop w:val="0"/>
      <w:marBottom w:val="0"/>
      <w:divBdr>
        <w:top w:val="none" w:sz="0" w:space="0" w:color="auto"/>
        <w:left w:val="none" w:sz="0" w:space="0" w:color="auto"/>
        <w:bottom w:val="none" w:sz="0" w:space="0" w:color="auto"/>
        <w:right w:val="none" w:sz="0" w:space="0" w:color="auto"/>
      </w:divBdr>
    </w:div>
    <w:div w:id="504512693">
      <w:bodyDiv w:val="1"/>
      <w:marLeft w:val="0"/>
      <w:marRight w:val="0"/>
      <w:marTop w:val="0"/>
      <w:marBottom w:val="0"/>
      <w:divBdr>
        <w:top w:val="none" w:sz="0" w:space="0" w:color="auto"/>
        <w:left w:val="none" w:sz="0" w:space="0" w:color="auto"/>
        <w:bottom w:val="none" w:sz="0" w:space="0" w:color="auto"/>
        <w:right w:val="none" w:sz="0" w:space="0" w:color="auto"/>
      </w:divBdr>
    </w:div>
    <w:div w:id="515191274">
      <w:bodyDiv w:val="1"/>
      <w:marLeft w:val="0"/>
      <w:marRight w:val="0"/>
      <w:marTop w:val="0"/>
      <w:marBottom w:val="0"/>
      <w:divBdr>
        <w:top w:val="none" w:sz="0" w:space="0" w:color="auto"/>
        <w:left w:val="none" w:sz="0" w:space="0" w:color="auto"/>
        <w:bottom w:val="none" w:sz="0" w:space="0" w:color="auto"/>
        <w:right w:val="none" w:sz="0" w:space="0" w:color="auto"/>
      </w:divBdr>
    </w:div>
    <w:div w:id="539439241">
      <w:bodyDiv w:val="1"/>
      <w:marLeft w:val="0"/>
      <w:marRight w:val="0"/>
      <w:marTop w:val="0"/>
      <w:marBottom w:val="0"/>
      <w:divBdr>
        <w:top w:val="none" w:sz="0" w:space="0" w:color="auto"/>
        <w:left w:val="none" w:sz="0" w:space="0" w:color="auto"/>
        <w:bottom w:val="none" w:sz="0" w:space="0" w:color="auto"/>
        <w:right w:val="none" w:sz="0" w:space="0" w:color="auto"/>
      </w:divBdr>
    </w:div>
    <w:div w:id="540552046">
      <w:bodyDiv w:val="1"/>
      <w:marLeft w:val="0"/>
      <w:marRight w:val="0"/>
      <w:marTop w:val="0"/>
      <w:marBottom w:val="0"/>
      <w:divBdr>
        <w:top w:val="none" w:sz="0" w:space="0" w:color="auto"/>
        <w:left w:val="none" w:sz="0" w:space="0" w:color="auto"/>
        <w:bottom w:val="none" w:sz="0" w:space="0" w:color="auto"/>
        <w:right w:val="none" w:sz="0" w:space="0" w:color="auto"/>
      </w:divBdr>
    </w:div>
    <w:div w:id="544295290">
      <w:bodyDiv w:val="1"/>
      <w:marLeft w:val="0"/>
      <w:marRight w:val="0"/>
      <w:marTop w:val="0"/>
      <w:marBottom w:val="0"/>
      <w:divBdr>
        <w:top w:val="none" w:sz="0" w:space="0" w:color="auto"/>
        <w:left w:val="none" w:sz="0" w:space="0" w:color="auto"/>
        <w:bottom w:val="none" w:sz="0" w:space="0" w:color="auto"/>
        <w:right w:val="none" w:sz="0" w:space="0" w:color="auto"/>
      </w:divBdr>
    </w:div>
    <w:div w:id="546262675">
      <w:bodyDiv w:val="1"/>
      <w:marLeft w:val="0"/>
      <w:marRight w:val="0"/>
      <w:marTop w:val="0"/>
      <w:marBottom w:val="0"/>
      <w:divBdr>
        <w:top w:val="none" w:sz="0" w:space="0" w:color="auto"/>
        <w:left w:val="none" w:sz="0" w:space="0" w:color="auto"/>
        <w:bottom w:val="none" w:sz="0" w:space="0" w:color="auto"/>
        <w:right w:val="none" w:sz="0" w:space="0" w:color="auto"/>
      </w:divBdr>
    </w:div>
    <w:div w:id="555160975">
      <w:bodyDiv w:val="1"/>
      <w:marLeft w:val="0"/>
      <w:marRight w:val="0"/>
      <w:marTop w:val="0"/>
      <w:marBottom w:val="0"/>
      <w:divBdr>
        <w:top w:val="none" w:sz="0" w:space="0" w:color="auto"/>
        <w:left w:val="none" w:sz="0" w:space="0" w:color="auto"/>
        <w:bottom w:val="none" w:sz="0" w:space="0" w:color="auto"/>
        <w:right w:val="none" w:sz="0" w:space="0" w:color="auto"/>
      </w:divBdr>
    </w:div>
    <w:div w:id="580797938">
      <w:bodyDiv w:val="1"/>
      <w:marLeft w:val="0"/>
      <w:marRight w:val="0"/>
      <w:marTop w:val="0"/>
      <w:marBottom w:val="0"/>
      <w:divBdr>
        <w:top w:val="none" w:sz="0" w:space="0" w:color="auto"/>
        <w:left w:val="none" w:sz="0" w:space="0" w:color="auto"/>
        <w:bottom w:val="none" w:sz="0" w:space="0" w:color="auto"/>
        <w:right w:val="none" w:sz="0" w:space="0" w:color="auto"/>
      </w:divBdr>
    </w:div>
    <w:div w:id="581569770">
      <w:bodyDiv w:val="1"/>
      <w:marLeft w:val="0"/>
      <w:marRight w:val="0"/>
      <w:marTop w:val="0"/>
      <w:marBottom w:val="0"/>
      <w:divBdr>
        <w:top w:val="none" w:sz="0" w:space="0" w:color="auto"/>
        <w:left w:val="none" w:sz="0" w:space="0" w:color="auto"/>
        <w:bottom w:val="none" w:sz="0" w:space="0" w:color="auto"/>
        <w:right w:val="none" w:sz="0" w:space="0" w:color="auto"/>
      </w:divBdr>
    </w:div>
    <w:div w:id="605774335">
      <w:bodyDiv w:val="1"/>
      <w:marLeft w:val="0"/>
      <w:marRight w:val="0"/>
      <w:marTop w:val="0"/>
      <w:marBottom w:val="0"/>
      <w:divBdr>
        <w:top w:val="none" w:sz="0" w:space="0" w:color="auto"/>
        <w:left w:val="none" w:sz="0" w:space="0" w:color="auto"/>
        <w:bottom w:val="none" w:sz="0" w:space="0" w:color="auto"/>
        <w:right w:val="none" w:sz="0" w:space="0" w:color="auto"/>
      </w:divBdr>
    </w:div>
    <w:div w:id="610433996">
      <w:bodyDiv w:val="1"/>
      <w:marLeft w:val="0"/>
      <w:marRight w:val="0"/>
      <w:marTop w:val="0"/>
      <w:marBottom w:val="0"/>
      <w:divBdr>
        <w:top w:val="none" w:sz="0" w:space="0" w:color="auto"/>
        <w:left w:val="none" w:sz="0" w:space="0" w:color="auto"/>
        <w:bottom w:val="none" w:sz="0" w:space="0" w:color="auto"/>
        <w:right w:val="none" w:sz="0" w:space="0" w:color="auto"/>
      </w:divBdr>
    </w:div>
    <w:div w:id="610823123">
      <w:bodyDiv w:val="1"/>
      <w:marLeft w:val="0"/>
      <w:marRight w:val="0"/>
      <w:marTop w:val="0"/>
      <w:marBottom w:val="0"/>
      <w:divBdr>
        <w:top w:val="none" w:sz="0" w:space="0" w:color="auto"/>
        <w:left w:val="none" w:sz="0" w:space="0" w:color="auto"/>
        <w:bottom w:val="none" w:sz="0" w:space="0" w:color="auto"/>
        <w:right w:val="none" w:sz="0" w:space="0" w:color="auto"/>
      </w:divBdr>
    </w:div>
    <w:div w:id="611936600">
      <w:bodyDiv w:val="1"/>
      <w:marLeft w:val="0"/>
      <w:marRight w:val="0"/>
      <w:marTop w:val="0"/>
      <w:marBottom w:val="0"/>
      <w:divBdr>
        <w:top w:val="none" w:sz="0" w:space="0" w:color="auto"/>
        <w:left w:val="none" w:sz="0" w:space="0" w:color="auto"/>
        <w:bottom w:val="none" w:sz="0" w:space="0" w:color="auto"/>
        <w:right w:val="none" w:sz="0" w:space="0" w:color="auto"/>
      </w:divBdr>
    </w:div>
    <w:div w:id="618923791">
      <w:bodyDiv w:val="1"/>
      <w:marLeft w:val="0"/>
      <w:marRight w:val="0"/>
      <w:marTop w:val="0"/>
      <w:marBottom w:val="0"/>
      <w:divBdr>
        <w:top w:val="none" w:sz="0" w:space="0" w:color="auto"/>
        <w:left w:val="none" w:sz="0" w:space="0" w:color="auto"/>
        <w:bottom w:val="none" w:sz="0" w:space="0" w:color="auto"/>
        <w:right w:val="none" w:sz="0" w:space="0" w:color="auto"/>
      </w:divBdr>
    </w:div>
    <w:div w:id="632754554">
      <w:bodyDiv w:val="1"/>
      <w:marLeft w:val="0"/>
      <w:marRight w:val="0"/>
      <w:marTop w:val="0"/>
      <w:marBottom w:val="0"/>
      <w:divBdr>
        <w:top w:val="none" w:sz="0" w:space="0" w:color="auto"/>
        <w:left w:val="none" w:sz="0" w:space="0" w:color="auto"/>
        <w:bottom w:val="none" w:sz="0" w:space="0" w:color="auto"/>
        <w:right w:val="none" w:sz="0" w:space="0" w:color="auto"/>
      </w:divBdr>
    </w:div>
    <w:div w:id="651759730">
      <w:bodyDiv w:val="1"/>
      <w:marLeft w:val="0"/>
      <w:marRight w:val="0"/>
      <w:marTop w:val="0"/>
      <w:marBottom w:val="0"/>
      <w:divBdr>
        <w:top w:val="none" w:sz="0" w:space="0" w:color="auto"/>
        <w:left w:val="none" w:sz="0" w:space="0" w:color="auto"/>
        <w:bottom w:val="none" w:sz="0" w:space="0" w:color="auto"/>
        <w:right w:val="none" w:sz="0" w:space="0" w:color="auto"/>
      </w:divBdr>
    </w:div>
    <w:div w:id="656030822">
      <w:bodyDiv w:val="1"/>
      <w:marLeft w:val="0"/>
      <w:marRight w:val="0"/>
      <w:marTop w:val="0"/>
      <w:marBottom w:val="0"/>
      <w:divBdr>
        <w:top w:val="none" w:sz="0" w:space="0" w:color="auto"/>
        <w:left w:val="none" w:sz="0" w:space="0" w:color="auto"/>
        <w:bottom w:val="none" w:sz="0" w:space="0" w:color="auto"/>
        <w:right w:val="none" w:sz="0" w:space="0" w:color="auto"/>
      </w:divBdr>
    </w:div>
    <w:div w:id="664092568">
      <w:bodyDiv w:val="1"/>
      <w:marLeft w:val="0"/>
      <w:marRight w:val="0"/>
      <w:marTop w:val="0"/>
      <w:marBottom w:val="0"/>
      <w:divBdr>
        <w:top w:val="none" w:sz="0" w:space="0" w:color="auto"/>
        <w:left w:val="none" w:sz="0" w:space="0" w:color="auto"/>
        <w:bottom w:val="none" w:sz="0" w:space="0" w:color="auto"/>
        <w:right w:val="none" w:sz="0" w:space="0" w:color="auto"/>
      </w:divBdr>
    </w:div>
    <w:div w:id="664207617">
      <w:bodyDiv w:val="1"/>
      <w:marLeft w:val="0"/>
      <w:marRight w:val="0"/>
      <w:marTop w:val="0"/>
      <w:marBottom w:val="0"/>
      <w:divBdr>
        <w:top w:val="none" w:sz="0" w:space="0" w:color="auto"/>
        <w:left w:val="none" w:sz="0" w:space="0" w:color="auto"/>
        <w:bottom w:val="none" w:sz="0" w:space="0" w:color="auto"/>
        <w:right w:val="none" w:sz="0" w:space="0" w:color="auto"/>
      </w:divBdr>
    </w:div>
    <w:div w:id="685136407">
      <w:bodyDiv w:val="1"/>
      <w:marLeft w:val="0"/>
      <w:marRight w:val="0"/>
      <w:marTop w:val="0"/>
      <w:marBottom w:val="0"/>
      <w:divBdr>
        <w:top w:val="none" w:sz="0" w:space="0" w:color="auto"/>
        <w:left w:val="none" w:sz="0" w:space="0" w:color="auto"/>
        <w:bottom w:val="none" w:sz="0" w:space="0" w:color="auto"/>
        <w:right w:val="none" w:sz="0" w:space="0" w:color="auto"/>
      </w:divBdr>
    </w:div>
    <w:div w:id="696467369">
      <w:bodyDiv w:val="1"/>
      <w:marLeft w:val="0"/>
      <w:marRight w:val="0"/>
      <w:marTop w:val="0"/>
      <w:marBottom w:val="0"/>
      <w:divBdr>
        <w:top w:val="none" w:sz="0" w:space="0" w:color="auto"/>
        <w:left w:val="none" w:sz="0" w:space="0" w:color="auto"/>
        <w:bottom w:val="none" w:sz="0" w:space="0" w:color="auto"/>
        <w:right w:val="none" w:sz="0" w:space="0" w:color="auto"/>
      </w:divBdr>
    </w:div>
    <w:div w:id="710113910">
      <w:bodyDiv w:val="1"/>
      <w:marLeft w:val="0"/>
      <w:marRight w:val="0"/>
      <w:marTop w:val="0"/>
      <w:marBottom w:val="0"/>
      <w:divBdr>
        <w:top w:val="none" w:sz="0" w:space="0" w:color="auto"/>
        <w:left w:val="none" w:sz="0" w:space="0" w:color="auto"/>
        <w:bottom w:val="none" w:sz="0" w:space="0" w:color="auto"/>
        <w:right w:val="none" w:sz="0" w:space="0" w:color="auto"/>
      </w:divBdr>
    </w:div>
    <w:div w:id="714623939">
      <w:bodyDiv w:val="1"/>
      <w:marLeft w:val="0"/>
      <w:marRight w:val="0"/>
      <w:marTop w:val="0"/>
      <w:marBottom w:val="0"/>
      <w:divBdr>
        <w:top w:val="none" w:sz="0" w:space="0" w:color="auto"/>
        <w:left w:val="none" w:sz="0" w:space="0" w:color="auto"/>
        <w:bottom w:val="none" w:sz="0" w:space="0" w:color="auto"/>
        <w:right w:val="none" w:sz="0" w:space="0" w:color="auto"/>
      </w:divBdr>
    </w:div>
    <w:div w:id="730615212">
      <w:bodyDiv w:val="1"/>
      <w:marLeft w:val="0"/>
      <w:marRight w:val="0"/>
      <w:marTop w:val="0"/>
      <w:marBottom w:val="0"/>
      <w:divBdr>
        <w:top w:val="none" w:sz="0" w:space="0" w:color="auto"/>
        <w:left w:val="none" w:sz="0" w:space="0" w:color="auto"/>
        <w:bottom w:val="none" w:sz="0" w:space="0" w:color="auto"/>
        <w:right w:val="none" w:sz="0" w:space="0" w:color="auto"/>
      </w:divBdr>
    </w:div>
    <w:div w:id="740906919">
      <w:bodyDiv w:val="1"/>
      <w:marLeft w:val="0"/>
      <w:marRight w:val="0"/>
      <w:marTop w:val="0"/>
      <w:marBottom w:val="0"/>
      <w:divBdr>
        <w:top w:val="none" w:sz="0" w:space="0" w:color="auto"/>
        <w:left w:val="none" w:sz="0" w:space="0" w:color="auto"/>
        <w:bottom w:val="none" w:sz="0" w:space="0" w:color="auto"/>
        <w:right w:val="none" w:sz="0" w:space="0" w:color="auto"/>
      </w:divBdr>
    </w:div>
    <w:div w:id="742529206">
      <w:bodyDiv w:val="1"/>
      <w:marLeft w:val="0"/>
      <w:marRight w:val="0"/>
      <w:marTop w:val="0"/>
      <w:marBottom w:val="0"/>
      <w:divBdr>
        <w:top w:val="none" w:sz="0" w:space="0" w:color="auto"/>
        <w:left w:val="none" w:sz="0" w:space="0" w:color="auto"/>
        <w:bottom w:val="none" w:sz="0" w:space="0" w:color="auto"/>
        <w:right w:val="none" w:sz="0" w:space="0" w:color="auto"/>
      </w:divBdr>
    </w:div>
    <w:div w:id="743524885">
      <w:bodyDiv w:val="1"/>
      <w:marLeft w:val="0"/>
      <w:marRight w:val="0"/>
      <w:marTop w:val="0"/>
      <w:marBottom w:val="0"/>
      <w:divBdr>
        <w:top w:val="none" w:sz="0" w:space="0" w:color="auto"/>
        <w:left w:val="none" w:sz="0" w:space="0" w:color="auto"/>
        <w:bottom w:val="none" w:sz="0" w:space="0" w:color="auto"/>
        <w:right w:val="none" w:sz="0" w:space="0" w:color="auto"/>
      </w:divBdr>
    </w:div>
    <w:div w:id="750853443">
      <w:bodyDiv w:val="1"/>
      <w:marLeft w:val="0"/>
      <w:marRight w:val="0"/>
      <w:marTop w:val="0"/>
      <w:marBottom w:val="0"/>
      <w:divBdr>
        <w:top w:val="none" w:sz="0" w:space="0" w:color="auto"/>
        <w:left w:val="none" w:sz="0" w:space="0" w:color="auto"/>
        <w:bottom w:val="none" w:sz="0" w:space="0" w:color="auto"/>
        <w:right w:val="none" w:sz="0" w:space="0" w:color="auto"/>
      </w:divBdr>
    </w:div>
    <w:div w:id="787506639">
      <w:bodyDiv w:val="1"/>
      <w:marLeft w:val="0"/>
      <w:marRight w:val="0"/>
      <w:marTop w:val="0"/>
      <w:marBottom w:val="0"/>
      <w:divBdr>
        <w:top w:val="none" w:sz="0" w:space="0" w:color="auto"/>
        <w:left w:val="none" w:sz="0" w:space="0" w:color="auto"/>
        <w:bottom w:val="none" w:sz="0" w:space="0" w:color="auto"/>
        <w:right w:val="none" w:sz="0" w:space="0" w:color="auto"/>
      </w:divBdr>
    </w:div>
    <w:div w:id="810250241">
      <w:bodyDiv w:val="1"/>
      <w:marLeft w:val="0"/>
      <w:marRight w:val="0"/>
      <w:marTop w:val="0"/>
      <w:marBottom w:val="0"/>
      <w:divBdr>
        <w:top w:val="none" w:sz="0" w:space="0" w:color="auto"/>
        <w:left w:val="none" w:sz="0" w:space="0" w:color="auto"/>
        <w:bottom w:val="none" w:sz="0" w:space="0" w:color="auto"/>
        <w:right w:val="none" w:sz="0" w:space="0" w:color="auto"/>
      </w:divBdr>
    </w:div>
    <w:div w:id="865678800">
      <w:bodyDiv w:val="1"/>
      <w:marLeft w:val="0"/>
      <w:marRight w:val="0"/>
      <w:marTop w:val="0"/>
      <w:marBottom w:val="0"/>
      <w:divBdr>
        <w:top w:val="none" w:sz="0" w:space="0" w:color="auto"/>
        <w:left w:val="none" w:sz="0" w:space="0" w:color="auto"/>
        <w:bottom w:val="none" w:sz="0" w:space="0" w:color="auto"/>
        <w:right w:val="none" w:sz="0" w:space="0" w:color="auto"/>
      </w:divBdr>
    </w:div>
    <w:div w:id="878472498">
      <w:bodyDiv w:val="1"/>
      <w:marLeft w:val="0"/>
      <w:marRight w:val="0"/>
      <w:marTop w:val="0"/>
      <w:marBottom w:val="0"/>
      <w:divBdr>
        <w:top w:val="none" w:sz="0" w:space="0" w:color="auto"/>
        <w:left w:val="none" w:sz="0" w:space="0" w:color="auto"/>
        <w:bottom w:val="none" w:sz="0" w:space="0" w:color="auto"/>
        <w:right w:val="none" w:sz="0" w:space="0" w:color="auto"/>
      </w:divBdr>
    </w:div>
    <w:div w:id="883756485">
      <w:bodyDiv w:val="1"/>
      <w:marLeft w:val="0"/>
      <w:marRight w:val="0"/>
      <w:marTop w:val="0"/>
      <w:marBottom w:val="0"/>
      <w:divBdr>
        <w:top w:val="none" w:sz="0" w:space="0" w:color="auto"/>
        <w:left w:val="none" w:sz="0" w:space="0" w:color="auto"/>
        <w:bottom w:val="none" w:sz="0" w:space="0" w:color="auto"/>
        <w:right w:val="none" w:sz="0" w:space="0" w:color="auto"/>
      </w:divBdr>
    </w:div>
    <w:div w:id="899436304">
      <w:bodyDiv w:val="1"/>
      <w:marLeft w:val="0"/>
      <w:marRight w:val="0"/>
      <w:marTop w:val="0"/>
      <w:marBottom w:val="0"/>
      <w:divBdr>
        <w:top w:val="none" w:sz="0" w:space="0" w:color="auto"/>
        <w:left w:val="none" w:sz="0" w:space="0" w:color="auto"/>
        <w:bottom w:val="none" w:sz="0" w:space="0" w:color="auto"/>
        <w:right w:val="none" w:sz="0" w:space="0" w:color="auto"/>
      </w:divBdr>
    </w:div>
    <w:div w:id="913734329">
      <w:bodyDiv w:val="1"/>
      <w:marLeft w:val="0"/>
      <w:marRight w:val="0"/>
      <w:marTop w:val="0"/>
      <w:marBottom w:val="0"/>
      <w:divBdr>
        <w:top w:val="none" w:sz="0" w:space="0" w:color="auto"/>
        <w:left w:val="none" w:sz="0" w:space="0" w:color="auto"/>
        <w:bottom w:val="none" w:sz="0" w:space="0" w:color="auto"/>
        <w:right w:val="none" w:sz="0" w:space="0" w:color="auto"/>
      </w:divBdr>
    </w:div>
    <w:div w:id="914587230">
      <w:bodyDiv w:val="1"/>
      <w:marLeft w:val="0"/>
      <w:marRight w:val="0"/>
      <w:marTop w:val="0"/>
      <w:marBottom w:val="0"/>
      <w:divBdr>
        <w:top w:val="none" w:sz="0" w:space="0" w:color="auto"/>
        <w:left w:val="none" w:sz="0" w:space="0" w:color="auto"/>
        <w:bottom w:val="none" w:sz="0" w:space="0" w:color="auto"/>
        <w:right w:val="none" w:sz="0" w:space="0" w:color="auto"/>
      </w:divBdr>
    </w:div>
    <w:div w:id="916206639">
      <w:bodyDiv w:val="1"/>
      <w:marLeft w:val="0"/>
      <w:marRight w:val="0"/>
      <w:marTop w:val="0"/>
      <w:marBottom w:val="0"/>
      <w:divBdr>
        <w:top w:val="none" w:sz="0" w:space="0" w:color="auto"/>
        <w:left w:val="none" w:sz="0" w:space="0" w:color="auto"/>
        <w:bottom w:val="none" w:sz="0" w:space="0" w:color="auto"/>
        <w:right w:val="none" w:sz="0" w:space="0" w:color="auto"/>
      </w:divBdr>
    </w:div>
    <w:div w:id="918363868">
      <w:bodyDiv w:val="1"/>
      <w:marLeft w:val="0"/>
      <w:marRight w:val="0"/>
      <w:marTop w:val="0"/>
      <w:marBottom w:val="0"/>
      <w:divBdr>
        <w:top w:val="none" w:sz="0" w:space="0" w:color="auto"/>
        <w:left w:val="none" w:sz="0" w:space="0" w:color="auto"/>
        <w:bottom w:val="none" w:sz="0" w:space="0" w:color="auto"/>
        <w:right w:val="none" w:sz="0" w:space="0" w:color="auto"/>
      </w:divBdr>
    </w:div>
    <w:div w:id="926965518">
      <w:bodyDiv w:val="1"/>
      <w:marLeft w:val="0"/>
      <w:marRight w:val="0"/>
      <w:marTop w:val="0"/>
      <w:marBottom w:val="0"/>
      <w:divBdr>
        <w:top w:val="none" w:sz="0" w:space="0" w:color="auto"/>
        <w:left w:val="none" w:sz="0" w:space="0" w:color="auto"/>
        <w:bottom w:val="none" w:sz="0" w:space="0" w:color="auto"/>
        <w:right w:val="none" w:sz="0" w:space="0" w:color="auto"/>
      </w:divBdr>
    </w:div>
    <w:div w:id="950475143">
      <w:bodyDiv w:val="1"/>
      <w:marLeft w:val="0"/>
      <w:marRight w:val="0"/>
      <w:marTop w:val="0"/>
      <w:marBottom w:val="0"/>
      <w:divBdr>
        <w:top w:val="none" w:sz="0" w:space="0" w:color="auto"/>
        <w:left w:val="none" w:sz="0" w:space="0" w:color="auto"/>
        <w:bottom w:val="none" w:sz="0" w:space="0" w:color="auto"/>
        <w:right w:val="none" w:sz="0" w:space="0" w:color="auto"/>
      </w:divBdr>
    </w:div>
    <w:div w:id="959915569">
      <w:bodyDiv w:val="1"/>
      <w:marLeft w:val="0"/>
      <w:marRight w:val="0"/>
      <w:marTop w:val="0"/>
      <w:marBottom w:val="0"/>
      <w:divBdr>
        <w:top w:val="none" w:sz="0" w:space="0" w:color="auto"/>
        <w:left w:val="none" w:sz="0" w:space="0" w:color="auto"/>
        <w:bottom w:val="none" w:sz="0" w:space="0" w:color="auto"/>
        <w:right w:val="none" w:sz="0" w:space="0" w:color="auto"/>
      </w:divBdr>
    </w:div>
    <w:div w:id="962929884">
      <w:bodyDiv w:val="1"/>
      <w:marLeft w:val="0"/>
      <w:marRight w:val="0"/>
      <w:marTop w:val="0"/>
      <w:marBottom w:val="0"/>
      <w:divBdr>
        <w:top w:val="none" w:sz="0" w:space="0" w:color="auto"/>
        <w:left w:val="none" w:sz="0" w:space="0" w:color="auto"/>
        <w:bottom w:val="none" w:sz="0" w:space="0" w:color="auto"/>
        <w:right w:val="none" w:sz="0" w:space="0" w:color="auto"/>
      </w:divBdr>
    </w:div>
    <w:div w:id="966549445">
      <w:bodyDiv w:val="1"/>
      <w:marLeft w:val="0"/>
      <w:marRight w:val="0"/>
      <w:marTop w:val="0"/>
      <w:marBottom w:val="0"/>
      <w:divBdr>
        <w:top w:val="none" w:sz="0" w:space="0" w:color="auto"/>
        <w:left w:val="none" w:sz="0" w:space="0" w:color="auto"/>
        <w:bottom w:val="none" w:sz="0" w:space="0" w:color="auto"/>
        <w:right w:val="none" w:sz="0" w:space="0" w:color="auto"/>
      </w:divBdr>
    </w:div>
    <w:div w:id="983587456">
      <w:bodyDiv w:val="1"/>
      <w:marLeft w:val="0"/>
      <w:marRight w:val="0"/>
      <w:marTop w:val="0"/>
      <w:marBottom w:val="0"/>
      <w:divBdr>
        <w:top w:val="none" w:sz="0" w:space="0" w:color="auto"/>
        <w:left w:val="none" w:sz="0" w:space="0" w:color="auto"/>
        <w:bottom w:val="none" w:sz="0" w:space="0" w:color="auto"/>
        <w:right w:val="none" w:sz="0" w:space="0" w:color="auto"/>
      </w:divBdr>
    </w:div>
    <w:div w:id="996767750">
      <w:bodyDiv w:val="1"/>
      <w:marLeft w:val="0"/>
      <w:marRight w:val="0"/>
      <w:marTop w:val="0"/>
      <w:marBottom w:val="0"/>
      <w:divBdr>
        <w:top w:val="none" w:sz="0" w:space="0" w:color="auto"/>
        <w:left w:val="none" w:sz="0" w:space="0" w:color="auto"/>
        <w:bottom w:val="none" w:sz="0" w:space="0" w:color="auto"/>
        <w:right w:val="none" w:sz="0" w:space="0" w:color="auto"/>
      </w:divBdr>
    </w:div>
    <w:div w:id="998270955">
      <w:bodyDiv w:val="1"/>
      <w:marLeft w:val="0"/>
      <w:marRight w:val="0"/>
      <w:marTop w:val="0"/>
      <w:marBottom w:val="0"/>
      <w:divBdr>
        <w:top w:val="none" w:sz="0" w:space="0" w:color="auto"/>
        <w:left w:val="none" w:sz="0" w:space="0" w:color="auto"/>
        <w:bottom w:val="none" w:sz="0" w:space="0" w:color="auto"/>
        <w:right w:val="none" w:sz="0" w:space="0" w:color="auto"/>
      </w:divBdr>
    </w:div>
    <w:div w:id="1009408978">
      <w:bodyDiv w:val="1"/>
      <w:marLeft w:val="0"/>
      <w:marRight w:val="0"/>
      <w:marTop w:val="0"/>
      <w:marBottom w:val="0"/>
      <w:divBdr>
        <w:top w:val="none" w:sz="0" w:space="0" w:color="auto"/>
        <w:left w:val="none" w:sz="0" w:space="0" w:color="auto"/>
        <w:bottom w:val="none" w:sz="0" w:space="0" w:color="auto"/>
        <w:right w:val="none" w:sz="0" w:space="0" w:color="auto"/>
      </w:divBdr>
    </w:div>
    <w:div w:id="1019281646">
      <w:bodyDiv w:val="1"/>
      <w:marLeft w:val="0"/>
      <w:marRight w:val="0"/>
      <w:marTop w:val="0"/>
      <w:marBottom w:val="0"/>
      <w:divBdr>
        <w:top w:val="none" w:sz="0" w:space="0" w:color="auto"/>
        <w:left w:val="none" w:sz="0" w:space="0" w:color="auto"/>
        <w:bottom w:val="none" w:sz="0" w:space="0" w:color="auto"/>
        <w:right w:val="none" w:sz="0" w:space="0" w:color="auto"/>
      </w:divBdr>
    </w:div>
    <w:div w:id="1082534072">
      <w:bodyDiv w:val="1"/>
      <w:marLeft w:val="0"/>
      <w:marRight w:val="0"/>
      <w:marTop w:val="0"/>
      <w:marBottom w:val="0"/>
      <w:divBdr>
        <w:top w:val="none" w:sz="0" w:space="0" w:color="auto"/>
        <w:left w:val="none" w:sz="0" w:space="0" w:color="auto"/>
        <w:bottom w:val="none" w:sz="0" w:space="0" w:color="auto"/>
        <w:right w:val="none" w:sz="0" w:space="0" w:color="auto"/>
      </w:divBdr>
    </w:div>
    <w:div w:id="1102412460">
      <w:bodyDiv w:val="1"/>
      <w:marLeft w:val="0"/>
      <w:marRight w:val="0"/>
      <w:marTop w:val="0"/>
      <w:marBottom w:val="0"/>
      <w:divBdr>
        <w:top w:val="none" w:sz="0" w:space="0" w:color="auto"/>
        <w:left w:val="none" w:sz="0" w:space="0" w:color="auto"/>
        <w:bottom w:val="none" w:sz="0" w:space="0" w:color="auto"/>
        <w:right w:val="none" w:sz="0" w:space="0" w:color="auto"/>
      </w:divBdr>
    </w:div>
    <w:div w:id="1104501498">
      <w:bodyDiv w:val="1"/>
      <w:marLeft w:val="0"/>
      <w:marRight w:val="0"/>
      <w:marTop w:val="0"/>
      <w:marBottom w:val="0"/>
      <w:divBdr>
        <w:top w:val="none" w:sz="0" w:space="0" w:color="auto"/>
        <w:left w:val="none" w:sz="0" w:space="0" w:color="auto"/>
        <w:bottom w:val="none" w:sz="0" w:space="0" w:color="auto"/>
        <w:right w:val="none" w:sz="0" w:space="0" w:color="auto"/>
      </w:divBdr>
    </w:div>
    <w:div w:id="1112626356">
      <w:bodyDiv w:val="1"/>
      <w:marLeft w:val="0"/>
      <w:marRight w:val="0"/>
      <w:marTop w:val="0"/>
      <w:marBottom w:val="0"/>
      <w:divBdr>
        <w:top w:val="none" w:sz="0" w:space="0" w:color="auto"/>
        <w:left w:val="none" w:sz="0" w:space="0" w:color="auto"/>
        <w:bottom w:val="none" w:sz="0" w:space="0" w:color="auto"/>
        <w:right w:val="none" w:sz="0" w:space="0" w:color="auto"/>
      </w:divBdr>
    </w:div>
    <w:div w:id="1126122616">
      <w:bodyDiv w:val="1"/>
      <w:marLeft w:val="0"/>
      <w:marRight w:val="0"/>
      <w:marTop w:val="0"/>
      <w:marBottom w:val="0"/>
      <w:divBdr>
        <w:top w:val="none" w:sz="0" w:space="0" w:color="auto"/>
        <w:left w:val="none" w:sz="0" w:space="0" w:color="auto"/>
        <w:bottom w:val="none" w:sz="0" w:space="0" w:color="auto"/>
        <w:right w:val="none" w:sz="0" w:space="0" w:color="auto"/>
      </w:divBdr>
    </w:div>
    <w:div w:id="1130243646">
      <w:bodyDiv w:val="1"/>
      <w:marLeft w:val="0"/>
      <w:marRight w:val="0"/>
      <w:marTop w:val="0"/>
      <w:marBottom w:val="0"/>
      <w:divBdr>
        <w:top w:val="none" w:sz="0" w:space="0" w:color="auto"/>
        <w:left w:val="none" w:sz="0" w:space="0" w:color="auto"/>
        <w:bottom w:val="none" w:sz="0" w:space="0" w:color="auto"/>
        <w:right w:val="none" w:sz="0" w:space="0" w:color="auto"/>
      </w:divBdr>
    </w:div>
    <w:div w:id="1133134135">
      <w:bodyDiv w:val="1"/>
      <w:marLeft w:val="0"/>
      <w:marRight w:val="0"/>
      <w:marTop w:val="0"/>
      <w:marBottom w:val="0"/>
      <w:divBdr>
        <w:top w:val="none" w:sz="0" w:space="0" w:color="auto"/>
        <w:left w:val="none" w:sz="0" w:space="0" w:color="auto"/>
        <w:bottom w:val="none" w:sz="0" w:space="0" w:color="auto"/>
        <w:right w:val="none" w:sz="0" w:space="0" w:color="auto"/>
      </w:divBdr>
    </w:div>
    <w:div w:id="1166242221">
      <w:bodyDiv w:val="1"/>
      <w:marLeft w:val="0"/>
      <w:marRight w:val="0"/>
      <w:marTop w:val="0"/>
      <w:marBottom w:val="0"/>
      <w:divBdr>
        <w:top w:val="none" w:sz="0" w:space="0" w:color="auto"/>
        <w:left w:val="none" w:sz="0" w:space="0" w:color="auto"/>
        <w:bottom w:val="none" w:sz="0" w:space="0" w:color="auto"/>
        <w:right w:val="none" w:sz="0" w:space="0" w:color="auto"/>
      </w:divBdr>
    </w:div>
    <w:div w:id="1177884529">
      <w:bodyDiv w:val="1"/>
      <w:marLeft w:val="0"/>
      <w:marRight w:val="0"/>
      <w:marTop w:val="0"/>
      <w:marBottom w:val="0"/>
      <w:divBdr>
        <w:top w:val="none" w:sz="0" w:space="0" w:color="auto"/>
        <w:left w:val="none" w:sz="0" w:space="0" w:color="auto"/>
        <w:bottom w:val="none" w:sz="0" w:space="0" w:color="auto"/>
        <w:right w:val="none" w:sz="0" w:space="0" w:color="auto"/>
      </w:divBdr>
    </w:div>
    <w:div w:id="1193688209">
      <w:bodyDiv w:val="1"/>
      <w:marLeft w:val="0"/>
      <w:marRight w:val="0"/>
      <w:marTop w:val="0"/>
      <w:marBottom w:val="0"/>
      <w:divBdr>
        <w:top w:val="none" w:sz="0" w:space="0" w:color="auto"/>
        <w:left w:val="none" w:sz="0" w:space="0" w:color="auto"/>
        <w:bottom w:val="none" w:sz="0" w:space="0" w:color="auto"/>
        <w:right w:val="none" w:sz="0" w:space="0" w:color="auto"/>
      </w:divBdr>
    </w:div>
    <w:div w:id="1218980889">
      <w:bodyDiv w:val="1"/>
      <w:marLeft w:val="0"/>
      <w:marRight w:val="0"/>
      <w:marTop w:val="0"/>
      <w:marBottom w:val="0"/>
      <w:divBdr>
        <w:top w:val="none" w:sz="0" w:space="0" w:color="auto"/>
        <w:left w:val="none" w:sz="0" w:space="0" w:color="auto"/>
        <w:bottom w:val="none" w:sz="0" w:space="0" w:color="auto"/>
        <w:right w:val="none" w:sz="0" w:space="0" w:color="auto"/>
      </w:divBdr>
    </w:div>
    <w:div w:id="1221290659">
      <w:bodyDiv w:val="1"/>
      <w:marLeft w:val="0"/>
      <w:marRight w:val="0"/>
      <w:marTop w:val="0"/>
      <w:marBottom w:val="0"/>
      <w:divBdr>
        <w:top w:val="none" w:sz="0" w:space="0" w:color="auto"/>
        <w:left w:val="none" w:sz="0" w:space="0" w:color="auto"/>
        <w:bottom w:val="none" w:sz="0" w:space="0" w:color="auto"/>
        <w:right w:val="none" w:sz="0" w:space="0" w:color="auto"/>
      </w:divBdr>
    </w:div>
    <w:div w:id="1290211671">
      <w:bodyDiv w:val="1"/>
      <w:marLeft w:val="0"/>
      <w:marRight w:val="0"/>
      <w:marTop w:val="0"/>
      <w:marBottom w:val="0"/>
      <w:divBdr>
        <w:top w:val="none" w:sz="0" w:space="0" w:color="auto"/>
        <w:left w:val="none" w:sz="0" w:space="0" w:color="auto"/>
        <w:bottom w:val="none" w:sz="0" w:space="0" w:color="auto"/>
        <w:right w:val="none" w:sz="0" w:space="0" w:color="auto"/>
      </w:divBdr>
    </w:div>
    <w:div w:id="1290548000">
      <w:bodyDiv w:val="1"/>
      <w:marLeft w:val="0"/>
      <w:marRight w:val="0"/>
      <w:marTop w:val="0"/>
      <w:marBottom w:val="0"/>
      <w:divBdr>
        <w:top w:val="none" w:sz="0" w:space="0" w:color="auto"/>
        <w:left w:val="none" w:sz="0" w:space="0" w:color="auto"/>
        <w:bottom w:val="none" w:sz="0" w:space="0" w:color="auto"/>
        <w:right w:val="none" w:sz="0" w:space="0" w:color="auto"/>
      </w:divBdr>
    </w:div>
    <w:div w:id="1308557987">
      <w:bodyDiv w:val="1"/>
      <w:marLeft w:val="0"/>
      <w:marRight w:val="0"/>
      <w:marTop w:val="0"/>
      <w:marBottom w:val="0"/>
      <w:divBdr>
        <w:top w:val="none" w:sz="0" w:space="0" w:color="auto"/>
        <w:left w:val="none" w:sz="0" w:space="0" w:color="auto"/>
        <w:bottom w:val="none" w:sz="0" w:space="0" w:color="auto"/>
        <w:right w:val="none" w:sz="0" w:space="0" w:color="auto"/>
      </w:divBdr>
    </w:div>
    <w:div w:id="1315181325">
      <w:bodyDiv w:val="1"/>
      <w:marLeft w:val="0"/>
      <w:marRight w:val="0"/>
      <w:marTop w:val="0"/>
      <w:marBottom w:val="0"/>
      <w:divBdr>
        <w:top w:val="none" w:sz="0" w:space="0" w:color="auto"/>
        <w:left w:val="none" w:sz="0" w:space="0" w:color="auto"/>
        <w:bottom w:val="none" w:sz="0" w:space="0" w:color="auto"/>
        <w:right w:val="none" w:sz="0" w:space="0" w:color="auto"/>
      </w:divBdr>
    </w:div>
    <w:div w:id="1321233489">
      <w:bodyDiv w:val="1"/>
      <w:marLeft w:val="0"/>
      <w:marRight w:val="0"/>
      <w:marTop w:val="0"/>
      <w:marBottom w:val="0"/>
      <w:divBdr>
        <w:top w:val="none" w:sz="0" w:space="0" w:color="auto"/>
        <w:left w:val="none" w:sz="0" w:space="0" w:color="auto"/>
        <w:bottom w:val="none" w:sz="0" w:space="0" w:color="auto"/>
        <w:right w:val="none" w:sz="0" w:space="0" w:color="auto"/>
      </w:divBdr>
    </w:div>
    <w:div w:id="1330865333">
      <w:bodyDiv w:val="1"/>
      <w:marLeft w:val="0"/>
      <w:marRight w:val="0"/>
      <w:marTop w:val="0"/>
      <w:marBottom w:val="0"/>
      <w:divBdr>
        <w:top w:val="none" w:sz="0" w:space="0" w:color="auto"/>
        <w:left w:val="none" w:sz="0" w:space="0" w:color="auto"/>
        <w:bottom w:val="none" w:sz="0" w:space="0" w:color="auto"/>
        <w:right w:val="none" w:sz="0" w:space="0" w:color="auto"/>
      </w:divBdr>
    </w:div>
    <w:div w:id="1344477900">
      <w:bodyDiv w:val="1"/>
      <w:marLeft w:val="0"/>
      <w:marRight w:val="0"/>
      <w:marTop w:val="0"/>
      <w:marBottom w:val="0"/>
      <w:divBdr>
        <w:top w:val="none" w:sz="0" w:space="0" w:color="auto"/>
        <w:left w:val="none" w:sz="0" w:space="0" w:color="auto"/>
        <w:bottom w:val="none" w:sz="0" w:space="0" w:color="auto"/>
        <w:right w:val="none" w:sz="0" w:space="0" w:color="auto"/>
      </w:divBdr>
    </w:div>
    <w:div w:id="1364672318">
      <w:bodyDiv w:val="1"/>
      <w:marLeft w:val="0"/>
      <w:marRight w:val="0"/>
      <w:marTop w:val="0"/>
      <w:marBottom w:val="0"/>
      <w:divBdr>
        <w:top w:val="none" w:sz="0" w:space="0" w:color="auto"/>
        <w:left w:val="none" w:sz="0" w:space="0" w:color="auto"/>
        <w:bottom w:val="none" w:sz="0" w:space="0" w:color="auto"/>
        <w:right w:val="none" w:sz="0" w:space="0" w:color="auto"/>
      </w:divBdr>
    </w:div>
    <w:div w:id="1384404720">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407603598">
      <w:bodyDiv w:val="1"/>
      <w:marLeft w:val="0"/>
      <w:marRight w:val="0"/>
      <w:marTop w:val="0"/>
      <w:marBottom w:val="0"/>
      <w:divBdr>
        <w:top w:val="none" w:sz="0" w:space="0" w:color="auto"/>
        <w:left w:val="none" w:sz="0" w:space="0" w:color="auto"/>
        <w:bottom w:val="none" w:sz="0" w:space="0" w:color="auto"/>
        <w:right w:val="none" w:sz="0" w:space="0" w:color="auto"/>
      </w:divBdr>
    </w:div>
    <w:div w:id="1410620768">
      <w:bodyDiv w:val="1"/>
      <w:marLeft w:val="0"/>
      <w:marRight w:val="0"/>
      <w:marTop w:val="0"/>
      <w:marBottom w:val="0"/>
      <w:divBdr>
        <w:top w:val="none" w:sz="0" w:space="0" w:color="auto"/>
        <w:left w:val="none" w:sz="0" w:space="0" w:color="auto"/>
        <w:bottom w:val="none" w:sz="0" w:space="0" w:color="auto"/>
        <w:right w:val="none" w:sz="0" w:space="0" w:color="auto"/>
      </w:divBdr>
    </w:div>
    <w:div w:id="1433862155">
      <w:bodyDiv w:val="1"/>
      <w:marLeft w:val="0"/>
      <w:marRight w:val="0"/>
      <w:marTop w:val="0"/>
      <w:marBottom w:val="0"/>
      <w:divBdr>
        <w:top w:val="none" w:sz="0" w:space="0" w:color="auto"/>
        <w:left w:val="none" w:sz="0" w:space="0" w:color="auto"/>
        <w:bottom w:val="none" w:sz="0" w:space="0" w:color="auto"/>
        <w:right w:val="none" w:sz="0" w:space="0" w:color="auto"/>
      </w:divBdr>
    </w:div>
    <w:div w:id="1460758430">
      <w:bodyDiv w:val="1"/>
      <w:marLeft w:val="0"/>
      <w:marRight w:val="0"/>
      <w:marTop w:val="0"/>
      <w:marBottom w:val="0"/>
      <w:divBdr>
        <w:top w:val="none" w:sz="0" w:space="0" w:color="auto"/>
        <w:left w:val="none" w:sz="0" w:space="0" w:color="auto"/>
        <w:bottom w:val="none" w:sz="0" w:space="0" w:color="auto"/>
        <w:right w:val="none" w:sz="0" w:space="0" w:color="auto"/>
      </w:divBdr>
    </w:div>
    <w:div w:id="1474327807">
      <w:bodyDiv w:val="1"/>
      <w:marLeft w:val="0"/>
      <w:marRight w:val="0"/>
      <w:marTop w:val="0"/>
      <w:marBottom w:val="0"/>
      <w:divBdr>
        <w:top w:val="none" w:sz="0" w:space="0" w:color="auto"/>
        <w:left w:val="none" w:sz="0" w:space="0" w:color="auto"/>
        <w:bottom w:val="none" w:sz="0" w:space="0" w:color="auto"/>
        <w:right w:val="none" w:sz="0" w:space="0" w:color="auto"/>
      </w:divBdr>
    </w:div>
    <w:div w:id="1477408924">
      <w:bodyDiv w:val="1"/>
      <w:marLeft w:val="0"/>
      <w:marRight w:val="0"/>
      <w:marTop w:val="0"/>
      <w:marBottom w:val="0"/>
      <w:divBdr>
        <w:top w:val="none" w:sz="0" w:space="0" w:color="auto"/>
        <w:left w:val="none" w:sz="0" w:space="0" w:color="auto"/>
        <w:bottom w:val="none" w:sz="0" w:space="0" w:color="auto"/>
        <w:right w:val="none" w:sz="0" w:space="0" w:color="auto"/>
      </w:divBdr>
    </w:div>
    <w:div w:id="1484160446">
      <w:bodyDiv w:val="1"/>
      <w:marLeft w:val="0"/>
      <w:marRight w:val="0"/>
      <w:marTop w:val="0"/>
      <w:marBottom w:val="0"/>
      <w:divBdr>
        <w:top w:val="none" w:sz="0" w:space="0" w:color="auto"/>
        <w:left w:val="none" w:sz="0" w:space="0" w:color="auto"/>
        <w:bottom w:val="none" w:sz="0" w:space="0" w:color="auto"/>
        <w:right w:val="none" w:sz="0" w:space="0" w:color="auto"/>
      </w:divBdr>
    </w:div>
    <w:div w:id="1498695255">
      <w:bodyDiv w:val="1"/>
      <w:marLeft w:val="0"/>
      <w:marRight w:val="0"/>
      <w:marTop w:val="0"/>
      <w:marBottom w:val="0"/>
      <w:divBdr>
        <w:top w:val="none" w:sz="0" w:space="0" w:color="auto"/>
        <w:left w:val="none" w:sz="0" w:space="0" w:color="auto"/>
        <w:bottom w:val="none" w:sz="0" w:space="0" w:color="auto"/>
        <w:right w:val="none" w:sz="0" w:space="0" w:color="auto"/>
      </w:divBdr>
    </w:div>
    <w:div w:id="1501116647">
      <w:bodyDiv w:val="1"/>
      <w:marLeft w:val="0"/>
      <w:marRight w:val="0"/>
      <w:marTop w:val="0"/>
      <w:marBottom w:val="0"/>
      <w:divBdr>
        <w:top w:val="none" w:sz="0" w:space="0" w:color="auto"/>
        <w:left w:val="none" w:sz="0" w:space="0" w:color="auto"/>
        <w:bottom w:val="none" w:sz="0" w:space="0" w:color="auto"/>
        <w:right w:val="none" w:sz="0" w:space="0" w:color="auto"/>
      </w:divBdr>
    </w:div>
    <w:div w:id="1509710293">
      <w:bodyDiv w:val="1"/>
      <w:marLeft w:val="0"/>
      <w:marRight w:val="0"/>
      <w:marTop w:val="0"/>
      <w:marBottom w:val="0"/>
      <w:divBdr>
        <w:top w:val="none" w:sz="0" w:space="0" w:color="auto"/>
        <w:left w:val="none" w:sz="0" w:space="0" w:color="auto"/>
        <w:bottom w:val="none" w:sz="0" w:space="0" w:color="auto"/>
        <w:right w:val="none" w:sz="0" w:space="0" w:color="auto"/>
      </w:divBdr>
    </w:div>
    <w:div w:id="1511095104">
      <w:bodyDiv w:val="1"/>
      <w:marLeft w:val="0"/>
      <w:marRight w:val="0"/>
      <w:marTop w:val="0"/>
      <w:marBottom w:val="0"/>
      <w:divBdr>
        <w:top w:val="none" w:sz="0" w:space="0" w:color="auto"/>
        <w:left w:val="none" w:sz="0" w:space="0" w:color="auto"/>
        <w:bottom w:val="none" w:sz="0" w:space="0" w:color="auto"/>
        <w:right w:val="none" w:sz="0" w:space="0" w:color="auto"/>
      </w:divBdr>
    </w:div>
    <w:div w:id="1518811968">
      <w:bodyDiv w:val="1"/>
      <w:marLeft w:val="0"/>
      <w:marRight w:val="0"/>
      <w:marTop w:val="0"/>
      <w:marBottom w:val="0"/>
      <w:divBdr>
        <w:top w:val="none" w:sz="0" w:space="0" w:color="auto"/>
        <w:left w:val="none" w:sz="0" w:space="0" w:color="auto"/>
        <w:bottom w:val="none" w:sz="0" w:space="0" w:color="auto"/>
        <w:right w:val="none" w:sz="0" w:space="0" w:color="auto"/>
      </w:divBdr>
    </w:div>
    <w:div w:id="1530409458">
      <w:bodyDiv w:val="1"/>
      <w:marLeft w:val="0"/>
      <w:marRight w:val="0"/>
      <w:marTop w:val="0"/>
      <w:marBottom w:val="0"/>
      <w:divBdr>
        <w:top w:val="none" w:sz="0" w:space="0" w:color="auto"/>
        <w:left w:val="none" w:sz="0" w:space="0" w:color="auto"/>
        <w:bottom w:val="none" w:sz="0" w:space="0" w:color="auto"/>
        <w:right w:val="none" w:sz="0" w:space="0" w:color="auto"/>
      </w:divBdr>
    </w:div>
    <w:div w:id="1534230165">
      <w:bodyDiv w:val="1"/>
      <w:marLeft w:val="0"/>
      <w:marRight w:val="0"/>
      <w:marTop w:val="0"/>
      <w:marBottom w:val="0"/>
      <w:divBdr>
        <w:top w:val="none" w:sz="0" w:space="0" w:color="auto"/>
        <w:left w:val="none" w:sz="0" w:space="0" w:color="auto"/>
        <w:bottom w:val="none" w:sz="0" w:space="0" w:color="auto"/>
        <w:right w:val="none" w:sz="0" w:space="0" w:color="auto"/>
      </w:divBdr>
    </w:div>
    <w:div w:id="1541943276">
      <w:bodyDiv w:val="1"/>
      <w:marLeft w:val="0"/>
      <w:marRight w:val="0"/>
      <w:marTop w:val="0"/>
      <w:marBottom w:val="0"/>
      <w:divBdr>
        <w:top w:val="none" w:sz="0" w:space="0" w:color="auto"/>
        <w:left w:val="none" w:sz="0" w:space="0" w:color="auto"/>
        <w:bottom w:val="none" w:sz="0" w:space="0" w:color="auto"/>
        <w:right w:val="none" w:sz="0" w:space="0" w:color="auto"/>
      </w:divBdr>
    </w:div>
    <w:div w:id="1543520740">
      <w:bodyDiv w:val="1"/>
      <w:marLeft w:val="0"/>
      <w:marRight w:val="0"/>
      <w:marTop w:val="0"/>
      <w:marBottom w:val="0"/>
      <w:divBdr>
        <w:top w:val="none" w:sz="0" w:space="0" w:color="auto"/>
        <w:left w:val="none" w:sz="0" w:space="0" w:color="auto"/>
        <w:bottom w:val="none" w:sz="0" w:space="0" w:color="auto"/>
        <w:right w:val="none" w:sz="0" w:space="0" w:color="auto"/>
      </w:divBdr>
    </w:div>
    <w:div w:id="1546520443">
      <w:bodyDiv w:val="1"/>
      <w:marLeft w:val="0"/>
      <w:marRight w:val="0"/>
      <w:marTop w:val="0"/>
      <w:marBottom w:val="0"/>
      <w:divBdr>
        <w:top w:val="none" w:sz="0" w:space="0" w:color="auto"/>
        <w:left w:val="none" w:sz="0" w:space="0" w:color="auto"/>
        <w:bottom w:val="none" w:sz="0" w:space="0" w:color="auto"/>
        <w:right w:val="none" w:sz="0" w:space="0" w:color="auto"/>
      </w:divBdr>
    </w:div>
    <w:div w:id="1553349742">
      <w:bodyDiv w:val="1"/>
      <w:marLeft w:val="0"/>
      <w:marRight w:val="0"/>
      <w:marTop w:val="0"/>
      <w:marBottom w:val="0"/>
      <w:divBdr>
        <w:top w:val="none" w:sz="0" w:space="0" w:color="auto"/>
        <w:left w:val="none" w:sz="0" w:space="0" w:color="auto"/>
        <w:bottom w:val="none" w:sz="0" w:space="0" w:color="auto"/>
        <w:right w:val="none" w:sz="0" w:space="0" w:color="auto"/>
      </w:divBdr>
    </w:div>
    <w:div w:id="1589265235">
      <w:bodyDiv w:val="1"/>
      <w:marLeft w:val="0"/>
      <w:marRight w:val="0"/>
      <w:marTop w:val="0"/>
      <w:marBottom w:val="0"/>
      <w:divBdr>
        <w:top w:val="none" w:sz="0" w:space="0" w:color="auto"/>
        <w:left w:val="none" w:sz="0" w:space="0" w:color="auto"/>
        <w:bottom w:val="none" w:sz="0" w:space="0" w:color="auto"/>
        <w:right w:val="none" w:sz="0" w:space="0" w:color="auto"/>
      </w:divBdr>
      <w:divsChild>
        <w:div w:id="833378112">
          <w:marLeft w:val="0"/>
          <w:marRight w:val="0"/>
          <w:marTop w:val="166"/>
          <w:marBottom w:val="166"/>
          <w:divBdr>
            <w:top w:val="none" w:sz="0" w:space="0" w:color="auto"/>
            <w:left w:val="none" w:sz="0" w:space="0" w:color="auto"/>
            <w:bottom w:val="none" w:sz="0" w:space="0" w:color="auto"/>
            <w:right w:val="none" w:sz="0" w:space="0" w:color="auto"/>
          </w:divBdr>
        </w:div>
      </w:divsChild>
    </w:div>
    <w:div w:id="1601571138">
      <w:bodyDiv w:val="1"/>
      <w:marLeft w:val="0"/>
      <w:marRight w:val="0"/>
      <w:marTop w:val="0"/>
      <w:marBottom w:val="0"/>
      <w:divBdr>
        <w:top w:val="none" w:sz="0" w:space="0" w:color="auto"/>
        <w:left w:val="none" w:sz="0" w:space="0" w:color="auto"/>
        <w:bottom w:val="none" w:sz="0" w:space="0" w:color="auto"/>
        <w:right w:val="none" w:sz="0" w:space="0" w:color="auto"/>
      </w:divBdr>
    </w:div>
    <w:div w:id="1623536023">
      <w:bodyDiv w:val="1"/>
      <w:marLeft w:val="0"/>
      <w:marRight w:val="0"/>
      <w:marTop w:val="0"/>
      <w:marBottom w:val="0"/>
      <w:divBdr>
        <w:top w:val="none" w:sz="0" w:space="0" w:color="auto"/>
        <w:left w:val="none" w:sz="0" w:space="0" w:color="auto"/>
        <w:bottom w:val="none" w:sz="0" w:space="0" w:color="auto"/>
        <w:right w:val="none" w:sz="0" w:space="0" w:color="auto"/>
      </w:divBdr>
    </w:div>
    <w:div w:id="1632051349">
      <w:bodyDiv w:val="1"/>
      <w:marLeft w:val="0"/>
      <w:marRight w:val="0"/>
      <w:marTop w:val="0"/>
      <w:marBottom w:val="0"/>
      <w:divBdr>
        <w:top w:val="none" w:sz="0" w:space="0" w:color="auto"/>
        <w:left w:val="none" w:sz="0" w:space="0" w:color="auto"/>
        <w:bottom w:val="none" w:sz="0" w:space="0" w:color="auto"/>
        <w:right w:val="none" w:sz="0" w:space="0" w:color="auto"/>
      </w:divBdr>
    </w:div>
    <w:div w:id="1640918774">
      <w:bodyDiv w:val="1"/>
      <w:marLeft w:val="0"/>
      <w:marRight w:val="0"/>
      <w:marTop w:val="0"/>
      <w:marBottom w:val="0"/>
      <w:divBdr>
        <w:top w:val="none" w:sz="0" w:space="0" w:color="auto"/>
        <w:left w:val="none" w:sz="0" w:space="0" w:color="auto"/>
        <w:bottom w:val="none" w:sz="0" w:space="0" w:color="auto"/>
        <w:right w:val="none" w:sz="0" w:space="0" w:color="auto"/>
      </w:divBdr>
    </w:div>
    <w:div w:id="1678581653">
      <w:bodyDiv w:val="1"/>
      <w:marLeft w:val="0"/>
      <w:marRight w:val="0"/>
      <w:marTop w:val="0"/>
      <w:marBottom w:val="0"/>
      <w:divBdr>
        <w:top w:val="none" w:sz="0" w:space="0" w:color="auto"/>
        <w:left w:val="none" w:sz="0" w:space="0" w:color="auto"/>
        <w:bottom w:val="none" w:sz="0" w:space="0" w:color="auto"/>
        <w:right w:val="none" w:sz="0" w:space="0" w:color="auto"/>
      </w:divBdr>
    </w:div>
    <w:div w:id="1684700038">
      <w:bodyDiv w:val="1"/>
      <w:marLeft w:val="0"/>
      <w:marRight w:val="0"/>
      <w:marTop w:val="0"/>
      <w:marBottom w:val="0"/>
      <w:divBdr>
        <w:top w:val="none" w:sz="0" w:space="0" w:color="auto"/>
        <w:left w:val="none" w:sz="0" w:space="0" w:color="auto"/>
        <w:bottom w:val="none" w:sz="0" w:space="0" w:color="auto"/>
        <w:right w:val="none" w:sz="0" w:space="0" w:color="auto"/>
      </w:divBdr>
    </w:div>
    <w:div w:id="1691101019">
      <w:bodyDiv w:val="1"/>
      <w:marLeft w:val="0"/>
      <w:marRight w:val="0"/>
      <w:marTop w:val="0"/>
      <w:marBottom w:val="0"/>
      <w:divBdr>
        <w:top w:val="none" w:sz="0" w:space="0" w:color="auto"/>
        <w:left w:val="none" w:sz="0" w:space="0" w:color="auto"/>
        <w:bottom w:val="none" w:sz="0" w:space="0" w:color="auto"/>
        <w:right w:val="none" w:sz="0" w:space="0" w:color="auto"/>
      </w:divBdr>
    </w:div>
    <w:div w:id="1691107304">
      <w:bodyDiv w:val="1"/>
      <w:marLeft w:val="0"/>
      <w:marRight w:val="0"/>
      <w:marTop w:val="0"/>
      <w:marBottom w:val="0"/>
      <w:divBdr>
        <w:top w:val="none" w:sz="0" w:space="0" w:color="auto"/>
        <w:left w:val="none" w:sz="0" w:space="0" w:color="auto"/>
        <w:bottom w:val="none" w:sz="0" w:space="0" w:color="auto"/>
        <w:right w:val="none" w:sz="0" w:space="0" w:color="auto"/>
      </w:divBdr>
    </w:div>
    <w:div w:id="1692878479">
      <w:bodyDiv w:val="1"/>
      <w:marLeft w:val="0"/>
      <w:marRight w:val="0"/>
      <w:marTop w:val="0"/>
      <w:marBottom w:val="0"/>
      <w:divBdr>
        <w:top w:val="none" w:sz="0" w:space="0" w:color="auto"/>
        <w:left w:val="none" w:sz="0" w:space="0" w:color="auto"/>
        <w:bottom w:val="none" w:sz="0" w:space="0" w:color="auto"/>
        <w:right w:val="none" w:sz="0" w:space="0" w:color="auto"/>
      </w:divBdr>
    </w:div>
    <w:div w:id="1699624921">
      <w:bodyDiv w:val="1"/>
      <w:marLeft w:val="0"/>
      <w:marRight w:val="0"/>
      <w:marTop w:val="0"/>
      <w:marBottom w:val="0"/>
      <w:divBdr>
        <w:top w:val="none" w:sz="0" w:space="0" w:color="auto"/>
        <w:left w:val="none" w:sz="0" w:space="0" w:color="auto"/>
        <w:bottom w:val="none" w:sz="0" w:space="0" w:color="auto"/>
        <w:right w:val="none" w:sz="0" w:space="0" w:color="auto"/>
      </w:divBdr>
    </w:div>
    <w:div w:id="1701083952">
      <w:bodyDiv w:val="1"/>
      <w:marLeft w:val="0"/>
      <w:marRight w:val="0"/>
      <w:marTop w:val="0"/>
      <w:marBottom w:val="0"/>
      <w:divBdr>
        <w:top w:val="none" w:sz="0" w:space="0" w:color="auto"/>
        <w:left w:val="none" w:sz="0" w:space="0" w:color="auto"/>
        <w:bottom w:val="none" w:sz="0" w:space="0" w:color="auto"/>
        <w:right w:val="none" w:sz="0" w:space="0" w:color="auto"/>
      </w:divBdr>
    </w:div>
    <w:div w:id="1709062237">
      <w:bodyDiv w:val="1"/>
      <w:marLeft w:val="0"/>
      <w:marRight w:val="0"/>
      <w:marTop w:val="0"/>
      <w:marBottom w:val="0"/>
      <w:divBdr>
        <w:top w:val="none" w:sz="0" w:space="0" w:color="auto"/>
        <w:left w:val="none" w:sz="0" w:space="0" w:color="auto"/>
        <w:bottom w:val="none" w:sz="0" w:space="0" w:color="auto"/>
        <w:right w:val="none" w:sz="0" w:space="0" w:color="auto"/>
      </w:divBdr>
    </w:div>
    <w:div w:id="1732843815">
      <w:bodyDiv w:val="1"/>
      <w:marLeft w:val="0"/>
      <w:marRight w:val="0"/>
      <w:marTop w:val="0"/>
      <w:marBottom w:val="0"/>
      <w:divBdr>
        <w:top w:val="none" w:sz="0" w:space="0" w:color="auto"/>
        <w:left w:val="none" w:sz="0" w:space="0" w:color="auto"/>
        <w:bottom w:val="none" w:sz="0" w:space="0" w:color="auto"/>
        <w:right w:val="none" w:sz="0" w:space="0" w:color="auto"/>
      </w:divBdr>
    </w:div>
    <w:div w:id="1752851332">
      <w:bodyDiv w:val="1"/>
      <w:marLeft w:val="0"/>
      <w:marRight w:val="0"/>
      <w:marTop w:val="0"/>
      <w:marBottom w:val="0"/>
      <w:divBdr>
        <w:top w:val="none" w:sz="0" w:space="0" w:color="auto"/>
        <w:left w:val="none" w:sz="0" w:space="0" w:color="auto"/>
        <w:bottom w:val="none" w:sz="0" w:space="0" w:color="auto"/>
        <w:right w:val="none" w:sz="0" w:space="0" w:color="auto"/>
      </w:divBdr>
    </w:div>
    <w:div w:id="1760515491">
      <w:bodyDiv w:val="1"/>
      <w:marLeft w:val="0"/>
      <w:marRight w:val="0"/>
      <w:marTop w:val="0"/>
      <w:marBottom w:val="0"/>
      <w:divBdr>
        <w:top w:val="none" w:sz="0" w:space="0" w:color="auto"/>
        <w:left w:val="none" w:sz="0" w:space="0" w:color="auto"/>
        <w:bottom w:val="none" w:sz="0" w:space="0" w:color="auto"/>
        <w:right w:val="none" w:sz="0" w:space="0" w:color="auto"/>
      </w:divBdr>
    </w:div>
    <w:div w:id="1774738045">
      <w:bodyDiv w:val="1"/>
      <w:marLeft w:val="0"/>
      <w:marRight w:val="0"/>
      <w:marTop w:val="0"/>
      <w:marBottom w:val="0"/>
      <w:divBdr>
        <w:top w:val="none" w:sz="0" w:space="0" w:color="auto"/>
        <w:left w:val="none" w:sz="0" w:space="0" w:color="auto"/>
        <w:bottom w:val="none" w:sz="0" w:space="0" w:color="auto"/>
        <w:right w:val="none" w:sz="0" w:space="0" w:color="auto"/>
      </w:divBdr>
      <w:divsChild>
        <w:div w:id="1990480457">
          <w:marLeft w:val="0"/>
          <w:marRight w:val="0"/>
          <w:marTop w:val="166"/>
          <w:marBottom w:val="166"/>
          <w:divBdr>
            <w:top w:val="none" w:sz="0" w:space="0" w:color="auto"/>
            <w:left w:val="none" w:sz="0" w:space="0" w:color="auto"/>
            <w:bottom w:val="none" w:sz="0" w:space="0" w:color="auto"/>
            <w:right w:val="none" w:sz="0" w:space="0" w:color="auto"/>
          </w:divBdr>
        </w:div>
      </w:divsChild>
    </w:div>
    <w:div w:id="1808863802">
      <w:bodyDiv w:val="1"/>
      <w:marLeft w:val="0"/>
      <w:marRight w:val="0"/>
      <w:marTop w:val="0"/>
      <w:marBottom w:val="0"/>
      <w:divBdr>
        <w:top w:val="none" w:sz="0" w:space="0" w:color="auto"/>
        <w:left w:val="none" w:sz="0" w:space="0" w:color="auto"/>
        <w:bottom w:val="none" w:sz="0" w:space="0" w:color="auto"/>
        <w:right w:val="none" w:sz="0" w:space="0" w:color="auto"/>
      </w:divBdr>
    </w:div>
    <w:div w:id="1835757778">
      <w:bodyDiv w:val="1"/>
      <w:marLeft w:val="0"/>
      <w:marRight w:val="0"/>
      <w:marTop w:val="0"/>
      <w:marBottom w:val="0"/>
      <w:divBdr>
        <w:top w:val="none" w:sz="0" w:space="0" w:color="auto"/>
        <w:left w:val="none" w:sz="0" w:space="0" w:color="auto"/>
        <w:bottom w:val="none" w:sz="0" w:space="0" w:color="auto"/>
        <w:right w:val="none" w:sz="0" w:space="0" w:color="auto"/>
      </w:divBdr>
    </w:div>
    <w:div w:id="1837727040">
      <w:bodyDiv w:val="1"/>
      <w:marLeft w:val="0"/>
      <w:marRight w:val="0"/>
      <w:marTop w:val="0"/>
      <w:marBottom w:val="0"/>
      <w:divBdr>
        <w:top w:val="none" w:sz="0" w:space="0" w:color="auto"/>
        <w:left w:val="none" w:sz="0" w:space="0" w:color="auto"/>
        <w:bottom w:val="none" w:sz="0" w:space="0" w:color="auto"/>
        <w:right w:val="none" w:sz="0" w:space="0" w:color="auto"/>
      </w:divBdr>
    </w:div>
    <w:div w:id="1847331144">
      <w:bodyDiv w:val="1"/>
      <w:marLeft w:val="0"/>
      <w:marRight w:val="0"/>
      <w:marTop w:val="0"/>
      <w:marBottom w:val="0"/>
      <w:divBdr>
        <w:top w:val="none" w:sz="0" w:space="0" w:color="auto"/>
        <w:left w:val="none" w:sz="0" w:space="0" w:color="auto"/>
        <w:bottom w:val="none" w:sz="0" w:space="0" w:color="auto"/>
        <w:right w:val="none" w:sz="0" w:space="0" w:color="auto"/>
      </w:divBdr>
    </w:div>
    <w:div w:id="1853571079">
      <w:bodyDiv w:val="1"/>
      <w:marLeft w:val="0"/>
      <w:marRight w:val="0"/>
      <w:marTop w:val="0"/>
      <w:marBottom w:val="0"/>
      <w:divBdr>
        <w:top w:val="none" w:sz="0" w:space="0" w:color="auto"/>
        <w:left w:val="none" w:sz="0" w:space="0" w:color="auto"/>
        <w:bottom w:val="none" w:sz="0" w:space="0" w:color="auto"/>
        <w:right w:val="none" w:sz="0" w:space="0" w:color="auto"/>
      </w:divBdr>
    </w:div>
    <w:div w:id="1864241033">
      <w:bodyDiv w:val="1"/>
      <w:marLeft w:val="0"/>
      <w:marRight w:val="0"/>
      <w:marTop w:val="0"/>
      <w:marBottom w:val="0"/>
      <w:divBdr>
        <w:top w:val="none" w:sz="0" w:space="0" w:color="auto"/>
        <w:left w:val="none" w:sz="0" w:space="0" w:color="auto"/>
        <w:bottom w:val="none" w:sz="0" w:space="0" w:color="auto"/>
        <w:right w:val="none" w:sz="0" w:space="0" w:color="auto"/>
      </w:divBdr>
    </w:div>
    <w:div w:id="1867910949">
      <w:bodyDiv w:val="1"/>
      <w:marLeft w:val="0"/>
      <w:marRight w:val="0"/>
      <w:marTop w:val="0"/>
      <w:marBottom w:val="0"/>
      <w:divBdr>
        <w:top w:val="none" w:sz="0" w:space="0" w:color="auto"/>
        <w:left w:val="none" w:sz="0" w:space="0" w:color="auto"/>
        <w:bottom w:val="none" w:sz="0" w:space="0" w:color="auto"/>
        <w:right w:val="none" w:sz="0" w:space="0" w:color="auto"/>
      </w:divBdr>
    </w:div>
    <w:div w:id="1884097772">
      <w:bodyDiv w:val="1"/>
      <w:marLeft w:val="0"/>
      <w:marRight w:val="0"/>
      <w:marTop w:val="0"/>
      <w:marBottom w:val="0"/>
      <w:divBdr>
        <w:top w:val="none" w:sz="0" w:space="0" w:color="auto"/>
        <w:left w:val="none" w:sz="0" w:space="0" w:color="auto"/>
        <w:bottom w:val="none" w:sz="0" w:space="0" w:color="auto"/>
        <w:right w:val="none" w:sz="0" w:space="0" w:color="auto"/>
      </w:divBdr>
    </w:div>
    <w:div w:id="1886793024">
      <w:bodyDiv w:val="1"/>
      <w:marLeft w:val="0"/>
      <w:marRight w:val="0"/>
      <w:marTop w:val="0"/>
      <w:marBottom w:val="0"/>
      <w:divBdr>
        <w:top w:val="none" w:sz="0" w:space="0" w:color="auto"/>
        <w:left w:val="none" w:sz="0" w:space="0" w:color="auto"/>
        <w:bottom w:val="none" w:sz="0" w:space="0" w:color="auto"/>
        <w:right w:val="none" w:sz="0" w:space="0" w:color="auto"/>
      </w:divBdr>
    </w:div>
    <w:div w:id="1890262387">
      <w:bodyDiv w:val="1"/>
      <w:marLeft w:val="0"/>
      <w:marRight w:val="0"/>
      <w:marTop w:val="0"/>
      <w:marBottom w:val="0"/>
      <w:divBdr>
        <w:top w:val="none" w:sz="0" w:space="0" w:color="auto"/>
        <w:left w:val="none" w:sz="0" w:space="0" w:color="auto"/>
        <w:bottom w:val="none" w:sz="0" w:space="0" w:color="auto"/>
        <w:right w:val="none" w:sz="0" w:space="0" w:color="auto"/>
      </w:divBdr>
    </w:div>
    <w:div w:id="1894079003">
      <w:bodyDiv w:val="1"/>
      <w:marLeft w:val="0"/>
      <w:marRight w:val="0"/>
      <w:marTop w:val="0"/>
      <w:marBottom w:val="0"/>
      <w:divBdr>
        <w:top w:val="none" w:sz="0" w:space="0" w:color="auto"/>
        <w:left w:val="none" w:sz="0" w:space="0" w:color="auto"/>
        <w:bottom w:val="none" w:sz="0" w:space="0" w:color="auto"/>
        <w:right w:val="none" w:sz="0" w:space="0" w:color="auto"/>
      </w:divBdr>
    </w:div>
    <w:div w:id="1903054273">
      <w:bodyDiv w:val="1"/>
      <w:marLeft w:val="0"/>
      <w:marRight w:val="0"/>
      <w:marTop w:val="0"/>
      <w:marBottom w:val="0"/>
      <w:divBdr>
        <w:top w:val="none" w:sz="0" w:space="0" w:color="auto"/>
        <w:left w:val="none" w:sz="0" w:space="0" w:color="auto"/>
        <w:bottom w:val="none" w:sz="0" w:space="0" w:color="auto"/>
        <w:right w:val="none" w:sz="0" w:space="0" w:color="auto"/>
      </w:divBdr>
    </w:div>
    <w:div w:id="1910722856">
      <w:bodyDiv w:val="1"/>
      <w:marLeft w:val="0"/>
      <w:marRight w:val="0"/>
      <w:marTop w:val="0"/>
      <w:marBottom w:val="0"/>
      <w:divBdr>
        <w:top w:val="none" w:sz="0" w:space="0" w:color="auto"/>
        <w:left w:val="none" w:sz="0" w:space="0" w:color="auto"/>
        <w:bottom w:val="none" w:sz="0" w:space="0" w:color="auto"/>
        <w:right w:val="none" w:sz="0" w:space="0" w:color="auto"/>
      </w:divBdr>
    </w:div>
    <w:div w:id="1947076939">
      <w:bodyDiv w:val="1"/>
      <w:marLeft w:val="0"/>
      <w:marRight w:val="0"/>
      <w:marTop w:val="0"/>
      <w:marBottom w:val="0"/>
      <w:divBdr>
        <w:top w:val="none" w:sz="0" w:space="0" w:color="auto"/>
        <w:left w:val="none" w:sz="0" w:space="0" w:color="auto"/>
        <w:bottom w:val="none" w:sz="0" w:space="0" w:color="auto"/>
        <w:right w:val="none" w:sz="0" w:space="0" w:color="auto"/>
      </w:divBdr>
    </w:div>
    <w:div w:id="1965886564">
      <w:bodyDiv w:val="1"/>
      <w:marLeft w:val="0"/>
      <w:marRight w:val="0"/>
      <w:marTop w:val="0"/>
      <w:marBottom w:val="0"/>
      <w:divBdr>
        <w:top w:val="none" w:sz="0" w:space="0" w:color="auto"/>
        <w:left w:val="none" w:sz="0" w:space="0" w:color="auto"/>
        <w:bottom w:val="none" w:sz="0" w:space="0" w:color="auto"/>
        <w:right w:val="none" w:sz="0" w:space="0" w:color="auto"/>
      </w:divBdr>
    </w:div>
    <w:div w:id="1968468776">
      <w:bodyDiv w:val="1"/>
      <w:marLeft w:val="0"/>
      <w:marRight w:val="0"/>
      <w:marTop w:val="0"/>
      <w:marBottom w:val="0"/>
      <w:divBdr>
        <w:top w:val="none" w:sz="0" w:space="0" w:color="auto"/>
        <w:left w:val="none" w:sz="0" w:space="0" w:color="auto"/>
        <w:bottom w:val="none" w:sz="0" w:space="0" w:color="auto"/>
        <w:right w:val="none" w:sz="0" w:space="0" w:color="auto"/>
      </w:divBdr>
    </w:div>
    <w:div w:id="1993217678">
      <w:bodyDiv w:val="1"/>
      <w:marLeft w:val="0"/>
      <w:marRight w:val="0"/>
      <w:marTop w:val="0"/>
      <w:marBottom w:val="0"/>
      <w:divBdr>
        <w:top w:val="none" w:sz="0" w:space="0" w:color="auto"/>
        <w:left w:val="none" w:sz="0" w:space="0" w:color="auto"/>
        <w:bottom w:val="none" w:sz="0" w:space="0" w:color="auto"/>
        <w:right w:val="none" w:sz="0" w:space="0" w:color="auto"/>
      </w:divBdr>
    </w:div>
    <w:div w:id="2009475414">
      <w:bodyDiv w:val="1"/>
      <w:marLeft w:val="0"/>
      <w:marRight w:val="0"/>
      <w:marTop w:val="0"/>
      <w:marBottom w:val="0"/>
      <w:divBdr>
        <w:top w:val="none" w:sz="0" w:space="0" w:color="auto"/>
        <w:left w:val="none" w:sz="0" w:space="0" w:color="auto"/>
        <w:bottom w:val="none" w:sz="0" w:space="0" w:color="auto"/>
        <w:right w:val="none" w:sz="0" w:space="0" w:color="auto"/>
      </w:divBdr>
      <w:divsChild>
        <w:div w:id="1646083547">
          <w:marLeft w:val="240"/>
          <w:marRight w:val="0"/>
          <w:marTop w:val="0"/>
          <w:marBottom w:val="0"/>
          <w:divBdr>
            <w:top w:val="none" w:sz="0" w:space="0" w:color="auto"/>
            <w:left w:val="none" w:sz="0" w:space="0" w:color="auto"/>
            <w:bottom w:val="none" w:sz="0" w:space="0" w:color="auto"/>
            <w:right w:val="none" w:sz="0" w:space="0" w:color="auto"/>
          </w:divBdr>
        </w:div>
        <w:div w:id="293026810">
          <w:marLeft w:val="0"/>
          <w:marRight w:val="0"/>
          <w:marTop w:val="0"/>
          <w:marBottom w:val="0"/>
          <w:divBdr>
            <w:top w:val="none" w:sz="0" w:space="0" w:color="auto"/>
            <w:left w:val="none" w:sz="0" w:space="0" w:color="auto"/>
            <w:bottom w:val="none" w:sz="0" w:space="0" w:color="auto"/>
            <w:right w:val="none" w:sz="0" w:space="0" w:color="auto"/>
          </w:divBdr>
        </w:div>
      </w:divsChild>
    </w:div>
    <w:div w:id="2042511683">
      <w:bodyDiv w:val="1"/>
      <w:marLeft w:val="0"/>
      <w:marRight w:val="0"/>
      <w:marTop w:val="0"/>
      <w:marBottom w:val="0"/>
      <w:divBdr>
        <w:top w:val="none" w:sz="0" w:space="0" w:color="auto"/>
        <w:left w:val="none" w:sz="0" w:space="0" w:color="auto"/>
        <w:bottom w:val="none" w:sz="0" w:space="0" w:color="auto"/>
        <w:right w:val="none" w:sz="0" w:space="0" w:color="auto"/>
      </w:divBdr>
    </w:div>
    <w:div w:id="2044402825">
      <w:bodyDiv w:val="1"/>
      <w:marLeft w:val="0"/>
      <w:marRight w:val="0"/>
      <w:marTop w:val="0"/>
      <w:marBottom w:val="0"/>
      <w:divBdr>
        <w:top w:val="none" w:sz="0" w:space="0" w:color="auto"/>
        <w:left w:val="none" w:sz="0" w:space="0" w:color="auto"/>
        <w:bottom w:val="none" w:sz="0" w:space="0" w:color="auto"/>
        <w:right w:val="none" w:sz="0" w:space="0" w:color="auto"/>
      </w:divBdr>
    </w:div>
    <w:div w:id="2049258377">
      <w:bodyDiv w:val="1"/>
      <w:marLeft w:val="0"/>
      <w:marRight w:val="0"/>
      <w:marTop w:val="0"/>
      <w:marBottom w:val="0"/>
      <w:divBdr>
        <w:top w:val="none" w:sz="0" w:space="0" w:color="auto"/>
        <w:left w:val="none" w:sz="0" w:space="0" w:color="auto"/>
        <w:bottom w:val="none" w:sz="0" w:space="0" w:color="auto"/>
        <w:right w:val="none" w:sz="0" w:space="0" w:color="auto"/>
      </w:divBdr>
    </w:div>
    <w:div w:id="2049716715">
      <w:bodyDiv w:val="1"/>
      <w:marLeft w:val="0"/>
      <w:marRight w:val="0"/>
      <w:marTop w:val="0"/>
      <w:marBottom w:val="0"/>
      <w:divBdr>
        <w:top w:val="none" w:sz="0" w:space="0" w:color="auto"/>
        <w:left w:val="none" w:sz="0" w:space="0" w:color="auto"/>
        <w:bottom w:val="none" w:sz="0" w:space="0" w:color="auto"/>
        <w:right w:val="none" w:sz="0" w:space="0" w:color="auto"/>
      </w:divBdr>
    </w:div>
    <w:div w:id="2055306582">
      <w:bodyDiv w:val="1"/>
      <w:marLeft w:val="0"/>
      <w:marRight w:val="0"/>
      <w:marTop w:val="0"/>
      <w:marBottom w:val="0"/>
      <w:divBdr>
        <w:top w:val="none" w:sz="0" w:space="0" w:color="auto"/>
        <w:left w:val="none" w:sz="0" w:space="0" w:color="auto"/>
        <w:bottom w:val="none" w:sz="0" w:space="0" w:color="auto"/>
        <w:right w:val="none" w:sz="0" w:space="0" w:color="auto"/>
      </w:divBdr>
    </w:div>
    <w:div w:id="2072340491">
      <w:bodyDiv w:val="1"/>
      <w:marLeft w:val="0"/>
      <w:marRight w:val="0"/>
      <w:marTop w:val="0"/>
      <w:marBottom w:val="0"/>
      <w:divBdr>
        <w:top w:val="none" w:sz="0" w:space="0" w:color="auto"/>
        <w:left w:val="none" w:sz="0" w:space="0" w:color="auto"/>
        <w:bottom w:val="none" w:sz="0" w:space="0" w:color="auto"/>
        <w:right w:val="none" w:sz="0" w:space="0" w:color="auto"/>
      </w:divBdr>
    </w:div>
    <w:div w:id="2080206394">
      <w:bodyDiv w:val="1"/>
      <w:marLeft w:val="0"/>
      <w:marRight w:val="0"/>
      <w:marTop w:val="0"/>
      <w:marBottom w:val="0"/>
      <w:divBdr>
        <w:top w:val="none" w:sz="0" w:space="0" w:color="auto"/>
        <w:left w:val="none" w:sz="0" w:space="0" w:color="auto"/>
        <w:bottom w:val="none" w:sz="0" w:space="0" w:color="auto"/>
        <w:right w:val="none" w:sz="0" w:space="0" w:color="auto"/>
      </w:divBdr>
    </w:div>
    <w:div w:id="2094548770">
      <w:bodyDiv w:val="1"/>
      <w:marLeft w:val="0"/>
      <w:marRight w:val="0"/>
      <w:marTop w:val="0"/>
      <w:marBottom w:val="0"/>
      <w:divBdr>
        <w:top w:val="none" w:sz="0" w:space="0" w:color="auto"/>
        <w:left w:val="none" w:sz="0" w:space="0" w:color="auto"/>
        <w:bottom w:val="none" w:sz="0" w:space="0" w:color="auto"/>
        <w:right w:val="none" w:sz="0" w:space="0" w:color="auto"/>
      </w:divBdr>
    </w:div>
    <w:div w:id="2095786516">
      <w:bodyDiv w:val="1"/>
      <w:marLeft w:val="0"/>
      <w:marRight w:val="0"/>
      <w:marTop w:val="0"/>
      <w:marBottom w:val="0"/>
      <w:divBdr>
        <w:top w:val="none" w:sz="0" w:space="0" w:color="auto"/>
        <w:left w:val="none" w:sz="0" w:space="0" w:color="auto"/>
        <w:bottom w:val="none" w:sz="0" w:space="0" w:color="auto"/>
        <w:right w:val="none" w:sz="0" w:space="0" w:color="auto"/>
      </w:divBdr>
    </w:div>
    <w:div w:id="2114476067">
      <w:bodyDiv w:val="1"/>
      <w:marLeft w:val="0"/>
      <w:marRight w:val="0"/>
      <w:marTop w:val="0"/>
      <w:marBottom w:val="0"/>
      <w:divBdr>
        <w:top w:val="none" w:sz="0" w:space="0" w:color="auto"/>
        <w:left w:val="none" w:sz="0" w:space="0" w:color="auto"/>
        <w:bottom w:val="none" w:sz="0" w:space="0" w:color="auto"/>
        <w:right w:val="none" w:sz="0" w:space="0" w:color="auto"/>
      </w:divBdr>
      <w:divsChild>
        <w:div w:id="1306424234">
          <w:marLeft w:val="0"/>
          <w:marRight w:val="0"/>
          <w:marTop w:val="0"/>
          <w:marBottom w:val="0"/>
          <w:divBdr>
            <w:top w:val="none" w:sz="0" w:space="0" w:color="auto"/>
            <w:left w:val="none" w:sz="0" w:space="0" w:color="auto"/>
            <w:bottom w:val="none" w:sz="0" w:space="0" w:color="auto"/>
            <w:right w:val="none" w:sz="0" w:space="0" w:color="auto"/>
          </w:divBdr>
        </w:div>
      </w:divsChild>
    </w:div>
    <w:div w:id="2116705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390/ijms19020485" TargetMode="External"/><Relationship Id="rId117" Type="http://schemas.openxmlformats.org/officeDocument/2006/relationships/hyperlink" Target="https://doi.org/10.1212/WNL.0b013e3182a84101" TargetMode="External"/><Relationship Id="rId21" Type="http://schemas.openxmlformats.org/officeDocument/2006/relationships/hyperlink" Target="https://doi.org/10.1126/science.1086652" TargetMode="External"/><Relationship Id="rId42" Type="http://schemas.openxmlformats.org/officeDocument/2006/relationships/hyperlink" Target="https://doi.org/10.1182/blood-2013-08-519520" TargetMode="External"/><Relationship Id="rId47" Type="http://schemas.openxmlformats.org/officeDocument/2006/relationships/hyperlink" Target="https://doi.org/10.4049/jimmunol.1502021" TargetMode="External"/><Relationship Id="rId63" Type="http://schemas.openxmlformats.org/officeDocument/2006/relationships/hyperlink" Target="https://doi.org/10.1161/01.atv.14.10.1665" TargetMode="External"/><Relationship Id="rId68" Type="http://schemas.openxmlformats.org/officeDocument/2006/relationships/hyperlink" Target="https://doi.org/10.1111/j.1365-2249.1995.tb02270.x" TargetMode="External"/><Relationship Id="rId84" Type="http://schemas.openxmlformats.org/officeDocument/2006/relationships/hyperlink" Target="https://doi.org/10.1016/j.immuni.2009.02.007" TargetMode="External"/><Relationship Id="rId89" Type="http://schemas.openxmlformats.org/officeDocument/2006/relationships/hyperlink" Target="https://doi.org/10.1038/nbt0115-3" TargetMode="External"/><Relationship Id="rId112" Type="http://schemas.openxmlformats.org/officeDocument/2006/relationships/hyperlink" Target="https://doi.org/10.14336/AD.2018.0324" TargetMode="External"/><Relationship Id="rId133" Type="http://schemas.openxmlformats.org/officeDocument/2006/relationships/hyperlink" Target="https://doi.org/10.1042/0264-6021:3600363" TargetMode="External"/><Relationship Id="rId138" Type="http://schemas.openxmlformats.org/officeDocument/2006/relationships/hyperlink" Target="https://doi.org/10.1007/s10522-018-9771-7" TargetMode="External"/><Relationship Id="rId154" Type="http://schemas.openxmlformats.org/officeDocument/2006/relationships/hyperlink" Target="https://doi.org/10.1111/febs.15264" TargetMode="External"/><Relationship Id="rId159" Type="http://schemas.openxmlformats.org/officeDocument/2006/relationships/footer" Target="footer2.xml"/><Relationship Id="rId16" Type="http://schemas.openxmlformats.org/officeDocument/2006/relationships/hyperlink" Target="https://doi.org/10.1038/nature08980" TargetMode="External"/><Relationship Id="rId107" Type="http://schemas.openxmlformats.org/officeDocument/2006/relationships/hyperlink" Target="https://doi.org/10.1016/j.exger.2013.12.011" TargetMode="External"/><Relationship Id="rId11" Type="http://schemas.openxmlformats.org/officeDocument/2006/relationships/hyperlink" Target="https://doi.org/10.1038/nri2156" TargetMode="External"/><Relationship Id="rId32" Type="http://schemas.openxmlformats.org/officeDocument/2006/relationships/hyperlink" Target="https://doi.org/10.2741/3587" TargetMode="External"/><Relationship Id="rId37" Type="http://schemas.openxmlformats.org/officeDocument/2006/relationships/hyperlink" Target="https://doi.org/10.1158/0008-5472.CAN-07-5769" TargetMode="External"/><Relationship Id="rId53" Type="http://schemas.openxmlformats.org/officeDocument/2006/relationships/hyperlink" Target="https://doi.org/10.1093/gerona/61.3.232" TargetMode="External"/><Relationship Id="rId58" Type="http://schemas.openxmlformats.org/officeDocument/2006/relationships/hyperlink" Target="https://doi.org/10.1113/JP274189" TargetMode="External"/><Relationship Id="rId74" Type="http://schemas.openxmlformats.org/officeDocument/2006/relationships/hyperlink" Target="https://doi.org/10.4049/jimmunol.164.11.5961" TargetMode="External"/><Relationship Id="rId79" Type="http://schemas.openxmlformats.org/officeDocument/2006/relationships/hyperlink" Target="https://doi.org/10.1155/2012/819467" TargetMode="External"/><Relationship Id="rId102" Type="http://schemas.openxmlformats.org/officeDocument/2006/relationships/hyperlink" Target="https://doi.org/10.1007/s10522-013-9473-0" TargetMode="External"/><Relationship Id="rId123" Type="http://schemas.openxmlformats.org/officeDocument/2006/relationships/hyperlink" Target="https://doi.org/10.3390/ijms20133144" TargetMode="External"/><Relationship Id="rId128" Type="http://schemas.openxmlformats.org/officeDocument/2006/relationships/hyperlink" Target="https://doi.org/10.2147/CEG.S48305" TargetMode="External"/><Relationship Id="rId144" Type="http://schemas.openxmlformats.org/officeDocument/2006/relationships/hyperlink" Target="https://doi.org/10.1038/ncb3195" TargetMode="External"/><Relationship Id="rId149" Type="http://schemas.openxmlformats.org/officeDocument/2006/relationships/hyperlink" Target="https://doi.org/10.1038/s41573-020-0067-7" TargetMode="External"/><Relationship Id="rId5" Type="http://schemas.openxmlformats.org/officeDocument/2006/relationships/webSettings" Target="webSettings.xml"/><Relationship Id="rId90" Type="http://schemas.openxmlformats.org/officeDocument/2006/relationships/hyperlink" Target="https://doi.org/10.1038/nrd3800" TargetMode="External"/><Relationship Id="rId95" Type="http://schemas.openxmlformats.org/officeDocument/2006/relationships/hyperlink" Target="https://doi.org/10.1146/annurev-pathol-121808-102144" TargetMode="External"/><Relationship Id="rId160" Type="http://schemas.openxmlformats.org/officeDocument/2006/relationships/fontTable" Target="fontTable.xml"/><Relationship Id="rId22" Type="http://schemas.openxmlformats.org/officeDocument/2006/relationships/hyperlink" Target="https://doi.org/10.3390/cells7040025" TargetMode="External"/><Relationship Id="rId27" Type="http://schemas.openxmlformats.org/officeDocument/2006/relationships/hyperlink" Target="https://doi.org/10.1016/j.cell.2013.04.040" TargetMode="External"/><Relationship Id="rId43" Type="http://schemas.openxmlformats.org/officeDocument/2006/relationships/hyperlink" Target="https://doi.org/10.1189/jlb.1007672" TargetMode="External"/><Relationship Id="rId48" Type="http://schemas.openxmlformats.org/officeDocument/2006/relationships/hyperlink" Target="https://doi.org/10.1038/s41586-020-2499-y" TargetMode="External"/><Relationship Id="rId64" Type="http://schemas.openxmlformats.org/officeDocument/2006/relationships/hyperlink" Target="https://doi.org/10.1016/s0021-9150(97)06083-8" TargetMode="External"/><Relationship Id="rId69" Type="http://schemas.openxmlformats.org/officeDocument/2006/relationships/hyperlink" Target="https://doi.org/10.1111/j.1365-2249.1993.tb03413.x" TargetMode="External"/><Relationship Id="rId113" Type="http://schemas.openxmlformats.org/officeDocument/2006/relationships/hyperlink" Target="https://doi.org/10.3748/wjg.v24.i17.1868" TargetMode="External"/><Relationship Id="rId118" Type="http://schemas.openxmlformats.org/officeDocument/2006/relationships/hyperlink" Target="https://doi.org/10.1007/s13365-017-0561-9" TargetMode="External"/><Relationship Id="rId134" Type="http://schemas.openxmlformats.org/officeDocument/2006/relationships/hyperlink" Target="https://doi.org/10.1016/s0021-9150(02)00053-9" TargetMode="External"/><Relationship Id="rId139" Type="http://schemas.openxmlformats.org/officeDocument/2006/relationships/hyperlink" Target="https://doi.org/10.1016/j.cell.2017.02.004" TargetMode="External"/><Relationship Id="rId80" Type="http://schemas.openxmlformats.org/officeDocument/2006/relationships/hyperlink" Target="https://doi.org/10.1155/2015/194864" TargetMode="External"/><Relationship Id="rId85" Type="http://schemas.openxmlformats.org/officeDocument/2006/relationships/hyperlink" Target="https://doi.org/10.3390/ijms18051000" TargetMode="External"/><Relationship Id="rId150" Type="http://schemas.openxmlformats.org/officeDocument/2006/relationships/hyperlink" Target="https://doi.org/10.1111/acel.12344" TargetMode="External"/><Relationship Id="rId155" Type="http://schemas.openxmlformats.org/officeDocument/2006/relationships/hyperlink" Target="https://doi.org/10.1016/j.mad.2019.111199" TargetMode="External"/><Relationship Id="rId12" Type="http://schemas.openxmlformats.org/officeDocument/2006/relationships/hyperlink" Target="https://doi.org/10.1111/j.1749-6632.2000.tb06651.x" TargetMode="External"/><Relationship Id="rId17" Type="http://schemas.openxmlformats.org/officeDocument/2006/relationships/hyperlink" Target="https://doi.org/10.1371/journal.pone.0014525" TargetMode="External"/><Relationship Id="rId33" Type="http://schemas.openxmlformats.org/officeDocument/2006/relationships/hyperlink" Target="https://doi.org/10.1038/s41586-020-2496-1" TargetMode="External"/><Relationship Id="rId38" Type="http://schemas.openxmlformats.org/officeDocument/2006/relationships/hyperlink" Target="https://doi.org/10.4049/jimmunol.178.11.6912" TargetMode="External"/><Relationship Id="rId59" Type="http://schemas.openxmlformats.org/officeDocument/2006/relationships/hyperlink" Target="https://doi.org/10.1152/ajpheart.1993.264.3.H679" TargetMode="External"/><Relationship Id="rId103" Type="http://schemas.openxmlformats.org/officeDocument/2006/relationships/hyperlink" Target="https://doi.org/10.1007/s10620-013-2920-6" TargetMode="External"/><Relationship Id="rId108" Type="http://schemas.openxmlformats.org/officeDocument/2006/relationships/hyperlink" Target="https://doi.org/10.1016/j.it.2009.03.013" TargetMode="External"/><Relationship Id="rId124" Type="http://schemas.openxmlformats.org/officeDocument/2006/relationships/hyperlink" Target="https://doi.org/10.1016/j.jaci.2010.08.048" TargetMode="External"/><Relationship Id="rId129" Type="http://schemas.openxmlformats.org/officeDocument/2006/relationships/hyperlink" Target="https://doi.org/10.1007/s11883-019-0800-z" TargetMode="External"/><Relationship Id="rId20" Type="http://schemas.openxmlformats.org/officeDocument/2006/relationships/hyperlink" Target="https://doi.org/10.1016/s1074-7613(03)00350-9" TargetMode="External"/><Relationship Id="rId41" Type="http://schemas.openxmlformats.org/officeDocument/2006/relationships/hyperlink" Target="https://doi.org/10.1016/0024-3205(89)90482-7" TargetMode="External"/><Relationship Id="rId54" Type="http://schemas.openxmlformats.org/officeDocument/2006/relationships/hyperlink" Target="https://doi.org/10.1016/j.bbi.2006.05.001" TargetMode="External"/><Relationship Id="rId62" Type="http://schemas.openxmlformats.org/officeDocument/2006/relationships/hyperlink" Target="https://doi.org/10.1093/gerona/55.2.b85" TargetMode="External"/><Relationship Id="rId70" Type="http://schemas.openxmlformats.org/officeDocument/2006/relationships/hyperlink" Target="https://doi.org/10.1093/gerona/54.7.m357" TargetMode="External"/><Relationship Id="rId75" Type="http://schemas.openxmlformats.org/officeDocument/2006/relationships/hyperlink" Target="https://doi.org/10.4049/jimmunol.1601281" TargetMode="External"/><Relationship Id="rId83" Type="http://schemas.openxmlformats.org/officeDocument/2006/relationships/hyperlink" Target="https://doi.org/10.1002/art.27242" TargetMode="External"/><Relationship Id="rId88" Type="http://schemas.openxmlformats.org/officeDocument/2006/relationships/hyperlink" Target="https://doi.org/10.1016/j.jid.2016.11.022" TargetMode="External"/><Relationship Id="rId91" Type="http://schemas.openxmlformats.org/officeDocument/2006/relationships/hyperlink" Target="https://doi.org/10.1084/jem.20100282" TargetMode="External"/><Relationship Id="rId96" Type="http://schemas.openxmlformats.org/officeDocument/2006/relationships/hyperlink" Target="https://doi.org/10.3390/ijms18081742" TargetMode="External"/><Relationship Id="rId111" Type="http://schemas.openxmlformats.org/officeDocument/2006/relationships/hyperlink" Target="https://doi.org/10.1111/imr.12295" TargetMode="External"/><Relationship Id="rId132" Type="http://schemas.openxmlformats.org/officeDocument/2006/relationships/hyperlink" Target="https://doi.org/10.1592/phco.26.3.333" TargetMode="External"/><Relationship Id="rId140" Type="http://schemas.openxmlformats.org/officeDocument/2006/relationships/hyperlink" Target="https://doi.org/10.1007/s00018-014-1677-1" TargetMode="External"/><Relationship Id="rId145" Type="http://schemas.openxmlformats.org/officeDocument/2006/relationships/hyperlink" Target="https://doi.org/10.1159/000484629" TargetMode="External"/><Relationship Id="rId153" Type="http://schemas.openxmlformats.org/officeDocument/2006/relationships/hyperlink" Target="https://doi.org/10.2165/00003495-200161020-00005"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ell.2013.05.039" TargetMode="External"/><Relationship Id="rId23" Type="http://schemas.openxmlformats.org/officeDocument/2006/relationships/hyperlink" Target="https://doi.org/10.3389/fimmu.2016.00428" TargetMode="External"/><Relationship Id="rId28" Type="http://schemas.openxmlformats.org/officeDocument/2006/relationships/hyperlink" Target="https://doi.org/10.1038/nri3386" TargetMode="External"/><Relationship Id="rId36" Type="http://schemas.openxmlformats.org/officeDocument/2006/relationships/hyperlink" Target="https://doi.org/10.1371/journal.pbio.1000177" TargetMode="External"/><Relationship Id="rId49" Type="http://schemas.openxmlformats.org/officeDocument/2006/relationships/hyperlink" Target="https://doi.org/10.1371/journal.ppat.1005027" TargetMode="External"/><Relationship Id="rId57" Type="http://schemas.openxmlformats.org/officeDocument/2006/relationships/hyperlink" Target="https://doi.org/10.4161/cam.29026" TargetMode="External"/><Relationship Id="rId106" Type="http://schemas.openxmlformats.org/officeDocument/2006/relationships/hyperlink" Target="https://doi.org/10.1016/j.exger.2017.07.002" TargetMode="External"/><Relationship Id="rId114" Type="http://schemas.openxmlformats.org/officeDocument/2006/relationships/hyperlink" Target="https://doi.org/10.1111/bcp.12820" TargetMode="External"/><Relationship Id="rId119" Type="http://schemas.openxmlformats.org/officeDocument/2006/relationships/hyperlink" Target="https://doi.org/10.1155/2013/967581" TargetMode="External"/><Relationship Id="rId127" Type="http://schemas.openxmlformats.org/officeDocument/2006/relationships/hyperlink" Target="https://doi.org/10.1124/jpet.110.169714" TargetMode="External"/><Relationship Id="rId10" Type="http://schemas.openxmlformats.org/officeDocument/2006/relationships/image" Target="media/image3.png"/><Relationship Id="rId31" Type="http://schemas.openxmlformats.org/officeDocument/2006/relationships/hyperlink" Target="https://doi.org/10.3389/fimmu.2019.01168" TargetMode="External"/><Relationship Id="rId44" Type="http://schemas.openxmlformats.org/officeDocument/2006/relationships/hyperlink" Target="https://doi.org/10.1111/j.1574-695X.2008.00418.x" TargetMode="External"/><Relationship Id="rId52" Type="http://schemas.openxmlformats.org/officeDocument/2006/relationships/hyperlink" Target="https://doi.org/10.1096/fasebj.27.1_supplement.687.16" TargetMode="External"/><Relationship Id="rId60" Type="http://schemas.openxmlformats.org/officeDocument/2006/relationships/hyperlink" Target="https://doi.org/10.3748/wjg.v9.i4.795" TargetMode="External"/><Relationship Id="rId65" Type="http://schemas.openxmlformats.org/officeDocument/2006/relationships/hyperlink" Target="https://doi.org/10.1159/000071710" TargetMode="External"/><Relationship Id="rId73" Type="http://schemas.openxmlformats.org/officeDocument/2006/relationships/hyperlink" Target="https://doi.org/10.1084/jem.20131125" TargetMode="External"/><Relationship Id="rId78" Type="http://schemas.openxmlformats.org/officeDocument/2006/relationships/hyperlink" Target="https://doi.org/10.1016/j.immuni.2008.07.018" TargetMode="External"/><Relationship Id="rId81" Type="http://schemas.openxmlformats.org/officeDocument/2006/relationships/hyperlink" Target="https://doi.org/10.1182/blood-2010-07-273417" TargetMode="External"/><Relationship Id="rId86" Type="http://schemas.openxmlformats.org/officeDocument/2006/relationships/hyperlink" Target="https://doi.org/10.4049/jimmunol.0903162" TargetMode="External"/><Relationship Id="rId94" Type="http://schemas.openxmlformats.org/officeDocument/2006/relationships/hyperlink" Target="https://doi.org/10.1111/j.1474-9726.2012.00830.x" TargetMode="External"/><Relationship Id="rId99" Type="http://schemas.openxmlformats.org/officeDocument/2006/relationships/hyperlink" Target="https://doi.org/10.1002/jcp.21776" TargetMode="External"/><Relationship Id="rId101" Type="http://schemas.openxmlformats.org/officeDocument/2006/relationships/hyperlink" Target="https://doi.org/10.1002/jlb.Mr0718-299r" TargetMode="External"/><Relationship Id="rId122" Type="http://schemas.openxmlformats.org/officeDocument/2006/relationships/hyperlink" Target="https://doi.org/10.1093/gastro/goz041" TargetMode="External"/><Relationship Id="rId130" Type="http://schemas.openxmlformats.org/officeDocument/2006/relationships/hyperlink" Target="https://doi.org/10.1016/j.it.2006.12.003" TargetMode="External"/><Relationship Id="rId135" Type="http://schemas.openxmlformats.org/officeDocument/2006/relationships/hyperlink" Target="https://doi.org/10.1164/rccm.201704-0814OC" TargetMode="External"/><Relationship Id="rId143" Type="http://schemas.openxmlformats.org/officeDocument/2006/relationships/hyperlink" Target="https://doi.org/10.1016/j.cmet.2014.01.001" TargetMode="External"/><Relationship Id="rId148" Type="http://schemas.openxmlformats.org/officeDocument/2006/relationships/hyperlink" Target="https://doi.org/10.1038/s41573-020-0067-7" TargetMode="External"/><Relationship Id="rId151" Type="http://schemas.openxmlformats.org/officeDocument/2006/relationships/hyperlink" Target="https://doi.org/10.1016/j.ebiom.2019.08.069" TargetMode="External"/><Relationship Id="rId156" Type="http://schemas.openxmlformats.org/officeDocument/2006/relationships/hyperlink" Target="https://doi.org/10.1016/j.jare.2018.09.003"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doi.org/10.1093/gerona/glu057" TargetMode="External"/><Relationship Id="rId18" Type="http://schemas.openxmlformats.org/officeDocument/2006/relationships/hyperlink" Target="https://doi.org/10.1182/blood.V88.9.3259.bloodjournal8893259" TargetMode="External"/><Relationship Id="rId39" Type="http://schemas.openxmlformats.org/officeDocument/2006/relationships/hyperlink" Target="https://doi.org/10.1101/2020.04.02.020081" TargetMode="External"/><Relationship Id="rId109" Type="http://schemas.openxmlformats.org/officeDocument/2006/relationships/hyperlink" Target="https://doi.org/10.1111/acel.13067" TargetMode="External"/><Relationship Id="rId34" Type="http://schemas.openxmlformats.org/officeDocument/2006/relationships/hyperlink" Target="https://doi.org/10.1172/jci59777" TargetMode="External"/><Relationship Id="rId50" Type="http://schemas.openxmlformats.org/officeDocument/2006/relationships/hyperlink" Target="https://doi.org/10.1084/jem.20090896" TargetMode="External"/><Relationship Id="rId55" Type="http://schemas.openxmlformats.org/officeDocument/2006/relationships/hyperlink" Target="https://doi.org/10.1038/s41591-019-0440-4" TargetMode="External"/><Relationship Id="rId76" Type="http://schemas.openxmlformats.org/officeDocument/2006/relationships/hyperlink" Target="https://doi.org/10.1046/j.1365-2249.1996.d01-717.x" TargetMode="External"/><Relationship Id="rId97" Type="http://schemas.openxmlformats.org/officeDocument/2006/relationships/hyperlink" Target="https://doi.org/10.18632/aging.101328" TargetMode="External"/><Relationship Id="rId104" Type="http://schemas.openxmlformats.org/officeDocument/2006/relationships/hyperlink" Target="https://doi.org/10.1038/nature05529" TargetMode="External"/><Relationship Id="rId120" Type="http://schemas.openxmlformats.org/officeDocument/2006/relationships/hyperlink" Target="https://doi.org/10.3748/wjg.v24.i23.2457" TargetMode="External"/><Relationship Id="rId125" Type="http://schemas.openxmlformats.org/officeDocument/2006/relationships/hyperlink" Target="https://doi.org/10.1517/13543780903535867" TargetMode="External"/><Relationship Id="rId141" Type="http://schemas.openxmlformats.org/officeDocument/2006/relationships/hyperlink" Target="https://doi.org/10.12688/f1000research.17196.1" TargetMode="External"/><Relationship Id="rId146" Type="http://schemas.openxmlformats.org/officeDocument/2006/relationships/hyperlink" Target="https://doi.org/10.1128/mBio.00725-15" TargetMode="External"/><Relationship Id="rId7" Type="http://schemas.openxmlformats.org/officeDocument/2006/relationships/endnotes" Target="endnotes.xml"/><Relationship Id="rId71" Type="http://schemas.openxmlformats.org/officeDocument/2006/relationships/hyperlink" Target="https://doi.org/10.1016/0024-3205(92)90112-3" TargetMode="External"/><Relationship Id="rId92" Type="http://schemas.openxmlformats.org/officeDocument/2006/relationships/hyperlink" Target="https://doi.org/10.4049/jimmunol.170.2.895" TargetMode="External"/><Relationship Id="rId2" Type="http://schemas.openxmlformats.org/officeDocument/2006/relationships/numbering" Target="numbering.xml"/><Relationship Id="rId29" Type="http://schemas.openxmlformats.org/officeDocument/2006/relationships/hyperlink" Target="https://doi.org/10.1016/j.immuni.2018.10.007" TargetMode="External"/><Relationship Id="rId24" Type="http://schemas.openxmlformats.org/officeDocument/2006/relationships/hyperlink" Target="https://doi.org/10.1016/j.immuni.2014.10.008" TargetMode="External"/><Relationship Id="rId40" Type="http://schemas.openxmlformats.org/officeDocument/2006/relationships/hyperlink" Target="https://doi.org/10.1002/jlb.67.1.40" TargetMode="External"/><Relationship Id="rId45" Type="http://schemas.openxmlformats.org/officeDocument/2006/relationships/hyperlink" Target="https://doi.org/10.4049/jimmunol.1201213" TargetMode="External"/><Relationship Id="rId66" Type="http://schemas.openxmlformats.org/officeDocument/2006/relationships/hyperlink" Target="https://doi.org/10.1016/j.atherosclerosis.2006.11.002" TargetMode="External"/><Relationship Id="rId87" Type="http://schemas.openxmlformats.org/officeDocument/2006/relationships/hyperlink" Target="https://doi.org/10.2147/tcrm.s3470" TargetMode="External"/><Relationship Id="rId110" Type="http://schemas.openxmlformats.org/officeDocument/2006/relationships/hyperlink" Target="https://doi.org/10.1111/cei.13344" TargetMode="External"/><Relationship Id="rId115" Type="http://schemas.openxmlformats.org/officeDocument/2006/relationships/hyperlink" Target="https://doi.org/10.1038/nrd.2017.116" TargetMode="External"/><Relationship Id="rId131" Type="http://schemas.openxmlformats.org/officeDocument/2006/relationships/hyperlink" Target="https://doi.org/10.3390/jcm5100089" TargetMode="External"/><Relationship Id="rId136" Type="http://schemas.openxmlformats.org/officeDocument/2006/relationships/hyperlink" Target="https://doi.org/10.2147/clep.S104258" TargetMode="External"/><Relationship Id="rId157" Type="http://schemas.openxmlformats.org/officeDocument/2006/relationships/hyperlink" Target="https://doi.org/10.1053/j.gastro.2018.04.012" TargetMode="External"/><Relationship Id="rId61" Type="http://schemas.openxmlformats.org/officeDocument/2006/relationships/hyperlink" Target="https://doi.org/10.1074/jbc.M103740200" TargetMode="External"/><Relationship Id="rId82" Type="http://schemas.openxmlformats.org/officeDocument/2006/relationships/hyperlink" Target="https://doi.org/10.1007/978-0-387-09789-3_21" TargetMode="External"/><Relationship Id="rId152" Type="http://schemas.openxmlformats.org/officeDocument/2006/relationships/hyperlink" Target="https://doi.org/10.1038/nm.3842" TargetMode="External"/><Relationship Id="rId19" Type="http://schemas.openxmlformats.org/officeDocument/2006/relationships/hyperlink" Target="https://doi.org/10.3389/fimmu.2019.01078" TargetMode="External"/><Relationship Id="rId14" Type="http://schemas.openxmlformats.org/officeDocument/2006/relationships/hyperlink" Target="https://doi.org/10.1513/AnnalsATS.201602-095AW" TargetMode="External"/><Relationship Id="rId30" Type="http://schemas.openxmlformats.org/officeDocument/2006/relationships/hyperlink" Target="https://doi.org/10.3389/fimmu.2019.00471" TargetMode="External"/><Relationship Id="rId35" Type="http://schemas.openxmlformats.org/officeDocument/2006/relationships/hyperlink" Target="https://doi.org/10.1186/1465-9921-10-112" TargetMode="External"/><Relationship Id="rId56" Type="http://schemas.openxmlformats.org/officeDocument/2006/relationships/hyperlink" Target="https://dx.doi.org/10.4067/S0717-95022016000400049" TargetMode="External"/><Relationship Id="rId77" Type="http://schemas.openxmlformats.org/officeDocument/2006/relationships/hyperlink" Target="https://doi.org/10.1007/s11373-004-8170-z" TargetMode="External"/><Relationship Id="rId100" Type="http://schemas.openxmlformats.org/officeDocument/2006/relationships/hyperlink" Target="https://doi.org/10.1111/j.1474-9726.2005.00173.x" TargetMode="External"/><Relationship Id="rId105" Type="http://schemas.openxmlformats.org/officeDocument/2006/relationships/hyperlink" Target="https://doi.org/10.1016/j.cell.2008.03.038" TargetMode="External"/><Relationship Id="rId126" Type="http://schemas.openxmlformats.org/officeDocument/2006/relationships/hyperlink" Target="https://doi.org/10.1177/039463200702000303" TargetMode="External"/><Relationship Id="rId147" Type="http://schemas.openxmlformats.org/officeDocument/2006/relationships/hyperlink" Target="https://doi.org/10.1007/s00384-005-0793-7" TargetMode="External"/><Relationship Id="rId8" Type="http://schemas.openxmlformats.org/officeDocument/2006/relationships/image" Target="media/image1.png"/><Relationship Id="rId51" Type="http://schemas.openxmlformats.org/officeDocument/2006/relationships/hyperlink" Target="https://doi.org/10.1016/s0047-6374(02)00014-3" TargetMode="External"/><Relationship Id="rId72" Type="http://schemas.openxmlformats.org/officeDocument/2006/relationships/hyperlink" Target="https://doi.org/10.3390/ijms20236008" TargetMode="External"/><Relationship Id="rId93" Type="http://schemas.openxmlformats.org/officeDocument/2006/relationships/hyperlink" Target="https://doi.org/10.1038/cmi.2011.41" TargetMode="External"/><Relationship Id="rId98" Type="http://schemas.openxmlformats.org/officeDocument/2006/relationships/hyperlink" Target="https://doi.org/10.1155/2016/1810327" TargetMode="External"/><Relationship Id="rId121" Type="http://schemas.openxmlformats.org/officeDocument/2006/relationships/hyperlink" Target="https://doi.org/10.1053/gast.1996.v111.pm8898653" TargetMode="External"/><Relationship Id="rId142" Type="http://schemas.openxmlformats.org/officeDocument/2006/relationships/hyperlink" Target="https://doi.org/10.1038/nature11861" TargetMode="External"/><Relationship Id="rId3" Type="http://schemas.openxmlformats.org/officeDocument/2006/relationships/styles" Target="styles.xml"/><Relationship Id="rId25" Type="http://schemas.openxmlformats.org/officeDocument/2006/relationships/hyperlink" Target="https://doi.org/10.1016/j.immuni.2019.01.013" TargetMode="External"/><Relationship Id="rId46" Type="http://schemas.openxmlformats.org/officeDocument/2006/relationships/hyperlink" Target="https://doi.org/10.1099/jmm.0.013250-0" TargetMode="External"/><Relationship Id="rId67" Type="http://schemas.openxmlformats.org/officeDocument/2006/relationships/hyperlink" Target="https://doi.org/10.1046/j.1365-2249.1996.925616.x" TargetMode="External"/><Relationship Id="rId116" Type="http://schemas.openxmlformats.org/officeDocument/2006/relationships/hyperlink" Target="https://doi.org/10.1053/gast.2001.26260" TargetMode="External"/><Relationship Id="rId137" Type="http://schemas.openxmlformats.org/officeDocument/2006/relationships/hyperlink" Target="https://doi.org/10.1155/2016/8426874"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A2C6-6B67-4636-B569-3533E27B6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16052</Words>
  <Characters>91500</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Hopkin (PhD Inflamm + Ageing FT (A300))</dc:creator>
  <cp:keywords/>
  <dc:description/>
  <cp:lastModifiedBy>Myriam Chimen</cp:lastModifiedBy>
  <cp:revision>2</cp:revision>
  <dcterms:created xsi:type="dcterms:W3CDTF">2021-01-13T13:26:00Z</dcterms:created>
  <dcterms:modified xsi:type="dcterms:W3CDTF">2021-01-13T13:26:00Z</dcterms:modified>
</cp:coreProperties>
</file>